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848" w:rsidRDefault="00887848">
      <w:bookmarkStart w:id="0" w:name="_GoBack"/>
      <w:bookmarkEnd w:id="0"/>
      <w:r>
        <w:rPr>
          <w:b/>
          <w:sz w:val="28"/>
        </w:rPr>
        <w:t xml:space="preserve">Family Control, Multiple Institutional Block-holders and Informed Trading </w:t>
      </w:r>
    </w:p>
    <w:p w:rsidR="00887848" w:rsidRDefault="00887848">
      <w:pPr>
        <w:pStyle w:val="Abstract"/>
      </w:pPr>
    </w:p>
    <w:p w:rsidR="00887848" w:rsidRDefault="00887848">
      <w:pPr>
        <w:pStyle w:val="Abstract"/>
      </w:pPr>
    </w:p>
    <w:p w:rsidR="00887848" w:rsidRDefault="00887848">
      <w:pPr>
        <w:pStyle w:val="Abstract"/>
        <w:rPr>
          <w:sz w:val="24"/>
        </w:rPr>
      </w:pPr>
      <w:r>
        <w:rPr>
          <w:sz w:val="24"/>
        </w:rPr>
        <w:t xml:space="preserve">Abstract </w:t>
      </w:r>
    </w:p>
    <w:p w:rsidR="00887848" w:rsidRDefault="00887848">
      <w:pPr>
        <w:pStyle w:val="Abstract"/>
        <w:rPr>
          <w:sz w:val="24"/>
        </w:rPr>
      </w:pPr>
    </w:p>
    <w:p w:rsidR="00887848" w:rsidRDefault="00887848">
      <w:pPr>
        <w:pStyle w:val="Abstract"/>
        <w:rPr>
          <w:sz w:val="24"/>
        </w:rPr>
      </w:pPr>
      <w:r>
        <w:rPr>
          <w:sz w:val="24"/>
        </w:rPr>
        <w:t xml:space="preserve">This paper investigates how large family shareholders and institutional block-holders jointly influence informed trading and firm valuation in the </w:t>
      </w:r>
      <w:smartTag w:uri="urn:schemas-microsoft-com:office:smarttags" w:element="place">
        <w:r>
          <w:rPr>
            <w:sz w:val="24"/>
          </w:rPr>
          <w:t>Hong Kong</w:t>
        </w:r>
      </w:smartTag>
      <w:r>
        <w:rPr>
          <w:sz w:val="24"/>
        </w:rPr>
        <w:t xml:space="preserve"> stock market. It combines market microstructure research with studies on the governance roles of multiple block-holders and finds that institutional block-holders rely on their relative controlling power vis-à-vis family owners to mitigate problems associated with informed trading. They also use their ownership rights to improve the structure of informed trading. However, these governance roles are predominantly exercised by pressure-resistant institutional block-holders. Informed trading reduces firm valuation, while an improvement in its structure increases valuation. Therefore, the governance roles of controlling families and pressure-resistant institutional block-holders may have different implications in terms of investors’ perceptions of private information risk. </w:t>
      </w:r>
    </w:p>
    <w:p w:rsidR="00887848" w:rsidRDefault="00887848"/>
    <w:p w:rsidR="00887848" w:rsidRDefault="00887848">
      <w:pPr>
        <w:pStyle w:val="Keywords"/>
        <w:rPr>
          <w:sz w:val="24"/>
        </w:rPr>
      </w:pPr>
    </w:p>
    <w:p w:rsidR="00887848" w:rsidRDefault="00887848">
      <w:pPr>
        <w:pStyle w:val="Keywords"/>
        <w:rPr>
          <w:sz w:val="24"/>
        </w:rPr>
      </w:pPr>
    </w:p>
    <w:p w:rsidR="00887848" w:rsidRDefault="00887848">
      <w:pPr>
        <w:pStyle w:val="Keywords"/>
        <w:rPr>
          <w:sz w:val="24"/>
        </w:rPr>
      </w:pPr>
      <w:r>
        <w:rPr>
          <w:sz w:val="24"/>
        </w:rPr>
        <w:t>J</w:t>
      </w:r>
      <w:r>
        <w:rPr>
          <w:sz w:val="24"/>
          <w:lang w:eastAsia="zh-CN"/>
        </w:rPr>
        <w:t>E</w:t>
      </w:r>
      <w:r>
        <w:rPr>
          <w:sz w:val="24"/>
        </w:rPr>
        <w:t>L Classification: D82, G14, G34</w:t>
      </w:r>
    </w:p>
    <w:p w:rsidR="00887848" w:rsidRDefault="00887848">
      <w:pPr>
        <w:pStyle w:val="Keywords"/>
        <w:rPr>
          <w:sz w:val="24"/>
        </w:rPr>
      </w:pPr>
    </w:p>
    <w:p w:rsidR="00887848" w:rsidRDefault="00887848">
      <w:pPr>
        <w:pStyle w:val="Keywords"/>
        <w:rPr>
          <w:sz w:val="24"/>
        </w:rPr>
      </w:pPr>
      <w:r>
        <w:rPr>
          <w:sz w:val="24"/>
        </w:rPr>
        <w:t xml:space="preserve">Keywords: Ownership Structure; Family Control; Institutional Block-holders; Informed Trading; </w:t>
      </w:r>
      <w:smartTag w:uri="urn:schemas-microsoft-com:office:smarttags" w:element="place">
        <w:r>
          <w:rPr>
            <w:sz w:val="24"/>
          </w:rPr>
          <w:t>Hong Kong</w:t>
        </w:r>
      </w:smartTag>
    </w:p>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 w:rsidR="00887848" w:rsidRDefault="00887848">
      <w:pPr>
        <w:pStyle w:val="Heading1"/>
      </w:pPr>
      <w:r>
        <w:lastRenderedPageBreak/>
        <w:t>1.  Introduction</w:t>
      </w:r>
    </w:p>
    <w:p w:rsidR="00887848" w:rsidRDefault="00887848">
      <w:pPr>
        <w:pStyle w:val="Heading1"/>
        <w:spacing w:line="480" w:lineRule="auto"/>
        <w:rPr>
          <w:b w:val="0"/>
        </w:rPr>
      </w:pPr>
      <w:r>
        <w:rPr>
          <w:b w:val="0"/>
        </w:rPr>
        <w:t>The financial community and regulators in emerging economies make substantial efforts to improve investor confidence by setting new accounting and disclosure rules that reflect international standards of good practice.  However, recent scandals, such as Satyam in India, Citic Pacific in China, and SK Networks in South Korea, highlight the failure of firm-level corporate governance mechanisms to improve transparency and mitigate widespread private information risk in less developed stock markets. Several types of private information risk exist, such as informal flows of information between well-connected investors and managers of firms, managerial dealings on insider information or information manipulation. Informed trading, by incorporating private information into prices, plays a central role in revealing companies’ fundamental investment value in efficient markets (</w:t>
      </w:r>
      <w:r>
        <w:rPr>
          <w:b w:val="0"/>
          <w:lang w:eastAsia="zh-CN"/>
        </w:rPr>
        <w:t>Kyle</w:t>
      </w:r>
      <w:r w:rsidR="00A42E2A">
        <w:rPr>
          <w:rFonts w:hint="eastAsia"/>
          <w:b w:val="0"/>
          <w:lang w:eastAsia="zh-CN"/>
        </w:rPr>
        <w:t>,</w:t>
      </w:r>
      <w:r>
        <w:rPr>
          <w:b w:val="0"/>
          <w:lang w:eastAsia="zh-CN"/>
        </w:rPr>
        <w:t xml:space="preserve"> 1985; </w:t>
      </w:r>
      <w:r>
        <w:rPr>
          <w:b w:val="0"/>
        </w:rPr>
        <w:t>Easley and O'Hara, 2004). When investors suspect that there is a tendency to abuse private information, their informed trading can be more effective in influencing management than other forms of shareholder activism, such as takeovers, proxy fights, shareholders’ proposals, etc. (Admati and Pfleiderer</w:t>
      </w:r>
      <w:r w:rsidR="00A42E2A">
        <w:rPr>
          <w:rFonts w:hint="eastAsia"/>
          <w:b w:val="0"/>
          <w:lang w:eastAsia="zh-CN"/>
        </w:rPr>
        <w:t>,</w:t>
      </w:r>
      <w:r>
        <w:rPr>
          <w:b w:val="0"/>
        </w:rPr>
        <w:t xml:space="preserve"> 2009; Edmans</w:t>
      </w:r>
      <w:r w:rsidR="00A42E2A">
        <w:rPr>
          <w:rFonts w:hint="eastAsia"/>
          <w:b w:val="0"/>
          <w:lang w:eastAsia="zh-CN"/>
        </w:rPr>
        <w:t>,</w:t>
      </w:r>
      <w:r>
        <w:rPr>
          <w:b w:val="0"/>
        </w:rPr>
        <w:t xml:space="preserve"> 2010). However, our understanding of the governance roles of inf</w:t>
      </w:r>
      <w:r w:rsidR="0006320A">
        <w:rPr>
          <w:b w:val="0"/>
        </w:rPr>
        <w:t>ormed trading is incomplete</w:t>
      </w:r>
      <w:r>
        <w:rPr>
          <w:b w:val="0"/>
        </w:rPr>
        <w:t xml:space="preserve">. </w:t>
      </w:r>
    </w:p>
    <w:p w:rsidR="00887848" w:rsidRDefault="00887848">
      <w:pPr>
        <w:pStyle w:val="Heading1"/>
        <w:spacing w:line="480" w:lineRule="auto"/>
        <w:ind w:firstLine="720"/>
        <w:rPr>
          <w:b w:val="0"/>
        </w:rPr>
      </w:pPr>
      <w:r>
        <w:rPr>
          <w:b w:val="0"/>
        </w:rPr>
        <w:t xml:space="preserve">In addition, firms not only differ in terms of the level of overall informed trading, but also its structure, where structure is the </w:t>
      </w:r>
      <w:r>
        <w:rPr>
          <w:b w:val="0"/>
          <w:lang w:eastAsia="zh-CN"/>
        </w:rPr>
        <w:t>difference between the level of informed trading with respect to positive and negative private information (</w:t>
      </w:r>
      <w:r>
        <w:rPr>
          <w:b w:val="0"/>
        </w:rPr>
        <w:t>Easley and O'Hara, 2004</w:t>
      </w:r>
      <w:r>
        <w:rPr>
          <w:b w:val="0"/>
          <w:lang w:eastAsia="zh-CN"/>
        </w:rPr>
        <w:t xml:space="preserve">). Again, there is a paucity of previous research on the governance properties of the structure of informed trading as well as </w:t>
      </w:r>
      <w:r>
        <w:rPr>
          <w:b w:val="0"/>
        </w:rPr>
        <w:t>a lack of integration between corporate governance and market microstructure research</w:t>
      </w:r>
      <w:r w:rsidR="00560B86">
        <w:rPr>
          <w:b w:val="0"/>
        </w:rPr>
        <w:t>.  Clearly, this</w:t>
      </w:r>
      <w:r>
        <w:rPr>
          <w:b w:val="0"/>
        </w:rPr>
        <w:t xml:space="preserve"> limits our understanding of the role of governance </w:t>
      </w:r>
      <w:r w:rsidR="00F83F70">
        <w:rPr>
          <w:b w:val="0"/>
        </w:rPr>
        <w:t>via</w:t>
      </w:r>
      <w:r>
        <w:rPr>
          <w:b w:val="0"/>
        </w:rPr>
        <w:t xml:space="preserve"> informed trading.  However, it is reasonable to suggest that this may be an important governance mechanism, which</w:t>
      </w:r>
      <w:r>
        <w:rPr>
          <w:b w:val="0"/>
          <w:lang w:eastAsia="zh-CN"/>
        </w:rPr>
        <w:t xml:space="preserve"> </w:t>
      </w:r>
      <w:r>
        <w:rPr>
          <w:b w:val="0"/>
        </w:rPr>
        <w:t xml:space="preserve">is particularly relevant for small institutional block-holders who do not have sufficient power to protect themselves against large controlling families in </w:t>
      </w:r>
      <w:r>
        <w:rPr>
          <w:b w:val="0"/>
        </w:rPr>
        <w:lastRenderedPageBreak/>
        <w:t>many emerging markets. This paper addresses these conceptual and empirical gaps and examines how different constituent block-holders, including controlling families and a variety of institutional investors, influence informed trading, its structure and, ultimately, firm valuation.</w:t>
      </w:r>
    </w:p>
    <w:p w:rsidR="00887848" w:rsidRDefault="00887848">
      <w:pPr>
        <w:spacing w:line="480" w:lineRule="auto"/>
        <w:rPr>
          <w:lang w:eastAsia="zh-CN"/>
        </w:rPr>
      </w:pPr>
      <w:r>
        <w:rPr>
          <w:lang w:eastAsia="zh-CN"/>
        </w:rPr>
        <w:tab/>
      </w:r>
      <w:r>
        <w:t>Governance through informed trading represents a relatively unexplored mechanism that is related to the conditional loyalty of small institutional block-holders to a large controller, such as a family, and their willingness to support controllers’ long term strategic decisions (Bushee</w:t>
      </w:r>
      <w:r w:rsidR="00A42E2A">
        <w:rPr>
          <w:rFonts w:hint="eastAsia"/>
          <w:lang w:eastAsia="zh-CN"/>
        </w:rPr>
        <w:t>,</w:t>
      </w:r>
      <w:r>
        <w:t xml:space="preserve"> 1998; Wahal and McConnell</w:t>
      </w:r>
      <w:r w:rsidR="00A42E2A">
        <w:rPr>
          <w:rFonts w:hint="eastAsia"/>
          <w:lang w:eastAsia="zh-CN"/>
        </w:rPr>
        <w:t>,</w:t>
      </w:r>
      <w:r>
        <w:t xml:space="preserve"> 2000). This is facilitated by buying equity via informed trading and/or the threat of exit via informed trades when minority investors detect abuse of private information by controllers. This paper acknowledges conditional loyalty by </w:t>
      </w:r>
      <w:r w:rsidR="0087492D">
        <w:t xml:space="preserve">minority </w:t>
      </w:r>
      <w:r>
        <w:t xml:space="preserve">institutional block-holders to a large family controller, and differentiates between two dimensions of the governance roles by institutional investors. </w:t>
      </w:r>
      <w:r w:rsidR="00560B86">
        <w:t xml:space="preserve"> </w:t>
      </w:r>
      <w:r>
        <w:t xml:space="preserve">One dimension is </w:t>
      </w:r>
      <w:r w:rsidR="0087492D">
        <w:t>related to</w:t>
      </w:r>
      <w:r>
        <w:t xml:space="preserve"> an increase in their share ownership and an associated increase in their loyalty (Winton, 1993; Zwiebel</w:t>
      </w:r>
      <w:r w:rsidR="00A42E2A">
        <w:rPr>
          <w:rFonts w:hint="eastAsia"/>
          <w:lang w:eastAsia="zh-CN"/>
        </w:rPr>
        <w:t>,</w:t>
      </w:r>
      <w:r>
        <w:t xml:space="preserve"> 1995; Kahn </w:t>
      </w:r>
      <w:r w:rsidR="0087492D">
        <w:t>and</w:t>
      </w:r>
      <w:r>
        <w:t xml:space="preserve"> Winton, 1998). This provides investors with a stronger incentive to promote the controllers’ strategic decisions </w:t>
      </w:r>
      <w:r w:rsidR="00560B86">
        <w:t xml:space="preserve">that </w:t>
      </w:r>
      <w:r>
        <w:t>aim at creating value. The second dimension is associated with the relative control</w:t>
      </w:r>
      <w:r w:rsidR="00F83F70">
        <w:t>ling</w:t>
      </w:r>
      <w:r>
        <w:t xml:space="preserve"> power of institutional block-holders’ vis-à-vis the large family owner. An increase in relative power makes the threat of exit via informed trading stronger and facilitates a coalition </w:t>
      </w:r>
      <w:r>
        <w:rPr>
          <w:lang w:eastAsia="zh-CN"/>
        </w:rPr>
        <w:t xml:space="preserve">between controlling families and non-controlling institutional block-holders </w:t>
      </w:r>
      <w:r>
        <w:t>(Bennedsen and Wolfenzon, 2000). As a result, institutional investors can impact governance via informed trading and, ultimately, have an effect on company valuation.</w:t>
      </w:r>
    </w:p>
    <w:p w:rsidR="00887848" w:rsidRPr="00560B86" w:rsidRDefault="00887848">
      <w:pPr>
        <w:spacing w:line="480" w:lineRule="auto"/>
        <w:ind w:firstLine="720"/>
        <w:rPr>
          <w:rFonts w:eastAsia="TimesNewRomanPSMT"/>
          <w:lang w:eastAsia="zh-CN"/>
        </w:rPr>
      </w:pPr>
      <w:r>
        <w:rPr>
          <w:lang w:eastAsia="zh-CN"/>
        </w:rPr>
        <w:t>This study makes four important contributions. First,</w:t>
      </w:r>
      <w:r w:rsidR="000956A8">
        <w:rPr>
          <w:lang w:eastAsia="zh-CN"/>
        </w:rPr>
        <w:t xml:space="preserve"> </w:t>
      </w:r>
      <w:r w:rsidR="000956A8" w:rsidRPr="00253375">
        <w:rPr>
          <w:lang w:eastAsia="zh-CN"/>
        </w:rPr>
        <w:t>the literature has used traded volume, bid-ask spread and trade classification data as indicators of informed trading although our understanding of the true extent in the stock market is incomplete</w:t>
      </w:r>
      <w:r w:rsidR="00957102">
        <w:rPr>
          <w:lang w:eastAsia="zh-CN"/>
        </w:rPr>
        <w:t xml:space="preserve"> </w:t>
      </w:r>
      <w:r w:rsidR="008E25CD">
        <w:rPr>
          <w:rFonts w:hint="eastAsia"/>
          <w:lang w:eastAsia="zh-CN"/>
        </w:rPr>
        <w:t>(</w:t>
      </w:r>
      <w:r w:rsidR="008E25CD">
        <w:rPr>
          <w:rFonts w:eastAsia="TimesNewRomanPSMT"/>
        </w:rPr>
        <w:t>Anderson et al. 201</w:t>
      </w:r>
      <w:r w:rsidR="00D36065">
        <w:rPr>
          <w:rFonts w:eastAsia="TimesNewRomanPSMT"/>
        </w:rPr>
        <w:t>2</w:t>
      </w:r>
      <w:r w:rsidR="008E25CD">
        <w:rPr>
          <w:rFonts w:hint="eastAsia"/>
          <w:lang w:eastAsia="zh-CN"/>
        </w:rPr>
        <w:t>)</w:t>
      </w:r>
      <w:r>
        <w:rPr>
          <w:lang w:eastAsia="zh-CN"/>
        </w:rPr>
        <w:t xml:space="preserve">. For example, </w:t>
      </w:r>
      <w:r>
        <w:t>Aslan et al</w:t>
      </w:r>
      <w:r w:rsidR="00A42E2A">
        <w:rPr>
          <w:rFonts w:hint="eastAsia"/>
          <w:lang w:eastAsia="zh-CN"/>
        </w:rPr>
        <w:t>.</w:t>
      </w:r>
      <w:r>
        <w:t xml:space="preserve"> (2010</w:t>
      </w:r>
      <w:r>
        <w:rPr>
          <w:lang w:eastAsia="zh-CN"/>
        </w:rPr>
        <w:t xml:space="preserve">) indicate there is a lack of understanding </w:t>
      </w:r>
      <w:r w:rsidR="008470D5">
        <w:rPr>
          <w:lang w:eastAsia="zh-CN"/>
        </w:rPr>
        <w:t xml:space="preserve">about the </w:t>
      </w:r>
      <w:r w:rsidR="008470D5">
        <w:rPr>
          <w:lang w:eastAsia="zh-CN"/>
        </w:rPr>
        <w:lastRenderedPageBreak/>
        <w:t xml:space="preserve">theory </w:t>
      </w:r>
      <w:r>
        <w:t xml:space="preserve">of how accounting and market factors create information risk or how they may be jointly determined with </w:t>
      </w:r>
      <w:r w:rsidR="006832C9">
        <w:rPr>
          <w:rFonts w:hint="eastAsia"/>
          <w:lang w:eastAsia="zh-CN"/>
        </w:rPr>
        <w:t>informed trading</w:t>
      </w:r>
      <w:r>
        <w:t>.</w:t>
      </w:r>
      <w:r>
        <w:rPr>
          <w:lang w:eastAsia="zh-CN"/>
        </w:rPr>
        <w:t xml:space="preserve"> This research makes a contribution to previous studies by linking ownership structure to informed trading in the stock market within a traditional corporate governance framework.</w:t>
      </w:r>
      <w:r w:rsidR="00957102">
        <w:rPr>
          <w:lang w:eastAsia="zh-CN"/>
        </w:rPr>
        <w:t xml:space="preserve"> </w:t>
      </w:r>
      <w:r w:rsidR="00957102" w:rsidRPr="00253375">
        <w:rPr>
          <w:lang w:eastAsia="zh-CN"/>
        </w:rPr>
        <w:t>However it should be noted that whilst these data do not include information on the specific traders results suggest that there are higher levels of informed trading in family firms than in non-family firms</w:t>
      </w:r>
      <w:r w:rsidR="00957102" w:rsidRPr="00253375">
        <w:rPr>
          <w:rFonts w:hint="eastAsia"/>
          <w:lang w:eastAsia="zh-CN"/>
        </w:rPr>
        <w:t xml:space="preserve">, in line with </w:t>
      </w:r>
      <w:r w:rsidR="008E25CD">
        <w:rPr>
          <w:rFonts w:hint="eastAsia"/>
          <w:lang w:eastAsia="zh-CN"/>
        </w:rPr>
        <w:t xml:space="preserve"> </w:t>
      </w:r>
      <w:r w:rsidR="00D36065">
        <w:rPr>
          <w:rFonts w:eastAsia="TimesNewRomanPSMT"/>
        </w:rPr>
        <w:t>Anderson et al. (2012</w:t>
      </w:r>
      <w:r w:rsidR="008E25CD">
        <w:rPr>
          <w:rFonts w:eastAsia="TimesNewRomanPSMT"/>
        </w:rPr>
        <w:t>)</w:t>
      </w:r>
      <w:r>
        <w:rPr>
          <w:lang w:eastAsia="zh-CN"/>
        </w:rPr>
        <w:t xml:space="preserve">. We also show how differences in ownership structure affect conflicts </w:t>
      </w:r>
      <w:r w:rsidR="00560B86">
        <w:rPr>
          <w:lang w:eastAsia="zh-CN"/>
        </w:rPr>
        <w:t>between</w:t>
      </w:r>
      <w:r>
        <w:rPr>
          <w:lang w:eastAsia="zh-CN"/>
        </w:rPr>
        <w:t xml:space="preserve"> investors in term</w:t>
      </w:r>
      <w:r w:rsidR="00560B86">
        <w:rPr>
          <w:lang w:eastAsia="zh-CN"/>
        </w:rPr>
        <w:t>s</w:t>
      </w:r>
      <w:r>
        <w:rPr>
          <w:lang w:eastAsia="zh-CN"/>
        </w:rPr>
        <w:t xml:space="preserve"> of access to information and un</w:t>
      </w:r>
      <w:r w:rsidR="00560B86">
        <w:rPr>
          <w:lang w:eastAsia="zh-CN"/>
        </w:rPr>
        <w:t>equitable</w:t>
      </w:r>
      <w:r>
        <w:rPr>
          <w:lang w:eastAsia="zh-CN"/>
        </w:rPr>
        <w:t xml:space="preserve"> wealth redistribution to informed investors. Previous research has been predominantly focused on the negative aspects of informed trading</w:t>
      </w:r>
      <w:r w:rsidR="00560B86">
        <w:rPr>
          <w:lang w:eastAsia="zh-CN"/>
        </w:rPr>
        <w:t>.  This is particularly</w:t>
      </w:r>
      <w:r>
        <w:rPr>
          <w:lang w:eastAsia="zh-CN"/>
        </w:rPr>
        <w:t xml:space="preserve"> in the context of short selling activities of hedge funds prior to negative private information disclosure aimed at enhancing their trading profits at the expense of un-informed investors (Massoud et al.</w:t>
      </w:r>
      <w:r w:rsidR="00AA1EF2">
        <w:rPr>
          <w:lang w:eastAsia="zh-CN"/>
        </w:rPr>
        <w:t>,</w:t>
      </w:r>
      <w:r>
        <w:rPr>
          <w:lang w:eastAsia="zh-CN"/>
        </w:rPr>
        <w:t xml:space="preserve"> 2011). We investigate the impact of controlling and institutional investors on informed trading in the stock market rather than in the market for short selling. </w:t>
      </w:r>
      <w:r w:rsidRPr="0075681A">
        <w:rPr>
          <w:lang w:eastAsia="zh-CN"/>
        </w:rPr>
        <w:t xml:space="preserve">This extends research by </w:t>
      </w:r>
      <w:r w:rsidR="00D36065">
        <w:rPr>
          <w:rFonts w:eastAsia="TimesNewRomanPSMT"/>
        </w:rPr>
        <w:t>Anderson et al. (2012</w:t>
      </w:r>
      <w:r w:rsidRPr="0075681A">
        <w:rPr>
          <w:rFonts w:eastAsia="TimesNewRomanPSMT"/>
        </w:rPr>
        <w:t>)</w:t>
      </w:r>
      <w:r w:rsidRPr="0075681A">
        <w:rPr>
          <w:rFonts w:eastAsia="TimesNewRomanPSMT"/>
          <w:lang w:eastAsia="zh-CN"/>
        </w:rPr>
        <w:t xml:space="preserve"> on families’ informed trading through short selling to </w:t>
      </w:r>
      <w:r w:rsidR="0075681A">
        <w:rPr>
          <w:rFonts w:eastAsia="TimesNewRomanPSMT"/>
          <w:lang w:eastAsia="zh-CN"/>
        </w:rPr>
        <w:t xml:space="preserve">analysis of </w:t>
      </w:r>
      <w:r w:rsidRPr="0075681A">
        <w:rPr>
          <w:rFonts w:eastAsia="TimesNewRomanPSMT"/>
          <w:lang w:eastAsia="zh-CN"/>
        </w:rPr>
        <w:t>their stock market trading</w:t>
      </w:r>
      <w:r w:rsidR="008470D5" w:rsidRPr="0075681A">
        <w:rPr>
          <w:rFonts w:eastAsia="TimesNewRomanPSMT"/>
          <w:lang w:eastAsia="zh-CN"/>
        </w:rPr>
        <w:t>,</w:t>
      </w:r>
      <w:r w:rsidRPr="0075681A">
        <w:rPr>
          <w:rFonts w:eastAsia="TimesNewRomanPSMT"/>
          <w:lang w:eastAsia="zh-CN"/>
        </w:rPr>
        <w:t xml:space="preserve"> which is particularly important to family block-holders (</w:t>
      </w:r>
      <w:r w:rsidRPr="0075681A">
        <w:rPr>
          <w:lang w:eastAsia="zh-CN"/>
        </w:rPr>
        <w:t>Chan et al., 2010</w:t>
      </w:r>
      <w:r w:rsidRPr="0075681A">
        <w:rPr>
          <w:rFonts w:eastAsia="TimesNewRomanPSMT"/>
          <w:lang w:eastAsia="zh-CN"/>
        </w:rPr>
        <w:t xml:space="preserve">).  </w:t>
      </w:r>
    </w:p>
    <w:p w:rsidR="00887848" w:rsidRDefault="00887848">
      <w:pPr>
        <w:spacing w:line="480" w:lineRule="auto"/>
        <w:rPr>
          <w:lang w:eastAsia="zh-CN"/>
        </w:rPr>
      </w:pPr>
      <w:r>
        <w:rPr>
          <w:lang w:eastAsia="zh-CN"/>
        </w:rPr>
        <w:tab/>
        <w:t xml:space="preserve">Second, our focus is on the effectiveness of informed trading as an important governance mechanism available to institutional block-holders with limited controlling rights </w:t>
      </w:r>
      <w:r w:rsidR="005F18A3">
        <w:rPr>
          <w:lang w:eastAsia="zh-CN"/>
        </w:rPr>
        <w:t>that wish</w:t>
      </w:r>
      <w:r>
        <w:rPr>
          <w:lang w:eastAsia="zh-CN"/>
        </w:rPr>
        <w:t xml:space="preserve"> to protect their investment in firms under family control. We argue that corporate governance via informed trading can influence the overall level of informed trading as well as its structure. Specifically, we investigate how the interaction between institutional block-holders and families can lower the level of informed trading and change its structure in the price discovery process by increasing informed trading on positive information and reducing it on negative information. </w:t>
      </w:r>
    </w:p>
    <w:p w:rsidR="00887848" w:rsidRDefault="00887848">
      <w:pPr>
        <w:pStyle w:val="BodyText2"/>
        <w:ind w:firstLine="480"/>
        <w:jc w:val="both"/>
        <w:rPr>
          <w:rFonts w:ascii="Times New Roman" w:hAnsi="Times New Roman"/>
          <w:lang w:eastAsia="zh-CN"/>
        </w:rPr>
      </w:pPr>
      <w:r>
        <w:rPr>
          <w:rFonts w:ascii="Times New Roman" w:hAnsi="Times New Roman"/>
          <w:lang w:eastAsia="zh-CN"/>
        </w:rPr>
        <w:lastRenderedPageBreak/>
        <w:t xml:space="preserve">Third, our analysis indicates that although informed trading may create conflicts between informed and un-informed investors, in emerging markets it is often not possible to have fully transparent transactions.  Thus, the structure of informed trading can improve firm valuation, which benefits investors overall. Informed trading on positive strategic private information can contribute to firm valuation by promoting the share price to reflect the firm fundamentals, especially when they are related to undisclosed, positive private information. </w:t>
      </w:r>
    </w:p>
    <w:p w:rsidR="00887848" w:rsidRDefault="00887848">
      <w:pPr>
        <w:pStyle w:val="BodyText2"/>
        <w:ind w:firstLine="480"/>
        <w:jc w:val="both"/>
        <w:rPr>
          <w:rFonts w:ascii="Times New Roman" w:hAnsi="Times New Roman"/>
          <w:lang w:eastAsia="zh-CN"/>
        </w:rPr>
      </w:pPr>
      <w:r>
        <w:rPr>
          <w:rFonts w:ascii="Times New Roman" w:hAnsi="Times New Roman"/>
          <w:lang w:eastAsia="zh-CN"/>
        </w:rPr>
        <w:tab/>
        <w:t>Finally, by demonstrating that informed trading and its structure may be the transmission mechanism that links ownership patterns to firm valuation, we provide a new perspective on corporate governance and market efficiency. Although insider trading laws protect market investors from insider opportunism, they are not successful in promoting market efficiency in many emerging markets (Fernandes and Ferreira</w:t>
      </w:r>
      <w:r w:rsidR="00A42E2A">
        <w:rPr>
          <w:rFonts w:ascii="Times New Roman" w:hAnsi="Times New Roman" w:hint="eastAsia"/>
          <w:lang w:eastAsia="zh-CN"/>
        </w:rPr>
        <w:t>,</w:t>
      </w:r>
      <w:r>
        <w:rPr>
          <w:rFonts w:ascii="Times New Roman" w:hAnsi="Times New Roman"/>
          <w:lang w:eastAsia="zh-CN"/>
        </w:rPr>
        <w:t xml:space="preserve"> 2009). Our analysis emphasizes the positive aspects of informed trading associated with institutional investors, which may improve market efficiency. This highlights possible links between corporate governance and market regulation in order to realize the benefits of insider trading laws</w:t>
      </w:r>
      <w:r w:rsidR="005F18A3">
        <w:rPr>
          <w:rFonts w:ascii="Times New Roman" w:hAnsi="Times New Roman"/>
          <w:lang w:eastAsia="zh-CN"/>
        </w:rPr>
        <w:t xml:space="preserve"> more fully</w:t>
      </w:r>
      <w:r>
        <w:rPr>
          <w:rFonts w:ascii="Times New Roman" w:hAnsi="Times New Roman"/>
          <w:lang w:eastAsia="zh-CN"/>
        </w:rPr>
        <w:t>. This is particularly important in many stock exchanges in emerging economies that seek to achieve investor protection while promoting the price discovery function</w:t>
      </w:r>
      <w:r w:rsidR="00935383">
        <w:rPr>
          <w:rFonts w:ascii="Times New Roman" w:hAnsi="Times New Roman"/>
          <w:lang w:eastAsia="zh-CN"/>
        </w:rPr>
        <w:t>.</w:t>
      </w:r>
    </w:p>
    <w:p w:rsidR="00887848" w:rsidRDefault="00887848">
      <w:pPr>
        <w:spacing w:line="480" w:lineRule="auto"/>
        <w:rPr>
          <w:lang w:eastAsia="zh-CN"/>
        </w:rPr>
      </w:pPr>
      <w:r>
        <w:rPr>
          <w:lang w:eastAsia="zh-CN"/>
        </w:rPr>
        <w:tab/>
      </w:r>
      <w:r>
        <w:t>We test our theoretical assumptions using a sam</w:t>
      </w:r>
      <w:r w:rsidR="00935383">
        <w:t xml:space="preserve">ple of firms listed on the Hong </w:t>
      </w:r>
      <w:r>
        <w:t xml:space="preserve">Kong Stock Exchange. Although this paper focuses on a single market, </w:t>
      </w:r>
      <w:r w:rsidR="00FA3FFD" w:rsidRPr="00FA3FFD">
        <w:t>Hong Kong sha</w:t>
      </w:r>
      <w:r w:rsidR="00FA3FFD">
        <w:t>res many similarities with other stock exchanges</w:t>
      </w:r>
      <w:r w:rsidR="00FA3FFD" w:rsidRPr="00FA3FFD">
        <w:t xml:space="preserve">, especially </w:t>
      </w:r>
      <w:r w:rsidR="00FA3FFD">
        <w:t xml:space="preserve">those from </w:t>
      </w:r>
      <w:r w:rsidR="00FA3FFD" w:rsidRPr="00FA3FFD">
        <w:t>emerging economies that adopt the order-driven, non-specialist stock market structure</w:t>
      </w:r>
      <w:r w:rsidR="00FA3FFD">
        <w:t xml:space="preserve"> (</w:t>
      </w:r>
      <w:r w:rsidR="00FA3FFD" w:rsidRPr="00FA3FFD">
        <w:t>Comerton-Forde and Rydge, 2006</w:t>
      </w:r>
      <w:r w:rsidR="00FA3FFD">
        <w:t xml:space="preserve">). </w:t>
      </w:r>
      <w:r>
        <w:t xml:space="preserve">As one of the largest developed order-driven, non-specialist equity markets, the Hong Kong </w:t>
      </w:r>
      <w:r w:rsidR="00935383">
        <w:t>S</w:t>
      </w:r>
      <w:r>
        <w:t xml:space="preserve">tock </w:t>
      </w:r>
      <w:r w:rsidR="00935383">
        <w:t>E</w:t>
      </w:r>
      <w:r>
        <w:t>xchange provide</w:t>
      </w:r>
      <w:r>
        <w:rPr>
          <w:lang w:eastAsia="zh-CN"/>
        </w:rPr>
        <w:t>s</w:t>
      </w:r>
      <w:r>
        <w:t xml:space="preserve"> institutional support for a liquid and efficient market (Morck</w:t>
      </w:r>
      <w:r>
        <w:rPr>
          <w:lang w:eastAsia="zh-CN"/>
        </w:rPr>
        <w:t xml:space="preserve"> et al.</w:t>
      </w:r>
      <w:r>
        <w:t>, 2000).  It also</w:t>
      </w:r>
      <w:r>
        <w:rPr>
          <w:lang w:eastAsia="zh-CN"/>
        </w:rPr>
        <w:t xml:space="preserve"> </w:t>
      </w:r>
      <w:r>
        <w:t>mitigate</w:t>
      </w:r>
      <w:r>
        <w:rPr>
          <w:lang w:eastAsia="zh-CN"/>
        </w:rPr>
        <w:t>s</w:t>
      </w:r>
      <w:r>
        <w:t xml:space="preserve"> market structure-related factors</w:t>
      </w:r>
      <w:r>
        <w:rPr>
          <w:lang w:eastAsia="zh-CN"/>
        </w:rPr>
        <w:t xml:space="preserve"> such as dealer inventory and market maker monopoly power in observing orders.  These both can explain</w:t>
      </w:r>
      <w:r>
        <w:t xml:space="preserve"> </w:t>
      </w:r>
      <w:r>
        <w:rPr>
          <w:lang w:eastAsia="zh-CN"/>
        </w:rPr>
        <w:t xml:space="preserve">informed trading activities </w:t>
      </w:r>
      <w:r>
        <w:t xml:space="preserve">in many developed </w:t>
      </w:r>
      <w:r>
        <w:rPr>
          <w:lang w:eastAsia="zh-CN"/>
        </w:rPr>
        <w:t xml:space="preserve">quote-driven and specialist </w:t>
      </w:r>
      <w:r>
        <w:t xml:space="preserve">markets </w:t>
      </w:r>
      <w:r w:rsidR="00AA1EF2">
        <w:t>such as t</w:t>
      </w:r>
      <w:r w:rsidR="00935383">
        <w:t>he</w:t>
      </w:r>
      <w:r>
        <w:t xml:space="preserve"> New York Stock </w:t>
      </w:r>
      <w:r>
        <w:lastRenderedPageBreak/>
        <w:t>Exchange</w:t>
      </w:r>
      <w:r w:rsidR="00AA1EF2">
        <w:t xml:space="preserve"> </w:t>
      </w:r>
      <w:r>
        <w:t>(Comerton-Forde and Rydge</w:t>
      </w:r>
      <w:r w:rsidR="00AA1EF2">
        <w:t>,</w:t>
      </w:r>
      <w:r>
        <w:t xml:space="preserve"> 2006;</w:t>
      </w:r>
      <w:r>
        <w:rPr>
          <w:lang w:eastAsia="zh-CN"/>
        </w:rPr>
        <w:t xml:space="preserve"> Stoll and Whaley</w:t>
      </w:r>
      <w:r w:rsidR="00AA1EF2">
        <w:rPr>
          <w:lang w:eastAsia="zh-CN"/>
        </w:rPr>
        <w:t>,</w:t>
      </w:r>
      <w:r>
        <w:rPr>
          <w:lang w:eastAsia="zh-CN"/>
        </w:rPr>
        <w:t xml:space="preserve"> 1990; </w:t>
      </w:r>
      <w:r>
        <w:t>O’Hara and Oldfield</w:t>
      </w:r>
      <w:r w:rsidR="00AA1EF2">
        <w:t>,</w:t>
      </w:r>
      <w:r>
        <w:t xml:space="preserve"> 1986; </w:t>
      </w:r>
      <w:r w:rsidR="00CF636F" w:rsidRPr="00CF636F">
        <w:t>Brockman and Chung</w:t>
      </w:r>
      <w:r w:rsidR="00CF636F">
        <w:t>, 2000</w:t>
      </w:r>
      <w:r>
        <w:t xml:space="preserve">). </w:t>
      </w:r>
      <w:r>
        <w:rPr>
          <w:lang w:eastAsia="zh-CN"/>
        </w:rPr>
        <w:t xml:space="preserve">In addition, </w:t>
      </w:r>
      <w:r>
        <w:t>Hong Kong has a high level of family ownership concentration in listed companies and the launch of the Mandatory Provident Fund in 2000 has increased institutional investors’ participation in corporate governance</w:t>
      </w:r>
      <w:r>
        <w:rPr>
          <w:rStyle w:val="FootnoteReference"/>
        </w:rPr>
        <w:footnoteReference w:id="1"/>
      </w:r>
      <w:r>
        <w:t xml:space="preserve">. </w:t>
      </w:r>
      <w:r w:rsidR="00FA3FFD">
        <w:t>According to Claessens et al.</w:t>
      </w:r>
      <w:r w:rsidR="00FA3FFD" w:rsidRPr="00FA3FFD">
        <w:t xml:space="preserve"> </w:t>
      </w:r>
      <w:r w:rsidR="00FA3FFD">
        <w:t xml:space="preserve">(2000), family owners control more than 64 % of the public companies listed on Hong Kong Stock Exchange, similar </w:t>
      </w:r>
      <w:r w:rsidR="009541FB">
        <w:t>to</w:t>
      </w:r>
      <w:r w:rsidR="00FA3FFD">
        <w:t xml:space="preserve"> many emerging economies as well as those in continental Europe (Bebchuk and Weisbach 2010). </w:t>
      </w:r>
      <w:r>
        <w:t xml:space="preserve">However, a substantial volume of information transmission is facilitated through private channels or Chinese </w:t>
      </w:r>
      <w:r>
        <w:rPr>
          <w:i/>
        </w:rPr>
        <w:t>guanxi</w:t>
      </w:r>
      <w:r w:rsidR="005F18A3">
        <w:t>.  This means</w:t>
      </w:r>
      <w:r>
        <w:t xml:space="preserve"> that both strategic and operational information can be easily hidden by insiders, leaving minority shareholders largely un-informed.</w:t>
      </w:r>
      <w:r>
        <w:rPr>
          <w:lang w:eastAsia="zh-CN"/>
        </w:rPr>
        <w:t xml:space="preserve"> Therefore, the Hong Kong stock market highlights the importance of firm-level governance in explaining private information contained in order imbalances and thus is an important laboratory to explore the corporate governance effects of family and institutional owners on informed trading. Finally, the Hong Kong </w:t>
      </w:r>
      <w:r w:rsidR="00935383">
        <w:rPr>
          <w:lang w:eastAsia="zh-CN"/>
        </w:rPr>
        <w:t>S</w:t>
      </w:r>
      <w:r>
        <w:rPr>
          <w:lang w:eastAsia="zh-CN"/>
        </w:rPr>
        <w:t xml:space="preserve">tock </w:t>
      </w:r>
      <w:r w:rsidR="00935383">
        <w:rPr>
          <w:lang w:eastAsia="zh-CN"/>
        </w:rPr>
        <w:t>E</w:t>
      </w:r>
      <w:r>
        <w:rPr>
          <w:lang w:eastAsia="zh-CN"/>
        </w:rPr>
        <w:t xml:space="preserve">xchange is similar to many countries that have insider trading legislation but which </w:t>
      </w:r>
      <w:r w:rsidR="005F18A3">
        <w:rPr>
          <w:lang w:eastAsia="zh-CN"/>
        </w:rPr>
        <w:t>lack</w:t>
      </w:r>
      <w:r>
        <w:rPr>
          <w:lang w:eastAsia="zh-CN"/>
        </w:rPr>
        <w:t xml:space="preserve"> effective enforcement (Bhattacharya and Daouk</w:t>
      </w:r>
      <w:r w:rsidR="00A42E2A">
        <w:rPr>
          <w:rFonts w:hint="eastAsia"/>
          <w:lang w:eastAsia="zh-CN"/>
        </w:rPr>
        <w:t>,</w:t>
      </w:r>
      <w:r>
        <w:rPr>
          <w:lang w:eastAsia="zh-CN"/>
        </w:rPr>
        <w:t xml:space="preserve"> 2002; Beny</w:t>
      </w:r>
      <w:r w:rsidR="00A42E2A">
        <w:rPr>
          <w:rFonts w:hint="eastAsia"/>
          <w:lang w:eastAsia="zh-CN"/>
        </w:rPr>
        <w:t>,</w:t>
      </w:r>
      <w:r>
        <w:rPr>
          <w:lang w:eastAsia="zh-CN"/>
        </w:rPr>
        <w:t xml:space="preserve"> 2007), so our results may have wider implications.</w:t>
      </w:r>
      <w:r w:rsidR="00FA3FFD">
        <w:rPr>
          <w:lang w:eastAsia="zh-CN"/>
        </w:rPr>
        <w:t xml:space="preserve"> </w:t>
      </w:r>
      <w:r w:rsidR="00FA3FFD" w:rsidRPr="00FA3FFD">
        <w:t xml:space="preserve">Many developed economies, such as </w:t>
      </w:r>
      <w:r w:rsidR="009541FB">
        <w:t xml:space="preserve">the </w:t>
      </w:r>
      <w:r w:rsidR="00FA3FFD" w:rsidRPr="00FA3FFD">
        <w:t xml:space="preserve">US and </w:t>
      </w:r>
      <w:r w:rsidR="009541FB">
        <w:t xml:space="preserve">the </w:t>
      </w:r>
      <w:r w:rsidR="00FA3FFD" w:rsidRPr="00FA3FFD">
        <w:t>UK</w:t>
      </w:r>
      <w:r w:rsidR="009541FB">
        <w:t xml:space="preserve"> that </w:t>
      </w:r>
      <w:r w:rsidR="00FA3FFD" w:rsidRPr="00FA3FFD">
        <w:t>adopt quote-driven and specialist stock market structure</w:t>
      </w:r>
      <w:r w:rsidR="009541FB">
        <w:t>s</w:t>
      </w:r>
      <w:r w:rsidR="00FA3FFD" w:rsidRPr="00FA3FFD">
        <w:t>, have a lower level of family ownership concentration in listed companies and relative</w:t>
      </w:r>
      <w:r w:rsidR="009541FB">
        <w:t>ly</w:t>
      </w:r>
      <w:r w:rsidR="00FA3FFD" w:rsidRPr="00FA3FFD">
        <w:t xml:space="preserve"> higher </w:t>
      </w:r>
      <w:r w:rsidR="009541FB">
        <w:t>quality</w:t>
      </w:r>
      <w:r w:rsidR="005F18A3">
        <w:t xml:space="preserve"> </w:t>
      </w:r>
      <w:r w:rsidR="00FA3FFD" w:rsidRPr="00FA3FFD">
        <w:t>disclosure than Hong Kong</w:t>
      </w:r>
      <w:r w:rsidR="00FA3FFD">
        <w:t>. Such differences</w:t>
      </w:r>
      <w:r w:rsidR="00FA3FFD" w:rsidRPr="00FA3FFD">
        <w:t xml:space="preserve"> make </w:t>
      </w:r>
      <w:r w:rsidR="009541FB">
        <w:t>the</w:t>
      </w:r>
      <w:r w:rsidR="005F18A3">
        <w:t xml:space="preserve"> </w:t>
      </w:r>
      <w:r w:rsidR="00FA3FFD" w:rsidRPr="00FA3FFD">
        <w:t xml:space="preserve">Hong Kong </w:t>
      </w:r>
      <w:r w:rsidR="00FA3FFD">
        <w:t xml:space="preserve">stock exchange </w:t>
      </w:r>
      <w:r w:rsidR="00FA3FFD" w:rsidRPr="00FA3FFD">
        <w:t xml:space="preserve">more representative </w:t>
      </w:r>
      <w:r w:rsidR="009541FB">
        <w:t>of</w:t>
      </w:r>
      <w:r w:rsidR="005447D9">
        <w:t xml:space="preserve"> </w:t>
      </w:r>
      <w:r w:rsidR="00FA3FFD" w:rsidRPr="00FA3FFD">
        <w:t xml:space="preserve">non-US/UK </w:t>
      </w:r>
      <w:r w:rsidR="009541FB">
        <w:t>market</w:t>
      </w:r>
      <w:r w:rsidR="00FA3FFD" w:rsidRPr="00FA3FFD">
        <w:t xml:space="preserve">, especially </w:t>
      </w:r>
      <w:r w:rsidR="009541FB">
        <w:t>in</w:t>
      </w:r>
      <w:r w:rsidR="005F18A3">
        <w:t xml:space="preserve"> </w:t>
      </w:r>
      <w:r w:rsidR="00FA3FFD" w:rsidRPr="00FA3FFD">
        <w:t xml:space="preserve">many emerging </w:t>
      </w:r>
      <w:r w:rsidR="009541FB">
        <w:t>countries</w:t>
      </w:r>
      <w:r w:rsidR="00FA3FFD" w:rsidRPr="00FA3FFD">
        <w:t xml:space="preserve">, and the results </w:t>
      </w:r>
      <w:r w:rsidR="009541FB">
        <w:t>of</w:t>
      </w:r>
      <w:r w:rsidR="00FA3FFD" w:rsidRPr="00FA3FFD">
        <w:t xml:space="preserve"> our research </w:t>
      </w:r>
      <w:r w:rsidR="00FA3FFD">
        <w:t xml:space="preserve">more likely to be </w:t>
      </w:r>
      <w:r w:rsidR="00FA3FFD" w:rsidRPr="00FA3FFD">
        <w:t>generalised to these economies.</w:t>
      </w:r>
    </w:p>
    <w:p w:rsidR="00887848" w:rsidRDefault="00887848">
      <w:pPr>
        <w:spacing w:line="480" w:lineRule="auto"/>
        <w:rPr>
          <w:lang w:eastAsia="zh-CN"/>
        </w:rPr>
      </w:pPr>
      <w:r>
        <w:rPr>
          <w:lang w:eastAsia="zh-CN"/>
        </w:rPr>
        <w:tab/>
        <w:t>The remainder of the paper proceeds as follows. Section 2 develops hypotheses. Section 3 presents the data, methods and main empirical results. Section 4 conclude</w:t>
      </w:r>
      <w:r w:rsidR="00935383">
        <w:rPr>
          <w:lang w:eastAsia="zh-CN"/>
        </w:rPr>
        <w:t>s</w:t>
      </w:r>
      <w:r>
        <w:rPr>
          <w:lang w:eastAsia="zh-CN"/>
        </w:rPr>
        <w:t>.</w:t>
      </w:r>
    </w:p>
    <w:p w:rsidR="00887848" w:rsidRDefault="00887848"/>
    <w:p w:rsidR="00887848" w:rsidRDefault="00887848">
      <w:r>
        <w:rPr>
          <w:b/>
          <w:lang w:eastAsia="zh-CN"/>
        </w:rPr>
        <w:lastRenderedPageBreak/>
        <w:t xml:space="preserve">2. </w:t>
      </w:r>
      <w:r>
        <w:rPr>
          <w:b/>
        </w:rPr>
        <w:t>Theory and hypotheses</w:t>
      </w:r>
    </w:p>
    <w:p w:rsidR="00887848" w:rsidRDefault="00887848"/>
    <w:p w:rsidR="00887848" w:rsidRDefault="00887848">
      <w:pPr>
        <w:spacing w:line="480" w:lineRule="auto"/>
      </w:pPr>
      <w:r>
        <w:t>Previous research has established an association between ownership concentration and disclosure decisions or disclosure quality. From an agency perspective, ownership concentration stimulates owners’ incentives to seek private benefit of control, which diminish corporate transparency (Claessens and Fan, 2002; Makhijia and Patton</w:t>
      </w:r>
      <w:r w:rsidR="00A42E2A">
        <w:rPr>
          <w:rFonts w:hint="eastAsia"/>
          <w:lang w:eastAsia="zh-CN"/>
        </w:rPr>
        <w:t>,</w:t>
      </w:r>
      <w:r>
        <w:t xml:space="preserve"> 2004; Faccio</w:t>
      </w:r>
      <w:r>
        <w:rPr>
          <w:lang w:eastAsia="zh-CN"/>
        </w:rPr>
        <w:t xml:space="preserve"> et al.</w:t>
      </w:r>
      <w:r>
        <w:t>, 2001; Lang</w:t>
      </w:r>
      <w:r>
        <w:rPr>
          <w:lang w:eastAsia="zh-CN"/>
        </w:rPr>
        <w:t xml:space="preserve"> et al.</w:t>
      </w:r>
      <w:r>
        <w:t>, 2004). When large block-holders reduce corporate transparency for self-serving reasons</w:t>
      </w:r>
      <w:r>
        <w:rPr>
          <w:lang w:eastAsia="zh-CN"/>
        </w:rPr>
        <w:t xml:space="preserve"> (that is, </w:t>
      </w:r>
      <w:r w:rsidR="005447D9">
        <w:rPr>
          <w:lang w:eastAsia="zh-CN"/>
        </w:rPr>
        <w:t xml:space="preserve">to </w:t>
      </w:r>
      <w:r>
        <w:rPr>
          <w:lang w:eastAsia="zh-CN"/>
        </w:rPr>
        <w:t>increase opportunistic opacity)</w:t>
      </w:r>
      <w:r>
        <w:t xml:space="preserve">, they try to suppress private information that </w:t>
      </w:r>
      <w:r w:rsidR="005447D9">
        <w:t>may</w:t>
      </w:r>
      <w:r>
        <w:t xml:space="preserve"> have a negative impact on the share price (Attig et al., 2006; Chin et al., 2006). They may also reduce </w:t>
      </w:r>
      <w:r>
        <w:rPr>
          <w:lang w:eastAsia="zh-CN"/>
        </w:rPr>
        <w:t xml:space="preserve">corporate transparency </w:t>
      </w:r>
      <w:r w:rsidR="00935383">
        <w:rPr>
          <w:lang w:eastAsia="zh-CN"/>
        </w:rPr>
        <w:t>for</w:t>
      </w:r>
      <w:r>
        <w:rPr>
          <w:lang w:eastAsia="zh-CN"/>
        </w:rPr>
        <w:t xml:space="preserve"> strategic reasons (that is, strategic opacity)</w:t>
      </w:r>
      <w:r>
        <w:t xml:space="preserve">, to protect proprietary information associated with </w:t>
      </w:r>
      <w:r w:rsidR="005447D9">
        <w:t xml:space="preserve">the </w:t>
      </w:r>
      <w:r>
        <w:t>firm</w:t>
      </w:r>
      <w:r w:rsidR="005447D9">
        <w:t>’s</w:t>
      </w:r>
      <w:r>
        <w:t xml:space="preserve"> competitive advantage, such as intangible assets and R&amp;D (Ball</w:t>
      </w:r>
      <w:r>
        <w:rPr>
          <w:lang w:eastAsia="zh-CN"/>
        </w:rPr>
        <w:t xml:space="preserve"> et al.</w:t>
      </w:r>
      <w:r>
        <w:t>, 2003; Verrecchia</w:t>
      </w:r>
      <w:r w:rsidR="00A42E2A">
        <w:rPr>
          <w:rFonts w:hint="eastAsia"/>
          <w:lang w:eastAsia="zh-CN"/>
        </w:rPr>
        <w:t>,</w:t>
      </w:r>
      <w:r>
        <w:t xml:space="preserve"> 2001). Both perspectives </w:t>
      </w:r>
      <w:r w:rsidR="00935383">
        <w:t>imply</w:t>
      </w:r>
      <w:r>
        <w:t xml:space="preserve"> that price efficiency will be more reliant on informed trading to correct mispricing. Thus, previous studies suggest there is a positive relation between ownership concentration and the overall level of informed trading, whether based on positive or negative private information. </w:t>
      </w:r>
    </w:p>
    <w:p w:rsidR="00887848" w:rsidRDefault="00887848">
      <w:pPr>
        <w:spacing w:line="480" w:lineRule="auto"/>
      </w:pPr>
      <w:r>
        <w:rPr>
          <w:lang w:eastAsia="zh-CN"/>
        </w:rPr>
        <w:tab/>
      </w:r>
      <w:r>
        <w:t>These arguments are particularly important in the context of family-controlled, publicly-listed firms.  This form of ownership structure is widespread in many emerging and developed economies, such as India, South Korea, Singapore and Taiwan (Villalonga and Amit</w:t>
      </w:r>
      <w:r w:rsidR="00A42E2A">
        <w:rPr>
          <w:rFonts w:hint="eastAsia"/>
          <w:lang w:eastAsia="zh-CN"/>
        </w:rPr>
        <w:t>,</w:t>
      </w:r>
      <w:r>
        <w:t xml:space="preserve"> 2006; Anderson and Reeb</w:t>
      </w:r>
      <w:r w:rsidR="00A42E2A">
        <w:rPr>
          <w:rFonts w:hint="eastAsia"/>
          <w:lang w:eastAsia="zh-CN"/>
        </w:rPr>
        <w:t>,</w:t>
      </w:r>
      <w:r>
        <w:t xml:space="preserve"> 2003, Holderness and Sheehan</w:t>
      </w:r>
      <w:r w:rsidR="00A42E2A">
        <w:rPr>
          <w:rFonts w:hint="eastAsia"/>
          <w:lang w:eastAsia="zh-CN"/>
        </w:rPr>
        <w:t>,</w:t>
      </w:r>
      <w:r>
        <w:t xml:space="preserve"> 1988; Bertrand et al., 2008; Claessens et al., 2002). Previous research on family control indicates that the availability and quality of information disclosure are key factors in </w:t>
      </w:r>
      <w:r w:rsidR="00C87C2D">
        <w:t xml:space="preserve">the attempts of </w:t>
      </w:r>
      <w:r>
        <w:t>outside minority shareholder</w:t>
      </w:r>
      <w:r w:rsidR="00C87C2D">
        <w:t>s</w:t>
      </w:r>
      <w:r>
        <w:t xml:space="preserve"> to monitor families, and they significantly influence </w:t>
      </w:r>
      <w:r w:rsidR="00935383">
        <w:t xml:space="preserve">the </w:t>
      </w:r>
      <w:r>
        <w:t xml:space="preserve">distribution of wealth between families and minority shareholders (Bushman et al., 2004). A number of studies suggest that in emerging economies, family shareholders have a strong incentive to distort information disclosure and mislead minority shareholders to gain private benefits of control </w:t>
      </w:r>
      <w:r>
        <w:lastRenderedPageBreak/>
        <w:t>(Anderson</w:t>
      </w:r>
      <w:r>
        <w:rPr>
          <w:lang w:eastAsia="zh-CN"/>
        </w:rPr>
        <w:t xml:space="preserve"> et al.</w:t>
      </w:r>
      <w:r>
        <w:t>, 2009). Supporting this view, Filatotchev</w:t>
      </w:r>
      <w:r>
        <w:rPr>
          <w:lang w:eastAsia="zh-CN"/>
        </w:rPr>
        <w:t xml:space="preserve"> et al.</w:t>
      </w:r>
      <w:r>
        <w:t xml:space="preserve"> (201</w:t>
      </w:r>
      <w:r>
        <w:rPr>
          <w:lang w:eastAsia="zh-CN"/>
        </w:rPr>
        <w:t>1</w:t>
      </w:r>
      <w:r>
        <w:t xml:space="preserve">) find that family ownership leads to a higher level of trading on private information.  </w:t>
      </w:r>
    </w:p>
    <w:p w:rsidR="00887848" w:rsidRDefault="00887848">
      <w:pPr>
        <w:pStyle w:val="Heading2"/>
      </w:pPr>
      <w:r>
        <w:t>2.</w:t>
      </w:r>
      <w:r>
        <w:rPr>
          <w:lang w:eastAsia="zh-CN"/>
        </w:rPr>
        <w:t>1</w:t>
      </w:r>
      <w:r>
        <w:t xml:space="preserve">  </w:t>
      </w:r>
      <w:r w:rsidR="00935383">
        <w:t>I</w:t>
      </w:r>
      <w:r w:rsidR="00C87C2D">
        <w:t>nstitutional block-holder</w:t>
      </w:r>
      <w:r>
        <w:t xml:space="preserve"> power and  informed trading</w:t>
      </w:r>
    </w:p>
    <w:p w:rsidR="00887848" w:rsidRDefault="00887848"/>
    <w:p w:rsidR="00887848" w:rsidRDefault="00887848">
      <w:pPr>
        <w:spacing w:line="480" w:lineRule="auto"/>
      </w:pPr>
      <w:r>
        <w:t>As indicated above, many family-controlled, publicly-listed companies also have institutional investors as minority shareholders, and previous research suggests that the interactions between the</w:t>
      </w:r>
      <w:r w:rsidR="00935383">
        <w:t>se</w:t>
      </w:r>
      <w:r>
        <w:t xml:space="preserve"> two types of shareholders may have a significant impact on the agency costs of the firm (Maury</w:t>
      </w:r>
      <w:r w:rsidR="00A42E2A">
        <w:rPr>
          <w:rFonts w:hint="eastAsia"/>
          <w:lang w:eastAsia="zh-CN"/>
        </w:rPr>
        <w:t>,</w:t>
      </w:r>
      <w:r>
        <w:t xml:space="preserve"> 2006). Due to their superior resources and experience in collecting and processing information, institutional block-holders are more likely to detect family owners’ private information compared to small individual investors (Campbell and Kracaw</w:t>
      </w:r>
      <w:r w:rsidR="00A42E2A">
        <w:rPr>
          <w:rFonts w:hint="eastAsia"/>
          <w:lang w:eastAsia="zh-CN"/>
        </w:rPr>
        <w:t>,</w:t>
      </w:r>
      <w:r>
        <w:t xml:space="preserve"> 1980). </w:t>
      </w:r>
      <w:r w:rsidR="009D0475">
        <w:t xml:space="preserve">Using data from the US, </w:t>
      </w:r>
      <w:r>
        <w:t>Edmans (2010) suggests that a higher level of institutional block ownership can increase the credibility of their potential threat to exit via informed trading in companies with a relatively diversified ownership structure</w:t>
      </w:r>
      <w:r w:rsidR="009D0475">
        <w:t>.</w:t>
      </w:r>
      <w:r>
        <w:t xml:space="preserve"> </w:t>
      </w:r>
    </w:p>
    <w:p w:rsidR="00887848" w:rsidRDefault="00887848">
      <w:pPr>
        <w:spacing w:line="480" w:lineRule="auto"/>
        <w:ind w:firstLine="720"/>
      </w:pPr>
      <w:r>
        <w:t>In East Asia, where family block-holders dominate, non-controlling institutional block-holders also may impose restraints on controlling families through threat of potential exit via informed trading</w:t>
      </w:r>
      <w:r w:rsidR="00FA3FFD">
        <w:t xml:space="preserve"> (Edmans 2010)</w:t>
      </w:r>
      <w:r>
        <w:t xml:space="preserve">. We argue that the overall credibility of this threat depends on </w:t>
      </w:r>
      <w:r>
        <w:rPr>
          <w:lang w:eastAsia="zh-CN"/>
        </w:rPr>
        <w:t xml:space="preserve">the relative power of non-controlling institutional block-holders and family owners, and this may be </w:t>
      </w:r>
      <w:r>
        <w:t xml:space="preserve">more relevant than their absolute ownership. </w:t>
      </w:r>
      <w:r>
        <w:rPr>
          <w:lang w:eastAsia="zh-CN"/>
        </w:rPr>
        <w:t>We define the relative power of non-controlling investors over a controlling family as the ratio of their cumulative shareholdings to the share ownership of the controlling family</w:t>
      </w:r>
      <w:r>
        <w:t>. When the relative power of the institutional block-holders vis-à-vis family owners increases, the threat of their informed trading on negative information as perceived by family owners becomes more credible. This increases the likelihood that the controlling family will behave less opportunistically to retain the loyalty of non-controlling institutional block-holder</w:t>
      </w:r>
      <w:r w:rsidR="009D0475">
        <w:t>s</w:t>
      </w:r>
      <w:r>
        <w:t xml:space="preserve"> and reduce the </w:t>
      </w:r>
      <w:r w:rsidR="00C87C2D">
        <w:t>level</w:t>
      </w:r>
      <w:r>
        <w:t xml:space="preserve"> of informed trading. Therefore, non-controlling institutional block-holders’ relative power may play a </w:t>
      </w:r>
      <w:r>
        <w:lastRenderedPageBreak/>
        <w:t>strong governance role that reduces family opportunism, and we suggest the following hypothesis:</w:t>
      </w:r>
    </w:p>
    <w:p w:rsidR="00887848" w:rsidRDefault="00887848">
      <w:pPr>
        <w:pStyle w:val="Follow-onparagraphstyle"/>
        <w:spacing w:line="240" w:lineRule="auto"/>
        <w:ind w:left="720" w:firstLine="0"/>
      </w:pPr>
      <w:r>
        <w:t>Hypothesis 1: There is a negative relation between institutional block-holders’ relative power with regard to family owners and the level of informed trading</w:t>
      </w:r>
    </w:p>
    <w:p w:rsidR="00887848" w:rsidRDefault="00887848">
      <w:pPr>
        <w:pStyle w:val="Heading2"/>
      </w:pPr>
      <w:r>
        <w:t>2.</w:t>
      </w:r>
      <w:r>
        <w:rPr>
          <w:lang w:eastAsia="zh-CN"/>
        </w:rPr>
        <w:t>2</w:t>
      </w:r>
      <w:r>
        <w:t xml:space="preserve">  The effect of non-controlling institutional block-holders on the structure of informed trading</w:t>
      </w:r>
    </w:p>
    <w:p w:rsidR="00887848" w:rsidRDefault="00887848"/>
    <w:p w:rsidR="00887848" w:rsidRDefault="00887848">
      <w:pPr>
        <w:spacing w:line="480" w:lineRule="auto"/>
      </w:pPr>
      <w:r>
        <w:t xml:space="preserve">Previous arguments focus on the opportunistic opacity of the firm. However, full transparency can also be damaging to investors because it leads to disclosure of strategically important information that </w:t>
      </w:r>
      <w:r w:rsidR="009D0475">
        <w:t>may damage their portfolio firm</w:t>
      </w:r>
      <w:r>
        <w:t>s</w:t>
      </w:r>
      <w:r w:rsidR="009D0475">
        <w:t>’</w:t>
      </w:r>
      <w:r>
        <w:t xml:space="preserve"> long term competitive advantage (Verrechia</w:t>
      </w:r>
      <w:r w:rsidR="00A42E2A">
        <w:rPr>
          <w:rFonts w:hint="eastAsia"/>
          <w:lang w:eastAsia="zh-CN"/>
        </w:rPr>
        <w:t>,</w:t>
      </w:r>
      <w:r>
        <w:t xml:space="preserve"> 2001). In this context, institutional block-holders may </w:t>
      </w:r>
      <w:r>
        <w:rPr>
          <w:lang w:val="en-US"/>
        </w:rPr>
        <w:t>protect the confidentiality of their strategic private information, such as R&amp;D and investment in intangible assets (</w:t>
      </w:r>
      <w:r>
        <w:t>Bushee</w:t>
      </w:r>
      <w:r w:rsidR="00A42E2A">
        <w:rPr>
          <w:rFonts w:hint="eastAsia"/>
          <w:lang w:eastAsia="zh-CN"/>
        </w:rPr>
        <w:t>,</w:t>
      </w:r>
      <w:r>
        <w:t xml:space="preserve"> 1998; Wahal and McConnell</w:t>
      </w:r>
      <w:r w:rsidR="00A42E2A">
        <w:rPr>
          <w:rFonts w:hint="eastAsia"/>
          <w:lang w:eastAsia="zh-CN"/>
        </w:rPr>
        <w:t>,</w:t>
      </w:r>
      <w:r>
        <w:t xml:space="preserve"> 2000</w:t>
      </w:r>
      <w:r>
        <w:rPr>
          <w:lang w:val="en-US"/>
        </w:rPr>
        <w:t>). Because of this loyalty by institutional block-holders</w:t>
      </w:r>
      <w:r>
        <w:t xml:space="preserve">, controlling families have an incentive to </w:t>
      </w:r>
      <w:r>
        <w:rPr>
          <w:lang w:val="en-US"/>
        </w:rPr>
        <w:t xml:space="preserve">reveal proprietary, firm-specific </w:t>
      </w:r>
      <w:r>
        <w:t xml:space="preserve">private information exclusively to them </w:t>
      </w:r>
      <w:r>
        <w:rPr>
          <w:lang w:val="en-US"/>
        </w:rPr>
        <w:t>rather than to diffused minority shareholders</w:t>
      </w:r>
      <w:r>
        <w:t xml:space="preserve"> (</w:t>
      </w:r>
      <w:r>
        <w:rPr>
          <w:lang w:val="en-US"/>
        </w:rPr>
        <w:t>Bhattacharya and Chiesa</w:t>
      </w:r>
      <w:r w:rsidR="00A42E2A">
        <w:rPr>
          <w:rFonts w:hint="eastAsia"/>
          <w:lang w:val="en-US" w:eastAsia="zh-CN"/>
        </w:rPr>
        <w:t>,</w:t>
      </w:r>
      <w:r>
        <w:rPr>
          <w:lang w:val="en-US"/>
        </w:rPr>
        <w:t xml:space="preserve"> 1995; Yosha</w:t>
      </w:r>
      <w:r w:rsidR="00A42E2A">
        <w:rPr>
          <w:rFonts w:hint="eastAsia"/>
          <w:lang w:val="en-US" w:eastAsia="zh-CN"/>
        </w:rPr>
        <w:t>,</w:t>
      </w:r>
      <w:r>
        <w:rPr>
          <w:lang w:val="en-US"/>
        </w:rPr>
        <w:t xml:space="preserve"> 1995). Therefore, institutional block-holders can effectively act as monitors, which ensure the firm maintains strategic opacity but reduces opportunistically opacity. This results in a</w:t>
      </w:r>
      <w:r>
        <w:rPr>
          <w:lang w:val="en-US" w:eastAsia="zh-CN"/>
        </w:rPr>
        <w:t>n improved</w:t>
      </w:r>
      <w:r>
        <w:rPr>
          <w:lang w:val="en-US"/>
        </w:rPr>
        <w:t xml:space="preserve"> structure of informed trading with more trading based on positive private information and less on negative private information. Ultimately, institutional block-holders can gain superior profits associated with informed trading by buying more shares before strategic information is available to the market. At the same time, the controlling family benefits from institutional block-holders’ positive informed trading as this can signal their strategic positive private information to the public and increase the share price prior to public disclosure. </w:t>
      </w:r>
      <w:r>
        <w:t>The more shares held by institutional block-holders, the better their interests are aligned with the objectives of the controlling family to protect and signal strategic opacity to the market via positive informed trading. Thus:</w:t>
      </w:r>
    </w:p>
    <w:p w:rsidR="00887848" w:rsidRDefault="00887848">
      <w:pPr>
        <w:pStyle w:val="Follow-onparagraphstyle"/>
        <w:spacing w:line="240" w:lineRule="auto"/>
        <w:ind w:left="720" w:firstLine="0"/>
      </w:pPr>
      <w:r>
        <w:t xml:space="preserve"> Hypothesis 2: There is a positive relation between institutional block-holder ownership and the structure of informed trading</w:t>
      </w:r>
    </w:p>
    <w:p w:rsidR="00887848" w:rsidRDefault="00887848">
      <w:pPr>
        <w:pStyle w:val="Heading2"/>
      </w:pPr>
      <w:r>
        <w:lastRenderedPageBreak/>
        <w:t>2.</w:t>
      </w:r>
      <w:r>
        <w:rPr>
          <w:lang w:eastAsia="zh-CN"/>
        </w:rPr>
        <w:t>3</w:t>
      </w:r>
      <w:r>
        <w:t xml:space="preserve">  The governance role of different non-controlling institutional block-holders </w:t>
      </w:r>
    </w:p>
    <w:p w:rsidR="00887848" w:rsidRDefault="00887848"/>
    <w:p w:rsidR="00887848" w:rsidRDefault="00887848">
      <w:pPr>
        <w:spacing w:line="480" w:lineRule="auto"/>
      </w:pPr>
      <w:r>
        <w:t xml:space="preserve">Our previous arguments consider the effects of institutional investors as a group. However, more recent studies indicate that institutional investors are far from homogeneous, and in terms of their governance roles they may be classified into three groups depending on </w:t>
      </w:r>
      <w:r w:rsidR="00A35A7E">
        <w:t>the strength of their</w:t>
      </w:r>
      <w:r>
        <w:t xml:space="preserve"> business links with their portfolio </w:t>
      </w:r>
      <w:r w:rsidR="00A35A7E">
        <w:t>firm</w:t>
      </w:r>
      <w:r>
        <w:t>s.  These can be defined as pressure-resistant, pressure-sensitive, and pressure-uncertain (Brickley</w:t>
      </w:r>
      <w:r>
        <w:rPr>
          <w:lang w:eastAsia="zh-CN"/>
        </w:rPr>
        <w:t xml:space="preserve"> et al.</w:t>
      </w:r>
      <w:r>
        <w:t>, 1988; Almazan</w:t>
      </w:r>
      <w:r>
        <w:rPr>
          <w:lang w:eastAsia="zh-CN"/>
        </w:rPr>
        <w:t xml:space="preserve"> et al.</w:t>
      </w:r>
      <w:r>
        <w:t>, 2005; Chen</w:t>
      </w:r>
      <w:r>
        <w:rPr>
          <w:lang w:eastAsia="zh-CN"/>
        </w:rPr>
        <w:t xml:space="preserve"> et al.</w:t>
      </w:r>
      <w:r w:rsidR="00A42E2A">
        <w:rPr>
          <w:rFonts w:hint="eastAsia"/>
          <w:lang w:eastAsia="zh-CN"/>
        </w:rPr>
        <w:t>,</w:t>
      </w:r>
      <w:r>
        <w:t xml:space="preserve"> 2007). </w:t>
      </w:r>
      <w:r>
        <w:rPr>
          <w:lang w:eastAsia="zh-CN"/>
        </w:rPr>
        <w:t>Chen et al.(2007) argue that b</w:t>
      </w:r>
      <w:r>
        <w:t xml:space="preserve">ecause of the lack of business links with firms, pressure-resistant institutional block-holders, such as mutual and investment funds, are more independent and effective monitors than other institutional investors (such as occupational pension funds). This suggests that pressure-resistant institutional block-holders are more likely to force family owners to </w:t>
      </w:r>
      <w:r w:rsidR="0023321A">
        <w:t>reduce</w:t>
      </w:r>
      <w:r>
        <w:t xml:space="preserve"> opportunistic opacity because their threat of negative informed trading is more credible and, therefore, more effective. Pressure-resistant institutional block-holders are also more likely to be loyal to the large family owners in creating strategic opacity and are more likely to initiate positive informed trading to avoid </w:t>
      </w:r>
      <w:r w:rsidR="0023321A">
        <w:t>discounting</w:t>
      </w:r>
      <w:r>
        <w:t xml:space="preserve"> price</w:t>
      </w:r>
      <w:r w:rsidR="0023321A">
        <w:t>s</w:t>
      </w:r>
      <w:r>
        <w:t xml:space="preserve"> (Kahn and Winton, 1998). To outside investors, the presence of pressure-resistant institutional block-holders can be an indication of family commitment to minority investors</w:t>
      </w:r>
      <w:r>
        <w:rPr>
          <w:lang w:eastAsia="zh-CN"/>
        </w:rPr>
        <w:t xml:space="preserve"> </w:t>
      </w:r>
      <w:r>
        <w:t>(Bennedsen and Wolfenzon</w:t>
      </w:r>
      <w:r w:rsidR="00A42E2A">
        <w:rPr>
          <w:rFonts w:hint="eastAsia"/>
          <w:lang w:eastAsia="zh-CN"/>
        </w:rPr>
        <w:t>,</w:t>
      </w:r>
      <w:r>
        <w:t xml:space="preserve"> 2000). This signal attracts more investors to the firm, which further promotes </w:t>
      </w:r>
      <w:r>
        <w:rPr>
          <w:lang w:eastAsia="zh-CN"/>
        </w:rPr>
        <w:t xml:space="preserve">informed trading </w:t>
      </w:r>
      <w:r>
        <w:t xml:space="preserve">activity in the market </w:t>
      </w:r>
      <w:r w:rsidR="0023321A">
        <w:rPr>
          <w:lang w:eastAsia="zh-CN"/>
        </w:rPr>
        <w:t>and</w:t>
      </w:r>
      <w:r>
        <w:rPr>
          <w:lang w:eastAsia="zh-CN"/>
        </w:rPr>
        <w:t xml:space="preserve"> incorporate </w:t>
      </w:r>
      <w:r>
        <w:t xml:space="preserve">positive private information </w:t>
      </w:r>
      <w:r>
        <w:rPr>
          <w:lang w:eastAsia="zh-CN"/>
        </w:rPr>
        <w:t xml:space="preserve">into </w:t>
      </w:r>
      <w:r w:rsidR="00A35A7E">
        <w:rPr>
          <w:lang w:eastAsia="zh-CN"/>
        </w:rPr>
        <w:t xml:space="preserve">the </w:t>
      </w:r>
      <w:r w:rsidR="00F15283">
        <w:rPr>
          <w:lang w:eastAsia="zh-CN"/>
        </w:rPr>
        <w:t>s</w:t>
      </w:r>
      <w:r w:rsidR="00A35A7E">
        <w:rPr>
          <w:lang w:eastAsia="zh-CN"/>
        </w:rPr>
        <w:t>hare price</w:t>
      </w:r>
      <w:r>
        <w:rPr>
          <w:lang w:eastAsia="zh-CN"/>
        </w:rPr>
        <w:t xml:space="preserve"> </w:t>
      </w:r>
      <w:r>
        <w:t>without public disclosure. Therefore, non-controlling, pressure-resistant institutional block-holders may play a strong governance role in family-controlled firms compared to other types of investors, both in terms of overall informed trading and its structure.</w:t>
      </w:r>
      <w:r>
        <w:rPr>
          <w:lang w:eastAsia="zh-CN"/>
        </w:rPr>
        <w:t xml:space="preserve"> </w:t>
      </w:r>
      <w:r>
        <w:t>Hence:</w:t>
      </w:r>
    </w:p>
    <w:p w:rsidR="00887848" w:rsidRDefault="00887848">
      <w:pPr>
        <w:pStyle w:val="Follow-onparagraphstyle"/>
        <w:spacing w:line="240" w:lineRule="auto"/>
        <w:ind w:left="720" w:firstLine="0"/>
      </w:pPr>
      <w:r>
        <w:t>H</w:t>
      </w:r>
      <w:r w:rsidR="0023321A">
        <w:t>ypothesis 3: There is a strong</w:t>
      </w:r>
      <w:r>
        <w:t xml:space="preserve"> negative relation between pressure-resistant institutional block-holder relative power with regard to family owners and the level of informed trading compared to other types of institutional block-holder.</w:t>
      </w:r>
    </w:p>
    <w:p w:rsidR="00887848" w:rsidRDefault="00887848">
      <w:pPr>
        <w:pStyle w:val="Follow-onparagraphstyle"/>
        <w:spacing w:line="240" w:lineRule="auto"/>
        <w:ind w:left="720" w:firstLine="0"/>
      </w:pPr>
    </w:p>
    <w:p w:rsidR="00887848" w:rsidRDefault="00887848">
      <w:pPr>
        <w:pStyle w:val="Follow-onparagraphstyle"/>
        <w:spacing w:line="240" w:lineRule="auto"/>
        <w:ind w:left="720" w:firstLine="0"/>
      </w:pPr>
      <w:r>
        <w:lastRenderedPageBreak/>
        <w:t>H</w:t>
      </w:r>
      <w:r w:rsidR="0023321A">
        <w:t>ypothesis 4: There is a strong</w:t>
      </w:r>
      <w:r>
        <w:t xml:space="preserve"> positive relation between pressure-resistant institutional block-holder ownership and the structure of informed trading compared to other type</w:t>
      </w:r>
      <w:r w:rsidR="0023321A">
        <w:t>s</w:t>
      </w:r>
      <w:r>
        <w:t xml:space="preserve"> of institutional block-holder. </w:t>
      </w:r>
    </w:p>
    <w:p w:rsidR="00887848" w:rsidRDefault="00887848">
      <w:pPr>
        <w:pStyle w:val="Follow-onparagraphstyle"/>
        <w:spacing w:line="240" w:lineRule="auto"/>
        <w:ind w:left="720" w:firstLine="0"/>
      </w:pPr>
      <w:r>
        <w:t xml:space="preserve"> </w:t>
      </w:r>
    </w:p>
    <w:p w:rsidR="00887848" w:rsidRDefault="00887848">
      <w:pPr>
        <w:jc w:val="both"/>
        <w:rPr>
          <w:b/>
        </w:rPr>
      </w:pPr>
    </w:p>
    <w:p w:rsidR="00887848" w:rsidRDefault="00887848">
      <w:pPr>
        <w:jc w:val="both"/>
      </w:pPr>
      <w:r>
        <w:rPr>
          <w:b/>
        </w:rPr>
        <w:t>2.</w:t>
      </w:r>
      <w:r>
        <w:rPr>
          <w:b/>
          <w:lang w:eastAsia="zh-CN"/>
        </w:rPr>
        <w:t>4</w:t>
      </w:r>
      <w:r>
        <w:rPr>
          <w:b/>
        </w:rPr>
        <w:t xml:space="preserve"> </w:t>
      </w:r>
      <w:r>
        <w:rPr>
          <w:b/>
          <w:i/>
        </w:rPr>
        <w:t>The effect of the structure of informed trading on firm value</w:t>
      </w:r>
      <w:r>
        <w:t xml:space="preserve"> </w:t>
      </w:r>
    </w:p>
    <w:p w:rsidR="00887848" w:rsidRDefault="00887848">
      <w:pPr>
        <w:jc w:val="both"/>
        <w:rPr>
          <w:b/>
          <w:i/>
        </w:rPr>
      </w:pPr>
    </w:p>
    <w:p w:rsidR="00887848" w:rsidRDefault="00887848">
      <w:pPr>
        <w:spacing w:line="480" w:lineRule="auto"/>
        <w:rPr>
          <w:b/>
          <w:i/>
        </w:rPr>
      </w:pPr>
      <w:r>
        <w:t xml:space="preserve">Agency research suggests that large family owners can become more entrenched in an increasingly opaque information environment </w:t>
      </w:r>
      <w:r>
        <w:rPr>
          <w:lang w:eastAsia="zh-CN"/>
        </w:rPr>
        <w:t>(</w:t>
      </w:r>
      <w:r>
        <w:t>Anderson</w:t>
      </w:r>
      <w:r>
        <w:rPr>
          <w:lang w:eastAsia="zh-CN"/>
        </w:rPr>
        <w:t xml:space="preserve"> et al.</w:t>
      </w:r>
      <w:r>
        <w:t>,</w:t>
      </w:r>
      <w:r>
        <w:rPr>
          <w:lang w:eastAsia="zh-CN"/>
        </w:rPr>
        <w:t xml:space="preserve"> 2009)</w:t>
      </w:r>
      <w:r>
        <w:t>.  In this case, investors recognise potential risk of expropriation by large family shareholders that prompts un-informed investors to assume that all private information is negative (Akerlof</w:t>
      </w:r>
      <w:r w:rsidR="00A42E2A">
        <w:rPr>
          <w:rFonts w:hint="eastAsia"/>
          <w:lang w:eastAsia="zh-CN"/>
        </w:rPr>
        <w:t>,</w:t>
      </w:r>
      <w:r>
        <w:t xml:space="preserve"> 1970). As a result, to acquire </w:t>
      </w:r>
      <w:r w:rsidR="0023321A">
        <w:t>equity</w:t>
      </w:r>
      <w:r>
        <w:t xml:space="preserve"> in firms with higher information risk, investors demand a higher rate of return or higher price discount (Easley and O'Hara, 2004). Therefore, there should be a negative relationship between overall informed trading and company valuation</w:t>
      </w:r>
      <w:r>
        <w:rPr>
          <w:lang w:eastAsia="zh-CN"/>
        </w:rPr>
        <w:t xml:space="preserve"> (Filatotchev et al</w:t>
      </w:r>
      <w:r w:rsidR="00A42E2A">
        <w:rPr>
          <w:rFonts w:hint="eastAsia"/>
          <w:lang w:eastAsia="zh-CN"/>
        </w:rPr>
        <w:t>.,</w:t>
      </w:r>
      <w:r>
        <w:rPr>
          <w:lang w:eastAsia="zh-CN"/>
        </w:rPr>
        <w:t xml:space="preserve"> 2011)</w:t>
      </w:r>
      <w:r>
        <w:t xml:space="preserve">. </w:t>
      </w:r>
    </w:p>
    <w:p w:rsidR="00887848" w:rsidRDefault="00887848">
      <w:pPr>
        <w:pStyle w:val="Follow-onparagraphstyle"/>
      </w:pPr>
      <w:r>
        <w:t xml:space="preserve">We build on this research and argue that institutional block-holders in general, and pressure-resistant investors in particular, can encourage the strategic opacity of the </w:t>
      </w:r>
      <w:r w:rsidR="00A35A7E">
        <w:t xml:space="preserve">controlling </w:t>
      </w:r>
      <w:r>
        <w:t xml:space="preserve">family </w:t>
      </w:r>
      <w:r>
        <w:rPr>
          <w:lang w:eastAsia="zh-CN"/>
        </w:rPr>
        <w:t>and change the structure of informed trading by focusing on positive private information</w:t>
      </w:r>
      <w:r>
        <w:t xml:space="preserve">. However, previous studies neglect to comment on whether their efforts to change the structure can </w:t>
      </w:r>
      <w:r>
        <w:rPr>
          <w:lang w:eastAsia="zh-CN"/>
        </w:rPr>
        <w:t xml:space="preserve">benefit other minority investors who remain un-informed. </w:t>
      </w:r>
      <w:r>
        <w:t xml:space="preserve">If this change in structure can reduce information asymmetry </w:t>
      </w:r>
      <w:r>
        <w:rPr>
          <w:lang w:eastAsia="zh-CN"/>
        </w:rPr>
        <w:t>between a controlling family and outside minority shareholders</w:t>
      </w:r>
      <w:r>
        <w:t xml:space="preserve">, </w:t>
      </w:r>
      <w:r>
        <w:rPr>
          <w:lang w:eastAsia="zh-CN"/>
        </w:rPr>
        <w:t xml:space="preserve">the governance outcomes of an improved structure of informed trading </w:t>
      </w:r>
      <w:r>
        <w:t xml:space="preserve">should result in a higher overall share </w:t>
      </w:r>
      <w:r w:rsidR="00A35A7E">
        <w:t>price</w:t>
      </w:r>
      <w:r>
        <w:t xml:space="preserve"> (Verrecchia</w:t>
      </w:r>
      <w:r w:rsidR="00A42E2A">
        <w:rPr>
          <w:rFonts w:hint="eastAsia"/>
          <w:lang w:eastAsia="zh-CN"/>
        </w:rPr>
        <w:t>,</w:t>
      </w:r>
      <w:r>
        <w:t xml:space="preserve"> 2001). In this case, the reduction in negative informed trading </w:t>
      </w:r>
      <w:r>
        <w:rPr>
          <w:lang w:eastAsia="zh-CN"/>
        </w:rPr>
        <w:t xml:space="preserve">directly reflects </w:t>
      </w:r>
      <w:r>
        <w:t xml:space="preserve">reduced information asymmetry with respect to opportunistic opacity. Alternatively, informed trading on positive strategic private information indirectly reflects reduced information asymmetry with respect to strategic opacity because </w:t>
      </w:r>
      <w:r>
        <w:rPr>
          <w:lang w:eastAsia="zh-CN"/>
        </w:rPr>
        <w:t xml:space="preserve">markets </w:t>
      </w:r>
      <w:r w:rsidR="0023321A">
        <w:rPr>
          <w:lang w:eastAsia="zh-CN"/>
        </w:rPr>
        <w:t xml:space="preserve">can </w:t>
      </w:r>
      <w:r>
        <w:rPr>
          <w:lang w:eastAsia="zh-CN"/>
        </w:rPr>
        <w:t xml:space="preserve">still incorporate this into the share price thus improving </w:t>
      </w:r>
      <w:r>
        <w:t>price discovery (Boehmer</w:t>
      </w:r>
      <w:r>
        <w:rPr>
          <w:lang w:eastAsia="zh-CN"/>
        </w:rPr>
        <w:t xml:space="preserve"> et al.</w:t>
      </w:r>
      <w:r>
        <w:t xml:space="preserve">, 2005) and reducing the probability of undervaluation (DeLong et al., 1990). If the market </w:t>
      </w:r>
      <w:r>
        <w:rPr>
          <w:lang w:eastAsia="zh-CN"/>
        </w:rPr>
        <w:t xml:space="preserve">has more public information due to reduced opportunistic </w:t>
      </w:r>
      <w:r>
        <w:rPr>
          <w:lang w:eastAsia="zh-CN"/>
        </w:rPr>
        <w:lastRenderedPageBreak/>
        <w:t xml:space="preserve">opacity while </w:t>
      </w:r>
      <w:r>
        <w:t xml:space="preserve">incorporating more </w:t>
      </w:r>
      <w:r w:rsidR="00A35A7E">
        <w:rPr>
          <w:lang w:eastAsia="zh-CN"/>
        </w:rPr>
        <w:t>un</w:t>
      </w:r>
      <w:r>
        <w:rPr>
          <w:lang w:eastAsia="zh-CN"/>
        </w:rPr>
        <w:t xml:space="preserve">disclosed positive </w:t>
      </w:r>
      <w:r>
        <w:t xml:space="preserve">strategic private information, more efficient price discovery will result. The combined effects of the </w:t>
      </w:r>
      <w:r w:rsidR="0023321A">
        <w:t xml:space="preserve">structure of </w:t>
      </w:r>
      <w:r>
        <w:t xml:space="preserve">informed trading will </w:t>
      </w:r>
      <w:r w:rsidR="00F15283">
        <w:t>lead to</w:t>
      </w:r>
      <w:r w:rsidR="0023321A">
        <w:t xml:space="preserve"> </w:t>
      </w:r>
      <w:r>
        <w:t xml:space="preserve">a significant improvement in a market that </w:t>
      </w:r>
      <w:r>
        <w:rPr>
          <w:lang w:eastAsia="zh-CN"/>
        </w:rPr>
        <w:t xml:space="preserve">lacks public information and </w:t>
      </w:r>
      <w:r>
        <w:t>fails to incorporate positive strategic private information (Easley and O'Hara</w:t>
      </w:r>
      <w:r w:rsidR="00A42E2A">
        <w:rPr>
          <w:rFonts w:hint="eastAsia"/>
          <w:lang w:eastAsia="zh-CN"/>
        </w:rPr>
        <w:t>,</w:t>
      </w:r>
      <w:r>
        <w:t xml:space="preserve"> 2004). Hence:</w:t>
      </w:r>
    </w:p>
    <w:p w:rsidR="00887848" w:rsidRDefault="00887848">
      <w:pPr>
        <w:pStyle w:val="Follow-onparagraphstyle"/>
        <w:spacing w:line="240" w:lineRule="auto"/>
        <w:ind w:left="720" w:firstLine="0"/>
      </w:pPr>
      <w:r>
        <w:t>Hypothesis 5: There is a positive relation between the structure of informed trading and company valuation.</w:t>
      </w:r>
    </w:p>
    <w:p w:rsidR="00887848" w:rsidRDefault="00887848">
      <w:pPr>
        <w:spacing w:line="480" w:lineRule="auto"/>
      </w:pPr>
    </w:p>
    <w:p w:rsidR="00887848" w:rsidRDefault="00887848">
      <w:pPr>
        <w:spacing w:line="480" w:lineRule="auto"/>
        <w:jc w:val="both"/>
        <w:rPr>
          <w:b/>
          <w:lang w:eastAsia="zh-CN"/>
        </w:rPr>
      </w:pPr>
      <w:r>
        <w:rPr>
          <w:b/>
          <w:lang w:eastAsia="zh-CN"/>
        </w:rPr>
        <w:t>3.  Data, estimation and results</w:t>
      </w:r>
    </w:p>
    <w:p w:rsidR="00887848" w:rsidRDefault="00887848">
      <w:pPr>
        <w:spacing w:line="480" w:lineRule="auto"/>
        <w:jc w:val="both"/>
        <w:rPr>
          <w:b/>
          <w:i/>
          <w:lang w:eastAsia="zh-CN"/>
        </w:rPr>
      </w:pPr>
      <w:r>
        <w:rPr>
          <w:b/>
          <w:i/>
          <w:lang w:eastAsia="zh-CN"/>
        </w:rPr>
        <w:t>3.1  Sample</w:t>
      </w:r>
    </w:p>
    <w:p w:rsidR="00887848" w:rsidRDefault="007C32FF">
      <w:pPr>
        <w:spacing w:line="480" w:lineRule="auto"/>
      </w:pPr>
      <w:bookmarkStart w:id="1" w:name="_Toc213682035"/>
      <w:r>
        <w:rPr>
          <w:lang w:eastAsia="zh-CN"/>
        </w:rPr>
        <w:t xml:space="preserve">To test our hypotheses we have obtained </w:t>
      </w:r>
      <w:r w:rsidR="00887848">
        <w:rPr>
          <w:lang w:eastAsia="zh-CN"/>
        </w:rPr>
        <w:t>d</w:t>
      </w:r>
      <w:r w:rsidR="00887848">
        <w:t>ata on all 812 companies listed on the Hong Kong Stock Exchange (Main Board) in 2006</w:t>
      </w:r>
      <w:r>
        <w:t xml:space="preserve">. </w:t>
      </w:r>
      <w:r w:rsidR="00887848">
        <w:t xml:space="preserve"> </w:t>
      </w:r>
      <w:r w:rsidR="00887848">
        <w:rPr>
          <w:lang w:eastAsia="zh-CN"/>
        </w:rPr>
        <w:t xml:space="preserve">Following common practice, </w:t>
      </w:r>
      <w:r>
        <w:rPr>
          <w:lang w:eastAsia="zh-CN"/>
        </w:rPr>
        <w:t xml:space="preserve">we excluded </w:t>
      </w:r>
      <w:r w:rsidR="00887848">
        <w:rPr>
          <w:lang w:eastAsia="zh-CN"/>
        </w:rPr>
        <w:t>financial institutions (two-digit SIC codes from 60 to 67)</w:t>
      </w:r>
      <w:r w:rsidR="00887848">
        <w:t xml:space="preserve">, 164 companies </w:t>
      </w:r>
      <w:r>
        <w:t xml:space="preserve">with </w:t>
      </w:r>
      <w:r w:rsidR="00887848">
        <w:t xml:space="preserve"> missing data and 54</w:t>
      </w:r>
      <w:r w:rsidR="00165987">
        <w:t xml:space="preserve"> </w:t>
      </w:r>
      <w:r>
        <w:t xml:space="preserve">companies </w:t>
      </w:r>
      <w:r w:rsidR="00887848">
        <w:t xml:space="preserve">with corner solutions for </w:t>
      </w:r>
      <w:r w:rsidR="00887848">
        <w:rPr>
          <w:lang w:eastAsia="zh-CN"/>
        </w:rPr>
        <w:t xml:space="preserve">the informed trading estimation </w:t>
      </w:r>
      <w:r w:rsidR="00887848">
        <w:t xml:space="preserve">and </w:t>
      </w:r>
      <w:r w:rsidR="00165987">
        <w:t xml:space="preserve">those with </w:t>
      </w:r>
      <w:r w:rsidR="00887848">
        <w:t xml:space="preserve">xtreme values for the control variables. The final sample </w:t>
      </w:r>
      <w:r>
        <w:t>includes</w:t>
      </w:r>
      <w:r w:rsidR="00887848">
        <w:t xml:space="preserve"> 447 companies</w:t>
      </w:r>
      <w:r w:rsidR="00165987">
        <w:t xml:space="preserve">:  </w:t>
      </w:r>
      <w:r w:rsidR="00887848">
        <w:t>51 (11.41%) from the b</w:t>
      </w:r>
      <w:r w:rsidR="00165987">
        <w:t>uilding and construction sector;</w:t>
      </w:r>
      <w:r w:rsidR="00887848">
        <w:t xml:space="preserve"> 40 (8.95%) from the electronic an</w:t>
      </w:r>
      <w:r w:rsidR="00165987">
        <w:t>d electrical equipment industry;</w:t>
      </w:r>
      <w:r w:rsidR="00887848">
        <w:t xml:space="preserve"> 27 (6.04%) from w</w:t>
      </w:r>
      <w:r w:rsidR="00165987">
        <w:t>holesale trade in durable goods;</w:t>
      </w:r>
      <w:r w:rsidR="00887848">
        <w:t xml:space="preserve"> 20 (4.47%) from the chemicals</w:t>
      </w:r>
      <w:r w:rsidR="00165987">
        <w:t xml:space="preserve"> industry;</w:t>
      </w:r>
      <w:r w:rsidR="00887848">
        <w:t xml:space="preserve"> 20 (4.47%) from business services</w:t>
      </w:r>
      <w:r w:rsidR="00165987">
        <w:t>;</w:t>
      </w:r>
      <w:r w:rsidR="00887848">
        <w:t xml:space="preserve"> and 16 (3.58%) from the communications sector. The remainder is widely distributed across other sectors.</w:t>
      </w:r>
      <w:r w:rsidR="00887848">
        <w:rPr>
          <w:b/>
        </w:rPr>
        <w:t xml:space="preserve"> </w:t>
      </w:r>
    </w:p>
    <w:p w:rsidR="00887848" w:rsidRDefault="00887848">
      <w:pPr>
        <w:spacing w:line="480" w:lineRule="auto"/>
        <w:ind w:firstLine="720"/>
        <w:rPr>
          <w:lang w:eastAsia="zh-CN"/>
        </w:rPr>
      </w:pPr>
      <w:r>
        <w:rPr>
          <w:lang w:eastAsia="zh-CN"/>
        </w:rPr>
        <w:t xml:space="preserve">To </w:t>
      </w:r>
      <w:r>
        <w:t>identify family and institutional block-holdings</w:t>
      </w:r>
      <w:r>
        <w:rPr>
          <w:lang w:eastAsia="zh-CN"/>
        </w:rPr>
        <w:t>, o</w:t>
      </w:r>
      <w:r>
        <w:t>wnership data were obtained from multiple sources including annual reports,</w:t>
      </w:r>
      <w:r w:rsidR="00165987">
        <w:t xml:space="preserve"> </w:t>
      </w:r>
      <w:r w:rsidR="007C32FF">
        <w:t>OSIRIS,</w:t>
      </w:r>
      <w:r>
        <w:t xml:space="preserve"> WorldScope, and the Bank of China (Hong Kong)-QianLong databases.</w:t>
      </w:r>
      <w:r>
        <w:rPr>
          <w:lang w:eastAsia="zh-CN"/>
        </w:rPr>
        <w:t xml:space="preserve"> </w:t>
      </w:r>
      <w:r w:rsidR="00B85735">
        <w:rPr>
          <w:lang w:eastAsia="zh-CN"/>
        </w:rPr>
        <w:t xml:space="preserve">We defined </w:t>
      </w:r>
      <w:r w:rsidR="00B85735">
        <w:t xml:space="preserve">family firms are those whose largest shareholder  is the family, and the family owns at least 10% shareholding. </w:t>
      </w:r>
      <w:r>
        <w:rPr>
          <w:lang w:eastAsia="zh-CN"/>
        </w:rPr>
        <w:t xml:space="preserve">Control variables were from </w:t>
      </w:r>
      <w:r>
        <w:t>Datastream and WorldScope, in line with previous market microstructure research.</w:t>
      </w:r>
      <w:r>
        <w:rPr>
          <w:lang w:eastAsia="zh-CN"/>
        </w:rPr>
        <w:t xml:space="preserve"> </w:t>
      </w:r>
    </w:p>
    <w:p w:rsidR="00887848" w:rsidRDefault="00887848">
      <w:pPr>
        <w:spacing w:line="480" w:lineRule="auto"/>
        <w:ind w:firstLine="720"/>
        <w:rPr>
          <w:b/>
          <w:lang w:eastAsia="zh-CN"/>
        </w:rPr>
      </w:pPr>
      <w:r>
        <w:t xml:space="preserve">To measure the level of </w:t>
      </w:r>
      <w:r>
        <w:rPr>
          <w:lang w:eastAsia="zh-CN"/>
        </w:rPr>
        <w:t>informed trading</w:t>
      </w:r>
      <w:r>
        <w:t xml:space="preserve"> the market microstructure model of Easley</w:t>
      </w:r>
      <w:r>
        <w:rPr>
          <w:lang w:eastAsia="zh-CN"/>
        </w:rPr>
        <w:t xml:space="preserve"> et al.</w:t>
      </w:r>
      <w:r>
        <w:t xml:space="preserve"> (1997a, b) was used, which requires daily numbers of buy and sell orders for a minimum of 40 trading days (Easley</w:t>
      </w:r>
      <w:r>
        <w:rPr>
          <w:lang w:eastAsia="zh-CN"/>
        </w:rPr>
        <w:t xml:space="preserve"> et al.</w:t>
      </w:r>
      <w:r>
        <w:t xml:space="preserve">, 1998). High frequency trade transaction data and </w:t>
      </w:r>
      <w:r>
        <w:lastRenderedPageBreak/>
        <w:t xml:space="preserve">bid-ask data for Hong Kong-listed companies from April 1 </w:t>
      </w:r>
      <w:r w:rsidR="00EF3D65">
        <w:t>to June 30</w:t>
      </w:r>
      <w:r>
        <w:t xml:space="preserve"> 2006 were obtained directly from the HKSE with the requisite 40 trading days. This period was not subject to any special events such as high market volatility, major policy changes or economic recession. </w:t>
      </w:r>
    </w:p>
    <w:bookmarkEnd w:id="1"/>
    <w:p w:rsidR="00887848" w:rsidRDefault="00887848">
      <w:pPr>
        <w:pStyle w:val="Heading3"/>
        <w:spacing w:line="480" w:lineRule="auto"/>
        <w:rPr>
          <w:rFonts w:cs="Times New Roman"/>
          <w:b/>
          <w:szCs w:val="24"/>
          <w:lang w:eastAsia="zh-CN"/>
        </w:rPr>
      </w:pPr>
      <w:r>
        <w:rPr>
          <w:rFonts w:cs="Times New Roman"/>
          <w:b/>
          <w:szCs w:val="24"/>
          <w:lang w:eastAsia="zh-CN"/>
        </w:rPr>
        <w:t>3.2  Variable construction and definitions</w:t>
      </w:r>
    </w:p>
    <w:p w:rsidR="00887848" w:rsidRDefault="00887848">
      <w:pPr>
        <w:spacing w:line="480" w:lineRule="auto"/>
        <w:rPr>
          <w:lang w:eastAsia="zh-CN"/>
        </w:rPr>
      </w:pPr>
      <w:r>
        <w:t xml:space="preserve">Compared with alternative proxies of </w:t>
      </w:r>
      <w:r>
        <w:rPr>
          <w:lang w:eastAsia="zh-CN"/>
        </w:rPr>
        <w:t>informed trading</w:t>
      </w:r>
      <w:r>
        <w:t xml:space="preserve">, </w:t>
      </w:r>
      <w:r w:rsidR="00B40074">
        <w:rPr>
          <w:rFonts w:hint="eastAsia"/>
          <w:lang w:eastAsia="zh-CN"/>
        </w:rPr>
        <w:t xml:space="preserve">the </w:t>
      </w:r>
      <w:r w:rsidR="00B40074" w:rsidRPr="00B40074">
        <w:t>probability of information-based trade</w:t>
      </w:r>
      <w:r w:rsidR="00B40074">
        <w:rPr>
          <w:rFonts w:hint="eastAsia"/>
          <w:lang w:eastAsia="zh-CN"/>
        </w:rPr>
        <w:t xml:space="preserve"> (</w:t>
      </w:r>
      <w:r>
        <w:t>PIN</w:t>
      </w:r>
      <w:r w:rsidR="00B40074">
        <w:rPr>
          <w:rFonts w:hint="eastAsia"/>
          <w:lang w:eastAsia="zh-CN"/>
        </w:rPr>
        <w:t>)</w:t>
      </w:r>
      <w:r>
        <w:t xml:space="preserve"> </w:t>
      </w:r>
      <w:r w:rsidR="00B40074">
        <w:rPr>
          <w:rFonts w:hint="eastAsia"/>
          <w:lang w:eastAsia="zh-CN"/>
        </w:rPr>
        <w:t xml:space="preserve">estimated by the market microstructure model of Easley et al. (1997a, b) </w:t>
      </w:r>
      <w:r w:rsidR="00EF3D65">
        <w:t xml:space="preserve">is the measure of choice for several reasons.  It provides </w:t>
      </w:r>
      <w:r>
        <w:t>a</w:t>
      </w:r>
      <w:r>
        <w:rPr>
          <w:lang w:eastAsia="zh-CN"/>
        </w:rPr>
        <w:t xml:space="preserve"> </w:t>
      </w:r>
      <w:r>
        <w:t xml:space="preserve">more direct and comprehensive measure of </w:t>
      </w:r>
      <w:r>
        <w:rPr>
          <w:lang w:eastAsia="zh-CN"/>
        </w:rPr>
        <w:t xml:space="preserve">informed trading </w:t>
      </w:r>
      <w:r>
        <w:t>that is</w:t>
      </w:r>
      <w:r>
        <w:rPr>
          <w:lang w:eastAsia="zh-CN"/>
        </w:rPr>
        <w:t xml:space="preserve"> </w:t>
      </w:r>
      <w:r>
        <w:t>stable in the long-term</w:t>
      </w:r>
      <w:r>
        <w:rPr>
          <w:lang w:eastAsia="zh-CN"/>
        </w:rPr>
        <w:t xml:space="preserve">, </w:t>
      </w:r>
      <w:r w:rsidR="00EF3D65">
        <w:rPr>
          <w:lang w:eastAsia="zh-CN"/>
        </w:rPr>
        <w:t>plus</w:t>
      </w:r>
      <w:r>
        <w:rPr>
          <w:lang w:eastAsia="zh-CN"/>
        </w:rPr>
        <w:t xml:space="preserve"> it captures the underlying structure of informed trading by revealing the different composition of informed trading based on positive or negative private information</w:t>
      </w:r>
      <w:r>
        <w:t>.  It is superior to spread-based proxies of</w:t>
      </w:r>
      <w:r>
        <w:rPr>
          <w:lang w:eastAsia="zh-CN"/>
        </w:rPr>
        <w:t xml:space="preserve"> </w:t>
      </w:r>
      <w:r>
        <w:t>in</w:t>
      </w:r>
      <w:r>
        <w:rPr>
          <w:lang w:eastAsia="zh-CN"/>
        </w:rPr>
        <w:t>formed trading as these are</w:t>
      </w:r>
      <w:r>
        <w:t xml:space="preserve"> more likely to capture short term</w:t>
      </w:r>
      <w:r>
        <w:rPr>
          <w:lang w:eastAsia="zh-CN"/>
        </w:rPr>
        <w:t xml:space="preserve"> </w:t>
      </w:r>
      <w:r>
        <w:t xml:space="preserve">factors associated with responses </w:t>
      </w:r>
      <w:r w:rsidR="00EF3D65">
        <w:t>to dealer</w:t>
      </w:r>
      <w:r>
        <w:t>s</w:t>
      </w:r>
      <w:r w:rsidR="00EF3D65">
        <w:t>’</w:t>
      </w:r>
      <w:r>
        <w:t xml:space="preserve"> inventory order imbalance</w:t>
      </w:r>
      <w:r>
        <w:rPr>
          <w:lang w:eastAsia="zh-CN"/>
        </w:rPr>
        <w:t xml:space="preserve"> </w:t>
      </w:r>
      <w:r>
        <w:t>than long-term information asymmetry (Callahan et al., 1997;</w:t>
      </w:r>
      <w:r>
        <w:rPr>
          <w:lang w:eastAsia="zh-CN"/>
        </w:rPr>
        <w:t xml:space="preserve"> </w:t>
      </w:r>
      <w:r>
        <w:t>Madhavan</w:t>
      </w:r>
      <w:r>
        <w:rPr>
          <w:lang w:eastAsia="zh-CN"/>
        </w:rPr>
        <w:t xml:space="preserve"> et al.</w:t>
      </w:r>
      <w:r>
        <w:t xml:space="preserve">, 1997). </w:t>
      </w:r>
      <w:r w:rsidR="00EF3D65">
        <w:t>The</w:t>
      </w:r>
      <w:r>
        <w:t xml:space="preserve"> PIN method avoids</w:t>
      </w:r>
      <w:r>
        <w:rPr>
          <w:lang w:eastAsia="zh-CN"/>
        </w:rPr>
        <w:t xml:space="preserve"> </w:t>
      </w:r>
      <w:r>
        <w:t xml:space="preserve">econometric and interpretation </w:t>
      </w:r>
      <w:r w:rsidR="00165987">
        <w:t>problems</w:t>
      </w:r>
      <w:r>
        <w:t xml:space="preserve"> associated with spread</w:t>
      </w:r>
      <w:r w:rsidR="00EF3D65">
        <w:t>-</w:t>
      </w:r>
      <w:r>
        <w:t>based</w:t>
      </w:r>
      <w:r>
        <w:rPr>
          <w:lang w:eastAsia="zh-CN"/>
        </w:rPr>
        <w:t xml:space="preserve"> </w:t>
      </w:r>
      <w:r>
        <w:t>measures of information asymmetry (Callahan et al., 1997; Neal &amp; Wheatley, 1998; O’Hara</w:t>
      </w:r>
      <w:r w:rsidR="00A42E2A">
        <w:rPr>
          <w:rFonts w:hint="eastAsia"/>
          <w:lang w:eastAsia="zh-CN"/>
        </w:rPr>
        <w:t>,</w:t>
      </w:r>
      <w:r>
        <w:t xml:space="preserve"> 1995). </w:t>
      </w:r>
      <w:r w:rsidR="00EF3D65">
        <w:t xml:space="preserve">Further, </w:t>
      </w:r>
      <w:r>
        <w:t xml:space="preserve">PIN is </w:t>
      </w:r>
      <w:r w:rsidR="00EF3D65">
        <w:t>superior to</w:t>
      </w:r>
      <w:r>
        <w:t xml:space="preserve"> other proxies for private information</w:t>
      </w:r>
      <w:r>
        <w:rPr>
          <w:lang w:eastAsia="zh-CN"/>
        </w:rPr>
        <w:t xml:space="preserve"> </w:t>
      </w:r>
      <w:r>
        <w:t>used in earlier ac</w:t>
      </w:r>
      <w:r w:rsidR="00EF3D65">
        <w:t>counting and finance literature</w:t>
      </w:r>
      <w:r>
        <w:t>, such as analyst coverage (Lang</w:t>
      </w:r>
      <w:r>
        <w:rPr>
          <w:lang w:eastAsia="zh-CN"/>
        </w:rPr>
        <w:t xml:space="preserve"> </w:t>
      </w:r>
      <w:r>
        <w:t>et al., 2004; Lang &amp; Lundholm, 1996), abnormal accruals and earnings</w:t>
      </w:r>
      <w:r>
        <w:rPr>
          <w:lang w:eastAsia="zh-CN"/>
        </w:rPr>
        <w:t xml:space="preserve"> </w:t>
      </w:r>
      <w:r>
        <w:t>informativeness (Warfield et al., 1995), and the opac</w:t>
      </w:r>
      <w:r w:rsidR="00EF3D65">
        <w:t>it</w:t>
      </w:r>
      <w:r>
        <w:t>y index (Anderson et al., 2009).</w:t>
      </w:r>
      <w:r>
        <w:rPr>
          <w:lang w:eastAsia="zh-CN"/>
        </w:rPr>
        <w:t xml:space="preserve">  PIN</w:t>
      </w:r>
      <w:r>
        <w:t xml:space="preserve"> captures more private information risk by using information</w:t>
      </w:r>
      <w:r>
        <w:rPr>
          <w:lang w:eastAsia="zh-CN"/>
        </w:rPr>
        <w:t xml:space="preserve"> </w:t>
      </w:r>
      <w:r>
        <w:t xml:space="preserve">on decisions </w:t>
      </w:r>
      <w:r w:rsidR="00EF3D65">
        <w:t xml:space="preserve">by </w:t>
      </w:r>
      <w:r>
        <w:t>all stock market participants rather than individual analysts’</w:t>
      </w:r>
      <w:r>
        <w:rPr>
          <w:lang w:eastAsia="zh-CN"/>
        </w:rPr>
        <w:t xml:space="preserve"> </w:t>
      </w:r>
      <w:r w:rsidR="00EF3D65">
        <w:t>forecasts</w:t>
      </w:r>
      <w:r>
        <w:t xml:space="preserve"> and it clearly focuses on private information risk as the ultimate</w:t>
      </w:r>
      <w:r>
        <w:rPr>
          <w:lang w:eastAsia="zh-CN"/>
        </w:rPr>
        <w:t xml:space="preserve"> </w:t>
      </w:r>
      <w:r>
        <w:t>outcome of public disclosure decision</w:t>
      </w:r>
      <w:r w:rsidR="00165987">
        <w:t>s</w:t>
      </w:r>
      <w:r>
        <w:t>. PIN is more effective as it represents a reliable and stable firm information structure</w:t>
      </w:r>
      <w:r>
        <w:rPr>
          <w:lang w:eastAsia="zh-CN"/>
        </w:rPr>
        <w:t xml:space="preserve"> </w:t>
      </w:r>
      <w:r>
        <w:t>that captures long-term private information abuse risk in the stock market (Easley</w:t>
      </w:r>
      <w:r>
        <w:rPr>
          <w:lang w:eastAsia="zh-CN"/>
        </w:rPr>
        <w:t xml:space="preserve"> et al.</w:t>
      </w:r>
      <w:r>
        <w:t>,</w:t>
      </w:r>
      <w:r>
        <w:rPr>
          <w:lang w:eastAsia="zh-CN"/>
        </w:rPr>
        <w:t xml:space="preserve"> </w:t>
      </w:r>
      <w:r>
        <w:t xml:space="preserve">2002). </w:t>
      </w:r>
      <w:r>
        <w:rPr>
          <w:lang w:eastAsia="zh-CN"/>
        </w:rPr>
        <w:t xml:space="preserve">Finally, by decomposing PIN into the different nature of informed trading based on positive or negative private information, the difference between the levels of each can be used to measure the structure of informed </w:t>
      </w:r>
      <w:r>
        <w:rPr>
          <w:lang w:eastAsia="zh-CN"/>
        </w:rPr>
        <w:lastRenderedPageBreak/>
        <w:t>trading, which is one of the key contributions of this paper. Although some researchers (for example, Mohanram and Rajgopal</w:t>
      </w:r>
      <w:r w:rsidR="00A42E2A">
        <w:rPr>
          <w:rFonts w:hint="eastAsia"/>
          <w:lang w:eastAsia="zh-CN"/>
        </w:rPr>
        <w:t>,</w:t>
      </w:r>
      <w:r>
        <w:rPr>
          <w:lang w:eastAsia="zh-CN"/>
        </w:rPr>
        <w:t xml:space="preserve"> 2009; Duarte and Young</w:t>
      </w:r>
      <w:r w:rsidR="00A42E2A">
        <w:rPr>
          <w:rFonts w:hint="eastAsia"/>
          <w:lang w:eastAsia="zh-CN"/>
        </w:rPr>
        <w:t>,</w:t>
      </w:r>
      <w:r>
        <w:rPr>
          <w:lang w:eastAsia="zh-CN"/>
        </w:rPr>
        <w:t xml:space="preserve"> 2009) raise concerns that PIN captures liquidity risk rather than information risk in explaining asset returns, recent research on bond (Li et al</w:t>
      </w:r>
      <w:r w:rsidR="00A42E2A">
        <w:rPr>
          <w:rFonts w:hint="eastAsia"/>
          <w:lang w:eastAsia="zh-CN"/>
        </w:rPr>
        <w:t>.,</w:t>
      </w:r>
      <w:r>
        <w:rPr>
          <w:lang w:eastAsia="zh-CN"/>
        </w:rPr>
        <w:t xml:space="preserve"> 2010) and stock market</w:t>
      </w:r>
      <w:r w:rsidR="00165987">
        <w:rPr>
          <w:lang w:eastAsia="zh-CN"/>
        </w:rPr>
        <w:t>s</w:t>
      </w:r>
      <w:r>
        <w:rPr>
          <w:lang w:eastAsia="zh-CN"/>
        </w:rPr>
        <w:t xml:space="preserve"> (Aslan et al., 2010) show that PIN represents an information risk rather than  liquidity</w:t>
      </w:r>
      <w:r w:rsidR="005523C9">
        <w:rPr>
          <w:lang w:eastAsia="zh-CN"/>
        </w:rPr>
        <w:t xml:space="preserve"> metric</w:t>
      </w:r>
      <w:r>
        <w:rPr>
          <w:lang w:eastAsia="zh-CN"/>
        </w:rPr>
        <w:t>. Venter and Jongh (2006) suggest an extension of PIN that improves the fit of the model. However, while the PIN model may impose a downward bias on the possibility of detecting informed</w:t>
      </w:r>
      <w:r w:rsidR="005523C9">
        <w:rPr>
          <w:lang w:eastAsia="zh-CN"/>
        </w:rPr>
        <w:t xml:space="preserve"> trading (Boehmer et al., 2007)</w:t>
      </w:r>
      <w:r>
        <w:rPr>
          <w:lang w:eastAsia="zh-CN"/>
        </w:rPr>
        <w:t xml:space="preserve"> it does not invalidate the results here. </w:t>
      </w:r>
    </w:p>
    <w:p w:rsidR="005523C9" w:rsidRDefault="009C0A0C">
      <w:pPr>
        <w:spacing w:line="48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margin-left:178.7pt;margin-top:185.05pt;width:93.9pt;height:33.8pt;z-index:251655168">
            <v:imagedata r:id="rId8" o:title=""/>
          </v:shape>
          <o:OLEObject Type="Embed" ProgID="Equation.3" ShapeID="_x0000_s1132" DrawAspect="Content" ObjectID="_1498724325" r:id="rId9"/>
        </w:object>
      </w:r>
      <w:r w:rsidR="00887848">
        <w:rPr>
          <w:lang w:eastAsia="zh-CN"/>
        </w:rPr>
        <w:tab/>
      </w:r>
      <w:r w:rsidR="00887848">
        <w:t xml:space="preserve">It is impossible to identify the informed traders with private information </w:t>
      </w:r>
      <w:r w:rsidR="00165987">
        <w:t xml:space="preserve">specifically </w:t>
      </w:r>
      <w:r w:rsidR="00887848">
        <w:t xml:space="preserve">but the presence of informed trading in the market can be inferred from large imbalances between the number of buy and sell orders. </w:t>
      </w:r>
      <w:r w:rsidR="00887848">
        <w:rPr>
          <w:lang w:eastAsia="zh-CN"/>
        </w:rPr>
        <w:t xml:space="preserve">On an ordinary trading day without private information releases, trade orders from buyers and sellers are roughly balanced. However, when private information is obtained by some market participants, there will be a large imbalance in the order flow, with buyer- or seller-initiated trades playing a dominate role. </w:t>
      </w:r>
      <w:r w:rsidR="00887848">
        <w:t>The probability of an informed trade with private information has the following form:</w:t>
      </w:r>
    </w:p>
    <w:p w:rsidR="00E862B4" w:rsidRDefault="009330F6" w:rsidP="00E862B4">
      <w:pPr>
        <w:spacing w:line="480" w:lineRule="auto"/>
        <w:jc w:val="right"/>
        <w:rPr>
          <w:lang w:eastAsia="zh-CN"/>
        </w:rPr>
      </w:pPr>
      <w:r>
        <w:rPr>
          <w:rFonts w:hint="eastAsia"/>
          <w:lang w:eastAsia="zh-CN"/>
        </w:rPr>
        <w:t>(1)</w:t>
      </w:r>
    </w:p>
    <w:p w:rsidR="005523C9" w:rsidRDefault="009C0A0C">
      <w:pPr>
        <w:spacing w:line="480" w:lineRule="auto"/>
        <w:rPr>
          <w:lang w:val="en-US" w:eastAsia="zh-CN"/>
        </w:rPr>
      </w:pPr>
      <w:r>
        <w:rPr>
          <w:noProof/>
          <w:position w:val="-28"/>
        </w:rPr>
        <w:object w:dxaOrig="1440" w:dyaOrig="1440">
          <v:shape id="_x0000_s1133" type="#_x0000_t75" style="position:absolute;margin-left:183.05pt;margin-top:174.2pt;width:85.15pt;height:30.05pt;z-index:251656192">
            <v:imagedata r:id="rId10" o:title=""/>
          </v:shape>
          <o:OLEObject Type="Embed" ProgID="Equation.3" ShapeID="_x0000_s1133" DrawAspect="Content" ObjectID="_1498724326" r:id="rId11"/>
        </w:object>
      </w:r>
      <w:r w:rsidR="00246986">
        <w:rPr>
          <w:rFonts w:hint="eastAsia"/>
          <w:lang w:eastAsia="zh-CN"/>
        </w:rPr>
        <w:tab/>
      </w:r>
      <w:r w:rsidR="00887848">
        <w:t xml:space="preserve">The numerator is the expected number of informed trades (that is, the product of the probability of a trading day with private information </w:t>
      </w:r>
      <w:r w:rsidR="009330F6" w:rsidRPr="00C81F42">
        <w:rPr>
          <w:position w:val="-6"/>
        </w:rPr>
        <w:object w:dxaOrig="240" w:dyaOrig="220">
          <v:shape id="_x0000_i1025" type="#_x0000_t75" style="width:12pt;height:11pt" o:ole="">
            <v:imagedata r:id="rId12" o:title=""/>
          </v:shape>
          <o:OLEObject Type="Embed" ProgID="Equation.3" ShapeID="_x0000_i1025" DrawAspect="Content" ObjectID="_1498724314" r:id="rId13"/>
        </w:object>
      </w:r>
      <w:r w:rsidR="00887848">
        <w:t xml:space="preserve"> and the arrival rate of informed trading </w:t>
      </w:r>
      <w:r w:rsidR="009330F6" w:rsidRPr="00C81F42">
        <w:rPr>
          <w:position w:val="-10"/>
        </w:rPr>
        <w:object w:dxaOrig="240" w:dyaOrig="260">
          <v:shape id="_x0000_i1026" type="#_x0000_t75" style="width:12pt;height:13pt" o:ole="">
            <v:imagedata r:id="rId14" o:title=""/>
          </v:shape>
          <o:OLEObject Type="Embed" ProgID="Equation.3" ShapeID="_x0000_i1026" DrawAspect="Content" ObjectID="_1498724315" r:id="rId15"/>
        </w:object>
      </w:r>
      <w:r w:rsidR="00887848">
        <w:t>).  The denominator is total trading activity, including both informed trading αμ and the arrival rate of un-informed buy orders</w:t>
      </w:r>
      <w:r w:rsidR="00887848">
        <w:rPr>
          <w:color w:val="000000"/>
        </w:rPr>
        <w:t xml:space="preserve"> </w:t>
      </w:r>
      <w:r w:rsidR="009330F6" w:rsidRPr="009330F6">
        <w:rPr>
          <w:position w:val="-12"/>
        </w:rPr>
        <w:object w:dxaOrig="279" w:dyaOrig="360">
          <v:shape id="_x0000_i1027" type="#_x0000_t75" style="width:13pt;height:18pt" o:ole="">
            <v:imagedata r:id="rId16" o:title=""/>
          </v:shape>
          <o:OLEObject Type="Embed" ProgID="Equation.3" ShapeID="_x0000_i1027" DrawAspect="Content" ObjectID="_1498724316" r:id="rId17"/>
        </w:object>
      </w:r>
      <w:r w:rsidR="00887848">
        <w:rPr>
          <w:color w:val="000000"/>
        </w:rPr>
        <w:t xml:space="preserve"> </w:t>
      </w:r>
      <w:r w:rsidR="00887848">
        <w:t xml:space="preserve">and sell orders </w:t>
      </w:r>
      <w:r w:rsidR="009330F6" w:rsidRPr="00C81F42">
        <w:rPr>
          <w:position w:val="-12"/>
        </w:rPr>
        <w:object w:dxaOrig="240" w:dyaOrig="360">
          <v:shape id="_x0000_i1028" type="#_x0000_t75" style="width:12pt;height:18pt" o:ole="">
            <v:imagedata r:id="rId18" o:title=""/>
          </v:shape>
          <o:OLEObject Type="Embed" ProgID="Equation.3" ShapeID="_x0000_i1028" DrawAspect="Content" ObjectID="_1498724317" r:id="rId19"/>
        </w:object>
      </w:r>
      <w:r w:rsidR="00887848">
        <w:t xml:space="preserve">. Under sufficient </w:t>
      </w:r>
      <w:r w:rsidR="0059008F">
        <w:t>i</w:t>
      </w:r>
      <w:r w:rsidR="00887848">
        <w:t xml:space="preserve">ndependence conditions across trading days, the </w:t>
      </w:r>
      <w:r w:rsidR="00887848">
        <w:rPr>
          <w:lang w:val="en-US" w:eastAsia="zh-CN"/>
        </w:rPr>
        <w:t>trading parameters</w:t>
      </w:r>
      <w:r w:rsidR="009330F6" w:rsidRPr="009330F6">
        <w:rPr>
          <w:position w:val="-12"/>
          <w:lang w:val="en-US" w:eastAsia="zh-CN"/>
        </w:rPr>
        <w:object w:dxaOrig="1840" w:dyaOrig="360">
          <v:shape id="_x0000_i1029" type="#_x0000_t75" style="width:92.5pt;height:18pt" o:ole="">
            <v:imagedata r:id="rId20" o:title=""/>
          </v:shape>
          <o:OLEObject Type="Embed" ProgID="Equation.3" ShapeID="_x0000_i1029" DrawAspect="Content" ObjectID="_1498724318" r:id="rId21"/>
        </w:object>
      </w:r>
      <w:r w:rsidR="00887848">
        <w:rPr>
          <w:lang w:val="en-US" w:eastAsia="zh-CN"/>
        </w:rPr>
        <w:t xml:space="preserve"> are estimated simultaneously by maximizing the likelihood function</w:t>
      </w:r>
      <w:r w:rsidR="005523C9">
        <w:rPr>
          <w:lang w:val="en-US" w:eastAsia="zh-CN"/>
        </w:rPr>
        <w:t xml:space="preserve"> </w:t>
      </w:r>
    </w:p>
    <w:p w:rsidR="00E862B4" w:rsidRPr="00E862B4" w:rsidRDefault="00E862B4" w:rsidP="00E862B4">
      <w:pPr>
        <w:spacing w:line="480" w:lineRule="auto"/>
        <w:jc w:val="right"/>
        <w:rPr>
          <w:lang w:eastAsia="zh-CN"/>
        </w:rPr>
      </w:pPr>
      <w:r w:rsidRPr="00E862B4">
        <w:rPr>
          <w:lang w:eastAsia="zh-CN"/>
        </w:rPr>
        <w:t>(2)</w:t>
      </w:r>
    </w:p>
    <w:p w:rsidR="005523C9" w:rsidRDefault="00887848">
      <w:pPr>
        <w:spacing w:line="480" w:lineRule="auto"/>
      </w:pPr>
      <w:r>
        <w:rPr>
          <w:lang w:val="en-US" w:eastAsia="zh-CN"/>
        </w:rPr>
        <w:t xml:space="preserve">for each share for at least 40 days. </w:t>
      </w:r>
      <w:r>
        <w:t>The daily numbers of buyer</w:t>
      </w:r>
      <w:r>
        <w:rPr>
          <w:lang w:eastAsia="zh-CN"/>
        </w:rPr>
        <w:t>- or seller-initiated</w:t>
      </w:r>
      <w:r>
        <w:t xml:space="preserve"> orders</w:t>
      </w:r>
    </w:p>
    <w:p w:rsidR="00887848" w:rsidRPr="005523C9" w:rsidRDefault="00246986">
      <w:pPr>
        <w:spacing w:line="480" w:lineRule="auto"/>
        <w:rPr>
          <w:lang w:val="en-US" w:eastAsia="zh-CN"/>
        </w:rPr>
      </w:pPr>
      <w:r w:rsidRPr="009330F6">
        <w:rPr>
          <w:position w:val="-12"/>
        </w:rPr>
        <w:object w:dxaOrig="760" w:dyaOrig="360">
          <v:shape id="_x0000_i1030" type="#_x0000_t75" style="width:38pt;height:18pt" o:ole="">
            <v:imagedata r:id="rId22" o:title=""/>
          </v:shape>
          <o:OLEObject Type="Embed" ProgID="Equation.3" ShapeID="_x0000_i1030" DrawAspect="Content" ObjectID="_1498724319" r:id="rId23"/>
        </w:object>
      </w:r>
      <w:r w:rsidR="00887848">
        <w:t xml:space="preserve">are sufficient statistics to estimate the parameter vector </w:t>
      </w:r>
      <w:r w:rsidRPr="009330F6">
        <w:rPr>
          <w:position w:val="-6"/>
        </w:rPr>
        <w:object w:dxaOrig="200" w:dyaOrig="279">
          <v:shape id="_x0000_i1031" type="#_x0000_t75" style="width:11pt;height:13pt" o:ole="">
            <v:imagedata r:id="rId24" o:title=""/>
          </v:shape>
          <o:OLEObject Type="Embed" ProgID="Equation.3" ShapeID="_x0000_i1031" DrawAspect="Content" ObjectID="_1498724320" r:id="rId25"/>
        </w:object>
      </w:r>
      <w:r w:rsidR="00887848">
        <w:t xml:space="preserve"> and calculate PIN. </w:t>
      </w:r>
      <w:r w:rsidR="00887848">
        <w:rPr>
          <w:lang w:eastAsia="zh-CN"/>
        </w:rPr>
        <w:t>For each single trading day</w:t>
      </w:r>
      <w:r w:rsidRPr="009330F6">
        <w:rPr>
          <w:position w:val="-6"/>
          <w:lang w:eastAsia="zh-CN"/>
        </w:rPr>
        <w:object w:dxaOrig="139" w:dyaOrig="260">
          <v:shape id="_x0000_i1032" type="#_x0000_t75" style="width:7pt;height:13pt" o:ole="">
            <v:imagedata r:id="rId26" o:title=""/>
          </v:shape>
          <o:OLEObject Type="Embed" ProgID="Equation.3" ShapeID="_x0000_i1032" DrawAspect="Content" ObjectID="_1498724321" r:id="rId27"/>
        </w:object>
      </w:r>
      <w:r w:rsidR="00887848">
        <w:rPr>
          <w:lang w:eastAsia="zh-CN"/>
        </w:rPr>
        <w:t xml:space="preserve">, </w:t>
      </w:r>
      <w:r w:rsidR="00887848">
        <w:t xml:space="preserve">this likelihood L is a mixed distribution where the trade outcomes are weighted by the probability of it being a good news day, </w:t>
      </w:r>
      <w:r w:rsidRPr="00246986">
        <w:rPr>
          <w:position w:val="-10"/>
        </w:rPr>
        <w:object w:dxaOrig="840" w:dyaOrig="320">
          <v:shape id="_x0000_i1033" type="#_x0000_t75" style="width:42pt;height:16pt" o:ole="">
            <v:imagedata r:id="rId28" o:title=""/>
          </v:shape>
          <o:OLEObject Type="Embed" ProgID="Equation.3" ShapeID="_x0000_i1033" DrawAspect="Content" ObjectID="_1498724322" r:id="rId29"/>
        </w:object>
      </w:r>
      <w:r w:rsidR="00887848">
        <w:t xml:space="preserve">, a bad news day, </w:t>
      </w:r>
      <w:r w:rsidRPr="00C81F42">
        <w:rPr>
          <w:position w:val="-10"/>
        </w:rPr>
        <w:object w:dxaOrig="540" w:dyaOrig="320">
          <v:shape id="_x0000_i1034" type="#_x0000_t75" style="width:27.5pt;height:16pt" o:ole="">
            <v:imagedata r:id="rId30" o:title=""/>
          </v:shape>
          <o:OLEObject Type="Embed" ProgID="Equation.3" ShapeID="_x0000_i1034" DrawAspect="Content" ObjectID="_1498724323" r:id="rId31"/>
        </w:object>
      </w:r>
      <w:r w:rsidR="00887848">
        <w:t>, and a no news day</w:t>
      </w:r>
      <w:r>
        <w:rPr>
          <w:rFonts w:hint="eastAsia"/>
          <w:lang w:eastAsia="zh-CN"/>
        </w:rPr>
        <w:t>,</w:t>
      </w:r>
      <w:r w:rsidR="00887848">
        <w:t xml:space="preserve"> </w:t>
      </w:r>
      <w:r w:rsidRPr="00C81F42">
        <w:rPr>
          <w:position w:val="-10"/>
        </w:rPr>
        <w:object w:dxaOrig="700" w:dyaOrig="320">
          <v:shape id="_x0000_i1035" type="#_x0000_t75" style="width:35pt;height:16pt" o:ole="">
            <v:imagedata r:id="rId32" o:title=""/>
          </v:shape>
          <o:OLEObject Type="Embed" ProgID="Equation.3" ShapeID="_x0000_i1035" DrawAspect="Content" ObjectID="_1498724324" r:id="rId33"/>
        </w:object>
      </w:r>
      <w:r w:rsidR="00887848">
        <w:t>. The trade process for a single trading day is:</w:t>
      </w:r>
    </w:p>
    <w:p w:rsidR="00E862B4" w:rsidRDefault="009C0A0C" w:rsidP="00E862B4">
      <w:pPr>
        <w:spacing w:line="360" w:lineRule="auto"/>
        <w:jc w:val="right"/>
        <w:rPr>
          <w:noProof/>
          <w:lang w:eastAsia="zh-CN"/>
        </w:rPr>
      </w:pPr>
      <w:r>
        <w:rPr>
          <w:noProof/>
        </w:rPr>
        <w:object w:dxaOrig="1440" w:dyaOrig="1440">
          <v:shape id="_x0000_s1134" type="#_x0000_t75" style="position:absolute;left:0;text-align:left;margin-left:152.4pt;margin-top:-6.15pt;width:167.8pt;height:100.8pt;z-index:-251659264">
            <v:imagedata r:id="rId34" o:title=""/>
          </v:shape>
          <o:OLEObject Type="Embed" ProgID="Equation.3" ShapeID="_x0000_s1134" DrawAspect="Content" ObjectID="_1498724327" r:id="rId35"/>
        </w:object>
      </w:r>
      <w:r w:rsidR="00246986">
        <w:rPr>
          <w:rFonts w:hint="eastAsia"/>
          <w:noProof/>
          <w:lang w:eastAsia="zh-CN"/>
        </w:rPr>
        <w:t>(3)</w:t>
      </w:r>
      <w:r w:rsidR="00887848">
        <w:rPr>
          <w:noProof/>
          <w:lang w:eastAsia="zh-CN"/>
        </w:rPr>
        <w:t xml:space="preserve">  </w:t>
      </w:r>
    </w:p>
    <w:p w:rsidR="00246986" w:rsidRDefault="00246986">
      <w:pPr>
        <w:spacing w:line="480" w:lineRule="auto"/>
        <w:ind w:firstLine="720"/>
        <w:rPr>
          <w:lang w:eastAsia="zh-CN"/>
        </w:rPr>
      </w:pPr>
    </w:p>
    <w:p w:rsidR="00246986" w:rsidRDefault="00246986">
      <w:pPr>
        <w:spacing w:line="480" w:lineRule="auto"/>
        <w:ind w:firstLine="720"/>
        <w:rPr>
          <w:lang w:eastAsia="zh-CN"/>
        </w:rPr>
      </w:pPr>
    </w:p>
    <w:p w:rsidR="00246986" w:rsidRDefault="00246986">
      <w:pPr>
        <w:spacing w:line="480" w:lineRule="auto"/>
        <w:ind w:firstLine="720"/>
        <w:rPr>
          <w:lang w:eastAsia="zh-CN"/>
        </w:rPr>
      </w:pPr>
    </w:p>
    <w:p w:rsidR="00887848" w:rsidRDefault="00887848">
      <w:pPr>
        <w:spacing w:line="480" w:lineRule="auto"/>
        <w:ind w:firstLine="720"/>
        <w:rPr>
          <w:lang w:eastAsia="zh-CN"/>
        </w:rPr>
      </w:pPr>
      <w:r>
        <w:rPr>
          <w:lang w:eastAsia="zh-CN"/>
        </w:rPr>
        <w:t>Each trade is specified as buyer- or seller-initiated using the standard Lee–Ready algorithm (Lee and Ready</w:t>
      </w:r>
      <w:r w:rsidR="00A42E2A">
        <w:rPr>
          <w:rFonts w:hint="eastAsia"/>
          <w:lang w:eastAsia="zh-CN"/>
        </w:rPr>
        <w:t>,</w:t>
      </w:r>
      <w:r>
        <w:rPr>
          <w:lang w:eastAsia="zh-CN"/>
        </w:rPr>
        <w:t xml:space="preserve"> 1991), which classifies any trade above (below) the midpoint of the current quoted spread as a buy (sell) because trades originating from buyers (sellers) are most likely to be executed at or near the ask (bid). For trades taking place at the midpoint, a tick test based on the most recent transaction price is used to classify the trade. Large trades are broken down and matched against multiple investors. Following Hasbrouck (1988), all trades occurring within 5 seconds of each other are classified as a single trade. </w:t>
      </w:r>
    </w:p>
    <w:p w:rsidR="00AC683D" w:rsidRDefault="009C0A0C">
      <w:pPr>
        <w:spacing w:line="480" w:lineRule="auto"/>
      </w:pPr>
      <w:r>
        <w:rPr>
          <w:noProof/>
          <w:lang w:eastAsia="zh-CN"/>
        </w:rPr>
        <w:object w:dxaOrig="1440" w:dyaOrig="1440">
          <v:shape id="_x0000_s1135" type="#_x0000_t75" style="position:absolute;margin-left:0;margin-top:70pt;width:100.9pt;height:33.8pt;z-index:251658240;mso-position-horizontal:center">
            <v:imagedata r:id="rId36" o:title=""/>
          </v:shape>
          <o:OLEObject Type="Embed" ProgID="Equation.3" ShapeID="_x0000_s1135" DrawAspect="Content" ObjectID="_1498724328" r:id="rId37"/>
        </w:object>
      </w:r>
      <w:r w:rsidR="00887848">
        <w:rPr>
          <w:lang w:eastAsia="zh-CN"/>
        </w:rPr>
        <w:tab/>
        <w:t>The structure of</w:t>
      </w:r>
      <w:r w:rsidR="00887848">
        <w:t xml:space="preserve"> inform</w:t>
      </w:r>
      <w:r w:rsidR="00887848">
        <w:rPr>
          <w:lang w:eastAsia="zh-CN"/>
        </w:rPr>
        <w:t xml:space="preserve">ed trading </w:t>
      </w:r>
      <w:r w:rsidR="00887848">
        <w:t xml:space="preserve">is measured by the difference between the level of informed trading on positive and negative private information (DF). </w:t>
      </w:r>
      <w:r w:rsidR="00887848">
        <w:rPr>
          <w:lang w:eastAsia="zh-CN"/>
        </w:rPr>
        <w:t>The level of informed trading on positive private information (PPIN) is measured by:</w:t>
      </w:r>
    </w:p>
    <w:p w:rsidR="00E862B4" w:rsidRDefault="00246986" w:rsidP="00E862B4">
      <w:pPr>
        <w:spacing w:line="480" w:lineRule="auto"/>
        <w:jc w:val="right"/>
        <w:rPr>
          <w:lang w:eastAsia="zh-CN"/>
        </w:rPr>
      </w:pPr>
      <w:r w:rsidDel="00246986">
        <w:t xml:space="preserve"> </w:t>
      </w:r>
      <w:r>
        <w:rPr>
          <w:rFonts w:hint="eastAsia"/>
          <w:lang w:eastAsia="zh-CN"/>
        </w:rPr>
        <w:t>(4)</w:t>
      </w:r>
    </w:p>
    <w:p w:rsidR="00AC683D" w:rsidRDefault="009C0A0C">
      <w:pPr>
        <w:spacing w:line="480" w:lineRule="auto"/>
        <w:rPr>
          <w:lang w:eastAsia="zh-CN"/>
        </w:rPr>
      </w:pPr>
      <w:r>
        <w:rPr>
          <w:noProof/>
          <w:lang w:eastAsia="zh-CN"/>
        </w:rPr>
        <w:object w:dxaOrig="1440" w:dyaOrig="1440">
          <v:shape id="_x0000_s1136" type="#_x0000_t75" style="position:absolute;margin-left:174.15pt;margin-top:16.5pt;width:102.9pt;height:33.8pt;z-index:251659264">
            <v:imagedata r:id="rId38" o:title=""/>
          </v:shape>
          <o:OLEObject Type="Embed" ProgID="Equation.3" ShapeID="_x0000_s1136" DrawAspect="Content" ObjectID="_1498724329" r:id="rId39"/>
        </w:object>
      </w:r>
      <w:r w:rsidR="00887848">
        <w:rPr>
          <w:lang w:eastAsia="zh-CN"/>
        </w:rPr>
        <w:t>and for negative private information (NPIN) is measured by:</w:t>
      </w:r>
    </w:p>
    <w:p w:rsidR="00E862B4" w:rsidRDefault="003E13E9" w:rsidP="00E862B4">
      <w:pPr>
        <w:spacing w:line="480" w:lineRule="auto"/>
        <w:jc w:val="right"/>
        <w:rPr>
          <w:bCs/>
        </w:rPr>
      </w:pPr>
      <w:r w:rsidDel="003E13E9">
        <w:t xml:space="preserve"> </w:t>
      </w:r>
      <w:r>
        <w:rPr>
          <w:rFonts w:hint="eastAsia"/>
          <w:lang w:eastAsia="zh-CN"/>
        </w:rPr>
        <w:t>(5)</w:t>
      </w:r>
      <w:r w:rsidR="00887848">
        <w:rPr>
          <w:bCs/>
        </w:rPr>
        <w:t xml:space="preserve"> </w:t>
      </w:r>
    </w:p>
    <w:p w:rsidR="003E13E9" w:rsidRDefault="00887848" w:rsidP="00AC683D">
      <w:pPr>
        <w:spacing w:line="480" w:lineRule="auto"/>
        <w:rPr>
          <w:bCs/>
          <w:lang w:eastAsia="zh-CN"/>
        </w:rPr>
      </w:pPr>
      <w:r>
        <w:rPr>
          <w:bCs/>
        </w:rPr>
        <w:t xml:space="preserve">Therefore the difference is measured: </w:t>
      </w:r>
    </w:p>
    <w:p w:rsidR="00E862B4" w:rsidRDefault="009C0A0C" w:rsidP="00E862B4">
      <w:pPr>
        <w:spacing w:line="480" w:lineRule="auto"/>
        <w:jc w:val="right"/>
        <w:rPr>
          <w:lang w:eastAsia="zh-CN"/>
        </w:rPr>
      </w:pPr>
      <w:r>
        <w:rPr>
          <w:noProof/>
          <w:lang w:eastAsia="zh-CN"/>
        </w:rPr>
        <w:object w:dxaOrig="1440" w:dyaOrig="1440">
          <v:shape id="_x0000_s1137" type="#_x0000_t75" style="position:absolute;left:0;text-align:left;margin-left:178.55pt;margin-top:0;width:92.9pt;height:13.85pt;z-index:251660288">
            <v:imagedata r:id="rId40" o:title=""/>
          </v:shape>
          <o:OLEObject Type="Embed" ProgID="Equation.3" ShapeID="_x0000_s1137" DrawAspect="Content" ObjectID="_1498724330" r:id="rId41"/>
        </w:object>
      </w:r>
      <w:r w:rsidR="003E13E9">
        <w:rPr>
          <w:rFonts w:hint="eastAsia"/>
          <w:lang w:eastAsia="zh-CN"/>
        </w:rPr>
        <w:t xml:space="preserve"> (6)</w:t>
      </w:r>
    </w:p>
    <w:p w:rsidR="00CA4DA6" w:rsidRDefault="00CA4DA6" w:rsidP="00CA4DA6">
      <w:pPr>
        <w:spacing w:line="480" w:lineRule="auto"/>
        <w:ind w:firstLine="720"/>
        <w:rPr>
          <w:bCs/>
        </w:rPr>
      </w:pPr>
      <w:r>
        <w:rPr>
          <w:bCs/>
        </w:rPr>
        <w:t xml:space="preserve">Following the finance literature, Tobin’s Q is used to measure firm performance and defined as the market value of total assets divided by the book value of total assets, at year </w:t>
      </w:r>
      <w:r>
        <w:rPr>
          <w:bCs/>
        </w:rPr>
        <w:lastRenderedPageBreak/>
        <w:t>end 2006.</w:t>
      </w:r>
      <w:r>
        <w:rPr>
          <w:lang w:eastAsia="zh-CN"/>
        </w:rPr>
        <w:t xml:space="preserve"> Tobin’s Q reflects a forward-looking, market-based performance proxy that is important for the overall welfare of all investors. Compared with a trading performance measurement</w:t>
      </w:r>
      <w:r w:rsidR="00802B48">
        <w:rPr>
          <w:lang w:eastAsia="zh-CN"/>
        </w:rPr>
        <w:t>s</w:t>
      </w:r>
      <w:r>
        <w:rPr>
          <w:lang w:eastAsia="zh-CN"/>
        </w:rPr>
        <w:t xml:space="preserve"> </w:t>
      </w:r>
      <w:r w:rsidR="00E951E8">
        <w:rPr>
          <w:rFonts w:hint="eastAsia"/>
          <w:lang w:eastAsia="zh-CN"/>
        </w:rPr>
        <w:t xml:space="preserve">such as CAR/BHAR </w:t>
      </w:r>
      <w:r>
        <w:rPr>
          <w:lang w:eastAsia="zh-CN"/>
        </w:rPr>
        <w:t xml:space="preserve">that </w:t>
      </w:r>
      <w:r w:rsidR="00802B48">
        <w:rPr>
          <w:lang w:eastAsia="zh-CN"/>
        </w:rPr>
        <w:t>are</w:t>
      </w:r>
      <w:r>
        <w:rPr>
          <w:lang w:eastAsia="zh-CN"/>
        </w:rPr>
        <w:t xml:space="preserve"> only important to a subset of investors that adopt a particular trading strategy</w:t>
      </w:r>
      <w:r w:rsidR="00E951E8">
        <w:rPr>
          <w:rFonts w:hint="eastAsia"/>
          <w:lang w:eastAsia="zh-CN"/>
        </w:rPr>
        <w:t xml:space="preserve"> based on some </w:t>
      </w:r>
      <w:r w:rsidR="00E951E8">
        <w:rPr>
          <w:lang w:eastAsia="zh-CN"/>
        </w:rPr>
        <w:t>special</w:t>
      </w:r>
      <w:r w:rsidR="00E951E8">
        <w:rPr>
          <w:rFonts w:hint="eastAsia"/>
          <w:lang w:eastAsia="zh-CN"/>
        </w:rPr>
        <w:t xml:space="preserve"> event</w:t>
      </w:r>
      <w:r>
        <w:rPr>
          <w:lang w:eastAsia="zh-CN"/>
        </w:rPr>
        <w:t xml:space="preserve">, Tobin’s Q is preferred here given the corporate governance emphasis of the paper (Anderson et al., 2009; Bruno &amp; Claessens, 2010; Morck et al., 1988). </w:t>
      </w:r>
      <w:r w:rsidR="00FA3FFD">
        <w:rPr>
          <w:lang w:eastAsia="zh-CN"/>
        </w:rPr>
        <w:t xml:space="preserve">In this study, </w:t>
      </w:r>
      <w:r w:rsidR="009541FB">
        <w:rPr>
          <w:lang w:eastAsia="zh-CN"/>
        </w:rPr>
        <w:t>we</w:t>
      </w:r>
      <w:r w:rsidR="00FA3FFD">
        <w:rPr>
          <w:lang w:eastAsia="zh-CN"/>
        </w:rPr>
        <w:t xml:space="preserve"> </w:t>
      </w:r>
      <w:r w:rsidR="00802B48">
        <w:rPr>
          <w:lang w:eastAsia="zh-CN"/>
        </w:rPr>
        <w:t xml:space="preserve">are not </w:t>
      </w:r>
      <w:r w:rsidR="00FA3FFD">
        <w:rPr>
          <w:lang w:eastAsia="zh-CN"/>
        </w:rPr>
        <w:t>focus</w:t>
      </w:r>
      <w:r w:rsidR="00802B48">
        <w:rPr>
          <w:lang w:eastAsia="zh-CN"/>
        </w:rPr>
        <w:t>ed</w:t>
      </w:r>
      <w:r w:rsidR="00FA3FFD">
        <w:rPr>
          <w:lang w:eastAsia="zh-CN"/>
        </w:rPr>
        <w:t xml:space="preserve"> on any particular event. </w:t>
      </w:r>
      <w:r w:rsidR="009541FB">
        <w:rPr>
          <w:lang w:eastAsia="zh-CN"/>
        </w:rPr>
        <w:t>Rather, we</w:t>
      </w:r>
      <w:r w:rsidR="00E951E8" w:rsidRPr="00E951E8">
        <w:rPr>
          <w:lang w:eastAsia="zh-CN"/>
        </w:rPr>
        <w:t xml:space="preserve"> talk about </w:t>
      </w:r>
      <w:r w:rsidR="009541FB">
        <w:rPr>
          <w:lang w:eastAsia="zh-CN"/>
        </w:rPr>
        <w:t>a</w:t>
      </w:r>
      <w:r w:rsidR="004A4D33">
        <w:rPr>
          <w:lang w:eastAsia="zh-CN"/>
        </w:rPr>
        <w:t xml:space="preserve"> </w:t>
      </w:r>
      <w:r w:rsidR="00E951E8" w:rsidRPr="00E951E8">
        <w:rPr>
          <w:lang w:eastAsia="zh-CN"/>
        </w:rPr>
        <w:t>continuous information environment associated with the company. Therefore, our focus will be on investor evaluation</w:t>
      </w:r>
      <w:r w:rsidR="00407332">
        <w:rPr>
          <w:lang w:eastAsia="zh-CN"/>
        </w:rPr>
        <w:t xml:space="preserve"> related to this environment</w:t>
      </w:r>
      <w:r w:rsidR="009541FB">
        <w:rPr>
          <w:lang w:eastAsia="zh-CN"/>
        </w:rPr>
        <w:t>,</w:t>
      </w:r>
      <w:r w:rsidR="00E951E8" w:rsidRPr="00E951E8">
        <w:rPr>
          <w:lang w:eastAsia="zh-CN"/>
        </w:rPr>
        <w:t xml:space="preserve"> which is captured by Tobin’s Q, and how the continuous dynamic price discovery process via informed trading affects valuation. </w:t>
      </w:r>
      <w:r>
        <w:t>In the sensitivity tests, we used market value of common equity to book value of common equity</w:t>
      </w:r>
      <w:r>
        <w:rPr>
          <w:lang w:eastAsia="zh-CN"/>
        </w:rPr>
        <w:t xml:space="preserve"> (M/B)</w:t>
      </w:r>
      <w:r>
        <w:t xml:space="preserve"> as the </w:t>
      </w:r>
      <w:r w:rsidR="004A4D33">
        <w:t>alternative performance measure</w:t>
      </w:r>
      <w:r w:rsidR="007150CA">
        <w:t>,</w:t>
      </w:r>
      <w:r>
        <w:t xml:space="preserve"> and the results were robust.</w:t>
      </w:r>
    </w:p>
    <w:p w:rsidR="00887848" w:rsidRDefault="00C659AF" w:rsidP="00FA3FFD">
      <w:pPr>
        <w:spacing w:line="480" w:lineRule="auto"/>
        <w:ind w:firstLine="720"/>
        <w:rPr>
          <w:lang w:eastAsia="zh-CN"/>
        </w:rPr>
      </w:pPr>
      <w:r>
        <w:t xml:space="preserve">Family ownership is a key variable in our analysis. </w:t>
      </w:r>
      <w:r w:rsidR="000B5C1F">
        <w:t xml:space="preserve">This variable </w:t>
      </w:r>
      <w:r w:rsidR="00887848">
        <w:t xml:space="preserve"> is defined as the equity holding of the largest individual shareholder and close family. Following Claessens</w:t>
      </w:r>
      <w:r w:rsidR="00887848">
        <w:rPr>
          <w:lang w:eastAsia="zh-CN"/>
        </w:rPr>
        <w:t xml:space="preserve"> et al.</w:t>
      </w:r>
      <w:r w:rsidR="00887848">
        <w:t xml:space="preserve"> (2000), membership of the controlling family is identified by linking corporate insiders including CEO, board members, board chairman, honorary chairman and vice chairman that share a common family and second name with the largest owner. The shareholding of individual family members is summed to define the total for the family. In addition to the share ownership stakes directly owned by the controlling family, ownership by outside firms controlled by the same family are also included. The latter accounts for an ownership pyramid effect that may increase voting power beyond the limits of immediate share ownership (see Zingales</w:t>
      </w:r>
      <w:r w:rsidR="00272543">
        <w:rPr>
          <w:rFonts w:hint="eastAsia"/>
          <w:lang w:eastAsia="zh-CN"/>
        </w:rPr>
        <w:t>,</w:t>
      </w:r>
      <w:r w:rsidR="00887848">
        <w:t>1995</w:t>
      </w:r>
      <w:r w:rsidR="00272543">
        <w:rPr>
          <w:rFonts w:hint="eastAsia"/>
          <w:lang w:eastAsia="zh-CN"/>
        </w:rPr>
        <w:t>,</w:t>
      </w:r>
      <w:r w:rsidR="00887848">
        <w:t xml:space="preserve"> for a discussion). </w:t>
      </w:r>
      <w:r w:rsidR="00887848">
        <w:rPr>
          <w:lang w:eastAsia="zh-CN"/>
        </w:rPr>
        <w:t>Since in many emerging economies large control stakes are common (La Porta et al., 1999), minimum thresholds for family ownership (</w:t>
      </w:r>
      <w:r w:rsidR="00AC683D">
        <w:rPr>
          <w:lang w:eastAsia="zh-CN"/>
        </w:rPr>
        <w:t>for example,</w:t>
      </w:r>
      <w:r w:rsidR="00887848">
        <w:rPr>
          <w:lang w:eastAsia="zh-CN"/>
        </w:rPr>
        <w:t xml:space="preserve">10%,or 20%) are </w:t>
      </w:r>
      <w:r w:rsidR="008D3B08">
        <w:rPr>
          <w:lang w:eastAsia="zh-CN"/>
        </w:rPr>
        <w:t>usual</w:t>
      </w:r>
      <w:r w:rsidR="00887848">
        <w:rPr>
          <w:lang w:eastAsia="zh-CN"/>
        </w:rPr>
        <w:t xml:space="preserve"> in the literature (Claessens et al., 2000). In line with previous research, a family firm dummy was created that is equal </w:t>
      </w:r>
      <w:r w:rsidR="00AC683D">
        <w:rPr>
          <w:lang w:eastAsia="zh-CN"/>
        </w:rPr>
        <w:t xml:space="preserve">to </w:t>
      </w:r>
      <w:r w:rsidR="00887848">
        <w:rPr>
          <w:lang w:eastAsia="zh-CN"/>
        </w:rPr>
        <w:t xml:space="preserve">1 if the largest controller </w:t>
      </w:r>
      <w:r w:rsidR="00887848">
        <w:rPr>
          <w:lang w:eastAsia="zh-CN"/>
        </w:rPr>
        <w:lastRenderedPageBreak/>
        <w:t xml:space="preserve">is </w:t>
      </w:r>
      <w:r w:rsidR="00AC683D">
        <w:rPr>
          <w:lang w:eastAsia="zh-CN"/>
        </w:rPr>
        <w:t>a</w:t>
      </w:r>
      <w:r w:rsidR="00887848">
        <w:rPr>
          <w:lang w:eastAsia="zh-CN"/>
        </w:rPr>
        <w:t xml:space="preserve"> family with at least 10% shareholding, 0 otherwise. When we used a similar dummy using </w:t>
      </w:r>
      <w:r w:rsidR="008D3B08">
        <w:rPr>
          <w:lang w:eastAsia="zh-CN"/>
        </w:rPr>
        <w:t xml:space="preserve">a </w:t>
      </w:r>
      <w:r w:rsidR="00887848">
        <w:rPr>
          <w:lang w:eastAsia="zh-CN"/>
        </w:rPr>
        <w:t>20% cut-off, our results were the same.</w:t>
      </w:r>
    </w:p>
    <w:p w:rsidR="00887848" w:rsidRDefault="00887848">
      <w:pPr>
        <w:spacing w:line="480" w:lineRule="auto"/>
        <w:ind w:firstLine="720"/>
        <w:rPr>
          <w:lang w:eastAsia="zh-CN"/>
        </w:rPr>
      </w:pPr>
      <w:r>
        <w:t>All institutional investors with more than 5% shareholdings are considered as institutional block-holders. Following Brickley</w:t>
      </w:r>
      <w:r>
        <w:rPr>
          <w:lang w:eastAsia="zh-CN"/>
        </w:rPr>
        <w:t xml:space="preserve"> et al.</w:t>
      </w:r>
      <w:r>
        <w:t xml:space="preserve"> </w:t>
      </w:r>
      <w:r>
        <w:rPr>
          <w:lang w:eastAsia="zh-CN"/>
        </w:rPr>
        <w:t>(</w:t>
      </w:r>
      <w:r>
        <w:t>1988</w:t>
      </w:r>
      <w:r>
        <w:rPr>
          <w:lang w:eastAsia="zh-CN"/>
        </w:rPr>
        <w:t>),</w:t>
      </w:r>
      <w:r>
        <w:t xml:space="preserve"> institutional block-holders are defined as pressure-sensitive, pressure-</w:t>
      </w:r>
      <w:r>
        <w:rPr>
          <w:lang w:eastAsia="zh-CN"/>
        </w:rPr>
        <w:t xml:space="preserve">resistant </w:t>
      </w:r>
      <w:r>
        <w:t>and pressure-uncertain</w:t>
      </w:r>
      <w:r w:rsidR="00E951E8">
        <w:rPr>
          <w:rFonts w:hint="eastAsia"/>
          <w:lang w:eastAsia="zh-CN"/>
        </w:rPr>
        <w:t xml:space="preserve"> based on their business links with their </w:t>
      </w:r>
      <w:r w:rsidR="00E951E8">
        <w:rPr>
          <w:lang w:eastAsia="zh-CN"/>
        </w:rPr>
        <w:t>invested</w:t>
      </w:r>
      <w:r w:rsidR="00E951E8">
        <w:rPr>
          <w:rFonts w:hint="eastAsia"/>
          <w:lang w:eastAsia="zh-CN"/>
        </w:rPr>
        <w:t xml:space="preserve"> companies</w:t>
      </w:r>
      <w:r>
        <w:t xml:space="preserve">. </w:t>
      </w:r>
      <w:r>
        <w:rPr>
          <w:lang w:eastAsia="zh-CN"/>
        </w:rPr>
        <w:t>T</w:t>
      </w:r>
      <w:r>
        <w:t>he pressure-resistant group only includes pension funds, investment companies, independent investment advisors and independent research institutes and foundations</w:t>
      </w:r>
      <w:r w:rsidR="008D3B08">
        <w:t>,</w:t>
      </w:r>
      <w:r w:rsidR="00E951E8">
        <w:rPr>
          <w:rFonts w:hint="eastAsia"/>
          <w:lang w:eastAsia="zh-CN"/>
        </w:rPr>
        <w:t xml:space="preserve"> which are less likely to have business links with their invested companies</w:t>
      </w:r>
      <w:r w:rsidR="00AC683D">
        <w:rPr>
          <w:lang w:eastAsia="zh-CN"/>
        </w:rPr>
        <w:t>.  B</w:t>
      </w:r>
      <w:r>
        <w:t>anks</w:t>
      </w:r>
      <w:r>
        <w:rPr>
          <w:lang w:eastAsia="zh-CN"/>
        </w:rPr>
        <w:t>, bank trusts</w:t>
      </w:r>
      <w:r>
        <w:t xml:space="preserve"> and insurance companies </w:t>
      </w:r>
      <w:r w:rsidR="00E951E8">
        <w:rPr>
          <w:lang w:eastAsia="zh-CN"/>
        </w:rPr>
        <w:t>which</w:t>
      </w:r>
      <w:r w:rsidR="00E951E8">
        <w:rPr>
          <w:rFonts w:hint="eastAsia"/>
          <w:lang w:eastAsia="zh-CN"/>
        </w:rPr>
        <w:t xml:space="preserve"> are more likely to have such business links</w:t>
      </w:r>
      <w:r w:rsidR="00E951E8">
        <w:t xml:space="preserve"> </w:t>
      </w:r>
      <w:r>
        <w:t>are included in the pressure-sensitive group</w:t>
      </w:r>
      <w:r>
        <w:rPr>
          <w:lang w:eastAsia="zh-CN"/>
        </w:rPr>
        <w:t>. I</w:t>
      </w:r>
      <w:r>
        <w:t>ndustrial and public institutions</w:t>
      </w:r>
      <w:r>
        <w:rPr>
          <w:lang w:eastAsia="zh-CN"/>
        </w:rPr>
        <w:t xml:space="preserve">, and </w:t>
      </w:r>
      <w:r>
        <w:t xml:space="preserve">other unclassified institutional investors </w:t>
      </w:r>
      <w:r w:rsidR="00E951E8">
        <w:rPr>
          <w:lang w:eastAsia="zh-CN"/>
        </w:rPr>
        <w:t>wh</w:t>
      </w:r>
      <w:r w:rsidR="00E951E8">
        <w:rPr>
          <w:rFonts w:hint="eastAsia"/>
          <w:lang w:eastAsia="zh-CN"/>
        </w:rPr>
        <w:t>ose business links</w:t>
      </w:r>
      <w:r w:rsidR="00E951E8">
        <w:t xml:space="preserve"> </w:t>
      </w:r>
      <w:r w:rsidR="00E951E8">
        <w:rPr>
          <w:rFonts w:hint="eastAsia"/>
          <w:lang w:eastAsia="zh-CN"/>
        </w:rPr>
        <w:t xml:space="preserve">with the invested companies are not clear </w:t>
      </w:r>
      <w:r>
        <w:t xml:space="preserve">are put into the </w:t>
      </w:r>
      <w:r w:rsidR="00AC683D">
        <w:t>pressure-uncertain</w:t>
      </w:r>
      <w:r>
        <w:t xml:space="preserve"> group. </w:t>
      </w:r>
    </w:p>
    <w:p w:rsidR="00887848" w:rsidRDefault="00887848">
      <w:pPr>
        <w:spacing w:line="480" w:lineRule="auto"/>
        <w:ind w:firstLine="720"/>
        <w:rPr>
          <w:bCs/>
        </w:rPr>
      </w:pPr>
      <w:r>
        <w:t>T</w:t>
      </w:r>
      <w:r>
        <w:rPr>
          <w:lang w:eastAsia="zh-CN"/>
        </w:rPr>
        <w:t>o capture the institutional block-holders’ relative power in large family controlled multiple block-holder ownership structures</w:t>
      </w:r>
      <w:r>
        <w:t>, the ratio of the ownership of institutional block-holders to that of the controlling family is calculated.</w:t>
      </w:r>
      <w:r>
        <w:rPr>
          <w:lang w:eastAsia="zh-CN"/>
        </w:rPr>
        <w:t xml:space="preserve">  </w:t>
      </w:r>
      <w:r>
        <w:t xml:space="preserve">To capture </w:t>
      </w:r>
      <w:r w:rsidR="008D3B08">
        <w:t xml:space="preserve">the relative power of </w:t>
      </w:r>
      <w:r>
        <w:t>different types of institutional block-holders, the ratio of the ownership of each type of institutional block-holders to that of the ownersh</w:t>
      </w:r>
      <w:r w:rsidR="00AC683D">
        <w:t>ip of the controlling family is</w:t>
      </w:r>
      <w:r>
        <w:t xml:space="preserve"> constructed. </w:t>
      </w:r>
    </w:p>
    <w:p w:rsidR="00FD6C84" w:rsidRDefault="00887848">
      <w:pPr>
        <w:spacing w:line="480" w:lineRule="auto"/>
        <w:ind w:firstLine="720"/>
        <w:rPr>
          <w:lang w:eastAsia="zh-CN"/>
        </w:rPr>
      </w:pPr>
      <w:r>
        <w:t>To avoid spurious correlation</w:t>
      </w:r>
      <w:r>
        <w:rPr>
          <w:lang w:eastAsia="zh-CN"/>
        </w:rPr>
        <w:t xml:space="preserve"> in informed trading</w:t>
      </w:r>
      <w:r w:rsidR="007150CA">
        <w:rPr>
          <w:lang w:eastAsia="zh-CN"/>
        </w:rPr>
        <w:t xml:space="preserve"> (PIN)</w:t>
      </w:r>
      <w:r>
        <w:rPr>
          <w:lang w:eastAsia="zh-CN"/>
        </w:rPr>
        <w:t xml:space="preserve"> regressions</w:t>
      </w:r>
      <w:r>
        <w:t xml:space="preserve">, </w:t>
      </w:r>
      <w:r>
        <w:rPr>
          <w:lang w:eastAsia="zh-CN"/>
        </w:rPr>
        <w:t xml:space="preserve">we control for factors that may affect the level and structure of informed trading. </w:t>
      </w:r>
      <w:r w:rsidR="009541FB">
        <w:rPr>
          <w:lang w:eastAsia="zh-CN"/>
        </w:rPr>
        <w:t xml:space="preserve">Previous research suggest that firm size may have an information effect (Barry and Brown, 1984; </w:t>
      </w:r>
      <w:r w:rsidR="009541FB" w:rsidRPr="009541FB">
        <w:rPr>
          <w:lang w:eastAsia="zh-CN"/>
        </w:rPr>
        <w:t>Easley</w:t>
      </w:r>
      <w:r w:rsidR="00530910">
        <w:rPr>
          <w:lang w:eastAsia="zh-CN"/>
        </w:rPr>
        <w:t xml:space="preserve"> et al., </w:t>
      </w:r>
      <w:r w:rsidR="009541FB" w:rsidRPr="009541FB">
        <w:rPr>
          <w:lang w:eastAsia="zh-CN"/>
        </w:rPr>
        <w:t>2002</w:t>
      </w:r>
      <w:r w:rsidR="00D36065">
        <w:rPr>
          <w:lang w:eastAsia="zh-CN"/>
        </w:rPr>
        <w:t>; Anderson et al.,</w:t>
      </w:r>
      <w:r w:rsidR="00B85735">
        <w:rPr>
          <w:lang w:eastAsia="zh-CN"/>
        </w:rPr>
        <w:t xml:space="preserve"> </w:t>
      </w:r>
      <w:r w:rsidR="00D36065">
        <w:rPr>
          <w:lang w:eastAsia="zh-CN"/>
        </w:rPr>
        <w:t>2012</w:t>
      </w:r>
      <w:r w:rsidR="009541FB">
        <w:rPr>
          <w:lang w:eastAsia="zh-CN"/>
        </w:rPr>
        <w:t>; Diether et al., 2009</w:t>
      </w:r>
      <w:r w:rsidR="00530910">
        <w:rPr>
          <w:lang w:eastAsia="zh-CN"/>
        </w:rPr>
        <w:t>).</w:t>
      </w:r>
      <w:r w:rsidR="00530910" w:rsidRPr="00530910">
        <w:rPr>
          <w:lang w:eastAsia="zh-CN"/>
        </w:rPr>
        <w:t xml:space="preserve"> </w:t>
      </w:r>
      <w:r w:rsidR="00530910" w:rsidRPr="00A05E1E">
        <w:rPr>
          <w:lang w:eastAsia="zh-CN"/>
        </w:rPr>
        <w:t xml:space="preserve">Thus, the natural logarithm of equity market capitalisation at end 2006 is used to control for firm size. </w:t>
      </w:r>
      <w:r w:rsidR="00530910">
        <w:rPr>
          <w:lang w:eastAsia="zh-CN"/>
        </w:rPr>
        <w:t>Previous research also indicates that liquidity measured by trading volume signals a demand shock that can lead to higher future return (</w:t>
      </w:r>
      <w:r w:rsidR="00530910" w:rsidRPr="00A05E1E">
        <w:rPr>
          <w:lang w:eastAsia="zh-CN"/>
        </w:rPr>
        <w:t>Llore</w:t>
      </w:r>
      <w:r w:rsidR="00530910">
        <w:rPr>
          <w:lang w:eastAsia="zh-CN"/>
        </w:rPr>
        <w:t xml:space="preserve">nte et al. 2002) while </w:t>
      </w:r>
      <w:r w:rsidR="00530910" w:rsidRPr="00A05E1E">
        <w:rPr>
          <w:lang w:eastAsia="zh-CN"/>
        </w:rPr>
        <w:t>illiquid stocks are less likely to be of interest to informed traders</w:t>
      </w:r>
      <w:r w:rsidR="00530910">
        <w:rPr>
          <w:lang w:eastAsia="zh-CN"/>
        </w:rPr>
        <w:t xml:space="preserve"> (Shleifer and Vishny 1997)</w:t>
      </w:r>
      <w:r w:rsidR="00530910" w:rsidRPr="00A05E1E">
        <w:rPr>
          <w:lang w:eastAsia="zh-CN"/>
        </w:rPr>
        <w:t xml:space="preserve">. Therefore the natural logarithm of the mean monthly </w:t>
      </w:r>
      <w:r w:rsidR="00530910" w:rsidRPr="00A05E1E">
        <w:rPr>
          <w:lang w:eastAsia="zh-CN"/>
        </w:rPr>
        <w:lastRenderedPageBreak/>
        <w:t>trading volume in 2006 is used to control for liquidity</w:t>
      </w:r>
      <w:r w:rsidR="00530910">
        <w:rPr>
          <w:lang w:eastAsia="zh-CN"/>
        </w:rPr>
        <w:t xml:space="preserve"> factor</w:t>
      </w:r>
      <w:r w:rsidR="00530910" w:rsidRPr="00A05E1E">
        <w:rPr>
          <w:lang w:eastAsia="zh-CN"/>
        </w:rPr>
        <w:t xml:space="preserve">. </w:t>
      </w:r>
      <w:r w:rsidR="00530910">
        <w:rPr>
          <w:lang w:eastAsia="zh-CN"/>
        </w:rPr>
        <w:t>R</w:t>
      </w:r>
      <w:r w:rsidR="00530910" w:rsidRPr="00A05E1E">
        <w:rPr>
          <w:lang w:eastAsia="zh-CN"/>
        </w:rPr>
        <w:t>isk of future value is a prerequisite for information asymmetry</w:t>
      </w:r>
      <w:r w:rsidR="00530910">
        <w:rPr>
          <w:lang w:eastAsia="zh-CN"/>
        </w:rPr>
        <w:t xml:space="preserve"> (</w:t>
      </w:r>
      <w:r w:rsidR="00530910" w:rsidRPr="00A05E1E">
        <w:rPr>
          <w:lang w:eastAsia="zh-CN"/>
        </w:rPr>
        <w:t>Hu</w:t>
      </w:r>
      <w:r w:rsidR="00530910">
        <w:rPr>
          <w:lang w:eastAsia="zh-CN"/>
        </w:rPr>
        <w:t xml:space="preserve">ddart et al. 2007), which can captured by </w:t>
      </w:r>
      <w:r w:rsidR="00530910" w:rsidRPr="00A05E1E">
        <w:rPr>
          <w:lang w:eastAsia="zh-CN"/>
        </w:rPr>
        <w:t>volatility</w:t>
      </w:r>
      <w:r w:rsidR="00530910">
        <w:rPr>
          <w:lang w:eastAsia="zh-CN"/>
        </w:rPr>
        <w:t xml:space="preserve"> (Demsetz and Lehn 1985)</w:t>
      </w:r>
      <w:r w:rsidR="00530910" w:rsidRPr="00A05E1E">
        <w:rPr>
          <w:lang w:eastAsia="zh-CN"/>
        </w:rPr>
        <w:t xml:space="preserve">. To control for risk and uncertainty in informed trading decisions the </w:t>
      </w:r>
      <w:r w:rsidR="00530910" w:rsidRPr="00A05E1E">
        <w:t>standard deviation</w:t>
      </w:r>
      <w:r w:rsidR="00530910" w:rsidRPr="00A05E1E">
        <w:rPr>
          <w:lang w:eastAsia="zh-CN"/>
        </w:rPr>
        <w:t xml:space="preserve"> of daily share returns in 2006 are used</w:t>
      </w:r>
      <w:r w:rsidR="00530910" w:rsidRPr="00530910">
        <w:rPr>
          <w:lang w:eastAsia="zh-CN"/>
        </w:rPr>
        <w:t>.</w:t>
      </w:r>
      <w:r w:rsidR="002F4BD7" w:rsidRPr="002F4BD7">
        <w:rPr>
          <w:lang w:eastAsia="zh-CN"/>
        </w:rPr>
        <w:t xml:space="preserve"> </w:t>
      </w:r>
      <w:r>
        <w:rPr>
          <w:lang w:eastAsia="zh-CN"/>
        </w:rPr>
        <w:t xml:space="preserve">Aslan et al. (2010) find that PIN has a small negative correlation with firm growth and profitability. </w:t>
      </w:r>
      <w:r w:rsidR="002F4BD7" w:rsidRPr="002F4BD7">
        <w:rPr>
          <w:lang w:eastAsia="zh-CN"/>
        </w:rPr>
        <w:t xml:space="preserve">Growth is </w:t>
      </w:r>
      <w:r w:rsidR="002F4BD7">
        <w:rPr>
          <w:lang w:eastAsia="zh-CN"/>
        </w:rPr>
        <w:t xml:space="preserve">measured as </w:t>
      </w:r>
      <w:r w:rsidR="002F4BD7" w:rsidRPr="002F4BD7">
        <w:rPr>
          <w:lang w:eastAsia="zh-CN"/>
        </w:rPr>
        <w:t>the change in revenues change from 2005 to 2006 divided by revenues in 2005</w:t>
      </w:r>
      <w:r w:rsidR="002F4BD7">
        <w:rPr>
          <w:lang w:eastAsia="zh-CN"/>
        </w:rPr>
        <w:t xml:space="preserve">. </w:t>
      </w:r>
      <w:r>
        <w:rPr>
          <w:lang w:eastAsia="zh-CN"/>
        </w:rPr>
        <w:t xml:space="preserve">To control for profitability in informed trading, we use </w:t>
      </w:r>
      <w:r w:rsidR="008011D1">
        <w:rPr>
          <w:lang w:eastAsia="zh-CN"/>
        </w:rPr>
        <w:t xml:space="preserve">the </w:t>
      </w:r>
      <w:r>
        <w:rPr>
          <w:lang w:eastAsia="zh-CN"/>
        </w:rPr>
        <w:t xml:space="preserve">previous period </w:t>
      </w:r>
      <w:r>
        <w:t>return on equity capital</w:t>
      </w:r>
      <w:r>
        <w:rPr>
          <w:lang w:eastAsia="zh-CN"/>
        </w:rPr>
        <w:t xml:space="preserve"> measured by the ratio of EPS over the book value per share in year 2005. Easley et al (1998) suggest that analysts may turn private</w:t>
      </w:r>
      <w:r w:rsidR="00E016BC">
        <w:rPr>
          <w:lang w:eastAsia="zh-CN"/>
        </w:rPr>
        <w:t xml:space="preserve"> information</w:t>
      </w:r>
      <w:r>
        <w:rPr>
          <w:lang w:eastAsia="zh-CN"/>
        </w:rPr>
        <w:t xml:space="preserve"> into public while Aslan et al</w:t>
      </w:r>
      <w:r w:rsidR="008011D1">
        <w:rPr>
          <w:lang w:eastAsia="zh-CN"/>
        </w:rPr>
        <w:t>. (2010) find older firms tend</w:t>
      </w:r>
      <w:r>
        <w:rPr>
          <w:lang w:eastAsia="zh-CN"/>
        </w:rPr>
        <w:t xml:space="preserve"> to have low PIN. To control for financial analyst and firm age-related factors in informed trading, we use </w:t>
      </w:r>
      <w:r>
        <w:t xml:space="preserve">firm age </w:t>
      </w:r>
      <w:r>
        <w:rPr>
          <w:lang w:eastAsia="zh-CN"/>
        </w:rPr>
        <w:t>measured by the natural log</w:t>
      </w:r>
      <w:r w:rsidR="008011D1">
        <w:rPr>
          <w:lang w:eastAsia="zh-CN"/>
        </w:rPr>
        <w:t>arithm</w:t>
      </w:r>
      <w:r>
        <w:rPr>
          <w:lang w:eastAsia="zh-CN"/>
        </w:rPr>
        <w:t xml:space="preserve"> of </w:t>
      </w:r>
      <w:r w:rsidR="008011D1">
        <w:rPr>
          <w:lang w:eastAsia="zh-CN"/>
        </w:rPr>
        <w:t xml:space="preserve">the </w:t>
      </w:r>
      <w:r>
        <w:rPr>
          <w:lang w:eastAsia="zh-CN"/>
        </w:rPr>
        <w:t xml:space="preserve">number of </w:t>
      </w:r>
      <w:r>
        <w:t xml:space="preserve">years </w:t>
      </w:r>
      <w:r w:rsidR="008011D1">
        <w:rPr>
          <w:lang w:eastAsia="zh-CN"/>
        </w:rPr>
        <w:t>the</w:t>
      </w:r>
      <w:r>
        <w:rPr>
          <w:lang w:eastAsia="zh-CN"/>
        </w:rPr>
        <w:t xml:space="preserve"> company </w:t>
      </w:r>
      <w:r w:rsidR="008011D1">
        <w:rPr>
          <w:lang w:eastAsia="zh-CN"/>
        </w:rPr>
        <w:t xml:space="preserve">has been </w:t>
      </w:r>
      <w:r>
        <w:t xml:space="preserve">listed </w:t>
      </w:r>
      <w:r>
        <w:rPr>
          <w:lang w:eastAsia="zh-CN"/>
        </w:rPr>
        <w:t>o</w:t>
      </w:r>
      <w:r>
        <w:t xml:space="preserve">n the </w:t>
      </w:r>
      <w:r>
        <w:rPr>
          <w:lang w:eastAsia="zh-CN"/>
        </w:rPr>
        <w:t xml:space="preserve">Hong Kong Stock </w:t>
      </w:r>
      <w:r>
        <w:t>Exchange</w:t>
      </w:r>
      <w:r>
        <w:rPr>
          <w:lang w:eastAsia="zh-CN"/>
        </w:rPr>
        <w:t xml:space="preserve"> in 2006</w:t>
      </w:r>
      <w:r>
        <w:t xml:space="preserve"> and financial analysts’ coverage </w:t>
      </w:r>
      <w:r w:rsidR="008011D1">
        <w:t xml:space="preserve">is </w:t>
      </w:r>
      <w:r>
        <w:rPr>
          <w:lang w:eastAsia="zh-CN"/>
        </w:rPr>
        <w:t xml:space="preserve">measured by the natural </w:t>
      </w:r>
      <w:r w:rsidR="001437A7">
        <w:rPr>
          <w:lang w:eastAsia="zh-CN"/>
        </w:rPr>
        <w:t xml:space="preserve">logarithm </w:t>
      </w:r>
      <w:r>
        <w:rPr>
          <w:lang w:eastAsia="zh-CN"/>
        </w:rPr>
        <w:t xml:space="preserve">of </w:t>
      </w:r>
      <w:r>
        <w:t xml:space="preserve">the number of the first year forward EPS estimates available from Institutional Brokers' Estimate System </w:t>
      </w:r>
      <w:r>
        <w:rPr>
          <w:lang w:eastAsia="zh-CN"/>
        </w:rPr>
        <w:t>(</w:t>
      </w:r>
      <w:r>
        <w:t>I/B/E/S</w:t>
      </w:r>
      <w:r>
        <w:rPr>
          <w:lang w:eastAsia="zh-CN"/>
        </w:rPr>
        <w:t>) in 2006</w:t>
      </w:r>
      <w:r>
        <w:t xml:space="preserve">. </w:t>
      </w:r>
      <w:r w:rsidR="00907239">
        <w:t xml:space="preserve"> </w:t>
      </w:r>
      <w:r w:rsidR="00907239">
        <w:rPr>
          <w:lang w:eastAsia="zh-CN"/>
        </w:rPr>
        <w:t xml:space="preserve">To control for level of indebtedness firm </w:t>
      </w:r>
      <w:r w:rsidR="00907239">
        <w:t>leverage</w:t>
      </w:r>
      <w:r w:rsidR="00907239">
        <w:rPr>
          <w:lang w:eastAsia="zh-CN"/>
        </w:rPr>
        <w:t xml:space="preserve"> is used measured by the ratio of long term debts over book value of total common equities in year 2006 and finally i</w:t>
      </w:r>
      <w:r>
        <w:t>ndustry effects are controlled by 2 digit SIC codes.</w:t>
      </w:r>
      <w:r>
        <w:rPr>
          <w:lang w:eastAsia="zh-CN"/>
        </w:rPr>
        <w:t xml:space="preserve"> </w:t>
      </w:r>
      <w:r w:rsidR="00907239">
        <w:rPr>
          <w:lang w:eastAsia="zh-CN"/>
        </w:rPr>
        <w:t xml:space="preserve"> </w:t>
      </w:r>
    </w:p>
    <w:p w:rsidR="00887848" w:rsidRPr="00FD6C84" w:rsidRDefault="00887848" w:rsidP="00FD6C84">
      <w:pPr>
        <w:spacing w:line="480" w:lineRule="auto"/>
        <w:ind w:firstLine="720"/>
        <w:rPr>
          <w:highlight w:val="yellow"/>
          <w:lang w:eastAsia="zh-CN"/>
        </w:rPr>
      </w:pPr>
      <w:r w:rsidRPr="007150CA">
        <w:rPr>
          <w:lang w:eastAsia="zh-CN"/>
        </w:rPr>
        <w:t>In the regression</w:t>
      </w:r>
      <w:r w:rsidR="007150CA" w:rsidRPr="007150CA">
        <w:rPr>
          <w:lang w:eastAsia="zh-CN"/>
        </w:rPr>
        <w:t>s with</w:t>
      </w:r>
      <w:r w:rsidRPr="007150CA">
        <w:rPr>
          <w:lang w:eastAsia="zh-CN"/>
        </w:rPr>
        <w:t xml:space="preserve"> </w:t>
      </w:r>
      <w:r w:rsidR="008D3B08" w:rsidRPr="007150CA">
        <w:rPr>
          <w:lang w:eastAsia="zh-CN"/>
        </w:rPr>
        <w:t xml:space="preserve">Tobin’s Q </w:t>
      </w:r>
      <w:r w:rsidR="007150CA" w:rsidRPr="007150CA">
        <w:rPr>
          <w:lang w:eastAsia="zh-CN"/>
        </w:rPr>
        <w:t>a</w:t>
      </w:r>
      <w:r w:rsidRPr="007150CA">
        <w:rPr>
          <w:lang w:eastAsia="zh-CN"/>
        </w:rPr>
        <w:t xml:space="preserve">s </w:t>
      </w:r>
      <w:r w:rsidR="008011D1" w:rsidRPr="007150CA">
        <w:rPr>
          <w:lang w:eastAsia="zh-CN"/>
        </w:rPr>
        <w:t xml:space="preserve">the </w:t>
      </w:r>
      <w:r w:rsidRPr="007150CA">
        <w:rPr>
          <w:lang w:eastAsia="zh-CN"/>
        </w:rPr>
        <w:t>dependent variable</w:t>
      </w:r>
      <w:r w:rsidR="00FD6C84" w:rsidRPr="007150CA">
        <w:rPr>
          <w:lang w:eastAsia="zh-CN"/>
        </w:rPr>
        <w:t xml:space="preserve"> </w:t>
      </w:r>
      <w:r w:rsidRPr="007150CA">
        <w:rPr>
          <w:lang w:eastAsia="zh-CN"/>
        </w:rPr>
        <w:t>we control for a number of other firm characteristics and industry factors that potentially affect firm valuation (Anderson et al., 2009; Filatotchev et al</w:t>
      </w:r>
      <w:r w:rsidR="00CF79CF" w:rsidRPr="007150CA">
        <w:rPr>
          <w:lang w:eastAsia="zh-CN"/>
        </w:rPr>
        <w:t>.,</w:t>
      </w:r>
      <w:r w:rsidRPr="007150CA">
        <w:rPr>
          <w:lang w:eastAsia="zh-CN"/>
        </w:rPr>
        <w:t xml:space="preserve"> 2011). We control for firm size measured by the natural log</w:t>
      </w:r>
      <w:r w:rsidR="00293604" w:rsidRPr="007150CA">
        <w:rPr>
          <w:lang w:eastAsia="zh-CN"/>
        </w:rPr>
        <w:t>arithm</w:t>
      </w:r>
      <w:r w:rsidRPr="007150CA">
        <w:rPr>
          <w:lang w:eastAsia="zh-CN"/>
        </w:rPr>
        <w:t xml:space="preserve"> of </w:t>
      </w:r>
      <w:r w:rsidRPr="007150CA">
        <w:t>market capitalisation</w:t>
      </w:r>
      <w:r w:rsidRPr="007150CA">
        <w:rPr>
          <w:lang w:eastAsia="zh-CN"/>
        </w:rPr>
        <w:t xml:space="preserve"> of common equities in </w:t>
      </w:r>
      <w:r w:rsidR="00AF142B" w:rsidRPr="007150CA">
        <w:rPr>
          <w:rFonts w:hint="eastAsia"/>
          <w:lang w:eastAsia="zh-CN"/>
        </w:rPr>
        <w:t xml:space="preserve">the end of </w:t>
      </w:r>
      <w:r w:rsidRPr="007150CA">
        <w:rPr>
          <w:lang w:eastAsia="zh-CN"/>
        </w:rPr>
        <w:t xml:space="preserve"> 2006; growth opportunities measured as the </w:t>
      </w:r>
      <w:r w:rsidRPr="007150CA">
        <w:t>sales growth</w:t>
      </w:r>
      <w:r w:rsidRPr="007150CA">
        <w:rPr>
          <w:lang w:eastAsia="zh-CN"/>
        </w:rPr>
        <w:t xml:space="preserve"> in year 2006; firm </w:t>
      </w:r>
      <w:r w:rsidRPr="007150CA">
        <w:t>leverage</w:t>
      </w:r>
      <w:r w:rsidRPr="007150CA">
        <w:rPr>
          <w:lang w:eastAsia="zh-CN"/>
        </w:rPr>
        <w:t xml:space="preserve"> measured by the ratio of long term debts over book value of total common equities in year 2006; and prior performance is measured by the ratio of EPS over the book value per share in 2005. Finally,</w:t>
      </w:r>
      <w:r w:rsidRPr="007150CA">
        <w:t xml:space="preserve"> potential sectoral effects are controlled by the </w:t>
      </w:r>
      <w:r w:rsidRPr="007150CA">
        <w:rPr>
          <w:lang w:eastAsia="zh-CN"/>
        </w:rPr>
        <w:t>i</w:t>
      </w:r>
      <w:r w:rsidRPr="007150CA">
        <w:t>ndustry dummies.</w:t>
      </w:r>
      <w:r w:rsidR="00907239" w:rsidRPr="007150CA">
        <w:t xml:space="preserve"> </w:t>
      </w:r>
    </w:p>
    <w:p w:rsidR="00887848" w:rsidRDefault="00887848">
      <w:pPr>
        <w:spacing w:line="480" w:lineRule="auto"/>
        <w:ind w:firstLine="720"/>
        <w:rPr>
          <w:bCs/>
          <w:lang w:eastAsia="zh-CN"/>
        </w:rPr>
      </w:pPr>
      <w:r>
        <w:rPr>
          <w:bCs/>
        </w:rPr>
        <w:lastRenderedPageBreak/>
        <w:t xml:space="preserve">Table </w:t>
      </w:r>
      <w:r>
        <w:rPr>
          <w:bCs/>
          <w:lang w:eastAsia="zh-CN"/>
        </w:rPr>
        <w:t>1</w:t>
      </w:r>
      <w:r>
        <w:rPr>
          <w:bCs/>
        </w:rPr>
        <w:t xml:space="preserve"> </w:t>
      </w:r>
      <w:r>
        <w:rPr>
          <w:bCs/>
          <w:lang w:eastAsia="zh-CN"/>
        </w:rPr>
        <w:t xml:space="preserve">Panel A </w:t>
      </w:r>
      <w:r>
        <w:rPr>
          <w:bCs/>
        </w:rPr>
        <w:t>reports the descriptive statistics. T</w:t>
      </w:r>
      <w:r>
        <w:rPr>
          <w:bCs/>
          <w:lang w:eastAsia="zh-CN"/>
        </w:rPr>
        <w:t>he mean informed trading level is 0.30 and t</w:t>
      </w:r>
      <w:r>
        <w:rPr>
          <w:bCs/>
        </w:rPr>
        <w:t xml:space="preserve">he mean difference between positive and negative </w:t>
      </w:r>
      <w:r>
        <w:rPr>
          <w:bCs/>
          <w:lang w:eastAsia="zh-CN"/>
        </w:rPr>
        <w:t>informed trading</w:t>
      </w:r>
      <w:r>
        <w:rPr>
          <w:bCs/>
        </w:rPr>
        <w:t xml:space="preserve"> </w:t>
      </w:r>
      <w:r>
        <w:t>is -0.02</w:t>
      </w:r>
      <w:r>
        <w:rPr>
          <w:bCs/>
        </w:rPr>
        <w:t xml:space="preserve">. </w:t>
      </w:r>
      <w:r>
        <w:rPr>
          <w:bCs/>
          <w:lang w:eastAsia="zh-CN"/>
        </w:rPr>
        <w:t xml:space="preserve">This is similar to Lai et al. (2009) who find that the mean informed trading level in Hong Kong is 0.337. Easley et al. (2002) find that on average 19% of the trades on the New York Stock Exchange (NYSE) convey private information with a informed trading structure of </w:t>
      </w:r>
      <w:r>
        <w:t xml:space="preserve">0.06 (that is, a </w:t>
      </w:r>
      <w:r>
        <w:rPr>
          <w:bCs/>
          <w:lang w:eastAsia="zh-CN"/>
        </w:rPr>
        <w:t>positive informed trading dominated structure</w:t>
      </w:r>
      <w:r>
        <w:t>).</w:t>
      </w:r>
      <w:r>
        <w:rPr>
          <w:bCs/>
        </w:rPr>
        <w:t xml:space="preserve"> In our sample,</w:t>
      </w:r>
      <w:r>
        <w:rPr>
          <w:bCs/>
          <w:lang w:eastAsia="zh-CN"/>
        </w:rPr>
        <w:t xml:space="preserve"> there is not only a higher overall</w:t>
      </w:r>
      <w:r w:rsidR="00DB3622">
        <w:rPr>
          <w:bCs/>
          <w:lang w:eastAsia="zh-CN"/>
        </w:rPr>
        <w:t xml:space="preserve"> level of</w:t>
      </w:r>
      <w:r>
        <w:rPr>
          <w:bCs/>
          <w:lang w:eastAsia="zh-CN"/>
        </w:rPr>
        <w:t xml:space="preserve"> informed trading but also a higher probability that private information event days are associated with negative private information (50.8%), representing a worse structure of informed trading. The relative intensity of trading by informed investors can be measured by the ratio of the arrival rate of informed trades over the arrival rate of un-informed orders. On the NYSE, the relative intensity of informed trading is 1.34 (Easley et al., 2002), whereas it is 1.90 on HKSE. These differences are consistent with the characteristics of Hong Kong as a market with weaker investor protection and less rigorous disclosure. </w:t>
      </w:r>
    </w:p>
    <w:p w:rsidR="00887848" w:rsidRDefault="00887848">
      <w:pPr>
        <w:spacing w:line="480" w:lineRule="auto"/>
        <w:jc w:val="center"/>
      </w:pPr>
      <w:r>
        <w:t xml:space="preserve">Table 1 </w:t>
      </w:r>
    </w:p>
    <w:p w:rsidR="00887848" w:rsidRDefault="00887848">
      <w:pPr>
        <w:spacing w:line="480" w:lineRule="auto"/>
        <w:ind w:firstLine="720"/>
      </w:pPr>
      <w:r>
        <w:t>In terms of ownership, 361 firms, or 80.76% of the sample</w:t>
      </w:r>
      <w:r w:rsidR="00B15F8C">
        <w:t>,</w:t>
      </w:r>
      <w:r>
        <w:t xml:space="preserve"> are controlled by families. On average, the largest family controls 48.77% of </w:t>
      </w:r>
      <w:r w:rsidR="00B15F8C">
        <w:t>outstanding share</w:t>
      </w:r>
      <w:r>
        <w:t>s. The distribution of ownership concentration shows that families with shareholding between 0–20%, 20–35% and over 35% control 5.82%, 11.86% and 63.08% of sample firms</w:t>
      </w:r>
      <w:r w:rsidR="00907239">
        <w:t>,</w:t>
      </w:r>
      <w:r>
        <w:t xml:space="preserve"> respectively. Therefore, compared with other Asian countries, the percentage of firms controlled by the largest family shareholders in Hong Kong is high. </w:t>
      </w:r>
    </w:p>
    <w:p w:rsidR="00887848" w:rsidRDefault="00887848">
      <w:pPr>
        <w:spacing w:line="480" w:lineRule="auto"/>
        <w:ind w:firstLine="720"/>
      </w:pPr>
      <w:r>
        <w:t>In our sample, 173 fir</w:t>
      </w:r>
      <w:r w:rsidR="00907239">
        <w:t>ms, or 38.70% of the total</w:t>
      </w:r>
      <w:r>
        <w:t xml:space="preserve">, have </w:t>
      </w:r>
      <w:r w:rsidR="00907239">
        <w:t xml:space="preserve">ownership by </w:t>
      </w:r>
      <w:r>
        <w:t>institutional block-holders</w:t>
      </w:r>
      <w:r w:rsidR="00907239">
        <w:t xml:space="preserve"> and on</w:t>
      </w:r>
      <w:r>
        <w:t xml:space="preserve"> average, </w:t>
      </w:r>
      <w:r w:rsidR="00907239">
        <w:t>these</w:t>
      </w:r>
      <w:r>
        <w:t xml:space="preserve"> control 14.</w:t>
      </w:r>
      <w:r w:rsidR="00B15F8C">
        <w:t>09% of the outstanding share</w:t>
      </w:r>
      <w:r>
        <w:t>s. Pressure-resistant, pressure-sensitive and pressure-uncertain institutional shareholders control 12.15%, 9.19% and 11.96% of the outstandin</w:t>
      </w:r>
      <w:r w:rsidR="00B15F8C">
        <w:t>g shareholdings on average</w:t>
      </w:r>
      <w:r w:rsidR="00907239">
        <w:t>,</w:t>
      </w:r>
      <w:r w:rsidR="00B15F8C">
        <w:t xml:space="preserve"> resp</w:t>
      </w:r>
      <w:r>
        <w:t xml:space="preserve">ectively. Thus, besides family ownership, institutional investors in Hong Kong also hold significant blocks of shares. </w:t>
      </w:r>
    </w:p>
    <w:p w:rsidR="00887848" w:rsidRDefault="00887848">
      <w:pPr>
        <w:spacing w:line="480" w:lineRule="auto"/>
        <w:ind w:firstLine="720"/>
        <w:rPr>
          <w:lang w:eastAsia="zh-CN"/>
        </w:rPr>
      </w:pPr>
      <w:r>
        <w:lastRenderedPageBreak/>
        <w:t xml:space="preserve">The relative power </w:t>
      </w:r>
      <w:r w:rsidR="00907239">
        <w:t xml:space="preserve">of institutional block-holders </w:t>
      </w:r>
      <w:r>
        <w:t xml:space="preserve">over the largest family in a single firm is 0.38 on average. Amongst different types of institutional block-holders, pressure-resistant investors have a relative power of 0.31 on average, while pressure-sensitive and pressure-uncertain investors have relative power of 0.26 and 0.40 respectively. The greatest relative power by institutional block-holders over the largest family in a single firm is 2.40. This suggests that, while overall institutional block-holders do not have sufficient share ownership to challenge families, </w:t>
      </w:r>
      <w:r w:rsidR="00B15F8C">
        <w:t>in some cases</w:t>
      </w:r>
      <w:r w:rsidR="00CF79CF">
        <w:t xml:space="preserve"> their relative power is quite significant</w:t>
      </w:r>
      <w:r w:rsidR="00DE76FB">
        <w:t>.</w:t>
      </w:r>
    </w:p>
    <w:p w:rsidR="00887848" w:rsidRDefault="00887848">
      <w:pPr>
        <w:spacing w:line="480" w:lineRule="auto"/>
        <w:ind w:firstLine="720"/>
        <w:rPr>
          <w:lang w:eastAsia="zh-CN"/>
        </w:rPr>
      </w:pPr>
      <w:r>
        <w:rPr>
          <w:bCs/>
        </w:rPr>
        <w:t xml:space="preserve">Table </w:t>
      </w:r>
      <w:r>
        <w:rPr>
          <w:bCs/>
          <w:lang w:eastAsia="zh-CN"/>
        </w:rPr>
        <w:t>1</w:t>
      </w:r>
      <w:r>
        <w:rPr>
          <w:bCs/>
        </w:rPr>
        <w:t xml:space="preserve"> </w:t>
      </w:r>
      <w:r>
        <w:rPr>
          <w:bCs/>
          <w:lang w:eastAsia="zh-CN"/>
        </w:rPr>
        <w:t xml:space="preserve">Panel B </w:t>
      </w:r>
      <w:r>
        <w:rPr>
          <w:bCs/>
        </w:rPr>
        <w:t xml:space="preserve">reports the </w:t>
      </w:r>
      <w:r>
        <w:rPr>
          <w:bCs/>
          <w:lang w:eastAsia="zh-CN"/>
        </w:rPr>
        <w:t xml:space="preserve">correlation </w:t>
      </w:r>
      <w:r w:rsidR="00B15F8C">
        <w:rPr>
          <w:bCs/>
          <w:lang w:eastAsia="zh-CN"/>
        </w:rPr>
        <w:t>matrix of the</w:t>
      </w:r>
      <w:r>
        <w:rPr>
          <w:bCs/>
          <w:lang w:eastAsia="zh-CN"/>
        </w:rPr>
        <w:t xml:space="preserve"> key variables.</w:t>
      </w:r>
      <w:r>
        <w:t xml:space="preserve"> </w:t>
      </w:r>
      <w:r>
        <w:rPr>
          <w:lang w:eastAsia="zh-CN"/>
        </w:rPr>
        <w:t xml:space="preserve">It </w:t>
      </w:r>
      <w:r>
        <w:rPr>
          <w:bCs/>
          <w:lang w:eastAsia="zh-CN"/>
        </w:rPr>
        <w:t xml:space="preserve">shows that family ownership is positively correlated with the level of informed trading, suggesting that family owners are more likely than non-family owners to stimulate informed trading activities. It also shows that family ownership is negatively correlated with the structure of informed trading. Regarding non-controlling institutional block-holders, Table 1 Panel B shows that their relative power over family </w:t>
      </w:r>
      <w:r w:rsidR="00B15F8C">
        <w:rPr>
          <w:bCs/>
          <w:lang w:eastAsia="zh-CN"/>
        </w:rPr>
        <w:t>is</w:t>
      </w:r>
      <w:r>
        <w:rPr>
          <w:bCs/>
          <w:lang w:eastAsia="zh-CN"/>
        </w:rPr>
        <w:t xml:space="preserve"> negatively correlated with the level of informed trading. Such correlation suggests that non-controlling institutional block-holders can mitigate </w:t>
      </w:r>
      <w:r w:rsidR="00DE76FB">
        <w:rPr>
          <w:bCs/>
          <w:lang w:eastAsia="zh-CN"/>
        </w:rPr>
        <w:t>informed trading activity</w:t>
      </w:r>
      <w:r>
        <w:rPr>
          <w:bCs/>
          <w:lang w:eastAsia="zh-CN"/>
        </w:rPr>
        <w:t xml:space="preserve"> in family firms, </w:t>
      </w:r>
      <w:r w:rsidR="00EC67E1">
        <w:rPr>
          <w:bCs/>
          <w:lang w:eastAsia="zh-CN"/>
        </w:rPr>
        <w:t xml:space="preserve">in line with </w:t>
      </w:r>
      <w:r>
        <w:rPr>
          <w:bCs/>
          <w:lang w:eastAsia="zh-CN"/>
        </w:rPr>
        <w:t>hypothesis 1. Table 1 Panel B also shows that non-controlling institution</w:t>
      </w:r>
      <w:r w:rsidR="00DE76FB">
        <w:rPr>
          <w:bCs/>
          <w:lang w:eastAsia="zh-CN"/>
        </w:rPr>
        <w:t xml:space="preserve">al block-holders’ ownership is </w:t>
      </w:r>
      <w:r>
        <w:rPr>
          <w:bCs/>
          <w:lang w:eastAsia="zh-CN"/>
        </w:rPr>
        <w:t xml:space="preserve">positively correlated with the structure of informed trading. </w:t>
      </w:r>
      <w:r w:rsidR="00B15F8C">
        <w:rPr>
          <w:bCs/>
          <w:lang w:eastAsia="zh-CN"/>
        </w:rPr>
        <w:t>This</w:t>
      </w:r>
      <w:r>
        <w:rPr>
          <w:bCs/>
          <w:lang w:eastAsia="zh-CN"/>
        </w:rPr>
        <w:t xml:space="preserve"> suggests that non-controlling institutional block-holders can improve the structure of informed trading, </w:t>
      </w:r>
      <w:r w:rsidR="00EC67E1">
        <w:rPr>
          <w:bCs/>
          <w:lang w:eastAsia="zh-CN"/>
        </w:rPr>
        <w:t xml:space="preserve">in line with </w:t>
      </w:r>
      <w:r>
        <w:rPr>
          <w:bCs/>
          <w:lang w:eastAsia="zh-CN"/>
        </w:rPr>
        <w:t xml:space="preserve">hypothesis 2. The level of informed trading is negatively correlated with Tobin’s Q while the structure is positively correlated with Tobin’s Q. </w:t>
      </w:r>
    </w:p>
    <w:p w:rsidR="00887848" w:rsidRDefault="00887848">
      <w:pPr>
        <w:spacing w:line="480" w:lineRule="auto"/>
        <w:jc w:val="both"/>
        <w:rPr>
          <w:b/>
          <w:bCs/>
          <w:i/>
          <w:lang w:val="en-US" w:eastAsia="zh-CN"/>
        </w:rPr>
      </w:pPr>
      <w:bookmarkStart w:id="2" w:name="_Toc213682038"/>
      <w:bookmarkStart w:id="3" w:name="_Toc221661422"/>
      <w:bookmarkStart w:id="4" w:name="_Toc221890564"/>
      <w:r>
        <w:rPr>
          <w:b/>
          <w:bCs/>
          <w:i/>
          <w:lang w:val="en-US" w:eastAsia="zh-CN"/>
        </w:rPr>
        <w:t>3.3  Estimation and results</w:t>
      </w:r>
    </w:p>
    <w:p w:rsidR="00887848" w:rsidRDefault="00887848">
      <w:pPr>
        <w:spacing w:line="480" w:lineRule="auto"/>
        <w:jc w:val="both"/>
      </w:pPr>
      <w:r>
        <w:t xml:space="preserve">Table </w:t>
      </w:r>
      <w:r>
        <w:rPr>
          <w:lang w:eastAsia="zh-CN"/>
        </w:rPr>
        <w:t>2</w:t>
      </w:r>
      <w:r>
        <w:t xml:space="preserve"> reports the OLS regression results for the effects of institutional block-holders and family owners on </w:t>
      </w:r>
      <w:r w:rsidR="00B15F8C">
        <w:t xml:space="preserve">the level and structure of </w:t>
      </w:r>
      <w:r>
        <w:t xml:space="preserve">informed trading. </w:t>
      </w:r>
      <w:r>
        <w:rPr>
          <w:lang w:eastAsia="zh-CN"/>
        </w:rPr>
        <w:t>Model</w:t>
      </w:r>
      <w:r w:rsidR="00B15F8C">
        <w:rPr>
          <w:lang w:eastAsia="zh-CN"/>
        </w:rPr>
        <w:t>s</w:t>
      </w:r>
      <w:r>
        <w:rPr>
          <w:lang w:eastAsia="zh-CN"/>
        </w:rPr>
        <w:t xml:space="preserve"> 1, 2 and 3 focus on the level of informed trading</w:t>
      </w:r>
      <w:r w:rsidR="003A1088">
        <w:rPr>
          <w:lang w:eastAsia="zh-CN"/>
        </w:rPr>
        <w:t xml:space="preserve"> (PIN)</w:t>
      </w:r>
      <w:r>
        <w:rPr>
          <w:lang w:eastAsia="zh-CN"/>
        </w:rPr>
        <w:t xml:space="preserve">. </w:t>
      </w:r>
      <w:r>
        <w:t xml:space="preserve">Model </w:t>
      </w:r>
      <w:r>
        <w:rPr>
          <w:lang w:eastAsia="zh-CN"/>
        </w:rPr>
        <w:t>1</w:t>
      </w:r>
      <w:r>
        <w:t xml:space="preserve"> includes </w:t>
      </w:r>
      <w:r>
        <w:rPr>
          <w:lang w:eastAsia="zh-CN"/>
        </w:rPr>
        <w:t xml:space="preserve">family </w:t>
      </w:r>
      <w:r>
        <w:t>ownership only</w:t>
      </w:r>
      <w:r>
        <w:rPr>
          <w:lang w:eastAsia="zh-CN"/>
        </w:rPr>
        <w:t>.</w:t>
      </w:r>
      <w:r>
        <w:t xml:space="preserve"> Model </w:t>
      </w:r>
      <w:r>
        <w:rPr>
          <w:lang w:eastAsia="zh-CN"/>
        </w:rPr>
        <w:t>2</w:t>
      </w:r>
      <w:r>
        <w:t xml:space="preserve"> </w:t>
      </w:r>
      <w:r w:rsidR="00B15F8C">
        <w:rPr>
          <w:lang w:eastAsia="zh-CN"/>
        </w:rPr>
        <w:t>adds</w:t>
      </w:r>
      <w:r>
        <w:rPr>
          <w:lang w:eastAsia="zh-CN"/>
        </w:rPr>
        <w:t xml:space="preserve"> </w:t>
      </w:r>
      <w:r>
        <w:t>institutional block-holder ownership</w:t>
      </w:r>
      <w:r>
        <w:rPr>
          <w:lang w:eastAsia="zh-CN"/>
        </w:rPr>
        <w:t xml:space="preserve">, and Model 3 </w:t>
      </w:r>
      <w:r w:rsidR="00B15F8C">
        <w:rPr>
          <w:lang w:eastAsia="zh-CN"/>
        </w:rPr>
        <w:t>adds</w:t>
      </w:r>
      <w:r>
        <w:rPr>
          <w:lang w:eastAsia="zh-CN"/>
        </w:rPr>
        <w:t xml:space="preserve"> the relative power of institutional </w:t>
      </w:r>
      <w:r>
        <w:rPr>
          <w:lang w:eastAsia="zh-CN"/>
        </w:rPr>
        <w:lastRenderedPageBreak/>
        <w:t>block-holders over the family</w:t>
      </w:r>
      <w:r>
        <w:t xml:space="preserve">. </w:t>
      </w:r>
      <w:r>
        <w:rPr>
          <w:lang w:eastAsia="zh-CN"/>
        </w:rPr>
        <w:t xml:space="preserve">Model 1 shows there is a significant and negative relation between family ownership and informed trading, </w:t>
      </w:r>
      <w:r>
        <w:rPr>
          <w:bCs/>
          <w:lang w:eastAsia="zh-CN"/>
        </w:rPr>
        <w:t xml:space="preserve">consistent with Filatotchev et al. </w:t>
      </w:r>
      <w:r w:rsidR="00D36065">
        <w:rPr>
          <w:bCs/>
          <w:lang w:eastAsia="zh-CN"/>
        </w:rPr>
        <w:t>(2011) and Anderson et al. (2012</w:t>
      </w:r>
      <w:r>
        <w:rPr>
          <w:bCs/>
          <w:lang w:eastAsia="zh-CN"/>
        </w:rPr>
        <w:t>).</w:t>
      </w:r>
      <w:r>
        <w:rPr>
          <w:lang w:eastAsia="zh-CN"/>
        </w:rPr>
        <w:t xml:space="preserve"> </w:t>
      </w:r>
      <w:r>
        <w:t xml:space="preserve">Although Model </w:t>
      </w:r>
      <w:r>
        <w:rPr>
          <w:lang w:eastAsia="zh-CN"/>
        </w:rPr>
        <w:t>2</w:t>
      </w:r>
      <w:r>
        <w:t xml:space="preserve"> shows there is no significant relation between institutional block-holder ownership and informed trading, Model </w:t>
      </w:r>
      <w:r>
        <w:rPr>
          <w:lang w:eastAsia="zh-CN"/>
        </w:rPr>
        <w:t>3</w:t>
      </w:r>
      <w:r>
        <w:t xml:space="preserve"> shows there is a significant and negative relation between </w:t>
      </w:r>
      <w:r>
        <w:rPr>
          <w:lang w:eastAsia="zh-CN"/>
        </w:rPr>
        <w:t xml:space="preserve">the relative power of </w:t>
      </w:r>
      <w:r>
        <w:t>institutional block-holder</w:t>
      </w:r>
      <w:r w:rsidR="00B15F8C">
        <w:t>s</w:t>
      </w:r>
      <w:r>
        <w:t xml:space="preserve"> </w:t>
      </w:r>
      <w:r>
        <w:rPr>
          <w:lang w:eastAsia="zh-CN"/>
        </w:rPr>
        <w:t>over the</w:t>
      </w:r>
      <w:r>
        <w:t xml:space="preserve"> family</w:t>
      </w:r>
      <w:r>
        <w:rPr>
          <w:lang w:eastAsia="zh-CN"/>
        </w:rPr>
        <w:t xml:space="preserve"> and the level of informed trading</w:t>
      </w:r>
      <w:r>
        <w:t xml:space="preserve">. </w:t>
      </w:r>
      <w:r>
        <w:rPr>
          <w:bCs/>
        </w:rPr>
        <w:t xml:space="preserve">These findings suggest that </w:t>
      </w:r>
      <w:r>
        <w:rPr>
          <w:bCs/>
          <w:lang w:eastAsia="zh-CN"/>
        </w:rPr>
        <w:t xml:space="preserve">to </w:t>
      </w:r>
      <w:r w:rsidR="00FD6C84">
        <w:t>influence family</w:t>
      </w:r>
      <w:r>
        <w:t xml:space="preserve"> transparency levels, institutional block-holders use their relative power over family owners</w:t>
      </w:r>
      <w:r w:rsidR="00B15F8C">
        <w:t xml:space="preserve">.  This </w:t>
      </w:r>
      <w:r>
        <w:rPr>
          <w:lang w:eastAsia="zh-CN"/>
        </w:rPr>
        <w:t xml:space="preserve">represents their loyalty to the family rather than their absolute ownership </w:t>
      </w:r>
      <w:r w:rsidR="00B15F8C">
        <w:rPr>
          <w:lang w:eastAsia="zh-CN"/>
        </w:rPr>
        <w:t xml:space="preserve">and ability </w:t>
      </w:r>
      <w:r>
        <w:rPr>
          <w:bCs/>
        </w:rPr>
        <w:t>to exert pressure and mitigate opportunistic opacity</w:t>
      </w:r>
      <w:r>
        <w:rPr>
          <w:bCs/>
          <w:lang w:eastAsia="zh-CN"/>
        </w:rPr>
        <w:t xml:space="preserve"> </w:t>
      </w:r>
      <w:r>
        <w:t>associated with family owners</w:t>
      </w:r>
      <w:r>
        <w:rPr>
          <w:bCs/>
        </w:rPr>
        <w:t xml:space="preserve">, </w:t>
      </w:r>
      <w:r>
        <w:t xml:space="preserve">supporting Hypothesis </w:t>
      </w:r>
      <w:r>
        <w:rPr>
          <w:lang w:eastAsia="zh-CN"/>
        </w:rPr>
        <w:t>1</w:t>
      </w:r>
      <w:r>
        <w:t xml:space="preserve">. </w:t>
      </w:r>
    </w:p>
    <w:p w:rsidR="00887848" w:rsidRDefault="00887848">
      <w:pPr>
        <w:spacing w:line="480" w:lineRule="auto"/>
        <w:ind w:firstLine="720"/>
      </w:pPr>
      <w:r>
        <w:t xml:space="preserve">Table </w:t>
      </w:r>
      <w:r>
        <w:rPr>
          <w:lang w:eastAsia="zh-CN"/>
        </w:rPr>
        <w:t>2</w:t>
      </w:r>
      <w:r>
        <w:t xml:space="preserve"> </w:t>
      </w:r>
      <w:r>
        <w:rPr>
          <w:lang w:eastAsia="zh-CN"/>
        </w:rPr>
        <w:t xml:space="preserve">Model 4 reports the </w:t>
      </w:r>
      <w:r>
        <w:t>regression results of the effects of institutional block-holders and family owners on the structure of informed trading</w:t>
      </w:r>
      <w:r w:rsidR="003A1088">
        <w:t xml:space="preserve"> (DF)</w:t>
      </w:r>
      <w:r>
        <w:t xml:space="preserve">. As Model </w:t>
      </w:r>
      <w:r>
        <w:rPr>
          <w:lang w:eastAsia="zh-CN"/>
        </w:rPr>
        <w:t>4</w:t>
      </w:r>
      <w:r>
        <w:t xml:space="preserve"> shows </w:t>
      </w:r>
      <w:r>
        <w:rPr>
          <w:lang w:eastAsia="zh-CN"/>
        </w:rPr>
        <w:t xml:space="preserve">there is no significant relation between </w:t>
      </w:r>
      <w:r>
        <w:t xml:space="preserve">institutional block-holders relative power over family owners </w:t>
      </w:r>
      <w:r>
        <w:rPr>
          <w:lang w:eastAsia="zh-CN"/>
        </w:rPr>
        <w:t xml:space="preserve">and </w:t>
      </w:r>
      <w:r>
        <w:t>the structure of informed trading</w:t>
      </w:r>
      <w:r>
        <w:rPr>
          <w:lang w:eastAsia="zh-CN"/>
        </w:rPr>
        <w:t xml:space="preserve">, but </w:t>
      </w:r>
      <w:r>
        <w:t>there is a significant and positive relation between institutional block-holders ownership and the structure of informed trading</w:t>
      </w:r>
      <w:r w:rsidR="003A1088">
        <w:t>, in line with hypothesis 2</w:t>
      </w:r>
      <w:r>
        <w:t xml:space="preserve">. These results again </w:t>
      </w:r>
      <w:r>
        <w:rPr>
          <w:bCs/>
        </w:rPr>
        <w:t>confirm that institutional block-holders ownership and relative power over the largest family are different dimensions of multiple block-holder ownership structure characteristics.</w:t>
      </w:r>
      <w:r>
        <w:t xml:space="preserve"> Institutional block-holders’ absolute shareholdings</w:t>
      </w:r>
      <w:r>
        <w:rPr>
          <w:lang w:eastAsia="zh-CN"/>
        </w:rPr>
        <w:t>, representing their loyalty to family owners,</w:t>
      </w:r>
      <w:r w:rsidR="00EA7EFD">
        <w:t xml:space="preserve"> give them enough incentive</w:t>
      </w:r>
      <w:r>
        <w:t xml:space="preserve"> to change the structure of informed trading, while their relative power becomes less crucial in promoting strategic opacity.</w:t>
      </w:r>
    </w:p>
    <w:p w:rsidR="00887848" w:rsidRDefault="00887848">
      <w:pPr>
        <w:spacing w:line="480" w:lineRule="auto"/>
        <w:ind w:firstLine="720"/>
        <w:rPr>
          <w:bCs/>
        </w:rPr>
      </w:pPr>
      <w:r>
        <w:rPr>
          <w:bCs/>
        </w:rPr>
        <w:t>With respect to control variables</w:t>
      </w:r>
      <w:r>
        <w:rPr>
          <w:bCs/>
          <w:lang w:eastAsia="zh-CN"/>
        </w:rPr>
        <w:t xml:space="preserve"> </w:t>
      </w:r>
      <w:r>
        <w:rPr>
          <w:lang w:eastAsia="zh-CN"/>
        </w:rPr>
        <w:t>in the informed trading regressions</w:t>
      </w:r>
      <w:r>
        <w:rPr>
          <w:bCs/>
        </w:rPr>
        <w:t xml:space="preserve">, Table </w:t>
      </w:r>
      <w:r>
        <w:rPr>
          <w:bCs/>
          <w:lang w:eastAsia="zh-CN"/>
        </w:rPr>
        <w:t xml:space="preserve">2 </w:t>
      </w:r>
      <w:r>
        <w:rPr>
          <w:bCs/>
        </w:rPr>
        <w:t>indicates that the informed trading level is higher in small firms and those with lower liquidity. These results are consistent with Aslan et al. (2010), who find that smaller firms have less transparency and those with limited trading activity are less attractive to un-</w:t>
      </w:r>
      <w:r>
        <w:rPr>
          <w:bCs/>
        </w:rPr>
        <w:lastRenderedPageBreak/>
        <w:t xml:space="preserve">informed investors. Table </w:t>
      </w:r>
      <w:r>
        <w:rPr>
          <w:bCs/>
          <w:lang w:eastAsia="zh-CN"/>
        </w:rPr>
        <w:t xml:space="preserve">2 </w:t>
      </w:r>
      <w:r>
        <w:rPr>
          <w:bCs/>
        </w:rPr>
        <w:t>also indicates that the level of informed trading is lower in firms with large analyst coverage</w:t>
      </w:r>
      <w:r w:rsidR="003A1088">
        <w:rPr>
          <w:bCs/>
        </w:rPr>
        <w:t xml:space="preserve">, </w:t>
      </w:r>
      <w:r>
        <w:rPr>
          <w:bCs/>
        </w:rPr>
        <w:t xml:space="preserve">consistent with </w:t>
      </w:r>
      <w:r>
        <w:rPr>
          <w:lang w:eastAsia="zh-CN"/>
        </w:rPr>
        <w:t>Easley et al. (1998</w:t>
      </w:r>
      <w:r w:rsidR="00272543">
        <w:rPr>
          <w:rFonts w:hint="eastAsia"/>
          <w:bCs/>
          <w:lang w:eastAsia="zh-CN"/>
        </w:rPr>
        <w:t>).</w:t>
      </w:r>
      <w:r>
        <w:rPr>
          <w:bCs/>
        </w:rPr>
        <w:t xml:space="preserve"> Firms with higher daily return volatility have lower informed trading level, indicating that higher potential returns may lead to an increase in speculative activity by un-informed investors. </w:t>
      </w:r>
    </w:p>
    <w:p w:rsidR="00887848" w:rsidRDefault="00887848">
      <w:pPr>
        <w:spacing w:line="480" w:lineRule="auto"/>
        <w:ind w:firstLine="720"/>
        <w:rPr>
          <w:lang w:eastAsia="zh-CN"/>
        </w:rPr>
      </w:pPr>
      <w:r>
        <w:rPr>
          <w:bCs/>
        </w:rPr>
        <w:t>With respect to control variables</w:t>
      </w:r>
      <w:r>
        <w:rPr>
          <w:bCs/>
          <w:lang w:eastAsia="zh-CN"/>
        </w:rPr>
        <w:t xml:space="preserve"> in the structure of </w:t>
      </w:r>
      <w:r w:rsidR="004D0C7A">
        <w:rPr>
          <w:lang w:eastAsia="zh-CN"/>
        </w:rPr>
        <w:t>informed trading</w:t>
      </w:r>
      <w:r>
        <w:rPr>
          <w:lang w:eastAsia="zh-CN"/>
        </w:rPr>
        <w:t>,</w:t>
      </w:r>
      <w:r>
        <w:rPr>
          <w:bCs/>
        </w:rPr>
        <w:t xml:space="preserve"> Table </w:t>
      </w:r>
      <w:r>
        <w:rPr>
          <w:bCs/>
          <w:lang w:eastAsia="zh-CN"/>
        </w:rPr>
        <w:t>2</w:t>
      </w:r>
      <w:r>
        <w:rPr>
          <w:bCs/>
        </w:rPr>
        <w:t xml:space="preserve"> indicates that larger firms and </w:t>
      </w:r>
      <w:r w:rsidR="004D0C7A">
        <w:rPr>
          <w:bCs/>
        </w:rPr>
        <w:t>those</w:t>
      </w:r>
      <w:r>
        <w:rPr>
          <w:bCs/>
        </w:rPr>
        <w:t xml:space="preserve"> with </w:t>
      </w:r>
      <w:r w:rsidR="00EA7EFD">
        <w:rPr>
          <w:bCs/>
        </w:rPr>
        <w:t>higher</w:t>
      </w:r>
      <w:r>
        <w:rPr>
          <w:bCs/>
        </w:rPr>
        <w:t xml:space="preserve"> liquidity and daily return volatility reflect a positive effect on the structure of informed trading. Aslan et al. (2010) argue that firms with more volatility present greater profit opportunities for informed traders. The findings here further support the view that bigger, more liquid and more risky firms presenting greater profits for informed traders may contain more strategic private information and have more positive informed trading.  Table </w:t>
      </w:r>
      <w:r>
        <w:rPr>
          <w:bCs/>
          <w:lang w:eastAsia="zh-CN"/>
        </w:rPr>
        <w:t>2</w:t>
      </w:r>
      <w:r>
        <w:rPr>
          <w:bCs/>
        </w:rPr>
        <w:t xml:space="preserve"> also provides evidence that firms with high growth opportunities have a negative effect on the structure of informed trading, consistent with Aslan et al. (2010) who find that informed traders seek out the truly profitable firms while un-informed traders overestimate firms with high growth opportunities.</w:t>
      </w:r>
      <w:r>
        <w:rPr>
          <w:lang w:eastAsia="zh-CN"/>
        </w:rPr>
        <w:t xml:space="preserve"> </w:t>
      </w:r>
    </w:p>
    <w:p w:rsidR="00887848" w:rsidRDefault="00887848">
      <w:pPr>
        <w:spacing w:line="480" w:lineRule="auto"/>
        <w:jc w:val="center"/>
        <w:rPr>
          <w:lang w:eastAsia="zh-CN"/>
        </w:rPr>
      </w:pPr>
      <w:r>
        <w:t xml:space="preserve">Table </w:t>
      </w:r>
      <w:r>
        <w:rPr>
          <w:lang w:eastAsia="zh-CN"/>
        </w:rPr>
        <w:t>2</w:t>
      </w:r>
    </w:p>
    <w:p w:rsidR="00887848" w:rsidRDefault="00887848">
      <w:pPr>
        <w:spacing w:line="480" w:lineRule="auto"/>
        <w:ind w:firstLine="720"/>
      </w:pPr>
      <w:r>
        <w:t xml:space="preserve">Table </w:t>
      </w:r>
      <w:r>
        <w:rPr>
          <w:lang w:eastAsia="zh-CN"/>
        </w:rPr>
        <w:t>3</w:t>
      </w:r>
      <w:r>
        <w:t xml:space="preserve"> reports the effects of the different type</w:t>
      </w:r>
      <w:r w:rsidR="00591B3F">
        <w:t>s</w:t>
      </w:r>
      <w:r>
        <w:t xml:space="preserve"> of institutional block-holders </w:t>
      </w:r>
      <w:r>
        <w:rPr>
          <w:lang w:eastAsia="zh-CN"/>
        </w:rPr>
        <w:t xml:space="preserve">and </w:t>
      </w:r>
      <w:r>
        <w:t xml:space="preserve">family owners in informed trading and its structure. </w:t>
      </w:r>
      <w:r>
        <w:rPr>
          <w:bCs/>
        </w:rPr>
        <w:t xml:space="preserve">As Model </w:t>
      </w:r>
      <w:r>
        <w:rPr>
          <w:bCs/>
          <w:lang w:eastAsia="zh-CN"/>
        </w:rPr>
        <w:t>5</w:t>
      </w:r>
      <w:r>
        <w:rPr>
          <w:bCs/>
        </w:rPr>
        <w:t xml:space="preserve"> shows, </w:t>
      </w:r>
      <w:r>
        <w:t xml:space="preserve">there is a significant and negative relation between pressure-resistant relative power over the controlling family and informed trading. There is no significant relationship between the relative power of pressure-sensitive/pressure-uncertain institutional block-holders and informed trading. This suggests that pressure-resistant institutional block-holders are more likely than other block-holders to </w:t>
      </w:r>
      <w:r>
        <w:rPr>
          <w:lang w:eastAsia="zh-CN"/>
        </w:rPr>
        <w:t xml:space="preserve">use their relative power over families in order to </w:t>
      </w:r>
      <w:r>
        <w:t xml:space="preserve">mitigate opportunistic opacity and overall informed trading, supporting Hypothesis </w:t>
      </w:r>
      <w:r>
        <w:rPr>
          <w:lang w:eastAsia="zh-CN"/>
        </w:rPr>
        <w:t>3</w:t>
      </w:r>
      <w:r>
        <w:t xml:space="preserve">. </w:t>
      </w:r>
    </w:p>
    <w:p w:rsidR="00887848" w:rsidRDefault="00887848">
      <w:pPr>
        <w:spacing w:line="480" w:lineRule="auto"/>
        <w:ind w:firstLine="720"/>
        <w:rPr>
          <w:lang w:eastAsia="zh-CN"/>
        </w:rPr>
      </w:pPr>
      <w:r>
        <w:t xml:space="preserve">Table </w:t>
      </w:r>
      <w:r>
        <w:rPr>
          <w:lang w:eastAsia="zh-CN"/>
        </w:rPr>
        <w:t>3</w:t>
      </w:r>
      <w:r>
        <w:t xml:space="preserve"> Model </w:t>
      </w:r>
      <w:r>
        <w:rPr>
          <w:lang w:eastAsia="zh-CN"/>
        </w:rPr>
        <w:t>6</w:t>
      </w:r>
      <w:r>
        <w:t xml:space="preserve"> shows there is a significant positive relation between pressure-resistant institutional block-holder ownership and the structure of informed trading. There is </w:t>
      </w:r>
      <w:r>
        <w:lastRenderedPageBreak/>
        <w:t xml:space="preserve">no significant relation between the ownership of pressure-sensitive/pressure-uncertain institutional block-holders and the structure of informed trading. These findings show that pressure-resistant institutional block-holders are more likely than other institutional block-holders to </w:t>
      </w:r>
      <w:r>
        <w:rPr>
          <w:lang w:eastAsia="zh-CN"/>
        </w:rPr>
        <w:t xml:space="preserve">promote strategic opacity and </w:t>
      </w:r>
      <w:r>
        <w:t xml:space="preserve">change the structure of informed trading, supporting Hypothesis </w:t>
      </w:r>
      <w:r>
        <w:rPr>
          <w:lang w:eastAsia="zh-CN"/>
        </w:rPr>
        <w:t>4</w:t>
      </w:r>
      <w:r>
        <w:t>.</w:t>
      </w:r>
    </w:p>
    <w:p w:rsidR="00887848" w:rsidRDefault="00887848">
      <w:pPr>
        <w:spacing w:line="480" w:lineRule="auto"/>
        <w:ind w:firstLine="720"/>
        <w:rPr>
          <w:lang w:eastAsia="zh-CN"/>
        </w:rPr>
      </w:pPr>
      <w:r>
        <w:rPr>
          <w:lang w:eastAsia="zh-CN"/>
        </w:rPr>
        <w:t xml:space="preserve">Although we control for a variety of firm-specific characteristics, we also perform a robustness test by comparing family firms to </w:t>
      </w:r>
      <w:r w:rsidR="00ED66A8">
        <w:rPr>
          <w:lang w:eastAsia="zh-CN"/>
        </w:rPr>
        <w:t xml:space="preserve">similar </w:t>
      </w:r>
      <w:r>
        <w:rPr>
          <w:lang w:eastAsia="zh-CN"/>
        </w:rPr>
        <w:t>non-family firms</w:t>
      </w:r>
      <w:r w:rsidR="006B221C">
        <w:rPr>
          <w:lang w:eastAsia="zh-CN"/>
        </w:rPr>
        <w:t xml:space="preserve"> </w:t>
      </w:r>
      <w:r w:rsidR="001C7ABD">
        <w:rPr>
          <w:lang w:eastAsia="zh-CN"/>
        </w:rPr>
        <w:t>by constructing</w:t>
      </w:r>
      <w:r>
        <w:rPr>
          <w:lang w:eastAsia="zh-CN"/>
        </w:rPr>
        <w:t xml:space="preserve"> a propensity score matched sample</w:t>
      </w:r>
      <w:r w:rsidR="00C91857">
        <w:rPr>
          <w:lang w:eastAsia="zh-CN"/>
        </w:rPr>
        <w:t xml:space="preserve">, following </w:t>
      </w:r>
      <w:r w:rsidR="00D36065">
        <w:rPr>
          <w:rFonts w:eastAsia="TimesNewRomanPSMT"/>
        </w:rPr>
        <w:t>Anderson et al. (2012</w:t>
      </w:r>
      <w:r w:rsidR="00C91857">
        <w:rPr>
          <w:rFonts w:eastAsia="TimesNewRomanPSMT"/>
        </w:rPr>
        <w:t>)</w:t>
      </w:r>
      <w:r>
        <w:rPr>
          <w:lang w:eastAsia="zh-CN"/>
        </w:rPr>
        <w:t>. Using a logit model with the family firm dummy as the dependent variable, we match family to non</w:t>
      </w:r>
      <w:r w:rsidR="001C7ABD">
        <w:rPr>
          <w:lang w:eastAsia="zh-CN"/>
        </w:rPr>
        <w:t>-</w:t>
      </w:r>
      <w:r>
        <w:rPr>
          <w:lang w:eastAsia="zh-CN"/>
        </w:rPr>
        <w:t xml:space="preserve">family firms based on pressure-resistant, pressure-sensitive </w:t>
      </w:r>
      <w:r w:rsidR="001C7ABD">
        <w:rPr>
          <w:lang w:eastAsia="zh-CN"/>
        </w:rPr>
        <w:t>and</w:t>
      </w:r>
      <w:r>
        <w:rPr>
          <w:lang w:eastAsia="zh-CN"/>
        </w:rPr>
        <w:t xml:space="preserve"> pressure-uncertain institutional block-holders ownership, market capitalization, liquidity, daily return risk, return on equity, growth, analyst coverage, and firm age. Following Caliendo and Kopeinig (2008), our propensity score model uses one to one matching, a radius/caliper of 0.1, and a common support range of (0.30 to 0.99). Finally</w:t>
      </w:r>
      <w:r w:rsidR="00ED66A8">
        <w:rPr>
          <w:lang w:eastAsia="zh-CN"/>
        </w:rPr>
        <w:t>,</w:t>
      </w:r>
      <w:r>
        <w:rPr>
          <w:lang w:eastAsia="zh-CN"/>
        </w:rPr>
        <w:t xml:space="preserve"> we allow observations to be used as a match more than once, thus making the order of matching irrelevant. The matching process yields a sample of 361 family firms and 361 non</w:t>
      </w:r>
      <w:r w:rsidR="001C7ABD">
        <w:rPr>
          <w:lang w:eastAsia="zh-CN"/>
        </w:rPr>
        <w:t>-</w:t>
      </w:r>
      <w:r>
        <w:rPr>
          <w:lang w:eastAsia="zh-CN"/>
        </w:rPr>
        <w:t xml:space="preserve">family firms and the results using the propensity score matched samples are in Table </w:t>
      </w:r>
      <w:r w:rsidR="00C5331B">
        <w:rPr>
          <w:lang w:eastAsia="zh-CN"/>
        </w:rPr>
        <w:t>3</w:t>
      </w:r>
      <w:r>
        <w:rPr>
          <w:lang w:eastAsia="zh-CN"/>
        </w:rPr>
        <w:t xml:space="preserve"> Models 7 and 8.  Consistent with earlier results, the matched sample analysis suggests that pressure-resistant institutional block-holders’ relative power over families is more likely than other block-holders to mitigate overall informed trading while their absolute ownership is more likely </w:t>
      </w:r>
      <w:r w:rsidR="006B221C">
        <w:rPr>
          <w:lang w:eastAsia="zh-CN"/>
        </w:rPr>
        <w:t xml:space="preserve">to improve its structure </w:t>
      </w:r>
      <w:r>
        <w:rPr>
          <w:lang w:eastAsia="zh-CN"/>
        </w:rPr>
        <w:t>than other block-holders</w:t>
      </w:r>
      <w:r w:rsidR="001C7ABD">
        <w:rPr>
          <w:lang w:eastAsia="zh-CN"/>
        </w:rPr>
        <w:t>, supporting Hypothese</w:t>
      </w:r>
      <w:r>
        <w:rPr>
          <w:lang w:eastAsia="zh-CN"/>
        </w:rPr>
        <w:t xml:space="preserve">s 3 and 4. </w:t>
      </w:r>
    </w:p>
    <w:p w:rsidR="00887848" w:rsidRDefault="00887848">
      <w:pPr>
        <w:spacing w:line="480" w:lineRule="auto"/>
        <w:ind w:firstLine="420"/>
        <w:jc w:val="center"/>
        <w:rPr>
          <w:lang w:eastAsia="zh-CN"/>
        </w:rPr>
      </w:pPr>
      <w:r>
        <w:t xml:space="preserve">Table </w:t>
      </w:r>
      <w:r>
        <w:rPr>
          <w:lang w:eastAsia="zh-CN"/>
        </w:rPr>
        <w:t>3</w:t>
      </w:r>
    </w:p>
    <w:p w:rsidR="00887848" w:rsidRDefault="00887848">
      <w:pPr>
        <w:spacing w:line="480" w:lineRule="auto"/>
        <w:ind w:firstLine="720"/>
        <w:rPr>
          <w:lang w:eastAsia="zh-CN"/>
        </w:rPr>
      </w:pPr>
      <w:r>
        <w:t xml:space="preserve">Table </w:t>
      </w:r>
      <w:r>
        <w:rPr>
          <w:lang w:eastAsia="zh-CN"/>
        </w:rPr>
        <w:t>4</w:t>
      </w:r>
      <w:r>
        <w:t xml:space="preserve"> reports the effects of informed trading and its structure on company valuation measured by Tobin’s Q. </w:t>
      </w:r>
      <w:r>
        <w:rPr>
          <w:lang w:eastAsia="zh-CN"/>
        </w:rPr>
        <w:t xml:space="preserve"> Model 9 shows a </w:t>
      </w:r>
      <w:r w:rsidR="005B696A">
        <w:rPr>
          <w:rFonts w:hint="eastAsia"/>
          <w:lang w:eastAsia="zh-CN"/>
        </w:rPr>
        <w:t xml:space="preserve">significantly </w:t>
      </w:r>
      <w:r w:rsidR="006B221C">
        <w:t>positive relation</w:t>
      </w:r>
      <w:r>
        <w:t xml:space="preserve"> between the structure of informed trading and company valuation, supporting Hypothesis </w:t>
      </w:r>
      <w:r w:rsidR="001C7ABD">
        <w:rPr>
          <w:lang w:eastAsia="zh-CN"/>
        </w:rPr>
        <w:t xml:space="preserve">5 and </w:t>
      </w:r>
      <w:r w:rsidR="001C7ABD">
        <w:rPr>
          <w:lang w:eastAsia="zh-CN"/>
        </w:rPr>
        <w:lastRenderedPageBreak/>
        <w:t xml:space="preserve">suggesting that a </w:t>
      </w:r>
      <w:r>
        <w:rPr>
          <w:lang w:eastAsia="zh-CN"/>
        </w:rPr>
        <w:t xml:space="preserve">good structure </w:t>
      </w:r>
      <w:r w:rsidR="001C7ABD">
        <w:rPr>
          <w:lang w:eastAsia="zh-CN"/>
        </w:rPr>
        <w:t>with</w:t>
      </w:r>
      <w:r>
        <w:rPr>
          <w:lang w:eastAsia="zh-CN"/>
        </w:rPr>
        <w:t xml:space="preserve"> more informed trading on positive private information and/or less on negative private information improve</w:t>
      </w:r>
      <w:r w:rsidR="001C7ABD">
        <w:rPr>
          <w:lang w:eastAsia="zh-CN"/>
        </w:rPr>
        <w:t>s</w:t>
      </w:r>
      <w:r>
        <w:rPr>
          <w:lang w:eastAsia="zh-CN"/>
        </w:rPr>
        <w:t xml:space="preserve"> firm valuation</w:t>
      </w:r>
      <w:r>
        <w:t xml:space="preserve">. </w:t>
      </w:r>
    </w:p>
    <w:p w:rsidR="00887848" w:rsidRDefault="00887848">
      <w:pPr>
        <w:spacing w:line="480" w:lineRule="auto"/>
        <w:ind w:firstLine="720"/>
        <w:rPr>
          <w:lang w:eastAsia="zh-CN"/>
        </w:rPr>
      </w:pPr>
      <w:r>
        <w:rPr>
          <w:lang w:eastAsia="zh-CN"/>
        </w:rPr>
        <w:t>T</w:t>
      </w:r>
      <w:r>
        <w:t>he firm-level component of private information risk reflects intentionally distorted disclosure by managers and/or a lack of scrutiny by investors and market intermediaries (Anderson</w:t>
      </w:r>
      <w:r>
        <w:rPr>
          <w:lang w:eastAsia="zh-CN"/>
        </w:rPr>
        <w:t xml:space="preserve"> et al.</w:t>
      </w:r>
      <w:r>
        <w:t>, 2009)</w:t>
      </w:r>
      <w:r w:rsidR="00134E33">
        <w:t>.  This</w:t>
      </w:r>
      <w:r>
        <w:rPr>
          <w:lang w:eastAsia="zh-CN"/>
        </w:rPr>
        <w:t xml:space="preserve"> can discount </w:t>
      </w:r>
      <w:r w:rsidR="001C7ABD">
        <w:rPr>
          <w:lang w:eastAsia="zh-CN"/>
        </w:rPr>
        <w:t xml:space="preserve">the </w:t>
      </w:r>
      <w:r>
        <w:rPr>
          <w:lang w:eastAsia="zh-CN"/>
        </w:rPr>
        <w:t>share price at a higher rate than market wide private information (Chordia et al., 2002; Bardong et al</w:t>
      </w:r>
      <w:r w:rsidR="00272543">
        <w:rPr>
          <w:rFonts w:hint="eastAsia"/>
          <w:lang w:eastAsia="zh-CN"/>
        </w:rPr>
        <w:t>.,</w:t>
      </w:r>
      <w:r>
        <w:rPr>
          <w:lang w:eastAsia="zh-CN"/>
        </w:rPr>
        <w:t xml:space="preserve"> 2008)</w:t>
      </w:r>
      <w:r>
        <w:t xml:space="preserve">. In contrast, </w:t>
      </w:r>
      <w:r w:rsidR="00134E33">
        <w:t>where</w:t>
      </w:r>
      <w:r>
        <w:t xml:space="preserve"> </w:t>
      </w:r>
      <w:r w:rsidR="00134E33">
        <w:t xml:space="preserve">there is </w:t>
      </w:r>
      <w:r>
        <w:t>information</w:t>
      </w:r>
      <w:r w:rsidR="00134E33">
        <w:t xml:space="preserve"> symmetry</w:t>
      </w:r>
      <w:r>
        <w:t xml:space="preserve">, if investors expect that </w:t>
      </w:r>
      <w:r>
        <w:rPr>
          <w:lang w:eastAsia="zh-CN"/>
        </w:rPr>
        <w:t xml:space="preserve"> firm-level private information </w:t>
      </w:r>
      <w:r>
        <w:t xml:space="preserve">is </w:t>
      </w:r>
      <w:r>
        <w:rPr>
          <w:lang w:eastAsia="zh-CN"/>
        </w:rPr>
        <w:t xml:space="preserve">more likely due to </w:t>
      </w:r>
      <w:r>
        <w:t>manager</w:t>
      </w:r>
      <w:r w:rsidR="00134E33">
        <w:t>ial</w:t>
      </w:r>
      <w:r>
        <w:t xml:space="preserve"> </w:t>
      </w:r>
      <w:r>
        <w:rPr>
          <w:lang w:eastAsia="zh-CN"/>
        </w:rPr>
        <w:t xml:space="preserve">strategic rather than </w:t>
      </w:r>
      <w:r>
        <w:t xml:space="preserve">opportunistic opacity, confidence in interpreting strategic positive private information </w:t>
      </w:r>
      <w:r>
        <w:rPr>
          <w:lang w:eastAsia="zh-CN"/>
        </w:rPr>
        <w:t xml:space="preserve">signals </w:t>
      </w:r>
      <w:r>
        <w:t>can be improved</w:t>
      </w:r>
      <w:r>
        <w:rPr>
          <w:lang w:eastAsia="zh-CN"/>
        </w:rPr>
        <w:t xml:space="preserve"> (Bhattacharya</w:t>
      </w:r>
      <w:r w:rsidR="00272543">
        <w:rPr>
          <w:rFonts w:hint="eastAsia"/>
          <w:lang w:eastAsia="zh-CN"/>
        </w:rPr>
        <w:t>,</w:t>
      </w:r>
      <w:r>
        <w:rPr>
          <w:lang w:eastAsia="zh-CN"/>
        </w:rPr>
        <w:t xml:space="preserve"> 1979)</w:t>
      </w:r>
      <w:r w:rsidR="00134E33">
        <w:rPr>
          <w:lang w:eastAsia="zh-CN"/>
        </w:rPr>
        <w:t>.  This in turn can</w:t>
      </w:r>
      <w:r>
        <w:t xml:space="preserve"> improve share valuation (Stocken</w:t>
      </w:r>
      <w:r w:rsidR="00272543">
        <w:rPr>
          <w:rFonts w:hint="eastAsia"/>
          <w:lang w:eastAsia="zh-CN"/>
        </w:rPr>
        <w:t>,</w:t>
      </w:r>
      <w:r>
        <w:t xml:space="preserve"> 2000; Trueman</w:t>
      </w:r>
      <w:r w:rsidR="00272543">
        <w:rPr>
          <w:rFonts w:hint="eastAsia"/>
          <w:lang w:eastAsia="zh-CN"/>
        </w:rPr>
        <w:t>,</w:t>
      </w:r>
      <w:r>
        <w:t xml:space="preserve"> 1986).</w:t>
      </w:r>
      <w:r>
        <w:rPr>
          <w:lang w:eastAsia="zh-CN"/>
        </w:rPr>
        <w:t xml:space="preserve"> </w:t>
      </w:r>
      <w:r w:rsidR="00134E33">
        <w:t>Given the above</w:t>
      </w:r>
      <w:r>
        <w:t xml:space="preserve">, it is expected that investors will put a bigger discount on informed trading based on </w:t>
      </w:r>
      <w:r w:rsidR="00272543">
        <w:rPr>
          <w:rFonts w:hint="eastAsia"/>
          <w:lang w:eastAsia="zh-CN"/>
        </w:rPr>
        <w:t xml:space="preserve">firm-level </w:t>
      </w:r>
      <w:r>
        <w:t xml:space="preserve">private information than overall informed trading, and a bigger premium on the </w:t>
      </w:r>
      <w:r w:rsidR="00272543">
        <w:rPr>
          <w:rFonts w:hint="eastAsia"/>
          <w:lang w:eastAsia="zh-CN"/>
        </w:rPr>
        <w:t xml:space="preserve">expected </w:t>
      </w:r>
      <w:r>
        <w:t xml:space="preserve">structure of informed trading than the overall structure of informed trading. In </w:t>
      </w:r>
      <w:r>
        <w:rPr>
          <w:lang w:eastAsia="zh-CN"/>
        </w:rPr>
        <w:t xml:space="preserve">Table 4 </w:t>
      </w:r>
      <w:r>
        <w:t>Models 1</w:t>
      </w:r>
      <w:r>
        <w:rPr>
          <w:lang w:eastAsia="zh-CN"/>
        </w:rPr>
        <w:t xml:space="preserve">0 and 11 we provide results of the </w:t>
      </w:r>
      <w:r>
        <w:t xml:space="preserve">two-stage least square (2SLS) regressions using the fitted values of PIN from Model </w:t>
      </w:r>
      <w:r>
        <w:rPr>
          <w:lang w:eastAsia="zh-CN"/>
        </w:rPr>
        <w:t>5</w:t>
      </w:r>
      <w:r>
        <w:t xml:space="preserve"> and the fitted values of DF from Model </w:t>
      </w:r>
      <w:r>
        <w:rPr>
          <w:lang w:eastAsia="zh-CN"/>
        </w:rPr>
        <w:t>6</w:t>
      </w:r>
      <w:r>
        <w:t xml:space="preserve"> (see Pagan, 1984). </w:t>
      </w:r>
      <w:r>
        <w:rPr>
          <w:lang w:eastAsia="zh-CN"/>
        </w:rPr>
        <w:t>T</w:t>
      </w:r>
      <w:r>
        <w:t>he market-wide private information, which is common across all listed firms, is captured in the error term and removed from the explained component of informed trading.</w:t>
      </w:r>
      <w:r>
        <w:rPr>
          <w:lang w:eastAsia="zh-CN"/>
        </w:rPr>
        <w:t xml:space="preserve"> T</w:t>
      </w:r>
      <w:r>
        <w:t>he explained component of the structure of informed trading captures the signal that outside investors can expect based on firm-level characteristics. Explained PIN and explained DF are separately introduced in Models 1</w:t>
      </w:r>
      <w:r>
        <w:rPr>
          <w:lang w:eastAsia="zh-CN"/>
        </w:rPr>
        <w:t>0</w:t>
      </w:r>
      <w:r>
        <w:t xml:space="preserve"> and 1</w:t>
      </w:r>
      <w:r>
        <w:rPr>
          <w:lang w:eastAsia="zh-CN"/>
        </w:rPr>
        <w:t xml:space="preserve">1 </w:t>
      </w:r>
      <w:r>
        <w:t>to avoid multicollinearity</w:t>
      </w:r>
      <w:r>
        <w:rPr>
          <w:lang w:eastAsia="zh-CN"/>
        </w:rPr>
        <w:t>.</w:t>
      </w:r>
    </w:p>
    <w:p w:rsidR="00887848" w:rsidRDefault="00887848">
      <w:pPr>
        <w:spacing w:line="480" w:lineRule="auto"/>
        <w:ind w:firstLine="720"/>
        <w:rPr>
          <w:lang w:eastAsia="zh-CN"/>
        </w:rPr>
      </w:pPr>
      <w:r>
        <w:t xml:space="preserve">Results </w:t>
      </w:r>
      <w:r w:rsidR="00081194">
        <w:t>for</w:t>
      </w:r>
      <w:r>
        <w:t xml:space="preserve"> Model 1</w:t>
      </w:r>
      <w:r>
        <w:rPr>
          <w:lang w:eastAsia="zh-CN"/>
        </w:rPr>
        <w:t>0</w:t>
      </w:r>
      <w:r>
        <w:t xml:space="preserve"> show that the fitted informed trading level has a significant and stronger negative effect on firm </w:t>
      </w:r>
      <w:r>
        <w:rPr>
          <w:lang w:eastAsia="zh-CN"/>
        </w:rPr>
        <w:t xml:space="preserve">valuation </w:t>
      </w:r>
      <w:r>
        <w:t>compared to the overall informed tr</w:t>
      </w:r>
      <w:r w:rsidR="00081194">
        <w:t>ading that also contains market-</w:t>
      </w:r>
      <w:r>
        <w:t>wide private information risk</w:t>
      </w:r>
      <w:r w:rsidR="00F129F3">
        <w:rPr>
          <w:rFonts w:hint="eastAsia"/>
          <w:lang w:eastAsia="zh-CN"/>
        </w:rPr>
        <w:t xml:space="preserve">, </w:t>
      </w:r>
      <w:r w:rsidR="00F129F3">
        <w:rPr>
          <w:lang w:eastAsia="zh-CN"/>
        </w:rPr>
        <w:t>consistent with Filatotchev et al. (2011)</w:t>
      </w:r>
      <w:r>
        <w:t xml:space="preserve">. This stronger negative relation between the informed trading based on firm-level private information and firm performance shows that investors place greater valuation discounts on </w:t>
      </w:r>
      <w:r>
        <w:lastRenderedPageBreak/>
        <w:t xml:space="preserve">the firm-level governance-related proportion of private information risk than the total private information risk that includes market-wide risks. </w:t>
      </w:r>
    </w:p>
    <w:p w:rsidR="00887848" w:rsidRDefault="00887848">
      <w:pPr>
        <w:spacing w:line="480" w:lineRule="auto"/>
        <w:ind w:firstLine="720"/>
      </w:pPr>
      <w:r>
        <w:t>Results in Model 1</w:t>
      </w:r>
      <w:r>
        <w:rPr>
          <w:lang w:eastAsia="zh-CN"/>
        </w:rPr>
        <w:t xml:space="preserve">1 </w:t>
      </w:r>
      <w:r>
        <w:t xml:space="preserve">show that the fitted structure of informed trading has a significant and stronger positive effect on firm </w:t>
      </w:r>
      <w:r>
        <w:rPr>
          <w:lang w:eastAsia="zh-CN"/>
        </w:rPr>
        <w:t xml:space="preserve">valuation </w:t>
      </w:r>
      <w:r>
        <w:t xml:space="preserve">compared to the overall structure of informed trading that also contains the component that is unexplained to outside investors. This stronger positive relation between the explained structure of informed trading and firm </w:t>
      </w:r>
      <w:r>
        <w:rPr>
          <w:lang w:eastAsia="zh-CN"/>
        </w:rPr>
        <w:t xml:space="preserve">valuation </w:t>
      </w:r>
      <w:r>
        <w:t xml:space="preserve">shows that investors place </w:t>
      </w:r>
      <w:r w:rsidR="00134E33">
        <w:t>a greater premium</w:t>
      </w:r>
      <w:r>
        <w:t xml:space="preserve"> on the portion of the structure of informed trading explained by firm-level governance-related characteristics than the overall structure of informed trading.</w:t>
      </w:r>
    </w:p>
    <w:p w:rsidR="00887848" w:rsidRDefault="00887848">
      <w:pPr>
        <w:spacing w:line="480" w:lineRule="auto"/>
        <w:ind w:firstLine="720"/>
        <w:rPr>
          <w:lang w:eastAsia="zh-CN"/>
        </w:rPr>
      </w:pPr>
      <w:r>
        <w:t>Finally, in Model 1</w:t>
      </w:r>
      <w:r>
        <w:rPr>
          <w:lang w:eastAsia="zh-CN"/>
        </w:rPr>
        <w:t>2</w:t>
      </w:r>
      <w:r>
        <w:t xml:space="preserve"> all governance variables are included, plus explained PIN</w:t>
      </w:r>
      <w:r>
        <w:rPr>
          <w:lang w:eastAsia="zh-CN"/>
        </w:rPr>
        <w:t xml:space="preserve"> (E[PIN]),</w:t>
      </w:r>
      <w:r>
        <w:t xml:space="preserve"> and explained DF</w:t>
      </w:r>
      <w:r>
        <w:rPr>
          <w:lang w:eastAsia="zh-CN"/>
        </w:rPr>
        <w:t xml:space="preserve"> (E[DF])</w:t>
      </w:r>
      <w:r>
        <w:t>, and the control variables. Model 1</w:t>
      </w:r>
      <w:r>
        <w:rPr>
          <w:lang w:eastAsia="zh-CN"/>
        </w:rPr>
        <w:t>2</w:t>
      </w:r>
      <w:r>
        <w:t xml:space="preserve"> shows that after controlling for explained informed trading</w:t>
      </w:r>
      <w:r>
        <w:rPr>
          <w:lang w:eastAsia="zh-CN"/>
        </w:rPr>
        <w:t xml:space="preserve"> and its structure</w:t>
      </w:r>
      <w:r>
        <w:t xml:space="preserve">, family ownership has a positive impact on </w:t>
      </w:r>
      <w:r>
        <w:rPr>
          <w:lang w:eastAsia="zh-CN"/>
        </w:rPr>
        <w:t>company valuation, while pressure-resistant institutional block-holders have a negative impact on company valuation</w:t>
      </w:r>
      <w:r>
        <w:t>. The firm-level explained informed trading is still significantly and negatively associated with firm valuation</w:t>
      </w:r>
      <w:r>
        <w:rPr>
          <w:lang w:eastAsia="zh-CN"/>
        </w:rPr>
        <w:t>, consistent with Filatotchev et al. (2011). T</w:t>
      </w:r>
      <w:r>
        <w:t xml:space="preserve">he explained </w:t>
      </w:r>
      <w:r>
        <w:rPr>
          <w:lang w:eastAsia="zh-CN"/>
        </w:rPr>
        <w:t>PIN and DF</w:t>
      </w:r>
      <w:r>
        <w:t xml:space="preserve"> remain significant with different signs, suggesting that </w:t>
      </w:r>
      <w:r>
        <w:rPr>
          <w:lang w:eastAsia="zh-CN"/>
        </w:rPr>
        <w:t xml:space="preserve">although </w:t>
      </w:r>
      <w:r>
        <w:t xml:space="preserve">informed trading </w:t>
      </w:r>
      <w:r>
        <w:rPr>
          <w:lang w:eastAsia="zh-CN"/>
        </w:rPr>
        <w:t xml:space="preserve">decreases company value, </w:t>
      </w:r>
      <w:r w:rsidR="00134E33">
        <w:t>a</w:t>
      </w:r>
      <w:r>
        <w:t xml:space="preserve"> </w:t>
      </w:r>
      <w:r>
        <w:rPr>
          <w:lang w:eastAsia="zh-CN"/>
        </w:rPr>
        <w:t xml:space="preserve">good </w:t>
      </w:r>
      <w:r>
        <w:t>structure of informed trading</w:t>
      </w:r>
      <w:r>
        <w:rPr>
          <w:lang w:eastAsia="zh-CN"/>
        </w:rPr>
        <w:t xml:space="preserve"> increases</w:t>
      </w:r>
      <w:r>
        <w:t xml:space="preserve"> </w:t>
      </w:r>
      <w:r w:rsidR="00081194">
        <w:t>it</w:t>
      </w:r>
      <w:r>
        <w:t xml:space="preserve">, as predicted in this framework. </w:t>
      </w:r>
    </w:p>
    <w:p w:rsidR="009054E4" w:rsidRDefault="00887848">
      <w:pPr>
        <w:spacing w:line="480" w:lineRule="auto"/>
        <w:ind w:left="2880" w:firstLine="720"/>
        <w:rPr>
          <w:lang w:eastAsia="zh-CN"/>
        </w:rPr>
      </w:pPr>
      <w:r>
        <w:rPr>
          <w:lang w:eastAsia="zh-CN"/>
        </w:rPr>
        <w:t>Table 4</w:t>
      </w:r>
    </w:p>
    <w:p w:rsidR="00887848" w:rsidRDefault="00887848">
      <w:pPr>
        <w:spacing w:line="480" w:lineRule="auto"/>
        <w:ind w:firstLine="720"/>
        <w:rPr>
          <w:lang w:eastAsia="zh-CN"/>
        </w:rPr>
      </w:pPr>
      <w:r>
        <w:t>These findings indicate potential differences in the wealth-generation and wealth- distribution governance roles of the controlling family and multiple institutional block-holders. If the firm was absolutely transparent to outside shareholders</w:t>
      </w:r>
      <w:r>
        <w:rPr>
          <w:lang w:eastAsia="zh-CN"/>
        </w:rPr>
        <w:t xml:space="preserve">, such </w:t>
      </w:r>
      <w:r w:rsidR="00081194">
        <w:rPr>
          <w:lang w:eastAsia="zh-CN"/>
        </w:rPr>
        <w:t xml:space="preserve">an </w:t>
      </w:r>
      <w:r>
        <w:rPr>
          <w:lang w:eastAsia="zh-CN"/>
        </w:rPr>
        <w:t>information environment</w:t>
      </w:r>
      <w:r w:rsidR="00081194">
        <w:rPr>
          <w:lang w:eastAsia="zh-CN"/>
        </w:rPr>
        <w:t xml:space="preserve"> removes </w:t>
      </w:r>
      <w:r w:rsidR="00134E33">
        <w:rPr>
          <w:lang w:eastAsia="zh-CN"/>
        </w:rPr>
        <w:t>controlling family</w:t>
      </w:r>
      <w:r>
        <w:rPr>
          <w:lang w:eastAsia="zh-CN"/>
        </w:rPr>
        <w:t xml:space="preserve"> opportunism</w:t>
      </w:r>
      <w:r w:rsidR="00081194">
        <w:rPr>
          <w:lang w:eastAsia="zh-CN"/>
        </w:rPr>
        <w:t xml:space="preserve"> that</w:t>
      </w:r>
      <w:r>
        <w:rPr>
          <w:lang w:eastAsia="zh-CN"/>
        </w:rPr>
        <w:t xml:space="preserve"> leads to unfair wealth distribution among</w:t>
      </w:r>
      <w:r w:rsidR="00081194">
        <w:rPr>
          <w:lang w:eastAsia="zh-CN"/>
        </w:rPr>
        <w:t>st</w:t>
      </w:r>
      <w:r>
        <w:rPr>
          <w:lang w:eastAsia="zh-CN"/>
        </w:rPr>
        <w:t xml:space="preserve"> investors. It also removes the demand for a governance role by non-controlling institutional block-holders via informed trading to promote and monitor wealth generation </w:t>
      </w:r>
      <w:r>
        <w:rPr>
          <w:lang w:eastAsia="zh-CN"/>
        </w:rPr>
        <w:lastRenderedPageBreak/>
        <w:t xml:space="preserve">and distribution among investors. Therefore, outside investors may put a premium on </w:t>
      </w:r>
      <w:r w:rsidR="00081194">
        <w:rPr>
          <w:lang w:eastAsia="zh-CN"/>
        </w:rPr>
        <w:t xml:space="preserve">the </w:t>
      </w:r>
      <w:r>
        <w:rPr>
          <w:lang w:eastAsia="zh-CN"/>
        </w:rPr>
        <w:t xml:space="preserve">enhanced monitoring capacity by the family and their longer term commitment to growth, but a discount </w:t>
      </w:r>
      <w:r w:rsidR="00081194">
        <w:rPr>
          <w:lang w:eastAsia="zh-CN"/>
        </w:rPr>
        <w:t>on</w:t>
      </w:r>
      <w:r>
        <w:rPr>
          <w:lang w:eastAsia="zh-CN"/>
        </w:rPr>
        <w:t xml:space="preserve"> non-controlling institutional block-holders because th</w:t>
      </w:r>
      <w:r w:rsidR="00081194">
        <w:rPr>
          <w:lang w:eastAsia="zh-CN"/>
        </w:rPr>
        <w:t>is</w:t>
      </w:r>
      <w:r>
        <w:rPr>
          <w:lang w:eastAsia="zh-CN"/>
        </w:rPr>
        <w:t xml:space="preserve"> </w:t>
      </w:r>
      <w:r>
        <w:t>gives them a</w:t>
      </w:r>
      <w:r w:rsidR="00081194">
        <w:t xml:space="preserve"> trading</w:t>
      </w:r>
      <w:r>
        <w:t xml:space="preserve"> advantage before the market is fully informed</w:t>
      </w:r>
      <w:r>
        <w:rPr>
          <w:lang w:eastAsia="zh-CN"/>
        </w:rPr>
        <w:t>.  This lead</w:t>
      </w:r>
      <w:r>
        <w:t>s to unfair wealth distribution</w:t>
      </w:r>
      <w:r>
        <w:rPr>
          <w:lang w:eastAsia="zh-CN"/>
        </w:rPr>
        <w:t xml:space="preserve"> to institutional block-holders via informed trad</w:t>
      </w:r>
      <w:r w:rsidR="00081194">
        <w:rPr>
          <w:lang w:eastAsia="zh-CN"/>
        </w:rPr>
        <w:t>ing at the cost</w:t>
      </w:r>
      <w:r>
        <w:rPr>
          <w:lang w:eastAsia="zh-CN"/>
        </w:rPr>
        <w:t xml:space="preserve"> of un-informed investors</w:t>
      </w:r>
      <w:r>
        <w:t xml:space="preserve">. </w:t>
      </w:r>
      <w:r>
        <w:rPr>
          <w:lang w:eastAsia="zh-CN"/>
        </w:rPr>
        <w:t xml:space="preserve">These </w:t>
      </w:r>
      <w:r w:rsidR="00081194">
        <w:rPr>
          <w:lang w:eastAsia="zh-CN"/>
        </w:rPr>
        <w:t>findings have implications for</w:t>
      </w:r>
      <w:r>
        <w:rPr>
          <w:lang w:eastAsia="zh-CN"/>
        </w:rPr>
        <w:t xml:space="preserve"> regulators</w:t>
      </w:r>
      <w:r w:rsidR="00081194">
        <w:rPr>
          <w:lang w:eastAsia="zh-CN"/>
        </w:rPr>
        <w:t xml:space="preserve"> as i</w:t>
      </w:r>
      <w:r>
        <w:rPr>
          <w:lang w:eastAsia="zh-CN"/>
        </w:rPr>
        <w:t xml:space="preserve">n a more transparent market such as the </w:t>
      </w:r>
      <w:r w:rsidR="009477BA">
        <w:rPr>
          <w:lang w:eastAsia="zh-CN"/>
        </w:rPr>
        <w:t>US, institutional block-holder</w:t>
      </w:r>
      <w:r>
        <w:rPr>
          <w:lang w:eastAsia="zh-CN"/>
        </w:rPr>
        <w:t xml:space="preserve"> wealth distribution via inform</w:t>
      </w:r>
      <w:r w:rsidR="00F75230">
        <w:rPr>
          <w:lang w:eastAsia="zh-CN"/>
        </w:rPr>
        <w:t>ed trading can lead to conflict</w:t>
      </w:r>
      <w:r>
        <w:rPr>
          <w:lang w:eastAsia="zh-CN"/>
        </w:rPr>
        <w:t xml:space="preserve"> among</w:t>
      </w:r>
      <w:r w:rsidR="00F75230">
        <w:rPr>
          <w:lang w:eastAsia="zh-CN"/>
        </w:rPr>
        <w:t>st</w:t>
      </w:r>
      <w:r>
        <w:rPr>
          <w:lang w:eastAsia="zh-CN"/>
        </w:rPr>
        <w:t xml:space="preserve"> investors (Anderson et al</w:t>
      </w:r>
      <w:r w:rsidR="007742A5">
        <w:rPr>
          <w:rFonts w:hint="eastAsia"/>
          <w:lang w:eastAsia="zh-CN"/>
        </w:rPr>
        <w:t>.,</w:t>
      </w:r>
      <w:r w:rsidR="00D36065">
        <w:rPr>
          <w:lang w:eastAsia="zh-CN"/>
        </w:rPr>
        <w:t xml:space="preserve"> 2012</w:t>
      </w:r>
      <w:r>
        <w:rPr>
          <w:lang w:eastAsia="zh-CN"/>
        </w:rPr>
        <w:t>; Massoud et al.</w:t>
      </w:r>
      <w:r w:rsidR="00C171C7">
        <w:rPr>
          <w:lang w:eastAsia="zh-CN"/>
        </w:rPr>
        <w:t>,</w:t>
      </w:r>
      <w:r>
        <w:rPr>
          <w:lang w:eastAsia="zh-CN"/>
        </w:rPr>
        <w:t xml:space="preserve"> 2011)</w:t>
      </w:r>
      <w:r w:rsidR="00F75230">
        <w:rPr>
          <w:lang w:eastAsia="zh-CN"/>
        </w:rPr>
        <w:t xml:space="preserve"> that</w:t>
      </w:r>
      <w:r>
        <w:rPr>
          <w:lang w:eastAsia="zh-CN"/>
        </w:rPr>
        <w:t xml:space="preserve"> may dominate their positive gove</w:t>
      </w:r>
      <w:r w:rsidR="009477BA">
        <w:rPr>
          <w:lang w:eastAsia="zh-CN"/>
        </w:rPr>
        <w:t>rnance role</w:t>
      </w:r>
      <w:r>
        <w:rPr>
          <w:lang w:eastAsia="zh-CN"/>
        </w:rPr>
        <w:t>. However, in less transparent emerging markets, the benefits</w:t>
      </w:r>
      <w:r w:rsidR="009477BA">
        <w:rPr>
          <w:lang w:eastAsia="zh-CN"/>
        </w:rPr>
        <w:t xml:space="preserve"> of an institutional block-holder</w:t>
      </w:r>
      <w:r>
        <w:rPr>
          <w:lang w:eastAsia="zh-CN"/>
        </w:rPr>
        <w:t xml:space="preserve"> governance role via informed trading may dominate costs</w:t>
      </w:r>
      <w:r w:rsidR="009477BA">
        <w:rPr>
          <w:lang w:eastAsia="zh-CN"/>
        </w:rPr>
        <w:t xml:space="preserve"> associated with such </w:t>
      </w:r>
      <w:r w:rsidR="00F75230">
        <w:rPr>
          <w:lang w:eastAsia="zh-CN"/>
        </w:rPr>
        <w:t>activity</w:t>
      </w:r>
      <w:r>
        <w:rPr>
          <w:lang w:eastAsia="zh-CN"/>
        </w:rPr>
        <w:t xml:space="preserve">. </w:t>
      </w:r>
    </w:p>
    <w:p w:rsidR="00887848" w:rsidRDefault="00887848">
      <w:pPr>
        <w:spacing w:line="480" w:lineRule="auto"/>
        <w:ind w:firstLine="720"/>
      </w:pPr>
      <w:r>
        <w:t>In terms of the control var</w:t>
      </w:r>
      <w:r w:rsidR="009477BA">
        <w:t xml:space="preserve">iables, Table 4 indicates that </w:t>
      </w:r>
      <w:r>
        <w:t>older firms have a lower Tobin’s Q compared to their younger peers. Tobin’s Q is also pos</w:t>
      </w:r>
      <w:r w:rsidR="00EA051E">
        <w:t>itively affected by firm growth</w:t>
      </w:r>
      <w:r>
        <w:t xml:space="preserve"> and negatively affected by past performance. This</w:t>
      </w:r>
      <w:r w:rsidR="009477BA">
        <w:t xml:space="preserve"> </w:t>
      </w:r>
      <w:r w:rsidR="00DB4107">
        <w:t xml:space="preserve">indicates that in Hong Kong </w:t>
      </w:r>
      <w:r>
        <w:t xml:space="preserve"> investors </w:t>
      </w:r>
      <w:r w:rsidR="00DB4107">
        <w:t xml:space="preserve">tend to </w:t>
      </w:r>
      <w:r>
        <w:t>buy low-profitability companies and sell high-profitability ones</w:t>
      </w:r>
      <w:r w:rsidR="00DB4107">
        <w:t>,</w:t>
      </w:r>
      <w:r>
        <w:t xml:space="preserve"> and there is tendency for the market to converge (Fama and French, 2000; Knapp</w:t>
      </w:r>
      <w:r>
        <w:rPr>
          <w:lang w:eastAsia="zh-CN"/>
        </w:rPr>
        <w:t xml:space="preserve"> et al.</w:t>
      </w:r>
      <w:r>
        <w:t xml:space="preserve">, 2006). </w:t>
      </w:r>
      <w:bookmarkStart w:id="5" w:name="_Toc213682040"/>
      <w:bookmarkStart w:id="6" w:name="_Toc221661424"/>
      <w:bookmarkStart w:id="7" w:name="_Toc221890566"/>
      <w:bookmarkEnd w:id="2"/>
      <w:bookmarkEnd w:id="3"/>
      <w:bookmarkEnd w:id="4"/>
    </w:p>
    <w:p w:rsidR="00887848" w:rsidRDefault="00887848">
      <w:pPr>
        <w:spacing w:line="480" w:lineRule="auto"/>
        <w:jc w:val="both"/>
        <w:rPr>
          <w:b/>
          <w:bCs/>
        </w:rPr>
      </w:pPr>
      <w:r>
        <w:rPr>
          <w:b/>
          <w:bCs/>
        </w:rPr>
        <w:t>4.  Discussion and conclusion</w:t>
      </w:r>
      <w:bookmarkEnd w:id="5"/>
      <w:bookmarkEnd w:id="6"/>
      <w:bookmarkEnd w:id="7"/>
      <w:r>
        <w:rPr>
          <w:b/>
          <w:bCs/>
        </w:rPr>
        <w:t>s</w:t>
      </w:r>
    </w:p>
    <w:p w:rsidR="00887848" w:rsidRDefault="00887848" w:rsidP="00B8155B">
      <w:pPr>
        <w:spacing w:line="480" w:lineRule="auto"/>
      </w:pPr>
      <w:r>
        <w:t xml:space="preserve">Previous agency research </w:t>
      </w:r>
      <w:r>
        <w:rPr>
          <w:lang w:val="en-US"/>
        </w:rPr>
        <w:t>has documented a relationship between block-holders and firm value (Laevin and Levine</w:t>
      </w:r>
      <w:r w:rsidR="007742A5">
        <w:rPr>
          <w:rFonts w:hint="eastAsia"/>
          <w:lang w:val="en-US" w:eastAsia="zh-CN"/>
        </w:rPr>
        <w:t>,</w:t>
      </w:r>
      <w:r>
        <w:rPr>
          <w:lang w:val="en-US"/>
        </w:rPr>
        <w:t xml:space="preserve"> 2008; Attig</w:t>
      </w:r>
      <w:r>
        <w:rPr>
          <w:lang w:val="en-US" w:eastAsia="zh-CN"/>
        </w:rPr>
        <w:t xml:space="preserve"> et al.</w:t>
      </w:r>
      <w:r>
        <w:rPr>
          <w:lang w:val="en-US"/>
        </w:rPr>
        <w:t xml:space="preserve">, 2008). </w:t>
      </w:r>
      <w:r>
        <w:t xml:space="preserve">This paper contributes to the literature on agency theory by providing evidence that links multiple block-holder ownership to organisational outcomes through both the level and structure of informed trading as two important price transmission mechanisms. By focusing on </w:t>
      </w:r>
      <w:r>
        <w:rPr>
          <w:lang w:eastAsia="zh-CN"/>
        </w:rPr>
        <w:t xml:space="preserve">informed trading as </w:t>
      </w:r>
      <w:r w:rsidR="009477BA">
        <w:rPr>
          <w:lang w:eastAsia="zh-CN"/>
        </w:rPr>
        <w:t>a</w:t>
      </w:r>
      <w:r>
        <w:rPr>
          <w:lang w:eastAsia="zh-CN"/>
        </w:rPr>
        <w:t xml:space="preserve"> </w:t>
      </w:r>
      <w:r w:rsidR="009477BA">
        <w:t>governance mechanism</w:t>
      </w:r>
      <w:r>
        <w:t xml:space="preserve">, the paper examines the effects </w:t>
      </w:r>
      <w:r>
        <w:rPr>
          <w:lang w:eastAsia="zh-CN"/>
        </w:rPr>
        <w:t xml:space="preserve">of a controlling family </w:t>
      </w:r>
      <w:r w:rsidR="00B8155B">
        <w:rPr>
          <w:lang w:eastAsia="zh-CN"/>
        </w:rPr>
        <w:t xml:space="preserve">and minority </w:t>
      </w:r>
      <w:r>
        <w:rPr>
          <w:lang w:eastAsia="zh-CN"/>
        </w:rPr>
        <w:t xml:space="preserve"> institutional block-holders</w:t>
      </w:r>
      <w:r>
        <w:t xml:space="preserve">. Using a sample of 447 listed companies listed on the Hong Kong Stock Exchange, this study shows that large family owners reduce transparency in order to benefit </w:t>
      </w:r>
      <w:r>
        <w:lastRenderedPageBreak/>
        <w:t>from private benefits of control</w:t>
      </w:r>
      <w:r w:rsidR="00EA051E">
        <w:t>, negatively affecting</w:t>
      </w:r>
      <w:r>
        <w:t xml:space="preserve"> firm valuation. In contrast, non-controlling institutional block-holders provide governance effects via informed trading, which mitigate overall informed trading and improves its structure, benefitting all shareholders. Results show that for governance to be effective via informed trading, non-controlling institutional block-holders use absolute ownership to strengthen their loyalty to the large</w:t>
      </w:r>
      <w:r w:rsidR="00EA051E">
        <w:t xml:space="preserve"> family owner, </w:t>
      </w:r>
      <w:r>
        <w:t xml:space="preserve">and their relative power to strengthen the conditions of such loyalty. </w:t>
      </w:r>
    </w:p>
    <w:p w:rsidR="00887848" w:rsidRDefault="00887848">
      <w:pPr>
        <w:spacing w:line="480" w:lineRule="auto"/>
        <w:ind w:firstLine="720"/>
        <w:rPr>
          <w:lang w:eastAsia="zh-CN"/>
        </w:rPr>
      </w:pPr>
      <w:r>
        <w:t xml:space="preserve">This paper also separates the conflicting objectives of multiple block-holders and the effect on </w:t>
      </w:r>
      <w:r>
        <w:rPr>
          <w:lang w:eastAsia="zh-CN"/>
        </w:rPr>
        <w:t>company valuation in the stock market</w:t>
      </w:r>
      <w:r>
        <w:t xml:space="preserve">. Both large family controllers and institutional block-holders are associated with governance costs and benefits. By closely monitoring the fundamental investment value of the firm and the threat of negative informed trading, institutional block-holders and controlling families </w:t>
      </w:r>
      <w:r w:rsidR="00EA051E">
        <w:t xml:space="preserve">affect </w:t>
      </w:r>
      <w:r>
        <w:t xml:space="preserve">opportunistic opacity.  This ensures </w:t>
      </w:r>
      <w:r w:rsidR="00B8155B">
        <w:t xml:space="preserve">that </w:t>
      </w:r>
      <w:r>
        <w:t xml:space="preserve">the negative private information </w:t>
      </w:r>
      <w:r w:rsidR="00B8155B">
        <w:t xml:space="preserve">is </w:t>
      </w:r>
      <w:r w:rsidR="005A452A">
        <w:rPr>
          <w:rFonts w:hint="eastAsia"/>
          <w:lang w:eastAsia="zh-CN"/>
        </w:rPr>
        <w:t xml:space="preserve">more equally </w:t>
      </w:r>
      <w:r w:rsidR="005A452A">
        <w:rPr>
          <w:lang w:eastAsia="zh-CN"/>
        </w:rPr>
        <w:t>available</w:t>
      </w:r>
      <w:r w:rsidR="005A452A">
        <w:rPr>
          <w:rFonts w:hint="eastAsia"/>
          <w:lang w:eastAsia="zh-CN"/>
        </w:rPr>
        <w:t xml:space="preserve"> </w:t>
      </w:r>
      <w:r>
        <w:t xml:space="preserve">to </w:t>
      </w:r>
      <w:r w:rsidR="005A452A">
        <w:rPr>
          <w:rFonts w:hint="eastAsia"/>
          <w:lang w:eastAsia="zh-CN"/>
        </w:rPr>
        <w:t xml:space="preserve">all </w:t>
      </w:r>
      <w:r>
        <w:t>investors</w:t>
      </w:r>
      <w:r w:rsidR="009477BA">
        <w:t>,</w:t>
      </w:r>
      <w:r w:rsidR="00B8155B">
        <w:t xml:space="preserve"> which may </w:t>
      </w:r>
      <w:r>
        <w:t xml:space="preserve">mitigate negative informed trading. </w:t>
      </w:r>
      <w:r>
        <w:rPr>
          <w:lang w:eastAsia="zh-CN"/>
        </w:rPr>
        <w:t>B</w:t>
      </w:r>
      <w:r>
        <w:t>y initiating</w:t>
      </w:r>
      <w:r w:rsidR="005A452A">
        <w:rPr>
          <w:rFonts w:hint="eastAsia"/>
          <w:lang w:eastAsia="zh-CN"/>
        </w:rPr>
        <w:t xml:space="preserve"> and/or promoting</w:t>
      </w:r>
      <w:r>
        <w:t xml:space="preserve"> more informed trading on positive strategic private information, institutional block-holders and the controlling family </w:t>
      </w:r>
      <w:r w:rsidR="007E24EC">
        <w:rPr>
          <w:rFonts w:hint="eastAsia"/>
          <w:lang w:eastAsia="zh-CN"/>
        </w:rPr>
        <w:t>improve th</w:t>
      </w:r>
      <w:r w:rsidR="009477BA">
        <w:rPr>
          <w:rFonts w:hint="eastAsia"/>
          <w:lang w:eastAsia="zh-CN"/>
        </w:rPr>
        <w:t>e structure of informed trading</w:t>
      </w:r>
      <w:r w:rsidR="009477BA">
        <w:rPr>
          <w:lang w:eastAsia="zh-CN"/>
        </w:rPr>
        <w:t>.  This</w:t>
      </w:r>
      <w:r w:rsidR="00B8155B">
        <w:rPr>
          <w:lang w:eastAsia="zh-CN"/>
        </w:rPr>
        <w:t xml:space="preserve"> </w:t>
      </w:r>
      <w:r>
        <w:rPr>
          <w:lang w:eastAsia="zh-CN"/>
        </w:rPr>
        <w:t xml:space="preserve">protects </w:t>
      </w:r>
      <w:r w:rsidR="00EA051E">
        <w:rPr>
          <w:lang w:eastAsia="zh-CN"/>
        </w:rPr>
        <w:t>firm</w:t>
      </w:r>
      <w:r>
        <w:rPr>
          <w:lang w:eastAsia="zh-CN"/>
        </w:rPr>
        <w:t xml:space="preserve"> competitive advantage and improves market efficiency, bringing net benefits to all investors. </w:t>
      </w:r>
    </w:p>
    <w:p w:rsidR="00887848" w:rsidRDefault="00887848">
      <w:pPr>
        <w:spacing w:line="480" w:lineRule="auto"/>
        <w:ind w:firstLine="720"/>
      </w:pPr>
      <w:r>
        <w:t xml:space="preserve">Thus, information disclosure is associated with important governance trade-offs when multiple institutional block-holders attempt to offset their monitoring costs with the benefits of potential </w:t>
      </w:r>
      <w:r w:rsidR="009477BA">
        <w:t>profit from informed trading</w:t>
      </w:r>
      <w:r>
        <w:t xml:space="preserve">. This analysis shows that multiple block-holders may play dual governance roles by supporting long-term wealth generation while engaging in an opportunistic wealth distribution in an environment of corporate opacity. The different effects from the controlling family and institutional block-holders lead to efficiency trade-offs. One extension of this discussion would be </w:t>
      </w:r>
      <w:r>
        <w:rPr>
          <w:rFonts w:eastAsia="TimesNewRomanPSMT"/>
        </w:rPr>
        <w:t xml:space="preserve">to see if these differences extend to </w:t>
      </w:r>
      <w:r w:rsidR="009477BA">
        <w:rPr>
          <w:rFonts w:eastAsia="TimesNewRomanPSMT"/>
        </w:rPr>
        <w:t>other</w:t>
      </w:r>
      <w:r>
        <w:rPr>
          <w:rFonts w:eastAsia="TimesNewRomanPSMT"/>
        </w:rPr>
        <w:t xml:space="preserve"> types of family firm</w:t>
      </w:r>
      <w:r w:rsidR="009477BA">
        <w:rPr>
          <w:rFonts w:eastAsia="TimesNewRomanPSMT"/>
        </w:rPr>
        <w:t>s</w:t>
      </w:r>
      <w:r>
        <w:rPr>
          <w:rFonts w:eastAsia="TimesNewRomanPSMT"/>
        </w:rPr>
        <w:t xml:space="preserve"> (Villalonga and Amit, 2006; 2010). For</w:t>
      </w:r>
      <w:r>
        <w:t xml:space="preserve"> example, it </w:t>
      </w:r>
      <w:r w:rsidR="00EA051E">
        <w:t>would be</w:t>
      </w:r>
      <w:r>
        <w:t xml:space="preserve"> important </w:t>
      </w:r>
      <w:r>
        <w:lastRenderedPageBreak/>
        <w:t xml:space="preserve">to explore whether agency conflicts are different in founder-controlled firms compared to companies where family control has been transferred from founder to heir.  </w:t>
      </w:r>
    </w:p>
    <w:p w:rsidR="00703034" w:rsidRDefault="00887848">
      <w:pPr>
        <w:spacing w:line="480" w:lineRule="auto"/>
        <w:ind w:firstLine="720"/>
        <w:rPr>
          <w:color w:val="000000"/>
          <w:lang w:eastAsia="zh-CN"/>
        </w:rPr>
      </w:pPr>
      <w:r>
        <w:rPr>
          <w:lang w:val="en-US" w:eastAsia="zh-CN"/>
        </w:rPr>
        <w:t xml:space="preserve">Finally, the paper </w:t>
      </w:r>
      <w:r>
        <w:rPr>
          <w:lang w:val="en-US"/>
        </w:rPr>
        <w:t>shows that the connection between family control</w:t>
      </w:r>
      <w:r w:rsidR="009477BA">
        <w:rPr>
          <w:lang w:val="en-US"/>
        </w:rPr>
        <w:t xml:space="preserve"> and different types of monitoring</w:t>
      </w:r>
      <w:r>
        <w:rPr>
          <w:lang w:val="en-US"/>
        </w:rPr>
        <w:t xml:space="preserve"> is relevant in shaping agency problems, in line with </w:t>
      </w:r>
      <w:r>
        <w:t>Maury (2006)</w:t>
      </w:r>
      <w:r>
        <w:rPr>
          <w:lang w:val="en-US"/>
        </w:rPr>
        <w:t>.</w:t>
      </w:r>
      <w:r>
        <w:rPr>
          <w:lang w:val="en-US" w:eastAsia="zh-CN"/>
        </w:rPr>
        <w:t xml:space="preserve"> The models estimated here </w:t>
      </w:r>
      <w:r>
        <w:rPr>
          <w:lang w:val="en-US"/>
        </w:rPr>
        <w:t xml:space="preserve">investigate the effects of owner identity and reveal that only when institutional block-holders are pressure-resistant with regard to the largest controlling family, </w:t>
      </w:r>
      <w:r w:rsidR="00EA051E">
        <w:rPr>
          <w:lang w:val="en-US"/>
        </w:rPr>
        <w:t>is</w:t>
      </w:r>
      <w:r w:rsidR="009477BA">
        <w:rPr>
          <w:lang w:val="en-US"/>
        </w:rPr>
        <w:t xml:space="preserve"> informed trading low</w:t>
      </w:r>
      <w:r>
        <w:rPr>
          <w:lang w:val="en-US"/>
        </w:rPr>
        <w:t xml:space="preserve"> and </w:t>
      </w:r>
      <w:r w:rsidR="00B8155B">
        <w:rPr>
          <w:lang w:val="en-US"/>
        </w:rPr>
        <w:t xml:space="preserve">its </w:t>
      </w:r>
      <w:r>
        <w:rPr>
          <w:lang w:val="en-US"/>
        </w:rPr>
        <w:t>structure</w:t>
      </w:r>
      <w:r w:rsidR="009477BA">
        <w:rPr>
          <w:lang w:val="en-US"/>
        </w:rPr>
        <w:t xml:space="preserve"> is</w:t>
      </w:r>
      <w:r>
        <w:rPr>
          <w:lang w:val="en-US"/>
        </w:rPr>
        <w:t xml:space="preserve"> good. This indicates that pressure-sensitive or pressure-uncertain institutional block-holders do not moderate agency costs or support information quality. Therefore pressure-resistant institutional block-holders represent </w:t>
      </w:r>
      <w:r>
        <w:t>a flexible and efficient private enforcement mechanism in terms of information disclosure, and provide an alternative solution to public enforcement</w:t>
      </w:r>
      <w:r>
        <w:rPr>
          <w:lang w:eastAsia="zh-CN"/>
        </w:rPr>
        <w:t>, which</w:t>
      </w:r>
      <w:r>
        <w:t xml:space="preserve"> </w:t>
      </w:r>
      <w:r>
        <w:rPr>
          <w:lang w:val="en-US"/>
        </w:rPr>
        <w:t>can lower agency problems associated with controlling families</w:t>
      </w:r>
      <w:r>
        <w:rPr>
          <w:color w:val="000000"/>
        </w:rPr>
        <w:t>.</w:t>
      </w:r>
      <w:r>
        <w:t xml:space="preserve"> </w:t>
      </w:r>
      <w:r>
        <w:rPr>
          <w:lang w:eastAsia="zh-CN"/>
        </w:rPr>
        <w:t>Th</w:t>
      </w:r>
      <w:r w:rsidR="00EA051E">
        <w:rPr>
          <w:lang w:eastAsia="zh-CN"/>
        </w:rPr>
        <w:t>is source of</w:t>
      </w:r>
      <w:r>
        <w:rPr>
          <w:lang w:eastAsia="zh-CN"/>
        </w:rPr>
        <w:t xml:space="preserve"> governance via informed trading can also complement legal and regulatory institutions</w:t>
      </w:r>
      <w:r w:rsidR="00EA051E">
        <w:rPr>
          <w:lang w:eastAsia="zh-CN"/>
        </w:rPr>
        <w:t>, thus</w:t>
      </w:r>
      <w:r>
        <w:rPr>
          <w:lang w:eastAsia="zh-CN"/>
        </w:rPr>
        <w:t xml:space="preserve"> </w:t>
      </w:r>
      <w:r w:rsidR="00EA051E">
        <w:rPr>
          <w:color w:val="000000"/>
        </w:rPr>
        <w:t>improving</w:t>
      </w:r>
      <w:r>
        <w:rPr>
          <w:color w:val="000000"/>
        </w:rPr>
        <w:t xml:space="preserve"> market efficiency</w:t>
      </w:r>
      <w:r w:rsidR="00EA051E">
        <w:rPr>
          <w:color w:val="000000"/>
        </w:rPr>
        <w:t>.  This is especially useful for</w:t>
      </w:r>
      <w:r>
        <w:rPr>
          <w:color w:val="000000"/>
          <w:lang w:eastAsia="zh-CN"/>
        </w:rPr>
        <w:t xml:space="preserve"> </w:t>
      </w:r>
      <w:r>
        <w:rPr>
          <w:color w:val="000000"/>
        </w:rPr>
        <w:t xml:space="preserve">stock exchanges in emerging economies </w:t>
      </w:r>
      <w:r w:rsidR="009477BA">
        <w:rPr>
          <w:color w:val="000000"/>
        </w:rPr>
        <w:t>by</w:t>
      </w:r>
      <w:r w:rsidR="00A40393">
        <w:rPr>
          <w:color w:val="000000"/>
        </w:rPr>
        <w:t xml:space="preserve"> helping </w:t>
      </w:r>
      <w:r>
        <w:rPr>
          <w:color w:val="000000"/>
        </w:rPr>
        <w:t xml:space="preserve">to </w:t>
      </w:r>
      <w:r w:rsidR="00A40393">
        <w:rPr>
          <w:color w:val="000000"/>
          <w:lang w:eastAsia="zh-CN"/>
        </w:rPr>
        <w:t>achieve investor</w:t>
      </w:r>
      <w:r>
        <w:rPr>
          <w:color w:val="000000"/>
          <w:lang w:eastAsia="zh-CN"/>
        </w:rPr>
        <w:t xml:space="preserve"> protection as well as an efficient price discovery function, </w:t>
      </w:r>
      <w:r w:rsidR="00A40393">
        <w:rPr>
          <w:color w:val="000000"/>
          <w:lang w:eastAsia="zh-CN"/>
        </w:rPr>
        <w:t>increasing their</w:t>
      </w:r>
      <w:r>
        <w:rPr>
          <w:color w:val="000000"/>
          <w:lang w:eastAsia="zh-CN"/>
        </w:rPr>
        <w:t xml:space="preserve"> competitive</w:t>
      </w:r>
      <w:r w:rsidR="00A40393">
        <w:rPr>
          <w:color w:val="000000"/>
          <w:lang w:eastAsia="zh-CN"/>
        </w:rPr>
        <w:t>ness</w:t>
      </w:r>
      <w:r>
        <w:rPr>
          <w:color w:val="000000"/>
          <w:lang w:eastAsia="zh-CN"/>
        </w:rPr>
        <w:t xml:space="preserve"> in global financial market</w:t>
      </w:r>
      <w:r w:rsidR="00A40393">
        <w:rPr>
          <w:color w:val="000000"/>
          <w:lang w:eastAsia="zh-CN"/>
        </w:rPr>
        <w:t>s</w:t>
      </w:r>
      <w:r>
        <w:rPr>
          <w:color w:val="000000"/>
          <w:lang w:eastAsia="zh-CN"/>
        </w:rPr>
        <w:t>.</w:t>
      </w:r>
    </w:p>
    <w:p w:rsidR="00703034" w:rsidRDefault="00703034">
      <w:pPr>
        <w:rPr>
          <w:color w:val="000000"/>
          <w:lang w:eastAsia="zh-CN"/>
        </w:rPr>
      </w:pPr>
      <w:r>
        <w:rPr>
          <w:color w:val="000000"/>
          <w:lang w:eastAsia="zh-CN"/>
        </w:rPr>
        <w:br w:type="page"/>
      </w:r>
    </w:p>
    <w:p w:rsidR="00887848" w:rsidRPr="00A05341" w:rsidRDefault="00887848" w:rsidP="00A05341">
      <w:pPr>
        <w:spacing w:line="480" w:lineRule="auto"/>
        <w:jc w:val="both"/>
        <w:rPr>
          <w:b/>
          <w:bCs/>
        </w:rPr>
      </w:pPr>
      <w:r w:rsidRPr="00A05341">
        <w:rPr>
          <w:b/>
          <w:bCs/>
        </w:rPr>
        <w:lastRenderedPageBreak/>
        <w:t>References</w:t>
      </w:r>
    </w:p>
    <w:p w:rsidR="00887848" w:rsidRDefault="00887848">
      <w:pPr>
        <w:ind w:left="720" w:hanging="720"/>
        <w:jc w:val="both"/>
        <w:rPr>
          <w:lang w:val="en-US" w:eastAsia="zh-CN"/>
        </w:rPr>
      </w:pPr>
      <w:r>
        <w:rPr>
          <w:lang w:val="pt-PT"/>
        </w:rPr>
        <w:t xml:space="preserve">Admati, A., and P. Pfleiderer. </w:t>
      </w:r>
      <w:r>
        <w:rPr>
          <w:lang w:val="en-US"/>
        </w:rPr>
        <w:t>2009. The "</w:t>
      </w:r>
      <w:r>
        <w:rPr>
          <w:lang w:val="en-US" w:eastAsia="zh-CN"/>
        </w:rPr>
        <w:t>w</w:t>
      </w:r>
      <w:r>
        <w:rPr>
          <w:lang w:val="en-US"/>
        </w:rPr>
        <w:t xml:space="preserve">all </w:t>
      </w:r>
      <w:r>
        <w:rPr>
          <w:lang w:val="en-US" w:eastAsia="zh-CN"/>
        </w:rPr>
        <w:t>s</w:t>
      </w:r>
      <w:r>
        <w:rPr>
          <w:lang w:val="en-US"/>
        </w:rPr>
        <w:t xml:space="preserve">treet </w:t>
      </w:r>
      <w:r>
        <w:rPr>
          <w:lang w:val="en-US" w:eastAsia="zh-CN"/>
        </w:rPr>
        <w:t>w</w:t>
      </w:r>
      <w:r>
        <w:rPr>
          <w:lang w:val="en-US"/>
        </w:rPr>
        <w:t xml:space="preserve">alk" and </w:t>
      </w:r>
      <w:r>
        <w:rPr>
          <w:lang w:val="en-US" w:eastAsia="zh-CN"/>
        </w:rPr>
        <w:t>s</w:t>
      </w:r>
      <w:r>
        <w:rPr>
          <w:lang w:val="en-US"/>
        </w:rPr>
        <w:t xml:space="preserve">hareholder </w:t>
      </w:r>
      <w:r>
        <w:rPr>
          <w:lang w:val="en-US" w:eastAsia="zh-CN"/>
        </w:rPr>
        <w:t>a</w:t>
      </w:r>
      <w:r>
        <w:rPr>
          <w:lang w:val="en-US"/>
        </w:rPr>
        <w:t xml:space="preserve">ctivism: Exit as a </w:t>
      </w:r>
      <w:r>
        <w:rPr>
          <w:lang w:val="en-US" w:eastAsia="zh-CN"/>
        </w:rPr>
        <w:t>f</w:t>
      </w:r>
      <w:r>
        <w:rPr>
          <w:lang w:val="en-US"/>
        </w:rPr>
        <w:t xml:space="preserve">orm of </w:t>
      </w:r>
      <w:r>
        <w:rPr>
          <w:lang w:val="en-US" w:eastAsia="zh-CN"/>
        </w:rPr>
        <w:t>v</w:t>
      </w:r>
      <w:r>
        <w:rPr>
          <w:lang w:val="en-US"/>
        </w:rPr>
        <w:t xml:space="preserve">oice. </w:t>
      </w:r>
      <w:r>
        <w:rPr>
          <w:i/>
          <w:lang w:val="en-US" w:eastAsia="zh-CN"/>
        </w:rPr>
        <w:t xml:space="preserve">The </w:t>
      </w:r>
      <w:r>
        <w:rPr>
          <w:i/>
          <w:lang w:val="en-US"/>
        </w:rPr>
        <w:t>Review of Financial Studies</w:t>
      </w:r>
      <w:r>
        <w:rPr>
          <w:lang w:val="en-US"/>
        </w:rPr>
        <w:t xml:space="preserve"> 22</w:t>
      </w:r>
      <w:r w:rsidR="00E92ABE">
        <w:rPr>
          <w:rFonts w:hint="eastAsia"/>
          <w:lang w:val="en-US" w:eastAsia="zh-CN"/>
        </w:rPr>
        <w:t xml:space="preserve">, no. </w:t>
      </w:r>
      <w:r>
        <w:rPr>
          <w:lang w:val="en-US"/>
        </w:rPr>
        <w:t>7:</w:t>
      </w:r>
      <w:r w:rsidR="00E92ABE">
        <w:rPr>
          <w:rFonts w:hint="eastAsia"/>
          <w:lang w:val="en-US" w:eastAsia="zh-CN"/>
        </w:rPr>
        <w:t xml:space="preserve"> </w:t>
      </w:r>
      <w:r>
        <w:rPr>
          <w:lang w:val="en-US"/>
        </w:rPr>
        <w:t>2445-2485.</w:t>
      </w:r>
    </w:p>
    <w:p w:rsidR="00887848" w:rsidRDefault="00887848">
      <w:pPr>
        <w:ind w:left="720" w:hanging="720"/>
        <w:jc w:val="both"/>
        <w:rPr>
          <w:lang w:eastAsia="zh-CN"/>
        </w:rPr>
      </w:pPr>
      <w:r>
        <w:rPr>
          <w:lang w:val="en-US" w:eastAsia="zh-CN"/>
        </w:rPr>
        <w:t xml:space="preserve">Akerlof, G. 1970. The market for "lemons": Quality uncertainty and the market mechanism. </w:t>
      </w:r>
      <w:r>
        <w:rPr>
          <w:i/>
          <w:lang w:val="en-US" w:eastAsia="zh-CN"/>
        </w:rPr>
        <w:t>Quarterly Journal of Economics</w:t>
      </w:r>
      <w:r>
        <w:rPr>
          <w:lang w:val="en-US" w:eastAsia="zh-CN"/>
        </w:rPr>
        <w:t xml:space="preserve"> 84</w:t>
      </w:r>
      <w:r w:rsidR="00E92ABE">
        <w:rPr>
          <w:rFonts w:hint="eastAsia"/>
          <w:lang w:val="en-US" w:eastAsia="zh-CN"/>
        </w:rPr>
        <w:t xml:space="preserve">, no. </w:t>
      </w:r>
      <w:r>
        <w:rPr>
          <w:lang w:val="en-US" w:eastAsia="zh-CN"/>
        </w:rPr>
        <w:t>3:</w:t>
      </w:r>
      <w:r w:rsidR="00E92ABE">
        <w:rPr>
          <w:rFonts w:hint="eastAsia"/>
          <w:lang w:val="en-US" w:eastAsia="zh-CN"/>
        </w:rPr>
        <w:t xml:space="preserve"> </w:t>
      </w:r>
      <w:r>
        <w:rPr>
          <w:lang w:val="en-US" w:eastAsia="zh-CN"/>
        </w:rPr>
        <w:t>488-500.</w:t>
      </w:r>
    </w:p>
    <w:p w:rsidR="00887848" w:rsidRDefault="00887848">
      <w:pPr>
        <w:ind w:left="720" w:hanging="720"/>
        <w:jc w:val="both"/>
        <w:rPr>
          <w:lang w:val="en-US" w:eastAsia="zh-CN"/>
        </w:rPr>
      </w:pPr>
      <w:r>
        <w:rPr>
          <w:lang w:val="en-US"/>
        </w:rPr>
        <w:t>Almazan, A., J. Hartzell</w:t>
      </w:r>
      <w:r w:rsidR="00E92ABE">
        <w:rPr>
          <w:rFonts w:hint="eastAsia"/>
          <w:lang w:val="en-US" w:eastAsia="zh-CN"/>
        </w:rPr>
        <w:t>,</w:t>
      </w:r>
      <w:r>
        <w:rPr>
          <w:lang w:val="en-US" w:eastAsia="zh-CN"/>
        </w:rPr>
        <w:t xml:space="preserve"> and L. </w:t>
      </w:r>
      <w:r>
        <w:rPr>
          <w:lang w:val="en-US"/>
        </w:rPr>
        <w:t xml:space="preserve">Starks. 2005. Active </w:t>
      </w:r>
      <w:r>
        <w:rPr>
          <w:lang w:val="en-US" w:eastAsia="zh-CN"/>
        </w:rPr>
        <w:t>i</w:t>
      </w:r>
      <w:r>
        <w:rPr>
          <w:lang w:val="en-US"/>
        </w:rPr>
        <w:t xml:space="preserve">nstitutional </w:t>
      </w:r>
      <w:r>
        <w:rPr>
          <w:lang w:val="en-US" w:eastAsia="zh-CN"/>
        </w:rPr>
        <w:t>s</w:t>
      </w:r>
      <w:r>
        <w:rPr>
          <w:lang w:val="en-US"/>
        </w:rPr>
        <w:t xml:space="preserve">hareholders and </w:t>
      </w:r>
      <w:r>
        <w:rPr>
          <w:lang w:val="en-US" w:eastAsia="zh-CN"/>
        </w:rPr>
        <w:t>c</w:t>
      </w:r>
      <w:r>
        <w:rPr>
          <w:lang w:val="en-US"/>
        </w:rPr>
        <w:t xml:space="preserve">ost of </w:t>
      </w:r>
      <w:r>
        <w:rPr>
          <w:lang w:val="en-US" w:eastAsia="zh-CN"/>
        </w:rPr>
        <w:t>m</w:t>
      </w:r>
      <w:r>
        <w:rPr>
          <w:lang w:val="en-US"/>
        </w:rPr>
        <w:t xml:space="preserve">onitoring: Evidence from </w:t>
      </w:r>
      <w:r>
        <w:rPr>
          <w:lang w:val="en-US" w:eastAsia="zh-CN"/>
        </w:rPr>
        <w:t>e</w:t>
      </w:r>
      <w:r>
        <w:rPr>
          <w:lang w:val="en-US"/>
        </w:rPr>
        <w:t xml:space="preserve">xecutive </w:t>
      </w:r>
      <w:r>
        <w:rPr>
          <w:lang w:val="en-US" w:eastAsia="zh-CN"/>
        </w:rPr>
        <w:t>c</w:t>
      </w:r>
      <w:r>
        <w:rPr>
          <w:lang w:val="en-US"/>
        </w:rPr>
        <w:t xml:space="preserve">ompensation. </w:t>
      </w:r>
      <w:r>
        <w:rPr>
          <w:i/>
          <w:lang w:val="en-US"/>
        </w:rPr>
        <w:t>Financial Management</w:t>
      </w:r>
      <w:r>
        <w:rPr>
          <w:b/>
          <w:i/>
          <w:lang w:val="en-US"/>
        </w:rPr>
        <w:t xml:space="preserve"> </w:t>
      </w:r>
      <w:r>
        <w:rPr>
          <w:lang w:val="en-US"/>
        </w:rPr>
        <w:t>34:5-34.</w:t>
      </w:r>
    </w:p>
    <w:p w:rsidR="00887848" w:rsidRDefault="00887848">
      <w:pPr>
        <w:ind w:left="720" w:hanging="720"/>
        <w:jc w:val="both"/>
        <w:rPr>
          <w:lang w:val="en-US"/>
        </w:rPr>
      </w:pPr>
      <w:r>
        <w:rPr>
          <w:lang w:val="en-US"/>
        </w:rPr>
        <w:t xml:space="preserve">Anderson, R., A. Duru, and D. Reeb. 2009. Founders, </w:t>
      </w:r>
      <w:r>
        <w:rPr>
          <w:lang w:val="en-US" w:eastAsia="zh-CN"/>
        </w:rPr>
        <w:t>h</w:t>
      </w:r>
      <w:r>
        <w:rPr>
          <w:lang w:val="en-US"/>
        </w:rPr>
        <w:t xml:space="preserve">eirs, and </w:t>
      </w:r>
      <w:r>
        <w:rPr>
          <w:lang w:val="en-US" w:eastAsia="zh-CN"/>
        </w:rPr>
        <w:t>c</w:t>
      </w:r>
      <w:r>
        <w:rPr>
          <w:lang w:val="en-US"/>
        </w:rPr>
        <w:t xml:space="preserve">orporate </w:t>
      </w:r>
      <w:r>
        <w:rPr>
          <w:lang w:val="en-US" w:eastAsia="zh-CN"/>
        </w:rPr>
        <w:t>o</w:t>
      </w:r>
      <w:r>
        <w:rPr>
          <w:lang w:val="en-US"/>
        </w:rPr>
        <w:t xml:space="preserve">pacity in the United States. </w:t>
      </w:r>
      <w:r>
        <w:rPr>
          <w:i/>
          <w:lang w:val="en-US"/>
        </w:rPr>
        <w:t>Journal of Financial Economics</w:t>
      </w:r>
      <w:r>
        <w:rPr>
          <w:lang w:val="en-US"/>
        </w:rPr>
        <w:t xml:space="preserve"> 92</w:t>
      </w:r>
      <w:r w:rsidR="00E92ABE">
        <w:rPr>
          <w:rFonts w:hint="eastAsia"/>
          <w:lang w:val="en-US" w:eastAsia="zh-CN"/>
        </w:rPr>
        <w:t>, no.</w:t>
      </w:r>
      <w:r>
        <w:rPr>
          <w:lang w:val="en-US"/>
        </w:rPr>
        <w:t>2:205-222.</w:t>
      </w:r>
    </w:p>
    <w:p w:rsidR="00887848" w:rsidRDefault="00887848">
      <w:pPr>
        <w:ind w:left="720" w:hanging="720"/>
        <w:jc w:val="both"/>
        <w:rPr>
          <w:lang w:eastAsia="zh-CN"/>
        </w:rPr>
      </w:pPr>
      <w:r>
        <w:t xml:space="preserve">Anderson, R., and D. Reeb. 2003. Founding family ownership and firm performance: Evidence from the S&amp;P 500. </w:t>
      </w:r>
      <w:r>
        <w:rPr>
          <w:i/>
        </w:rPr>
        <w:t xml:space="preserve">The Journal of Finance </w:t>
      </w:r>
      <w:r>
        <w:t>58:1301–1329.</w:t>
      </w:r>
    </w:p>
    <w:p w:rsidR="00887848" w:rsidRDefault="00887848" w:rsidP="00D36065">
      <w:pPr>
        <w:ind w:left="720" w:hanging="720"/>
        <w:jc w:val="both"/>
        <w:rPr>
          <w:lang w:val="en-US" w:eastAsia="zh-CN"/>
        </w:rPr>
      </w:pPr>
      <w:r>
        <w:rPr>
          <w:lang w:eastAsia="zh-CN"/>
        </w:rPr>
        <w:t xml:space="preserve">Anderson, R., D. Reeb, </w:t>
      </w:r>
      <w:r w:rsidR="00DA5EE1">
        <w:rPr>
          <w:rFonts w:hint="eastAsia"/>
          <w:lang w:eastAsia="zh-CN"/>
        </w:rPr>
        <w:t xml:space="preserve">and </w:t>
      </w:r>
      <w:r w:rsidR="00D36065">
        <w:rPr>
          <w:lang w:eastAsia="zh-CN"/>
        </w:rPr>
        <w:t>W. Zhao. 2012</w:t>
      </w:r>
      <w:r>
        <w:rPr>
          <w:lang w:eastAsia="zh-CN"/>
        </w:rPr>
        <w:t xml:space="preserve">. Family controlled firms and informed trading: Evidence from short sales. </w:t>
      </w:r>
      <w:r>
        <w:rPr>
          <w:i/>
          <w:iCs/>
          <w:lang w:eastAsia="zh-CN"/>
        </w:rPr>
        <w:t>Journal of Finance</w:t>
      </w:r>
      <w:r>
        <w:rPr>
          <w:lang w:eastAsia="zh-CN"/>
        </w:rPr>
        <w:t>,</w:t>
      </w:r>
      <w:r w:rsidR="00D36065" w:rsidRPr="00D36065">
        <w:t xml:space="preserve"> </w:t>
      </w:r>
      <w:r w:rsidR="00D36065">
        <w:rPr>
          <w:lang w:eastAsia="zh-CN"/>
        </w:rPr>
        <w:t>67, no. 1: 351–386</w:t>
      </w:r>
      <w:r>
        <w:rPr>
          <w:lang w:eastAsia="zh-CN"/>
        </w:rPr>
        <w:t>.</w:t>
      </w:r>
    </w:p>
    <w:p w:rsidR="00887848" w:rsidRDefault="00887848">
      <w:pPr>
        <w:ind w:left="720" w:hanging="720"/>
        <w:jc w:val="both"/>
      </w:pPr>
      <w:r>
        <w:t>Aslan, H</w:t>
      </w:r>
      <w:r>
        <w:rPr>
          <w:lang w:eastAsia="zh-CN"/>
        </w:rPr>
        <w:t>.</w:t>
      </w:r>
      <w:r>
        <w:t>, D. Easley, S. Hvidkjaer</w:t>
      </w:r>
      <w:r>
        <w:rPr>
          <w:lang w:eastAsia="zh-CN"/>
        </w:rPr>
        <w:t>,</w:t>
      </w:r>
      <w:r>
        <w:t xml:space="preserve"> and M. O'Hara. 2010. Firm </w:t>
      </w:r>
      <w:r>
        <w:rPr>
          <w:lang w:eastAsia="zh-CN"/>
        </w:rPr>
        <w:t>c</w:t>
      </w:r>
      <w:r>
        <w:t xml:space="preserve">haracteristics and </w:t>
      </w:r>
      <w:r>
        <w:rPr>
          <w:lang w:eastAsia="zh-CN"/>
        </w:rPr>
        <w:t>i</w:t>
      </w:r>
      <w:r>
        <w:t xml:space="preserve">nformed </w:t>
      </w:r>
      <w:r>
        <w:rPr>
          <w:lang w:eastAsia="zh-CN"/>
        </w:rPr>
        <w:t>t</w:t>
      </w:r>
      <w:r>
        <w:t xml:space="preserve">rading: Implications for </w:t>
      </w:r>
      <w:r>
        <w:rPr>
          <w:lang w:eastAsia="zh-CN"/>
        </w:rPr>
        <w:t>a</w:t>
      </w:r>
      <w:r>
        <w:t xml:space="preserve">sset </w:t>
      </w:r>
      <w:r>
        <w:rPr>
          <w:lang w:eastAsia="zh-CN"/>
        </w:rPr>
        <w:t>p</w:t>
      </w:r>
      <w:r>
        <w:t xml:space="preserve">ricing. </w:t>
      </w:r>
      <w:r w:rsidRPr="006C5F98">
        <w:rPr>
          <w:lang w:eastAsia="zh-CN"/>
        </w:rPr>
        <w:t>Working Paper</w:t>
      </w:r>
      <w:r>
        <w:t>.</w:t>
      </w:r>
      <w:r w:rsidR="006C5F98">
        <w:t xml:space="preserve"> </w:t>
      </w:r>
      <w:r w:rsidR="006C5F98" w:rsidRPr="006C5F98">
        <w:t>SSRN</w:t>
      </w:r>
      <w:r w:rsidR="006C5F98">
        <w:t>.</w:t>
      </w:r>
    </w:p>
    <w:p w:rsidR="00900FFC" w:rsidRDefault="00900FFC" w:rsidP="00900FFC">
      <w:pPr>
        <w:ind w:left="720" w:hanging="720"/>
        <w:jc w:val="both"/>
        <w:rPr>
          <w:lang w:eastAsia="zh-CN"/>
        </w:rPr>
      </w:pPr>
      <w:r>
        <w:t xml:space="preserve">Attig, N., W. Fong, Y. Gadhoum, and L. Lang. 2006. Effects of </w:t>
      </w:r>
      <w:r>
        <w:rPr>
          <w:lang w:eastAsia="zh-CN"/>
        </w:rPr>
        <w:t>l</w:t>
      </w:r>
      <w:r>
        <w:t xml:space="preserve">arge </w:t>
      </w:r>
      <w:r>
        <w:rPr>
          <w:lang w:eastAsia="zh-CN"/>
        </w:rPr>
        <w:t>s</w:t>
      </w:r>
      <w:r>
        <w:t xml:space="preserve">hareholding on </w:t>
      </w:r>
      <w:r>
        <w:rPr>
          <w:lang w:eastAsia="zh-CN"/>
        </w:rPr>
        <w:t>i</w:t>
      </w:r>
      <w:r>
        <w:t xml:space="preserve">nformation </w:t>
      </w:r>
      <w:r>
        <w:rPr>
          <w:lang w:eastAsia="zh-CN"/>
        </w:rPr>
        <w:t>a</w:t>
      </w:r>
      <w:r>
        <w:t xml:space="preserve">symmetry and </w:t>
      </w:r>
      <w:r>
        <w:rPr>
          <w:lang w:eastAsia="zh-CN"/>
        </w:rPr>
        <w:t>s</w:t>
      </w:r>
      <w:r>
        <w:t xml:space="preserve">tock </w:t>
      </w:r>
      <w:r>
        <w:rPr>
          <w:lang w:eastAsia="zh-CN"/>
        </w:rPr>
        <w:t>q</w:t>
      </w:r>
      <w:r>
        <w:t xml:space="preserve">uality. </w:t>
      </w:r>
      <w:r>
        <w:rPr>
          <w:i/>
        </w:rPr>
        <w:t>Journal of Banking and Finance</w:t>
      </w:r>
      <w:r>
        <w:t xml:space="preserve"> 30:</w:t>
      </w:r>
      <w:r>
        <w:rPr>
          <w:rFonts w:hint="eastAsia"/>
          <w:lang w:eastAsia="zh-CN"/>
        </w:rPr>
        <w:t xml:space="preserve"> </w:t>
      </w:r>
      <w:r>
        <w:t>2875-2892.</w:t>
      </w:r>
    </w:p>
    <w:p w:rsidR="00887848" w:rsidRDefault="00887848">
      <w:pPr>
        <w:ind w:left="720" w:hanging="720"/>
        <w:jc w:val="both"/>
      </w:pPr>
      <w:r>
        <w:t xml:space="preserve">Attig, N., O. Guedhami, and D. Mishra. 2008. Multiple </w:t>
      </w:r>
      <w:r>
        <w:rPr>
          <w:lang w:eastAsia="zh-CN"/>
        </w:rPr>
        <w:t>l</w:t>
      </w:r>
      <w:r>
        <w:t xml:space="preserve">arge </w:t>
      </w:r>
      <w:r>
        <w:rPr>
          <w:lang w:eastAsia="zh-CN"/>
        </w:rPr>
        <w:t>s</w:t>
      </w:r>
      <w:r>
        <w:t xml:space="preserve">hareholders, </w:t>
      </w:r>
      <w:r>
        <w:rPr>
          <w:lang w:eastAsia="zh-CN"/>
        </w:rPr>
        <w:t>c</w:t>
      </w:r>
      <w:r>
        <w:t xml:space="preserve">ontrol </w:t>
      </w:r>
      <w:r>
        <w:rPr>
          <w:lang w:eastAsia="zh-CN"/>
        </w:rPr>
        <w:t>c</w:t>
      </w:r>
      <w:r>
        <w:t xml:space="preserve">ontests, and </w:t>
      </w:r>
      <w:r>
        <w:rPr>
          <w:lang w:eastAsia="zh-CN"/>
        </w:rPr>
        <w:t>i</w:t>
      </w:r>
      <w:r>
        <w:t xml:space="preserve">mplied </w:t>
      </w:r>
      <w:r>
        <w:rPr>
          <w:lang w:eastAsia="zh-CN"/>
        </w:rPr>
        <w:t>c</w:t>
      </w:r>
      <w:r>
        <w:t xml:space="preserve">ost of </w:t>
      </w:r>
      <w:r>
        <w:rPr>
          <w:lang w:eastAsia="zh-CN"/>
        </w:rPr>
        <w:t>e</w:t>
      </w:r>
      <w:r>
        <w:t xml:space="preserve">quity. </w:t>
      </w:r>
      <w:r>
        <w:rPr>
          <w:i/>
        </w:rPr>
        <w:t>Journal of Corporate Finance</w:t>
      </w:r>
      <w:r>
        <w:t xml:space="preserve"> 14</w:t>
      </w:r>
      <w:r w:rsidR="00E92ABE">
        <w:rPr>
          <w:rFonts w:hint="eastAsia"/>
          <w:lang w:eastAsia="zh-CN"/>
        </w:rPr>
        <w:t xml:space="preserve">, no. </w:t>
      </w:r>
      <w:r>
        <w:t>5:</w:t>
      </w:r>
      <w:r w:rsidR="00E92ABE">
        <w:rPr>
          <w:rFonts w:hint="eastAsia"/>
          <w:lang w:eastAsia="zh-CN"/>
        </w:rPr>
        <w:t xml:space="preserve"> </w:t>
      </w:r>
      <w:r>
        <w:t>721-737.</w:t>
      </w:r>
    </w:p>
    <w:p w:rsidR="00887848" w:rsidRDefault="00887848">
      <w:pPr>
        <w:ind w:left="720" w:hanging="720"/>
        <w:jc w:val="both"/>
      </w:pPr>
      <w:r>
        <w:t xml:space="preserve">Ball, R., A. Robin, and J. Wu. 2003. </w:t>
      </w:r>
      <w:r>
        <w:rPr>
          <w:lang w:eastAsia="zh-CN"/>
        </w:rPr>
        <w:t>I</w:t>
      </w:r>
      <w:r>
        <w:t xml:space="preserve">ncentives versus </w:t>
      </w:r>
      <w:r>
        <w:rPr>
          <w:lang w:eastAsia="zh-CN"/>
        </w:rPr>
        <w:t>s</w:t>
      </w:r>
      <w:r>
        <w:t xml:space="preserve">tandards: </w:t>
      </w:r>
      <w:r>
        <w:rPr>
          <w:lang w:eastAsia="zh-CN"/>
        </w:rPr>
        <w:t>p</w:t>
      </w:r>
      <w:r>
        <w:t xml:space="preserve">roperties of </w:t>
      </w:r>
      <w:r>
        <w:rPr>
          <w:lang w:eastAsia="zh-CN"/>
        </w:rPr>
        <w:t>a</w:t>
      </w:r>
      <w:r>
        <w:t xml:space="preserve">ccounting </w:t>
      </w:r>
      <w:r>
        <w:rPr>
          <w:lang w:eastAsia="zh-CN"/>
        </w:rPr>
        <w:t>i</w:t>
      </w:r>
      <w:r>
        <w:t xml:space="preserve">ncome in </w:t>
      </w:r>
      <w:r>
        <w:rPr>
          <w:lang w:eastAsia="zh-CN"/>
        </w:rPr>
        <w:t>f</w:t>
      </w:r>
      <w:r>
        <w:t xml:space="preserve">our </w:t>
      </w:r>
      <w:r>
        <w:rPr>
          <w:lang w:eastAsia="zh-CN"/>
        </w:rPr>
        <w:t>E</w:t>
      </w:r>
      <w:r>
        <w:t xml:space="preserve">ast </w:t>
      </w:r>
      <w:r>
        <w:rPr>
          <w:lang w:eastAsia="zh-CN"/>
        </w:rPr>
        <w:t>A</w:t>
      </w:r>
      <w:r>
        <w:t xml:space="preserve">sian </w:t>
      </w:r>
      <w:r>
        <w:rPr>
          <w:lang w:eastAsia="zh-CN"/>
        </w:rPr>
        <w:t>c</w:t>
      </w:r>
      <w:r>
        <w:t xml:space="preserve">ountries. </w:t>
      </w:r>
      <w:r>
        <w:rPr>
          <w:i/>
        </w:rPr>
        <w:t>Journal of Accounting and Economics</w:t>
      </w:r>
      <w:r>
        <w:t xml:space="preserve"> 36</w:t>
      </w:r>
      <w:r w:rsidR="00E92ABE">
        <w:rPr>
          <w:rFonts w:hint="eastAsia"/>
          <w:lang w:eastAsia="zh-CN"/>
        </w:rPr>
        <w:t xml:space="preserve">, no. </w:t>
      </w:r>
      <w:r>
        <w:t>1–3: 235–270.</w:t>
      </w:r>
    </w:p>
    <w:p w:rsidR="00887848" w:rsidRDefault="00887848">
      <w:pPr>
        <w:ind w:left="720" w:hanging="720"/>
        <w:jc w:val="both"/>
        <w:rPr>
          <w:lang w:val="en-US" w:eastAsia="zh-CN"/>
        </w:rPr>
      </w:pPr>
      <w:r>
        <w:rPr>
          <w:lang w:val="en-US" w:eastAsia="zh-CN"/>
        </w:rPr>
        <w:t>Bardong, F., S. Bartram, and P. Yadav. 2008. Informed trading, information asymmetry, and pricing of information risk: Empirical evidence from the NYSE. Working paper.</w:t>
      </w:r>
      <w:r w:rsidR="006C5F98" w:rsidRPr="006C5F98">
        <w:t xml:space="preserve"> </w:t>
      </w:r>
      <w:r w:rsidR="006C5F98" w:rsidRPr="006C5F98">
        <w:rPr>
          <w:lang w:val="en-US" w:eastAsia="zh-CN"/>
        </w:rPr>
        <w:t>SSRN</w:t>
      </w:r>
      <w:r w:rsidR="006C5F98">
        <w:rPr>
          <w:lang w:val="en-US" w:eastAsia="zh-CN"/>
        </w:rPr>
        <w:t>.</w:t>
      </w:r>
    </w:p>
    <w:p w:rsidR="002761B3" w:rsidRPr="002761B3" w:rsidRDefault="002761B3">
      <w:pPr>
        <w:ind w:left="720" w:hanging="720"/>
        <w:jc w:val="both"/>
        <w:rPr>
          <w:lang w:eastAsia="zh-CN"/>
        </w:rPr>
      </w:pPr>
      <w:r w:rsidRPr="002761B3">
        <w:rPr>
          <w:lang w:eastAsia="zh-CN"/>
        </w:rPr>
        <w:t>Barry, C. and S. J. Brown</w:t>
      </w:r>
      <w:r>
        <w:rPr>
          <w:rFonts w:hint="eastAsia"/>
          <w:lang w:eastAsia="zh-CN"/>
        </w:rPr>
        <w:t>.</w:t>
      </w:r>
      <w:r w:rsidRPr="002761B3">
        <w:rPr>
          <w:lang w:eastAsia="zh-CN"/>
        </w:rPr>
        <w:t xml:space="preserve"> 1984</w:t>
      </w:r>
      <w:r>
        <w:rPr>
          <w:rFonts w:hint="eastAsia"/>
          <w:lang w:eastAsia="zh-CN"/>
        </w:rPr>
        <w:t>.</w:t>
      </w:r>
      <w:r w:rsidRPr="002761B3">
        <w:rPr>
          <w:lang w:eastAsia="zh-CN"/>
        </w:rPr>
        <w:t xml:space="preserve"> Differential inform</w:t>
      </w:r>
      <w:r>
        <w:rPr>
          <w:lang w:eastAsia="zh-CN"/>
        </w:rPr>
        <w:t>ation and the small firm effect</w:t>
      </w:r>
      <w:r>
        <w:rPr>
          <w:rFonts w:hint="eastAsia"/>
          <w:lang w:eastAsia="zh-CN"/>
        </w:rPr>
        <w:t>.</w:t>
      </w:r>
      <w:r w:rsidRPr="002761B3">
        <w:rPr>
          <w:lang w:eastAsia="zh-CN"/>
        </w:rPr>
        <w:t xml:space="preserve"> </w:t>
      </w:r>
      <w:r w:rsidRPr="002761B3">
        <w:rPr>
          <w:i/>
          <w:lang w:eastAsia="zh-CN"/>
        </w:rPr>
        <w:t>Journal of Financial Economics</w:t>
      </w:r>
      <w:r>
        <w:rPr>
          <w:rFonts w:hint="eastAsia"/>
          <w:i/>
          <w:lang w:eastAsia="zh-CN"/>
        </w:rPr>
        <w:t>.</w:t>
      </w:r>
      <w:r>
        <w:rPr>
          <w:lang w:eastAsia="zh-CN"/>
        </w:rPr>
        <w:t xml:space="preserve"> 1</w:t>
      </w:r>
      <w:r>
        <w:rPr>
          <w:rFonts w:hint="eastAsia"/>
          <w:lang w:eastAsia="zh-CN"/>
        </w:rPr>
        <w:t>:</w:t>
      </w:r>
      <w:r w:rsidRPr="002761B3">
        <w:rPr>
          <w:lang w:eastAsia="zh-CN"/>
        </w:rPr>
        <w:t xml:space="preserve"> 283-294.</w:t>
      </w:r>
    </w:p>
    <w:p w:rsidR="00FA3FFD" w:rsidRPr="00FA3FFD" w:rsidRDefault="00FA3FFD" w:rsidP="00FA3FFD">
      <w:pPr>
        <w:ind w:left="720" w:hanging="720"/>
        <w:jc w:val="both"/>
      </w:pPr>
      <w:r w:rsidRPr="00FA3FFD">
        <w:t xml:space="preserve">Bebchuk, L.A., </w:t>
      </w:r>
      <w:r>
        <w:t xml:space="preserve">and M.S. </w:t>
      </w:r>
      <w:r w:rsidRPr="00FA3FFD">
        <w:t xml:space="preserve">Weisbach. 2010. The state of corporate governance research. The Review of Financial Studies. 23, </w:t>
      </w:r>
      <w:r>
        <w:t>no</w:t>
      </w:r>
      <w:r w:rsidRPr="00FA3FFD">
        <w:t>, 939-961.</w:t>
      </w:r>
    </w:p>
    <w:p w:rsidR="00887848" w:rsidRDefault="00887848">
      <w:pPr>
        <w:ind w:left="720" w:hanging="720"/>
        <w:jc w:val="both"/>
        <w:rPr>
          <w:lang w:val="en-US" w:eastAsia="zh-CN"/>
        </w:rPr>
      </w:pPr>
      <w:r>
        <w:rPr>
          <w:lang w:val="en-US"/>
        </w:rPr>
        <w:t>Bennedsen, M</w:t>
      </w:r>
      <w:r>
        <w:rPr>
          <w:lang w:val="en-US" w:eastAsia="zh-CN"/>
        </w:rPr>
        <w:t>., and</w:t>
      </w:r>
      <w:r>
        <w:rPr>
          <w:lang w:val="en-US"/>
        </w:rPr>
        <w:t xml:space="preserve"> D. Wolfenzon</w:t>
      </w:r>
      <w:r>
        <w:rPr>
          <w:lang w:val="en-US" w:eastAsia="zh-CN"/>
        </w:rPr>
        <w:t>.</w:t>
      </w:r>
      <w:r>
        <w:rPr>
          <w:lang w:val="en-US"/>
        </w:rPr>
        <w:t xml:space="preserve"> 2000. The </w:t>
      </w:r>
      <w:r>
        <w:rPr>
          <w:lang w:val="en-US" w:eastAsia="zh-CN"/>
        </w:rPr>
        <w:t>b</w:t>
      </w:r>
      <w:r>
        <w:rPr>
          <w:lang w:val="en-US"/>
        </w:rPr>
        <w:t xml:space="preserve">alance of </w:t>
      </w:r>
      <w:r>
        <w:rPr>
          <w:lang w:val="en-US" w:eastAsia="zh-CN"/>
        </w:rPr>
        <w:t>p</w:t>
      </w:r>
      <w:r>
        <w:rPr>
          <w:lang w:val="en-US"/>
        </w:rPr>
        <w:t xml:space="preserve">ower in </w:t>
      </w:r>
      <w:r>
        <w:rPr>
          <w:lang w:val="en-US" w:eastAsia="zh-CN"/>
        </w:rPr>
        <w:t>c</w:t>
      </w:r>
      <w:r>
        <w:rPr>
          <w:lang w:val="en-US"/>
        </w:rPr>
        <w:t xml:space="preserve">losely </w:t>
      </w:r>
      <w:r>
        <w:rPr>
          <w:lang w:val="en-US" w:eastAsia="zh-CN"/>
        </w:rPr>
        <w:t>h</w:t>
      </w:r>
      <w:r>
        <w:rPr>
          <w:lang w:val="en-US"/>
        </w:rPr>
        <w:t xml:space="preserve">eld </w:t>
      </w:r>
      <w:r>
        <w:rPr>
          <w:lang w:val="en-US" w:eastAsia="zh-CN"/>
        </w:rPr>
        <w:t>c</w:t>
      </w:r>
      <w:r>
        <w:rPr>
          <w:lang w:val="en-US"/>
        </w:rPr>
        <w:t xml:space="preserve">orporations. </w:t>
      </w:r>
      <w:r>
        <w:rPr>
          <w:i/>
          <w:lang w:val="en-US"/>
        </w:rPr>
        <w:t>Journal of Financial Economics</w:t>
      </w:r>
      <w:r>
        <w:rPr>
          <w:lang w:val="en-US"/>
        </w:rPr>
        <w:t xml:space="preserve"> 58</w:t>
      </w:r>
      <w:r w:rsidR="00E92ABE">
        <w:rPr>
          <w:rFonts w:hint="eastAsia"/>
          <w:lang w:val="en-US" w:eastAsia="zh-CN"/>
        </w:rPr>
        <w:t xml:space="preserve">, no. </w:t>
      </w:r>
      <w:r>
        <w:rPr>
          <w:lang w:val="en-US"/>
        </w:rPr>
        <w:t>1-2:</w:t>
      </w:r>
      <w:r w:rsidR="00E92ABE">
        <w:rPr>
          <w:rFonts w:hint="eastAsia"/>
          <w:lang w:val="en-US" w:eastAsia="zh-CN"/>
        </w:rPr>
        <w:t xml:space="preserve"> </w:t>
      </w:r>
      <w:r>
        <w:rPr>
          <w:lang w:val="en-US"/>
        </w:rPr>
        <w:t>113-139.</w:t>
      </w:r>
    </w:p>
    <w:p w:rsidR="00887848" w:rsidRDefault="00887848">
      <w:pPr>
        <w:ind w:left="720" w:hanging="720"/>
        <w:jc w:val="both"/>
        <w:rPr>
          <w:lang w:val="en-US" w:eastAsia="zh-CN"/>
        </w:rPr>
      </w:pPr>
      <w:r>
        <w:rPr>
          <w:lang w:val="en-US" w:eastAsia="zh-CN"/>
        </w:rPr>
        <w:t xml:space="preserve">Beny, L. 2007. Insider trading laws and stock markets around the world: an empirical contribution to the theoretical law and economics debate. </w:t>
      </w:r>
      <w:r>
        <w:rPr>
          <w:i/>
          <w:lang w:val="en-US" w:eastAsia="zh-CN"/>
        </w:rPr>
        <w:t>Journal of corporate law</w:t>
      </w:r>
      <w:r>
        <w:rPr>
          <w:lang w:val="en-US" w:eastAsia="zh-CN"/>
        </w:rPr>
        <w:t xml:space="preserve"> 32:237-300.</w:t>
      </w:r>
    </w:p>
    <w:p w:rsidR="00887848" w:rsidRDefault="00887848">
      <w:pPr>
        <w:ind w:left="720" w:hanging="720"/>
        <w:jc w:val="both"/>
        <w:rPr>
          <w:lang w:eastAsia="zh-CN"/>
        </w:rPr>
      </w:pPr>
      <w:r>
        <w:rPr>
          <w:lang w:eastAsia="zh-CN"/>
        </w:rPr>
        <w:t xml:space="preserve">Bertrand, M., S. Johnson, K. Samphantharak, and A. Schoar. 2008. Mixing family with business: A study of Thai business groups and the families behind them, </w:t>
      </w:r>
      <w:r>
        <w:rPr>
          <w:i/>
          <w:lang w:eastAsia="zh-CN"/>
        </w:rPr>
        <w:t>Journal of Financial Economics</w:t>
      </w:r>
      <w:r>
        <w:rPr>
          <w:lang w:eastAsia="zh-CN"/>
        </w:rPr>
        <w:t xml:space="preserve"> 88</w:t>
      </w:r>
      <w:r w:rsidR="00E92ABE">
        <w:rPr>
          <w:rFonts w:hint="eastAsia"/>
          <w:lang w:eastAsia="zh-CN"/>
        </w:rPr>
        <w:t>:</w:t>
      </w:r>
      <w:r>
        <w:rPr>
          <w:lang w:eastAsia="zh-CN"/>
        </w:rPr>
        <w:t xml:space="preserve"> 466-498.</w:t>
      </w:r>
    </w:p>
    <w:p w:rsidR="00900FFC" w:rsidRDefault="00900FFC" w:rsidP="00900FFC">
      <w:pPr>
        <w:ind w:left="720" w:hanging="720"/>
        <w:jc w:val="both"/>
        <w:rPr>
          <w:lang w:eastAsia="zh-CN"/>
        </w:rPr>
      </w:pPr>
      <w:r>
        <w:t>Bhattacharya, S</w:t>
      </w:r>
      <w:r>
        <w:rPr>
          <w:lang w:eastAsia="zh-CN"/>
        </w:rPr>
        <w:t>.</w:t>
      </w:r>
      <w:r>
        <w:t xml:space="preserve"> 1979. Imperfect </w:t>
      </w:r>
      <w:r>
        <w:rPr>
          <w:lang w:eastAsia="zh-CN"/>
        </w:rPr>
        <w:t>i</w:t>
      </w:r>
      <w:r>
        <w:t xml:space="preserve">nformation, </w:t>
      </w:r>
      <w:r>
        <w:rPr>
          <w:lang w:eastAsia="zh-CN"/>
        </w:rPr>
        <w:t>d</w:t>
      </w:r>
      <w:r>
        <w:t xml:space="preserve">ividend </w:t>
      </w:r>
      <w:r>
        <w:rPr>
          <w:lang w:eastAsia="zh-CN"/>
        </w:rPr>
        <w:t>p</w:t>
      </w:r>
      <w:r>
        <w:t xml:space="preserve">olicy, and "the </w:t>
      </w:r>
      <w:r>
        <w:rPr>
          <w:lang w:eastAsia="zh-CN"/>
        </w:rPr>
        <w:t>b</w:t>
      </w:r>
      <w:r>
        <w:t xml:space="preserve">ird in the </w:t>
      </w:r>
      <w:r>
        <w:rPr>
          <w:lang w:eastAsia="zh-CN"/>
        </w:rPr>
        <w:t>h</w:t>
      </w:r>
      <w:r>
        <w:t xml:space="preserve">and" </w:t>
      </w:r>
      <w:r>
        <w:rPr>
          <w:lang w:eastAsia="zh-CN"/>
        </w:rPr>
        <w:t>f</w:t>
      </w:r>
      <w:r>
        <w:t xml:space="preserve">allacy. </w:t>
      </w:r>
      <w:r>
        <w:rPr>
          <w:i/>
        </w:rPr>
        <w:t>Bell Journal of Economics</w:t>
      </w:r>
      <w:r>
        <w:rPr>
          <w:b/>
          <w:i/>
        </w:rPr>
        <w:t xml:space="preserve"> </w:t>
      </w:r>
      <w:r>
        <w:t>10</w:t>
      </w:r>
      <w:r>
        <w:rPr>
          <w:rFonts w:hint="eastAsia"/>
          <w:lang w:eastAsia="zh-CN"/>
        </w:rPr>
        <w:t xml:space="preserve">, no. </w:t>
      </w:r>
      <w:r>
        <w:t>1:</w:t>
      </w:r>
      <w:r>
        <w:rPr>
          <w:rFonts w:hint="eastAsia"/>
          <w:lang w:eastAsia="zh-CN"/>
        </w:rPr>
        <w:t xml:space="preserve"> </w:t>
      </w:r>
      <w:r>
        <w:t xml:space="preserve">259-270. </w:t>
      </w:r>
    </w:p>
    <w:p w:rsidR="00900FFC" w:rsidRDefault="00900FFC" w:rsidP="00900FFC">
      <w:pPr>
        <w:ind w:left="720" w:hanging="720"/>
        <w:jc w:val="both"/>
        <w:rPr>
          <w:lang w:val="en-US" w:eastAsia="zh-CN"/>
        </w:rPr>
      </w:pPr>
      <w:r>
        <w:rPr>
          <w:lang w:val="en-US" w:eastAsia="zh-CN"/>
        </w:rPr>
        <w:t xml:space="preserve">Bhattacharya, S., and G. Chiesa, 1995. Proprietary information, financial intermediation, and research incentives. </w:t>
      </w:r>
      <w:r>
        <w:rPr>
          <w:i/>
          <w:lang w:val="en-US" w:eastAsia="zh-CN"/>
        </w:rPr>
        <w:t>Journal of Financial Intermediation</w:t>
      </w:r>
      <w:r>
        <w:rPr>
          <w:lang w:val="en-US" w:eastAsia="zh-CN"/>
        </w:rPr>
        <w:t xml:space="preserve"> 4</w:t>
      </w:r>
      <w:r>
        <w:rPr>
          <w:rFonts w:hint="eastAsia"/>
          <w:lang w:val="en-US" w:eastAsia="zh-CN"/>
        </w:rPr>
        <w:t xml:space="preserve">, no. </w:t>
      </w:r>
      <w:r>
        <w:rPr>
          <w:lang w:val="en-US" w:eastAsia="zh-CN"/>
        </w:rPr>
        <w:t>4:</w:t>
      </w:r>
      <w:r>
        <w:rPr>
          <w:rFonts w:hint="eastAsia"/>
          <w:lang w:val="en-US" w:eastAsia="zh-CN"/>
        </w:rPr>
        <w:t xml:space="preserve"> </w:t>
      </w:r>
      <w:r>
        <w:rPr>
          <w:lang w:val="en-US" w:eastAsia="zh-CN"/>
        </w:rPr>
        <w:t>328-357.</w:t>
      </w:r>
    </w:p>
    <w:p w:rsidR="00887848" w:rsidRDefault="00887848">
      <w:pPr>
        <w:ind w:left="720" w:hanging="720"/>
        <w:jc w:val="both"/>
        <w:rPr>
          <w:lang w:eastAsia="zh-CN"/>
        </w:rPr>
      </w:pPr>
      <w:r>
        <w:rPr>
          <w:lang w:eastAsia="zh-CN"/>
        </w:rPr>
        <w:t xml:space="preserve">Bhattacharya, U., and H. Daouk. 2002. The world price of insider trading. </w:t>
      </w:r>
      <w:r>
        <w:rPr>
          <w:i/>
          <w:lang w:eastAsia="zh-CN"/>
        </w:rPr>
        <w:t>The Journal of Finance</w:t>
      </w:r>
      <w:r>
        <w:rPr>
          <w:lang w:eastAsia="zh-CN"/>
        </w:rPr>
        <w:t xml:space="preserve"> 57</w:t>
      </w:r>
      <w:r w:rsidR="00E92ABE">
        <w:rPr>
          <w:rFonts w:hint="eastAsia"/>
          <w:lang w:eastAsia="zh-CN"/>
        </w:rPr>
        <w:t xml:space="preserve">, no. </w:t>
      </w:r>
      <w:r>
        <w:rPr>
          <w:lang w:eastAsia="zh-CN"/>
        </w:rPr>
        <w:t>1:</w:t>
      </w:r>
      <w:r w:rsidR="00E92ABE">
        <w:rPr>
          <w:rFonts w:hint="eastAsia"/>
          <w:lang w:eastAsia="zh-CN"/>
        </w:rPr>
        <w:t xml:space="preserve"> </w:t>
      </w:r>
      <w:r>
        <w:rPr>
          <w:lang w:eastAsia="zh-CN"/>
        </w:rPr>
        <w:t>75-108.</w:t>
      </w:r>
    </w:p>
    <w:p w:rsidR="00900FFC" w:rsidRDefault="00900FFC" w:rsidP="00900FFC">
      <w:pPr>
        <w:ind w:left="720" w:hanging="720"/>
        <w:jc w:val="both"/>
        <w:rPr>
          <w:lang w:eastAsia="zh-CN"/>
        </w:rPr>
      </w:pPr>
      <w:r>
        <w:rPr>
          <w:lang w:eastAsia="zh-CN"/>
        </w:rPr>
        <w:t xml:space="preserve">Boehmer, E., J. Grammig, and E. Theissen. 2007. Estimating the probability of informed trading - does trade misclassification matter? </w:t>
      </w:r>
      <w:r>
        <w:rPr>
          <w:i/>
          <w:lang w:eastAsia="zh-CN"/>
        </w:rPr>
        <w:t>Journal of Financial Markets</w:t>
      </w:r>
      <w:r>
        <w:rPr>
          <w:lang w:eastAsia="zh-CN"/>
        </w:rPr>
        <w:t xml:space="preserve"> 10</w:t>
      </w:r>
      <w:r>
        <w:rPr>
          <w:rFonts w:hint="eastAsia"/>
          <w:lang w:eastAsia="zh-CN"/>
        </w:rPr>
        <w:t xml:space="preserve">, no. </w:t>
      </w:r>
      <w:r>
        <w:rPr>
          <w:lang w:eastAsia="zh-CN"/>
        </w:rPr>
        <w:t>1: 26-47.</w:t>
      </w:r>
    </w:p>
    <w:p w:rsidR="00887848" w:rsidRDefault="00887848">
      <w:pPr>
        <w:ind w:left="720" w:hanging="720"/>
        <w:jc w:val="both"/>
        <w:rPr>
          <w:lang w:eastAsia="zh-CN"/>
        </w:rPr>
      </w:pPr>
      <w:r>
        <w:rPr>
          <w:lang w:val="pt-PT"/>
        </w:rPr>
        <w:t>Boehmer, E</w:t>
      </w:r>
      <w:r>
        <w:rPr>
          <w:lang w:val="pt-PT" w:eastAsia="zh-CN"/>
        </w:rPr>
        <w:t>.</w:t>
      </w:r>
      <w:r>
        <w:rPr>
          <w:lang w:val="pt-PT"/>
        </w:rPr>
        <w:t>, G. Saar</w:t>
      </w:r>
      <w:r>
        <w:rPr>
          <w:lang w:val="pt-PT" w:eastAsia="zh-CN"/>
        </w:rPr>
        <w:t>, and L.</w:t>
      </w:r>
      <w:r>
        <w:rPr>
          <w:lang w:val="pt-PT"/>
        </w:rPr>
        <w:t xml:space="preserve"> Yu. 2005. </w:t>
      </w:r>
      <w:r>
        <w:t xml:space="preserve">Lifting the </w:t>
      </w:r>
      <w:r>
        <w:rPr>
          <w:lang w:eastAsia="zh-CN"/>
        </w:rPr>
        <w:t>v</w:t>
      </w:r>
      <w:r>
        <w:t xml:space="preserve">eil: An </w:t>
      </w:r>
      <w:r>
        <w:rPr>
          <w:lang w:eastAsia="zh-CN"/>
        </w:rPr>
        <w:t>a</w:t>
      </w:r>
      <w:r>
        <w:t xml:space="preserve">nalysis of </w:t>
      </w:r>
      <w:r>
        <w:rPr>
          <w:lang w:eastAsia="zh-CN"/>
        </w:rPr>
        <w:t>p</w:t>
      </w:r>
      <w:r>
        <w:t xml:space="preserve">re-trade </w:t>
      </w:r>
      <w:r>
        <w:rPr>
          <w:lang w:eastAsia="zh-CN"/>
        </w:rPr>
        <w:t>t</w:t>
      </w:r>
      <w:r>
        <w:t xml:space="preserve">ransparency at the NYSE. </w:t>
      </w:r>
      <w:r>
        <w:rPr>
          <w:i/>
        </w:rPr>
        <w:t>The Journal of Finance</w:t>
      </w:r>
      <w:r>
        <w:t xml:space="preserve"> 60:783-815.</w:t>
      </w:r>
    </w:p>
    <w:p w:rsidR="00887848" w:rsidRDefault="00887848">
      <w:pPr>
        <w:ind w:left="720" w:hanging="720"/>
        <w:jc w:val="both"/>
      </w:pPr>
      <w:r>
        <w:lastRenderedPageBreak/>
        <w:t>Brickley, J</w:t>
      </w:r>
      <w:r>
        <w:rPr>
          <w:lang w:eastAsia="zh-CN"/>
        </w:rPr>
        <w:t>.</w:t>
      </w:r>
      <w:r>
        <w:t>, R. Lease</w:t>
      </w:r>
      <w:r>
        <w:rPr>
          <w:lang w:eastAsia="zh-CN"/>
        </w:rPr>
        <w:t>,</w:t>
      </w:r>
      <w:r>
        <w:t xml:space="preserve"> and C. Smith. 1988. Ownership </w:t>
      </w:r>
      <w:r>
        <w:rPr>
          <w:lang w:eastAsia="zh-CN"/>
        </w:rPr>
        <w:t>s</w:t>
      </w:r>
      <w:r>
        <w:t xml:space="preserve">tructure and </w:t>
      </w:r>
      <w:r>
        <w:rPr>
          <w:lang w:eastAsia="zh-CN"/>
        </w:rPr>
        <w:t>v</w:t>
      </w:r>
      <w:r>
        <w:t xml:space="preserve">oting on </w:t>
      </w:r>
      <w:r>
        <w:rPr>
          <w:lang w:eastAsia="zh-CN"/>
        </w:rPr>
        <w:t>a</w:t>
      </w:r>
      <w:r>
        <w:t xml:space="preserve">ntitakeover </w:t>
      </w:r>
      <w:r>
        <w:rPr>
          <w:lang w:eastAsia="zh-CN"/>
        </w:rPr>
        <w:t>a</w:t>
      </w:r>
      <w:r>
        <w:t xml:space="preserve">mendments. </w:t>
      </w:r>
      <w:r>
        <w:rPr>
          <w:i/>
        </w:rPr>
        <w:t>Journal of Financial Economics</w:t>
      </w:r>
      <w:r>
        <w:t xml:space="preserve"> 20:</w:t>
      </w:r>
      <w:r w:rsidR="00E92ABE">
        <w:rPr>
          <w:rFonts w:hint="eastAsia"/>
          <w:lang w:eastAsia="zh-CN"/>
        </w:rPr>
        <w:t xml:space="preserve"> </w:t>
      </w:r>
      <w:r>
        <w:t>267-291.</w:t>
      </w:r>
    </w:p>
    <w:p w:rsidR="00323A58" w:rsidRDefault="00323A58" w:rsidP="00323A58">
      <w:pPr>
        <w:ind w:left="720" w:hanging="720"/>
        <w:jc w:val="both"/>
        <w:rPr>
          <w:lang w:val="en-US" w:eastAsia="zh-CN"/>
        </w:rPr>
      </w:pPr>
      <w:r w:rsidRPr="00CF636F">
        <w:rPr>
          <w:lang w:val="en-US" w:eastAsia="zh-CN"/>
        </w:rPr>
        <w:t>Brockman, P</w:t>
      </w:r>
      <w:r>
        <w:rPr>
          <w:lang w:val="en-US" w:eastAsia="zh-CN"/>
        </w:rPr>
        <w:t xml:space="preserve">., </w:t>
      </w:r>
      <w:r w:rsidRPr="00CF636F">
        <w:rPr>
          <w:lang w:val="en-US" w:eastAsia="zh-CN"/>
        </w:rPr>
        <w:t>and D</w:t>
      </w:r>
      <w:r>
        <w:rPr>
          <w:lang w:val="en-US" w:eastAsia="zh-CN"/>
        </w:rPr>
        <w:t xml:space="preserve">. Y. Chung. 2000. </w:t>
      </w:r>
      <w:r w:rsidRPr="00CF636F">
        <w:rPr>
          <w:lang w:val="en-US" w:eastAsia="zh-CN"/>
        </w:rPr>
        <w:t>Informed and Uninformed</w:t>
      </w:r>
      <w:r>
        <w:rPr>
          <w:lang w:val="en-US" w:eastAsia="zh-CN"/>
        </w:rPr>
        <w:t xml:space="preserve"> </w:t>
      </w:r>
      <w:r w:rsidRPr="00CF636F">
        <w:rPr>
          <w:lang w:val="en-US" w:eastAsia="zh-CN"/>
        </w:rPr>
        <w:t>Trading in an Electr</w:t>
      </w:r>
      <w:r>
        <w:rPr>
          <w:lang w:val="en-US" w:eastAsia="zh-CN"/>
        </w:rPr>
        <w:t>onic, Order-Driven Environment,</w:t>
      </w:r>
      <w:r w:rsidRPr="00CF636F">
        <w:rPr>
          <w:lang w:val="en-US" w:eastAsia="zh-CN"/>
        </w:rPr>
        <w:t xml:space="preserve"> </w:t>
      </w:r>
      <w:r w:rsidRPr="00CF636F">
        <w:rPr>
          <w:i/>
          <w:lang w:val="en-US" w:eastAsia="zh-CN"/>
        </w:rPr>
        <w:t>The Financial Review</w:t>
      </w:r>
      <w:r w:rsidRPr="00CF636F">
        <w:rPr>
          <w:lang w:val="en-US" w:eastAsia="zh-CN"/>
        </w:rPr>
        <w:t xml:space="preserve"> 35</w:t>
      </w:r>
      <w:r>
        <w:rPr>
          <w:lang w:val="en-US" w:eastAsia="zh-CN"/>
        </w:rPr>
        <w:t>, no</w:t>
      </w:r>
      <w:r w:rsidRPr="00CF636F">
        <w:rPr>
          <w:lang w:val="en-US" w:eastAsia="zh-CN"/>
        </w:rPr>
        <w:t>. 2</w:t>
      </w:r>
      <w:r>
        <w:rPr>
          <w:lang w:val="en-US" w:eastAsia="zh-CN"/>
        </w:rPr>
        <w:t>:</w:t>
      </w:r>
      <w:r w:rsidRPr="00CF636F">
        <w:rPr>
          <w:lang w:val="en-US" w:eastAsia="zh-CN"/>
        </w:rPr>
        <w:t xml:space="preserve"> 125-146. </w:t>
      </w:r>
    </w:p>
    <w:p w:rsidR="00887848" w:rsidRDefault="00887848">
      <w:pPr>
        <w:ind w:left="720" w:hanging="720"/>
        <w:jc w:val="both"/>
        <w:rPr>
          <w:lang w:eastAsia="zh-CN"/>
        </w:rPr>
      </w:pPr>
      <w:r>
        <w:rPr>
          <w:lang w:eastAsia="zh-CN"/>
        </w:rPr>
        <w:t xml:space="preserve">Bruno, V., and S. Claessens. 2010. Corporate governance and regulation: Can there be too much of a good thing? </w:t>
      </w:r>
      <w:r>
        <w:rPr>
          <w:i/>
          <w:lang w:eastAsia="zh-CN"/>
        </w:rPr>
        <w:t>Journal of Financial Intermediation</w:t>
      </w:r>
      <w:r>
        <w:rPr>
          <w:lang w:eastAsia="zh-CN"/>
        </w:rPr>
        <w:t xml:space="preserve"> 19</w:t>
      </w:r>
      <w:r w:rsidR="00E92ABE">
        <w:rPr>
          <w:rFonts w:hint="eastAsia"/>
          <w:lang w:eastAsia="zh-CN"/>
        </w:rPr>
        <w:t xml:space="preserve">, no. </w:t>
      </w:r>
      <w:r>
        <w:rPr>
          <w:lang w:eastAsia="zh-CN"/>
        </w:rPr>
        <w:t>4: 461-482.</w:t>
      </w:r>
    </w:p>
    <w:p w:rsidR="00887848" w:rsidRDefault="00887848">
      <w:pPr>
        <w:ind w:left="720" w:hanging="720"/>
        <w:jc w:val="both"/>
      </w:pPr>
      <w:r>
        <w:t>Bushee, B</w:t>
      </w:r>
      <w:r>
        <w:rPr>
          <w:lang w:eastAsia="zh-CN"/>
        </w:rPr>
        <w:t>.</w:t>
      </w:r>
      <w:r>
        <w:t xml:space="preserve"> 1998. The </w:t>
      </w:r>
      <w:r>
        <w:rPr>
          <w:lang w:eastAsia="zh-CN"/>
        </w:rPr>
        <w:t>i</w:t>
      </w:r>
      <w:r>
        <w:t xml:space="preserve">nfluence of </w:t>
      </w:r>
      <w:r>
        <w:rPr>
          <w:lang w:eastAsia="zh-CN"/>
        </w:rPr>
        <w:t>i</w:t>
      </w:r>
      <w:r>
        <w:t xml:space="preserve">nstitutional </w:t>
      </w:r>
      <w:r>
        <w:rPr>
          <w:lang w:eastAsia="zh-CN"/>
        </w:rPr>
        <w:t>i</w:t>
      </w:r>
      <w:r>
        <w:t xml:space="preserve">nvestors on </w:t>
      </w:r>
      <w:r>
        <w:rPr>
          <w:lang w:eastAsia="zh-CN"/>
        </w:rPr>
        <w:t>m</w:t>
      </w:r>
      <w:r>
        <w:t xml:space="preserve">yopic R&amp;D </w:t>
      </w:r>
      <w:r>
        <w:rPr>
          <w:lang w:eastAsia="zh-CN"/>
        </w:rPr>
        <w:t>i</w:t>
      </w:r>
      <w:r>
        <w:t xml:space="preserve">nvestment </w:t>
      </w:r>
      <w:r>
        <w:rPr>
          <w:lang w:eastAsia="zh-CN"/>
        </w:rPr>
        <w:t>b</w:t>
      </w:r>
      <w:r>
        <w:t xml:space="preserve">ehavior. </w:t>
      </w:r>
      <w:r>
        <w:rPr>
          <w:i/>
        </w:rPr>
        <w:t>The Accounting Review</w:t>
      </w:r>
      <w:r>
        <w:t xml:space="preserve"> 73:</w:t>
      </w:r>
      <w:r w:rsidR="00E92ABE">
        <w:rPr>
          <w:rFonts w:hint="eastAsia"/>
          <w:lang w:eastAsia="zh-CN"/>
        </w:rPr>
        <w:t xml:space="preserve"> </w:t>
      </w:r>
      <w:r>
        <w:t>305-333.</w:t>
      </w:r>
    </w:p>
    <w:p w:rsidR="00887848" w:rsidRDefault="00887848">
      <w:pPr>
        <w:ind w:left="720" w:hanging="720"/>
        <w:jc w:val="both"/>
        <w:rPr>
          <w:lang w:eastAsia="zh-CN"/>
        </w:rPr>
      </w:pPr>
      <w:r>
        <w:t xml:space="preserve">Bushman, R., Q. Chen, E. Engel, and A. Smith. 2004. Financial </w:t>
      </w:r>
      <w:r>
        <w:rPr>
          <w:lang w:eastAsia="zh-CN"/>
        </w:rPr>
        <w:t>a</w:t>
      </w:r>
      <w:r>
        <w:t xml:space="preserve">ccounting information, organizational complexity and corporate governance systems. </w:t>
      </w:r>
      <w:r>
        <w:rPr>
          <w:i/>
        </w:rPr>
        <w:t>Journal of Accounting and Economics</w:t>
      </w:r>
      <w:r>
        <w:t xml:space="preserve"> 37: 167-201</w:t>
      </w:r>
    </w:p>
    <w:p w:rsidR="00887848" w:rsidRDefault="00887848">
      <w:pPr>
        <w:ind w:left="720" w:hanging="720"/>
        <w:jc w:val="both"/>
        <w:rPr>
          <w:lang w:eastAsia="zh-CN"/>
        </w:rPr>
      </w:pPr>
      <w:r>
        <w:rPr>
          <w:lang w:eastAsia="zh-CN"/>
        </w:rPr>
        <w:t xml:space="preserve">Callahan, C., C. Lee, and T. Yahn. 1997. Accounting information and bid-ask spreads. </w:t>
      </w:r>
      <w:r>
        <w:rPr>
          <w:i/>
          <w:lang w:eastAsia="zh-CN"/>
        </w:rPr>
        <w:t>Accounting Horizons</w:t>
      </w:r>
      <w:r>
        <w:rPr>
          <w:lang w:eastAsia="zh-CN"/>
        </w:rPr>
        <w:t xml:space="preserve"> 11</w:t>
      </w:r>
      <w:r w:rsidR="00E92ABE">
        <w:rPr>
          <w:rFonts w:hint="eastAsia"/>
          <w:lang w:eastAsia="zh-CN"/>
        </w:rPr>
        <w:t xml:space="preserve">, no. </w:t>
      </w:r>
      <w:r>
        <w:rPr>
          <w:lang w:eastAsia="zh-CN"/>
        </w:rPr>
        <w:t>4: 50-60.</w:t>
      </w:r>
    </w:p>
    <w:p w:rsidR="00887848" w:rsidRDefault="00887848">
      <w:pPr>
        <w:ind w:left="720" w:hanging="720"/>
        <w:jc w:val="both"/>
        <w:rPr>
          <w:lang w:eastAsia="zh-CN"/>
        </w:rPr>
      </w:pPr>
      <w:r>
        <w:rPr>
          <w:lang w:eastAsia="zh-CN"/>
        </w:rPr>
        <w:t xml:space="preserve">Caliendo, M., and S. Kopeinig. 2008 Some practical guidance for the implementation of propensity score matching. </w:t>
      </w:r>
      <w:r>
        <w:rPr>
          <w:i/>
          <w:lang w:eastAsia="zh-CN"/>
        </w:rPr>
        <w:t>Journal of Economic Surveys</w:t>
      </w:r>
      <w:r>
        <w:rPr>
          <w:lang w:eastAsia="zh-CN"/>
        </w:rPr>
        <w:t xml:space="preserve"> 22: 31-72.</w:t>
      </w:r>
    </w:p>
    <w:p w:rsidR="00887848" w:rsidRDefault="00887848">
      <w:pPr>
        <w:ind w:left="720" w:hanging="720"/>
        <w:jc w:val="both"/>
        <w:rPr>
          <w:lang w:eastAsia="zh-CN"/>
        </w:rPr>
      </w:pPr>
      <w:r>
        <w:rPr>
          <w:lang w:eastAsia="zh-CN"/>
        </w:rPr>
        <w:t xml:space="preserve">Campbell, T. and W. Kracaw. 1980. Information production, market signalling, and the theory of financial intermediation. </w:t>
      </w:r>
      <w:r>
        <w:rPr>
          <w:i/>
          <w:lang w:eastAsia="zh-CN"/>
        </w:rPr>
        <w:t>The Journal of Finance</w:t>
      </w:r>
      <w:r>
        <w:rPr>
          <w:lang w:eastAsia="zh-CN"/>
        </w:rPr>
        <w:t xml:space="preserve"> 35</w:t>
      </w:r>
      <w:r w:rsidR="00E92ABE">
        <w:rPr>
          <w:rFonts w:hint="eastAsia"/>
          <w:lang w:eastAsia="zh-CN"/>
        </w:rPr>
        <w:t xml:space="preserve">, no. </w:t>
      </w:r>
      <w:r>
        <w:rPr>
          <w:lang w:eastAsia="zh-CN"/>
        </w:rPr>
        <w:t>4:</w:t>
      </w:r>
      <w:r w:rsidR="00E92ABE">
        <w:rPr>
          <w:rFonts w:hint="eastAsia"/>
          <w:lang w:eastAsia="zh-CN"/>
        </w:rPr>
        <w:t xml:space="preserve"> </w:t>
      </w:r>
      <w:r>
        <w:rPr>
          <w:lang w:eastAsia="zh-CN"/>
        </w:rPr>
        <w:t>863-882.</w:t>
      </w:r>
    </w:p>
    <w:p w:rsidR="00887848" w:rsidRDefault="00887848">
      <w:pPr>
        <w:ind w:left="720" w:hanging="720"/>
        <w:jc w:val="both"/>
        <w:rPr>
          <w:lang w:eastAsia="zh-CN"/>
        </w:rPr>
      </w:pPr>
      <w:r>
        <w:rPr>
          <w:lang w:eastAsia="zh-CN"/>
        </w:rPr>
        <w:t>Chan, L., T. Chen, and G. Hilary. 2010. Insider trading and family firms, Working paper, University of Hong Kong.</w:t>
      </w:r>
    </w:p>
    <w:p w:rsidR="00887848" w:rsidRDefault="00887848">
      <w:pPr>
        <w:ind w:left="720" w:hanging="720"/>
        <w:jc w:val="both"/>
        <w:rPr>
          <w:lang w:eastAsia="zh-CN"/>
        </w:rPr>
      </w:pPr>
      <w:r>
        <w:t>Chen, X</w:t>
      </w:r>
      <w:r>
        <w:rPr>
          <w:lang w:eastAsia="zh-CN"/>
        </w:rPr>
        <w:t>.</w:t>
      </w:r>
      <w:r>
        <w:t>, J. Harford</w:t>
      </w:r>
      <w:r>
        <w:rPr>
          <w:lang w:eastAsia="zh-CN"/>
        </w:rPr>
        <w:t xml:space="preserve">, and K. </w:t>
      </w:r>
      <w:r>
        <w:t xml:space="preserve">Li. 2007. Monitoring: Which </w:t>
      </w:r>
      <w:r>
        <w:rPr>
          <w:lang w:eastAsia="zh-CN"/>
        </w:rPr>
        <w:t>i</w:t>
      </w:r>
      <w:r>
        <w:t xml:space="preserve">nstitutions </w:t>
      </w:r>
      <w:r>
        <w:rPr>
          <w:lang w:eastAsia="zh-CN"/>
        </w:rPr>
        <w:t>m</w:t>
      </w:r>
      <w:r>
        <w:t xml:space="preserve">atter? </w:t>
      </w:r>
      <w:r>
        <w:rPr>
          <w:i/>
        </w:rPr>
        <w:t>Journal of Financial Economics</w:t>
      </w:r>
      <w:r>
        <w:t xml:space="preserve"> 86</w:t>
      </w:r>
      <w:r w:rsidR="00E92ABE">
        <w:rPr>
          <w:rFonts w:hint="eastAsia"/>
          <w:lang w:eastAsia="zh-CN"/>
        </w:rPr>
        <w:t xml:space="preserve">, no. </w:t>
      </w:r>
      <w:r>
        <w:t>2:</w:t>
      </w:r>
      <w:r w:rsidR="00E92ABE">
        <w:rPr>
          <w:rFonts w:hint="eastAsia"/>
          <w:lang w:eastAsia="zh-CN"/>
        </w:rPr>
        <w:t xml:space="preserve"> </w:t>
      </w:r>
      <w:r>
        <w:t>279-305.</w:t>
      </w:r>
    </w:p>
    <w:p w:rsidR="00887848" w:rsidRDefault="00887848">
      <w:pPr>
        <w:ind w:left="720" w:hanging="720"/>
        <w:jc w:val="both"/>
        <w:rPr>
          <w:lang w:val="en-US" w:eastAsia="zh-CN"/>
        </w:rPr>
      </w:pPr>
      <w:r>
        <w:rPr>
          <w:lang w:val="en-US"/>
        </w:rPr>
        <w:t>Chin, C., G. Kleinman</w:t>
      </w:r>
      <w:r>
        <w:rPr>
          <w:lang w:val="en-US" w:eastAsia="zh-CN"/>
        </w:rPr>
        <w:t xml:space="preserve">, </w:t>
      </w:r>
      <w:r>
        <w:rPr>
          <w:lang w:val="en-US"/>
        </w:rPr>
        <w:t xml:space="preserve">P. </w:t>
      </w:r>
      <w:r>
        <w:rPr>
          <w:lang w:val="en-US" w:eastAsia="zh-CN"/>
        </w:rPr>
        <w:t>L</w:t>
      </w:r>
      <w:r>
        <w:rPr>
          <w:lang w:val="en-US"/>
        </w:rPr>
        <w:t>ee</w:t>
      </w:r>
      <w:r>
        <w:rPr>
          <w:lang w:val="en-US" w:eastAsia="zh-CN"/>
        </w:rPr>
        <w:t xml:space="preserve">, and </w:t>
      </w:r>
      <w:r>
        <w:rPr>
          <w:lang w:val="en-US"/>
        </w:rPr>
        <w:t xml:space="preserve">M. Lin. 2006. Corporate </w:t>
      </w:r>
      <w:r>
        <w:rPr>
          <w:lang w:val="en-US" w:eastAsia="zh-CN"/>
        </w:rPr>
        <w:t>o</w:t>
      </w:r>
      <w:r>
        <w:rPr>
          <w:lang w:val="en-US"/>
        </w:rPr>
        <w:t xml:space="preserve">wnership </w:t>
      </w:r>
      <w:r>
        <w:rPr>
          <w:lang w:val="en-US" w:eastAsia="zh-CN"/>
        </w:rPr>
        <w:t>s</w:t>
      </w:r>
      <w:r>
        <w:rPr>
          <w:lang w:val="en-US"/>
        </w:rPr>
        <w:t xml:space="preserve">tructure and </w:t>
      </w:r>
      <w:r>
        <w:rPr>
          <w:lang w:val="en-US" w:eastAsia="zh-CN"/>
        </w:rPr>
        <w:t>a</w:t>
      </w:r>
      <w:r>
        <w:rPr>
          <w:lang w:val="en-US"/>
        </w:rPr>
        <w:t xml:space="preserve">ccuracy and </w:t>
      </w:r>
      <w:r>
        <w:rPr>
          <w:lang w:val="en-US" w:eastAsia="zh-CN"/>
        </w:rPr>
        <w:t>b</w:t>
      </w:r>
      <w:r>
        <w:rPr>
          <w:lang w:val="en-US"/>
        </w:rPr>
        <w:t xml:space="preserve">ias of </w:t>
      </w:r>
      <w:r>
        <w:rPr>
          <w:lang w:val="en-US" w:eastAsia="zh-CN"/>
        </w:rPr>
        <w:t>m</w:t>
      </w:r>
      <w:r>
        <w:rPr>
          <w:lang w:val="en-US"/>
        </w:rPr>
        <w:t xml:space="preserve">andatory </w:t>
      </w:r>
      <w:r>
        <w:rPr>
          <w:lang w:val="en-US" w:eastAsia="zh-CN"/>
        </w:rPr>
        <w:t>e</w:t>
      </w:r>
      <w:r>
        <w:rPr>
          <w:lang w:val="en-US"/>
        </w:rPr>
        <w:t xml:space="preserve">arnings </w:t>
      </w:r>
      <w:r>
        <w:rPr>
          <w:lang w:val="en-US" w:eastAsia="zh-CN"/>
        </w:rPr>
        <w:t>f</w:t>
      </w:r>
      <w:r>
        <w:rPr>
          <w:lang w:val="en-US"/>
        </w:rPr>
        <w:t xml:space="preserve">orecast: Evidence from Taiwan. </w:t>
      </w:r>
      <w:r>
        <w:rPr>
          <w:i/>
          <w:lang w:val="en-US"/>
        </w:rPr>
        <w:t>Journal of International Accounting Research</w:t>
      </w:r>
      <w:r>
        <w:rPr>
          <w:lang w:val="en-US"/>
        </w:rPr>
        <w:t xml:space="preserve"> 5</w:t>
      </w:r>
      <w:r w:rsidR="00E92ABE">
        <w:rPr>
          <w:rFonts w:hint="eastAsia"/>
          <w:lang w:val="en-US" w:eastAsia="zh-CN"/>
        </w:rPr>
        <w:t xml:space="preserve">, no. </w:t>
      </w:r>
      <w:r>
        <w:rPr>
          <w:lang w:val="en-US"/>
        </w:rPr>
        <w:t>2:</w:t>
      </w:r>
      <w:r w:rsidR="00E92ABE">
        <w:rPr>
          <w:rFonts w:hint="eastAsia"/>
          <w:lang w:val="en-US" w:eastAsia="zh-CN"/>
        </w:rPr>
        <w:t xml:space="preserve"> </w:t>
      </w:r>
      <w:r>
        <w:rPr>
          <w:lang w:val="en-US"/>
        </w:rPr>
        <w:t>41-62.</w:t>
      </w:r>
    </w:p>
    <w:p w:rsidR="00887848" w:rsidRDefault="00887848">
      <w:pPr>
        <w:ind w:left="720" w:hanging="720"/>
        <w:jc w:val="both"/>
        <w:rPr>
          <w:lang w:val="en-US" w:eastAsia="zh-CN"/>
        </w:rPr>
      </w:pPr>
      <w:r>
        <w:rPr>
          <w:lang w:val="en-US" w:eastAsia="zh-CN"/>
        </w:rPr>
        <w:t xml:space="preserve">Chordia, T., R. Roll, and A. Subrahmanyam. 2002. Order imbalance, liquidity, and market returns. </w:t>
      </w:r>
      <w:r>
        <w:rPr>
          <w:i/>
          <w:lang w:val="en-US" w:eastAsia="zh-CN"/>
        </w:rPr>
        <w:t>Journal of Financial Economics</w:t>
      </w:r>
      <w:r>
        <w:rPr>
          <w:lang w:val="en-US" w:eastAsia="zh-CN"/>
        </w:rPr>
        <w:t xml:space="preserve"> 65:</w:t>
      </w:r>
      <w:r w:rsidR="00E92ABE">
        <w:rPr>
          <w:rFonts w:hint="eastAsia"/>
          <w:lang w:val="en-US" w:eastAsia="zh-CN"/>
        </w:rPr>
        <w:t xml:space="preserve"> </w:t>
      </w:r>
      <w:r>
        <w:rPr>
          <w:lang w:val="en-US" w:eastAsia="zh-CN"/>
        </w:rPr>
        <w:t>111-130.</w:t>
      </w:r>
    </w:p>
    <w:p w:rsidR="00887848" w:rsidRDefault="00887848">
      <w:pPr>
        <w:ind w:left="720" w:hanging="720"/>
        <w:jc w:val="both"/>
        <w:rPr>
          <w:lang w:val="en-US"/>
        </w:rPr>
      </w:pPr>
      <w:r>
        <w:rPr>
          <w:lang w:val="en-US"/>
        </w:rPr>
        <w:t xml:space="preserve">Claessens, S., and J. Fan. 2002. Corporate </w:t>
      </w:r>
      <w:r>
        <w:rPr>
          <w:lang w:val="en-US" w:eastAsia="zh-CN"/>
        </w:rPr>
        <w:t>g</w:t>
      </w:r>
      <w:r>
        <w:rPr>
          <w:lang w:val="en-US"/>
        </w:rPr>
        <w:t xml:space="preserve">overnance in Asia: A survey. </w:t>
      </w:r>
      <w:r>
        <w:rPr>
          <w:i/>
          <w:lang w:val="en-US"/>
        </w:rPr>
        <w:t>International Review of Finance</w:t>
      </w:r>
      <w:r>
        <w:rPr>
          <w:lang w:val="en-US"/>
        </w:rPr>
        <w:t xml:space="preserve"> 3</w:t>
      </w:r>
      <w:r w:rsidR="00E92ABE">
        <w:rPr>
          <w:rFonts w:hint="eastAsia"/>
          <w:lang w:val="en-US" w:eastAsia="zh-CN"/>
        </w:rPr>
        <w:t xml:space="preserve">, no. </w:t>
      </w:r>
      <w:r>
        <w:rPr>
          <w:lang w:val="en-US"/>
        </w:rPr>
        <w:t>2: 71–103.</w:t>
      </w:r>
    </w:p>
    <w:p w:rsidR="00887848" w:rsidRDefault="00887848">
      <w:pPr>
        <w:ind w:left="720" w:hanging="720"/>
        <w:jc w:val="both"/>
      </w:pPr>
      <w:r>
        <w:t>Claessens, S., S. Djankov, J. Fan, and L. Lang</w:t>
      </w:r>
      <w:r>
        <w:rPr>
          <w:lang w:eastAsia="zh-CN"/>
        </w:rPr>
        <w:t>.</w:t>
      </w:r>
      <w:r>
        <w:t xml:space="preserve"> 2002. Disentangling the </w:t>
      </w:r>
      <w:r>
        <w:rPr>
          <w:lang w:eastAsia="zh-CN"/>
        </w:rPr>
        <w:t>i</w:t>
      </w:r>
      <w:r>
        <w:t xml:space="preserve">ncentive and </w:t>
      </w:r>
      <w:r>
        <w:rPr>
          <w:lang w:eastAsia="zh-CN"/>
        </w:rPr>
        <w:t>e</w:t>
      </w:r>
      <w:r>
        <w:t xml:space="preserve">ntrenchment </w:t>
      </w:r>
      <w:r>
        <w:rPr>
          <w:lang w:eastAsia="zh-CN"/>
        </w:rPr>
        <w:t>e</w:t>
      </w:r>
      <w:r>
        <w:t xml:space="preserve">ffects of </w:t>
      </w:r>
      <w:r>
        <w:rPr>
          <w:lang w:eastAsia="zh-CN"/>
        </w:rPr>
        <w:t>l</w:t>
      </w:r>
      <w:r>
        <w:t xml:space="preserve">arge </w:t>
      </w:r>
      <w:r>
        <w:rPr>
          <w:lang w:eastAsia="zh-CN"/>
        </w:rPr>
        <w:t>s</w:t>
      </w:r>
      <w:r>
        <w:t xml:space="preserve">hareholdings. </w:t>
      </w:r>
      <w:r>
        <w:rPr>
          <w:i/>
        </w:rPr>
        <w:t>The Journal of Finance</w:t>
      </w:r>
      <w:r>
        <w:t xml:space="preserve"> 57</w:t>
      </w:r>
      <w:r w:rsidR="00E92ABE">
        <w:rPr>
          <w:rFonts w:hint="eastAsia"/>
          <w:lang w:eastAsia="zh-CN"/>
        </w:rPr>
        <w:t xml:space="preserve">, no. </w:t>
      </w:r>
      <w:r>
        <w:t>6: 2741–2771.</w:t>
      </w:r>
    </w:p>
    <w:p w:rsidR="00887848" w:rsidRDefault="00887848">
      <w:pPr>
        <w:ind w:left="720" w:hanging="720"/>
        <w:jc w:val="both"/>
        <w:rPr>
          <w:lang w:val="en-US" w:eastAsia="zh-CN"/>
        </w:rPr>
      </w:pPr>
      <w:r>
        <w:rPr>
          <w:lang w:val="en-US"/>
        </w:rPr>
        <w:t xml:space="preserve">Claessens, S., S. Djankov, and L. Lang. 2000. The </w:t>
      </w:r>
      <w:r>
        <w:rPr>
          <w:lang w:val="en-US" w:eastAsia="zh-CN"/>
        </w:rPr>
        <w:t>s</w:t>
      </w:r>
      <w:r>
        <w:rPr>
          <w:lang w:val="en-US"/>
        </w:rPr>
        <w:t xml:space="preserve">eparation of </w:t>
      </w:r>
      <w:r>
        <w:rPr>
          <w:lang w:val="en-US" w:eastAsia="zh-CN"/>
        </w:rPr>
        <w:t>o</w:t>
      </w:r>
      <w:r>
        <w:rPr>
          <w:lang w:val="en-US"/>
        </w:rPr>
        <w:t xml:space="preserve">wnership and </w:t>
      </w:r>
      <w:r>
        <w:rPr>
          <w:lang w:val="en-US" w:eastAsia="zh-CN"/>
        </w:rPr>
        <w:t>c</w:t>
      </w:r>
      <w:r>
        <w:rPr>
          <w:lang w:val="en-US"/>
        </w:rPr>
        <w:t xml:space="preserve">ontrol in East Asian </w:t>
      </w:r>
      <w:r>
        <w:rPr>
          <w:lang w:val="en-US" w:eastAsia="zh-CN"/>
        </w:rPr>
        <w:t>c</w:t>
      </w:r>
      <w:r>
        <w:rPr>
          <w:lang w:val="en-US"/>
        </w:rPr>
        <w:t xml:space="preserve">orporations. </w:t>
      </w:r>
      <w:r>
        <w:rPr>
          <w:i/>
          <w:lang w:val="en-US"/>
        </w:rPr>
        <w:t>Journal of Financial Economics</w:t>
      </w:r>
      <w:r>
        <w:rPr>
          <w:lang w:val="en-US"/>
        </w:rPr>
        <w:t xml:space="preserve"> 58</w:t>
      </w:r>
      <w:r w:rsidR="00E92ABE">
        <w:rPr>
          <w:rFonts w:hint="eastAsia"/>
          <w:lang w:val="en-US" w:eastAsia="zh-CN"/>
        </w:rPr>
        <w:t xml:space="preserve">, no. </w:t>
      </w:r>
      <w:r>
        <w:rPr>
          <w:lang w:val="en-US"/>
        </w:rPr>
        <w:t>1/2:</w:t>
      </w:r>
      <w:r w:rsidR="00E92ABE">
        <w:rPr>
          <w:rFonts w:hint="eastAsia"/>
          <w:lang w:val="en-US" w:eastAsia="zh-CN"/>
        </w:rPr>
        <w:t xml:space="preserve"> </w:t>
      </w:r>
      <w:r>
        <w:rPr>
          <w:lang w:val="en-US"/>
        </w:rPr>
        <w:t xml:space="preserve">81-112. </w:t>
      </w:r>
    </w:p>
    <w:p w:rsidR="00887848" w:rsidRDefault="00887848">
      <w:pPr>
        <w:ind w:left="720" w:hanging="720"/>
        <w:jc w:val="both"/>
        <w:rPr>
          <w:lang w:val="en-US" w:eastAsia="zh-CN"/>
        </w:rPr>
      </w:pPr>
      <w:r>
        <w:rPr>
          <w:lang w:val="en-US" w:eastAsia="zh-CN"/>
        </w:rPr>
        <w:t xml:space="preserve">Comerton-Forde, C., and J. Rydge. 2006. The current state of Asia-Pacific stock exchanges: A critical review of market design. </w:t>
      </w:r>
      <w:r>
        <w:rPr>
          <w:i/>
          <w:lang w:val="en-US" w:eastAsia="zh-CN"/>
        </w:rPr>
        <w:t>Pacific-Basin Finance Journal</w:t>
      </w:r>
      <w:r>
        <w:rPr>
          <w:lang w:val="en-US" w:eastAsia="zh-CN"/>
        </w:rPr>
        <w:t xml:space="preserve"> 14</w:t>
      </w:r>
      <w:r w:rsidR="00E92ABE">
        <w:rPr>
          <w:rFonts w:hint="eastAsia"/>
          <w:lang w:val="en-US" w:eastAsia="zh-CN"/>
        </w:rPr>
        <w:t xml:space="preserve">, no. </w:t>
      </w:r>
      <w:r>
        <w:rPr>
          <w:lang w:val="en-US" w:eastAsia="zh-CN"/>
        </w:rPr>
        <w:t>1:</w:t>
      </w:r>
      <w:r w:rsidR="00E92ABE">
        <w:rPr>
          <w:rFonts w:hint="eastAsia"/>
          <w:lang w:val="en-US" w:eastAsia="zh-CN"/>
        </w:rPr>
        <w:t xml:space="preserve"> </w:t>
      </w:r>
      <w:r>
        <w:rPr>
          <w:lang w:val="en-US" w:eastAsia="zh-CN"/>
        </w:rPr>
        <w:t>1-32.</w:t>
      </w:r>
    </w:p>
    <w:p w:rsidR="00887848" w:rsidRDefault="00887848">
      <w:pPr>
        <w:ind w:left="720" w:hanging="720"/>
        <w:jc w:val="both"/>
        <w:rPr>
          <w:lang w:eastAsia="zh-CN"/>
        </w:rPr>
      </w:pPr>
      <w:r>
        <w:t>DeLong, B</w:t>
      </w:r>
      <w:r>
        <w:rPr>
          <w:lang w:eastAsia="zh-CN"/>
        </w:rPr>
        <w:t>.</w:t>
      </w:r>
      <w:r>
        <w:t>, A. Shleifer</w:t>
      </w:r>
      <w:r>
        <w:rPr>
          <w:lang w:eastAsia="zh-CN"/>
        </w:rPr>
        <w:t>,</w:t>
      </w:r>
      <w:r>
        <w:t xml:space="preserve"> L. Summers</w:t>
      </w:r>
      <w:r>
        <w:rPr>
          <w:lang w:eastAsia="zh-CN"/>
        </w:rPr>
        <w:t>, and</w:t>
      </w:r>
      <w:r>
        <w:t xml:space="preserve"> R. Waldmann. 1990. Noise </w:t>
      </w:r>
      <w:r>
        <w:rPr>
          <w:lang w:eastAsia="zh-CN"/>
        </w:rPr>
        <w:t>t</w:t>
      </w:r>
      <w:r>
        <w:t xml:space="preserve">rader </w:t>
      </w:r>
      <w:r>
        <w:rPr>
          <w:lang w:eastAsia="zh-CN"/>
        </w:rPr>
        <w:t>r</w:t>
      </w:r>
      <w:r>
        <w:t xml:space="preserve">isk in </w:t>
      </w:r>
      <w:r>
        <w:rPr>
          <w:lang w:eastAsia="zh-CN"/>
        </w:rPr>
        <w:t>f</w:t>
      </w:r>
      <w:r>
        <w:t xml:space="preserve">inancial </w:t>
      </w:r>
      <w:r>
        <w:rPr>
          <w:lang w:eastAsia="zh-CN"/>
        </w:rPr>
        <w:t>m</w:t>
      </w:r>
      <w:r>
        <w:t xml:space="preserve">arkets. </w:t>
      </w:r>
      <w:r>
        <w:rPr>
          <w:i/>
        </w:rPr>
        <w:t>The Journal of Political Economy</w:t>
      </w:r>
      <w:r>
        <w:t xml:space="preserve"> 98</w:t>
      </w:r>
      <w:r w:rsidR="00E92ABE">
        <w:rPr>
          <w:rFonts w:hint="eastAsia"/>
          <w:lang w:eastAsia="zh-CN"/>
        </w:rPr>
        <w:t xml:space="preserve">, no. </w:t>
      </w:r>
      <w:r>
        <w:t>4:</w:t>
      </w:r>
      <w:r w:rsidR="00E92ABE">
        <w:rPr>
          <w:rFonts w:hint="eastAsia"/>
          <w:lang w:eastAsia="zh-CN"/>
        </w:rPr>
        <w:t xml:space="preserve"> </w:t>
      </w:r>
      <w:r>
        <w:t>703-738.</w:t>
      </w:r>
    </w:p>
    <w:p w:rsidR="00887848" w:rsidRDefault="00887848">
      <w:pPr>
        <w:ind w:left="720" w:hanging="720"/>
        <w:jc w:val="both"/>
        <w:rPr>
          <w:lang w:val="en-US" w:eastAsia="zh-CN"/>
        </w:rPr>
      </w:pPr>
      <w:r>
        <w:rPr>
          <w:lang w:val="en-US" w:eastAsia="zh-CN"/>
        </w:rPr>
        <w:t xml:space="preserve">Demsetz. H., and K. Lehn. 1985. The structure of corporate ownership: causes and consequences. </w:t>
      </w:r>
      <w:r>
        <w:rPr>
          <w:i/>
          <w:lang w:val="en-US" w:eastAsia="zh-CN"/>
        </w:rPr>
        <w:t>Journal of Political Economy</w:t>
      </w:r>
      <w:r>
        <w:rPr>
          <w:lang w:val="en-US" w:eastAsia="zh-CN"/>
        </w:rPr>
        <w:t xml:space="preserve"> 93:1155-1177.</w:t>
      </w:r>
    </w:p>
    <w:p w:rsidR="00887848" w:rsidRDefault="00887848">
      <w:pPr>
        <w:ind w:left="720" w:hanging="720"/>
        <w:jc w:val="both"/>
        <w:rPr>
          <w:lang w:val="en-US" w:eastAsia="zh-CN"/>
        </w:rPr>
      </w:pPr>
      <w:r>
        <w:rPr>
          <w:lang w:val="en-US" w:eastAsia="zh-CN"/>
        </w:rPr>
        <w:t>Diether, K. B., K. Lee, and I. M. Werner</w:t>
      </w:r>
      <w:r w:rsidR="00E92ABE">
        <w:rPr>
          <w:rFonts w:hint="eastAsia"/>
          <w:lang w:val="en-US" w:eastAsia="zh-CN"/>
        </w:rPr>
        <w:t xml:space="preserve">. </w:t>
      </w:r>
      <w:r>
        <w:rPr>
          <w:lang w:val="en-US" w:eastAsia="zh-CN"/>
        </w:rPr>
        <w:t>2009</w:t>
      </w:r>
      <w:r w:rsidR="00E92ABE">
        <w:rPr>
          <w:rFonts w:hint="eastAsia"/>
          <w:lang w:val="en-US" w:eastAsia="zh-CN"/>
        </w:rPr>
        <w:t>.</w:t>
      </w:r>
      <w:r>
        <w:rPr>
          <w:lang w:val="en-US" w:eastAsia="zh-CN"/>
        </w:rPr>
        <w:t xml:space="preserve"> Short-sale strategies and return predictability, </w:t>
      </w:r>
      <w:r>
        <w:rPr>
          <w:i/>
          <w:lang w:val="en-US" w:eastAsia="zh-CN"/>
        </w:rPr>
        <w:t>Review of Financial Studies</w:t>
      </w:r>
      <w:r>
        <w:rPr>
          <w:lang w:val="en-US" w:eastAsia="zh-CN"/>
        </w:rPr>
        <w:t xml:space="preserve"> 22</w:t>
      </w:r>
      <w:r w:rsidR="00E92ABE">
        <w:rPr>
          <w:rFonts w:hint="eastAsia"/>
          <w:lang w:val="en-US" w:eastAsia="zh-CN"/>
        </w:rPr>
        <w:t>:</w:t>
      </w:r>
      <w:r>
        <w:rPr>
          <w:lang w:val="en-US" w:eastAsia="zh-CN"/>
        </w:rPr>
        <w:t xml:space="preserve"> 575-607.</w:t>
      </w:r>
    </w:p>
    <w:p w:rsidR="00887848" w:rsidRDefault="00887848">
      <w:pPr>
        <w:ind w:left="720" w:hanging="720"/>
        <w:jc w:val="both"/>
        <w:rPr>
          <w:lang w:eastAsia="zh-CN"/>
        </w:rPr>
      </w:pPr>
      <w:r>
        <w:rPr>
          <w:lang w:val="en-US" w:eastAsia="zh-CN"/>
        </w:rPr>
        <w:t xml:space="preserve">Duarte, J., and L. Young. 2009, Why is PIN priced? </w:t>
      </w:r>
      <w:r>
        <w:rPr>
          <w:i/>
          <w:lang w:val="en-US" w:eastAsia="zh-CN"/>
        </w:rPr>
        <w:t>Journal of Financial Economics</w:t>
      </w:r>
      <w:r>
        <w:rPr>
          <w:lang w:val="en-US" w:eastAsia="zh-CN"/>
        </w:rPr>
        <w:t xml:space="preserve"> 91</w:t>
      </w:r>
      <w:r w:rsidR="00E92ABE">
        <w:rPr>
          <w:rFonts w:hint="eastAsia"/>
          <w:lang w:val="en-US" w:eastAsia="zh-CN"/>
        </w:rPr>
        <w:t>:</w:t>
      </w:r>
      <w:r>
        <w:rPr>
          <w:lang w:val="en-US" w:eastAsia="zh-CN"/>
        </w:rPr>
        <w:t xml:space="preserve"> 119-138.</w:t>
      </w:r>
    </w:p>
    <w:p w:rsidR="00887848" w:rsidRDefault="00887848">
      <w:pPr>
        <w:ind w:left="720" w:hanging="720"/>
        <w:jc w:val="both"/>
        <w:rPr>
          <w:lang w:eastAsia="zh-CN"/>
        </w:rPr>
      </w:pPr>
      <w:r>
        <w:t>Easley, D</w:t>
      </w:r>
      <w:r>
        <w:rPr>
          <w:lang w:eastAsia="zh-CN"/>
        </w:rPr>
        <w:t xml:space="preserve">., S. </w:t>
      </w:r>
      <w:r>
        <w:t>Hvidkjaer</w:t>
      </w:r>
      <w:r>
        <w:rPr>
          <w:lang w:eastAsia="zh-CN"/>
        </w:rPr>
        <w:t xml:space="preserve">, and M. </w:t>
      </w:r>
      <w:r>
        <w:t>O'Hara.</w:t>
      </w:r>
      <w:r w:rsidR="00DA5EE1">
        <w:rPr>
          <w:rFonts w:hint="eastAsia"/>
          <w:lang w:eastAsia="zh-CN"/>
        </w:rPr>
        <w:t xml:space="preserve"> 2002.</w:t>
      </w:r>
      <w:r>
        <w:t xml:space="preserve"> Is </w:t>
      </w:r>
      <w:r>
        <w:rPr>
          <w:lang w:eastAsia="zh-CN"/>
        </w:rPr>
        <w:t>i</w:t>
      </w:r>
      <w:r>
        <w:t xml:space="preserve">nformation </w:t>
      </w:r>
      <w:r>
        <w:rPr>
          <w:lang w:eastAsia="zh-CN"/>
        </w:rPr>
        <w:t>r</w:t>
      </w:r>
      <w:r>
        <w:t xml:space="preserve">isk a </w:t>
      </w:r>
      <w:r>
        <w:rPr>
          <w:lang w:eastAsia="zh-CN"/>
        </w:rPr>
        <w:t>d</w:t>
      </w:r>
      <w:r>
        <w:t xml:space="preserve">eterminant of </w:t>
      </w:r>
      <w:r>
        <w:rPr>
          <w:lang w:eastAsia="zh-CN"/>
        </w:rPr>
        <w:t>a</w:t>
      </w:r>
      <w:r>
        <w:t xml:space="preserve">sset </w:t>
      </w:r>
      <w:r>
        <w:rPr>
          <w:lang w:eastAsia="zh-CN"/>
        </w:rPr>
        <w:t>r</w:t>
      </w:r>
      <w:r>
        <w:t xml:space="preserve">eturns? </w:t>
      </w:r>
      <w:r>
        <w:rPr>
          <w:i/>
        </w:rPr>
        <w:t>The Journal of Finance</w:t>
      </w:r>
      <w:r>
        <w:t xml:space="preserve"> 57:</w:t>
      </w:r>
      <w:r w:rsidR="0007504D">
        <w:rPr>
          <w:rFonts w:hint="eastAsia"/>
          <w:lang w:eastAsia="zh-CN"/>
        </w:rPr>
        <w:t xml:space="preserve"> </w:t>
      </w:r>
      <w:r>
        <w:t>2185-2221.</w:t>
      </w:r>
    </w:p>
    <w:p w:rsidR="006C5F98" w:rsidRDefault="006C5F98" w:rsidP="006C5F98">
      <w:pPr>
        <w:ind w:left="720" w:hanging="720"/>
        <w:jc w:val="both"/>
      </w:pPr>
      <w:r>
        <w:t>Easley, D., N. Kiefer</w:t>
      </w:r>
      <w:r>
        <w:rPr>
          <w:lang w:eastAsia="zh-CN"/>
        </w:rPr>
        <w:t>, and M.</w:t>
      </w:r>
      <w:r>
        <w:t xml:space="preserve"> O'Hara. 1997a. The </w:t>
      </w:r>
      <w:r>
        <w:rPr>
          <w:lang w:eastAsia="zh-CN"/>
        </w:rPr>
        <w:t>i</w:t>
      </w:r>
      <w:r>
        <w:t xml:space="preserve">nformation </w:t>
      </w:r>
      <w:r>
        <w:rPr>
          <w:lang w:eastAsia="zh-CN"/>
        </w:rPr>
        <w:t>c</w:t>
      </w:r>
      <w:r>
        <w:t xml:space="preserve">ontent of the </w:t>
      </w:r>
      <w:r>
        <w:rPr>
          <w:lang w:eastAsia="zh-CN"/>
        </w:rPr>
        <w:t>t</w:t>
      </w:r>
      <w:r>
        <w:t xml:space="preserve">rading </w:t>
      </w:r>
      <w:r>
        <w:rPr>
          <w:lang w:eastAsia="zh-CN"/>
        </w:rPr>
        <w:t>p</w:t>
      </w:r>
      <w:r>
        <w:t xml:space="preserve">rocess. </w:t>
      </w:r>
      <w:r>
        <w:rPr>
          <w:i/>
        </w:rPr>
        <w:t>Journal of Empirical Finance</w:t>
      </w:r>
      <w:r>
        <w:t xml:space="preserve"> 4:</w:t>
      </w:r>
      <w:r>
        <w:rPr>
          <w:rFonts w:hint="eastAsia"/>
          <w:lang w:eastAsia="zh-CN"/>
        </w:rPr>
        <w:t xml:space="preserve"> </w:t>
      </w:r>
      <w:r>
        <w:t>159-186.</w:t>
      </w:r>
    </w:p>
    <w:p w:rsidR="006C5F98" w:rsidRDefault="006C5F98" w:rsidP="006C5F98">
      <w:pPr>
        <w:ind w:left="720" w:hanging="720"/>
        <w:jc w:val="both"/>
      </w:pPr>
      <w:r>
        <w:t>Easley, D</w:t>
      </w:r>
      <w:r>
        <w:rPr>
          <w:lang w:eastAsia="zh-CN"/>
        </w:rPr>
        <w:t>.</w:t>
      </w:r>
      <w:r>
        <w:t>, N. Kiefer</w:t>
      </w:r>
      <w:r>
        <w:rPr>
          <w:lang w:eastAsia="zh-CN"/>
        </w:rPr>
        <w:t>,</w:t>
      </w:r>
      <w:r>
        <w:t xml:space="preserve"> and M. O'Hara. 1997b. One </w:t>
      </w:r>
      <w:r>
        <w:rPr>
          <w:lang w:eastAsia="zh-CN"/>
        </w:rPr>
        <w:t>d</w:t>
      </w:r>
      <w:r>
        <w:t xml:space="preserve">ay in the </w:t>
      </w:r>
      <w:r>
        <w:rPr>
          <w:lang w:eastAsia="zh-CN"/>
        </w:rPr>
        <w:t>l</w:t>
      </w:r>
      <w:r>
        <w:t xml:space="preserve">ife of a </w:t>
      </w:r>
      <w:r>
        <w:rPr>
          <w:lang w:eastAsia="zh-CN"/>
        </w:rPr>
        <w:t>v</w:t>
      </w:r>
      <w:r>
        <w:t xml:space="preserve">ery </w:t>
      </w:r>
      <w:r>
        <w:rPr>
          <w:lang w:eastAsia="zh-CN"/>
        </w:rPr>
        <w:t>c</w:t>
      </w:r>
      <w:r>
        <w:t xml:space="preserve">ommon </w:t>
      </w:r>
      <w:r>
        <w:rPr>
          <w:lang w:eastAsia="zh-CN"/>
        </w:rPr>
        <w:t>s</w:t>
      </w:r>
      <w:r>
        <w:t xml:space="preserve">tock. </w:t>
      </w:r>
      <w:r>
        <w:rPr>
          <w:i/>
        </w:rPr>
        <w:t>The Review of Financial Studies</w:t>
      </w:r>
      <w:r>
        <w:t xml:space="preserve"> 10</w:t>
      </w:r>
      <w:r>
        <w:rPr>
          <w:rFonts w:hint="eastAsia"/>
          <w:lang w:eastAsia="zh-CN"/>
        </w:rPr>
        <w:t xml:space="preserve">, no. </w:t>
      </w:r>
      <w:r>
        <w:t>3:</w:t>
      </w:r>
      <w:r>
        <w:rPr>
          <w:rFonts w:hint="eastAsia"/>
          <w:lang w:eastAsia="zh-CN"/>
        </w:rPr>
        <w:t xml:space="preserve"> </w:t>
      </w:r>
      <w:r>
        <w:t>805-835.</w:t>
      </w:r>
    </w:p>
    <w:p w:rsidR="006C5F98" w:rsidRDefault="006C5F98" w:rsidP="006C5F98">
      <w:pPr>
        <w:ind w:left="720" w:hanging="720"/>
        <w:jc w:val="both"/>
        <w:rPr>
          <w:lang w:eastAsia="zh-CN"/>
        </w:rPr>
      </w:pPr>
      <w:r>
        <w:lastRenderedPageBreak/>
        <w:t>Easley, D</w:t>
      </w:r>
      <w:r>
        <w:rPr>
          <w:lang w:eastAsia="zh-CN"/>
        </w:rPr>
        <w:t xml:space="preserve">., and M. </w:t>
      </w:r>
      <w:r>
        <w:t xml:space="preserve">O'Hara. 2004. Information and the </w:t>
      </w:r>
      <w:r>
        <w:rPr>
          <w:lang w:eastAsia="zh-CN"/>
        </w:rPr>
        <w:t>c</w:t>
      </w:r>
      <w:r>
        <w:t xml:space="preserve">ost of </w:t>
      </w:r>
      <w:r>
        <w:rPr>
          <w:lang w:eastAsia="zh-CN"/>
        </w:rPr>
        <w:t>c</w:t>
      </w:r>
      <w:r>
        <w:t xml:space="preserve">apital. </w:t>
      </w:r>
      <w:r>
        <w:rPr>
          <w:i/>
        </w:rPr>
        <w:t>The Journal of Finance</w:t>
      </w:r>
      <w:r>
        <w:rPr>
          <w:b/>
          <w:i/>
        </w:rPr>
        <w:t xml:space="preserve"> </w:t>
      </w:r>
      <w:r>
        <w:t>59</w:t>
      </w:r>
      <w:r>
        <w:rPr>
          <w:rFonts w:hint="eastAsia"/>
          <w:lang w:eastAsia="zh-CN"/>
        </w:rPr>
        <w:t xml:space="preserve">, no. </w:t>
      </w:r>
      <w:r>
        <w:t>4:</w:t>
      </w:r>
      <w:r>
        <w:rPr>
          <w:rFonts w:hint="eastAsia"/>
          <w:lang w:eastAsia="zh-CN"/>
        </w:rPr>
        <w:t xml:space="preserve"> </w:t>
      </w:r>
      <w:r>
        <w:t>1553-1583.</w:t>
      </w:r>
    </w:p>
    <w:p w:rsidR="00887848" w:rsidRDefault="00887848">
      <w:pPr>
        <w:ind w:left="720" w:hanging="720"/>
        <w:jc w:val="both"/>
        <w:rPr>
          <w:lang w:eastAsia="zh-CN"/>
        </w:rPr>
      </w:pPr>
      <w:r>
        <w:rPr>
          <w:lang w:eastAsia="zh-CN"/>
        </w:rPr>
        <w:t xml:space="preserve">Easley, D., M. O'Hara, and J. Paperman. 1998. Financial analysts and information-based trade. </w:t>
      </w:r>
      <w:r>
        <w:rPr>
          <w:i/>
          <w:lang w:eastAsia="zh-CN"/>
        </w:rPr>
        <w:t>Journal of Financial Markets</w:t>
      </w:r>
      <w:r>
        <w:rPr>
          <w:lang w:eastAsia="zh-CN"/>
        </w:rPr>
        <w:t xml:space="preserve"> 1</w:t>
      </w:r>
      <w:r w:rsidR="0007504D">
        <w:rPr>
          <w:rFonts w:hint="eastAsia"/>
          <w:lang w:eastAsia="zh-CN"/>
        </w:rPr>
        <w:t xml:space="preserve">, no. </w:t>
      </w:r>
      <w:r>
        <w:rPr>
          <w:lang w:eastAsia="zh-CN"/>
        </w:rPr>
        <w:t>2:175-201</w:t>
      </w:r>
    </w:p>
    <w:p w:rsidR="00887848" w:rsidRDefault="00887848">
      <w:pPr>
        <w:ind w:left="720" w:hanging="720"/>
        <w:jc w:val="both"/>
        <w:rPr>
          <w:lang w:val="en-US"/>
        </w:rPr>
      </w:pPr>
      <w:r>
        <w:rPr>
          <w:lang w:val="en-US"/>
        </w:rPr>
        <w:t xml:space="preserve">Edmans, A. 2010. Block-holder </w:t>
      </w:r>
      <w:r>
        <w:rPr>
          <w:lang w:val="en-US" w:eastAsia="zh-CN"/>
        </w:rPr>
        <w:t>t</w:t>
      </w:r>
      <w:r>
        <w:rPr>
          <w:lang w:val="en-US"/>
        </w:rPr>
        <w:t xml:space="preserve">rading, </w:t>
      </w:r>
      <w:r>
        <w:rPr>
          <w:lang w:val="en-US" w:eastAsia="zh-CN"/>
        </w:rPr>
        <w:t>m</w:t>
      </w:r>
      <w:r>
        <w:rPr>
          <w:lang w:val="en-US"/>
        </w:rPr>
        <w:t xml:space="preserve">arket </w:t>
      </w:r>
      <w:r>
        <w:rPr>
          <w:lang w:val="en-US" w:eastAsia="zh-CN"/>
        </w:rPr>
        <w:t>e</w:t>
      </w:r>
      <w:r>
        <w:rPr>
          <w:lang w:val="en-US"/>
        </w:rPr>
        <w:t xml:space="preserve">fficiency, and </w:t>
      </w:r>
      <w:r>
        <w:rPr>
          <w:lang w:val="en-US" w:eastAsia="zh-CN"/>
        </w:rPr>
        <w:t>m</w:t>
      </w:r>
      <w:r>
        <w:rPr>
          <w:lang w:val="en-US"/>
        </w:rPr>
        <w:t xml:space="preserve">anagerial </w:t>
      </w:r>
      <w:r>
        <w:rPr>
          <w:lang w:val="en-US" w:eastAsia="zh-CN"/>
        </w:rPr>
        <w:t>m</w:t>
      </w:r>
      <w:r>
        <w:rPr>
          <w:lang w:val="en-US"/>
        </w:rPr>
        <w:t xml:space="preserve">yopia. </w:t>
      </w:r>
      <w:r>
        <w:rPr>
          <w:i/>
          <w:lang w:val="en-US" w:eastAsia="zh-CN"/>
        </w:rPr>
        <w:t xml:space="preserve">The </w:t>
      </w:r>
      <w:r>
        <w:rPr>
          <w:i/>
          <w:lang w:val="en-US"/>
        </w:rPr>
        <w:t>Journal of Finance</w:t>
      </w:r>
      <w:r>
        <w:rPr>
          <w:lang w:val="en-US"/>
        </w:rPr>
        <w:t xml:space="preserve"> 6</w:t>
      </w:r>
      <w:r w:rsidR="0007504D">
        <w:rPr>
          <w:rFonts w:hint="eastAsia"/>
          <w:lang w:val="en-US" w:eastAsia="zh-CN"/>
        </w:rPr>
        <w:t xml:space="preserve">, no. </w:t>
      </w:r>
      <w:r>
        <w:rPr>
          <w:lang w:val="en-US"/>
        </w:rPr>
        <w:t>6: 2481-2513.</w:t>
      </w:r>
    </w:p>
    <w:p w:rsidR="00887848" w:rsidRDefault="00887848">
      <w:pPr>
        <w:ind w:left="720" w:hanging="720"/>
        <w:jc w:val="both"/>
      </w:pPr>
      <w:r>
        <w:t xml:space="preserve">Faccio, M., L. Lang, </w:t>
      </w:r>
      <w:r>
        <w:rPr>
          <w:lang w:eastAsia="zh-CN"/>
        </w:rPr>
        <w:t xml:space="preserve">and </w:t>
      </w:r>
      <w:r>
        <w:t xml:space="preserve">L. Young. 2001. Dividends and </w:t>
      </w:r>
      <w:r>
        <w:rPr>
          <w:lang w:eastAsia="zh-CN"/>
        </w:rPr>
        <w:t>e</w:t>
      </w:r>
      <w:r>
        <w:t xml:space="preserve">xpropriation. </w:t>
      </w:r>
      <w:r>
        <w:rPr>
          <w:i/>
        </w:rPr>
        <w:t>American Economic Review</w:t>
      </w:r>
      <w:r>
        <w:t xml:space="preserve"> 91</w:t>
      </w:r>
      <w:r w:rsidR="0007504D">
        <w:rPr>
          <w:rFonts w:hint="eastAsia"/>
          <w:lang w:eastAsia="zh-CN"/>
        </w:rPr>
        <w:t xml:space="preserve">, no. </w:t>
      </w:r>
      <w:r>
        <w:t>1:</w:t>
      </w:r>
      <w:r w:rsidR="0007504D">
        <w:rPr>
          <w:rFonts w:hint="eastAsia"/>
          <w:lang w:eastAsia="zh-CN"/>
        </w:rPr>
        <w:t xml:space="preserve"> </w:t>
      </w:r>
      <w:r>
        <w:t>24.</w:t>
      </w:r>
    </w:p>
    <w:p w:rsidR="00887848" w:rsidRDefault="00887848">
      <w:pPr>
        <w:ind w:left="720" w:hanging="720"/>
        <w:jc w:val="both"/>
        <w:rPr>
          <w:lang w:val="en-US" w:eastAsia="zh-CN"/>
        </w:rPr>
      </w:pPr>
      <w:r>
        <w:rPr>
          <w:lang w:val="en-US" w:eastAsia="zh-CN"/>
        </w:rPr>
        <w:t xml:space="preserve">Fama, E., and K. French. 2000. Forecasting profitability and earnings. </w:t>
      </w:r>
      <w:r>
        <w:rPr>
          <w:i/>
          <w:lang w:val="en-US" w:eastAsia="zh-CN"/>
        </w:rPr>
        <w:t>Journal of Business</w:t>
      </w:r>
      <w:r>
        <w:rPr>
          <w:lang w:val="en-US" w:eastAsia="zh-CN"/>
        </w:rPr>
        <w:t xml:space="preserve"> 73</w:t>
      </w:r>
      <w:r w:rsidR="0007504D">
        <w:rPr>
          <w:rFonts w:hint="eastAsia"/>
          <w:lang w:val="en-US" w:eastAsia="zh-CN"/>
        </w:rPr>
        <w:t>:</w:t>
      </w:r>
      <w:r>
        <w:rPr>
          <w:lang w:val="en-US" w:eastAsia="zh-CN"/>
        </w:rPr>
        <w:t xml:space="preserve"> 161–175. </w:t>
      </w:r>
    </w:p>
    <w:p w:rsidR="00887848" w:rsidRDefault="00887848">
      <w:pPr>
        <w:ind w:left="720" w:hanging="720"/>
        <w:jc w:val="both"/>
        <w:rPr>
          <w:lang w:val="en-US" w:eastAsia="zh-CN"/>
        </w:rPr>
      </w:pPr>
      <w:r>
        <w:rPr>
          <w:lang w:eastAsia="zh-CN"/>
        </w:rPr>
        <w:t xml:space="preserve">Fernandes N., and M.A. Ferreira. 2009. Insider trading laws and stock price informativeness. </w:t>
      </w:r>
      <w:r>
        <w:rPr>
          <w:i/>
          <w:lang w:eastAsia="zh-CN"/>
        </w:rPr>
        <w:t>The Review of Financial Studies</w:t>
      </w:r>
      <w:r>
        <w:rPr>
          <w:lang w:eastAsia="zh-CN"/>
        </w:rPr>
        <w:t xml:space="preserve"> 22</w:t>
      </w:r>
      <w:r w:rsidR="0007504D">
        <w:rPr>
          <w:rFonts w:hint="eastAsia"/>
          <w:lang w:eastAsia="zh-CN"/>
        </w:rPr>
        <w:t xml:space="preserve">, no. </w:t>
      </w:r>
      <w:r>
        <w:rPr>
          <w:lang w:eastAsia="zh-CN"/>
        </w:rPr>
        <w:t>5: 1845-1887.</w:t>
      </w:r>
    </w:p>
    <w:p w:rsidR="00887848" w:rsidRDefault="00887848">
      <w:pPr>
        <w:ind w:left="720" w:hanging="720"/>
        <w:jc w:val="both"/>
        <w:rPr>
          <w:lang w:val="en-US" w:eastAsia="zh-CN"/>
        </w:rPr>
      </w:pPr>
      <w:r>
        <w:rPr>
          <w:lang w:eastAsia="zh-CN"/>
        </w:rPr>
        <w:t xml:space="preserve">Filatotchev, I., X. Zhang, and J. Piesse. </w:t>
      </w:r>
      <w:r>
        <w:rPr>
          <w:lang w:val="en-US" w:eastAsia="zh-CN"/>
        </w:rPr>
        <w:t xml:space="preserve">2011. Multiple agency perspective, family control, and private information abuse in an emerging economy. </w:t>
      </w:r>
      <w:r>
        <w:rPr>
          <w:i/>
          <w:lang w:val="en-US" w:eastAsia="zh-CN"/>
        </w:rPr>
        <w:t>Asia Pacific Journal of Management</w:t>
      </w:r>
      <w:r>
        <w:rPr>
          <w:lang w:val="en-US" w:eastAsia="zh-CN"/>
        </w:rPr>
        <w:t xml:space="preserve"> 28</w:t>
      </w:r>
      <w:r w:rsidR="0007504D">
        <w:rPr>
          <w:rFonts w:hint="eastAsia"/>
          <w:lang w:val="en-US" w:eastAsia="zh-CN"/>
        </w:rPr>
        <w:t xml:space="preserve">, no. </w:t>
      </w:r>
      <w:r>
        <w:rPr>
          <w:lang w:val="en-US" w:eastAsia="zh-CN"/>
        </w:rPr>
        <w:t>1: 69-93.</w:t>
      </w:r>
    </w:p>
    <w:p w:rsidR="00887848" w:rsidRDefault="00887848">
      <w:pPr>
        <w:ind w:left="720" w:hanging="720"/>
        <w:jc w:val="both"/>
      </w:pPr>
      <w:r>
        <w:t xml:space="preserve">Hasbrouck, J. 1988. Trades, </w:t>
      </w:r>
      <w:r>
        <w:rPr>
          <w:lang w:eastAsia="zh-CN"/>
        </w:rPr>
        <w:t>q</w:t>
      </w:r>
      <w:r>
        <w:t xml:space="preserve">uotes, </w:t>
      </w:r>
      <w:r>
        <w:rPr>
          <w:lang w:eastAsia="zh-CN"/>
        </w:rPr>
        <w:t>i</w:t>
      </w:r>
      <w:r>
        <w:t xml:space="preserve">nventories, and </w:t>
      </w:r>
      <w:r>
        <w:rPr>
          <w:lang w:eastAsia="zh-CN"/>
        </w:rPr>
        <w:t>i</w:t>
      </w:r>
      <w:r>
        <w:t xml:space="preserve">nformation. </w:t>
      </w:r>
      <w:r>
        <w:rPr>
          <w:i/>
        </w:rPr>
        <w:t>Journal of Financial Economics</w:t>
      </w:r>
      <w:r>
        <w:t xml:space="preserve"> 22</w:t>
      </w:r>
      <w:r w:rsidR="0007504D">
        <w:rPr>
          <w:rFonts w:hint="eastAsia"/>
          <w:lang w:eastAsia="zh-CN"/>
        </w:rPr>
        <w:t xml:space="preserve">, no. </w:t>
      </w:r>
      <w:r>
        <w:t>2:</w:t>
      </w:r>
      <w:r w:rsidR="0007504D">
        <w:rPr>
          <w:rFonts w:hint="eastAsia"/>
          <w:lang w:eastAsia="zh-CN"/>
        </w:rPr>
        <w:t xml:space="preserve"> </w:t>
      </w:r>
      <w:r>
        <w:t>229-252.</w:t>
      </w:r>
    </w:p>
    <w:p w:rsidR="00887848" w:rsidRDefault="00887848">
      <w:pPr>
        <w:ind w:left="720" w:hanging="720"/>
        <w:jc w:val="both"/>
      </w:pPr>
      <w:r>
        <w:t xml:space="preserve">Holderness, C.G., and D.P. Sheehan. 1988. The role of majority shareholders in publicly held corporations. </w:t>
      </w:r>
      <w:r>
        <w:rPr>
          <w:i/>
        </w:rPr>
        <w:t>Journal of Financial Economics</w:t>
      </w:r>
      <w:r>
        <w:t xml:space="preserve"> 20:</w:t>
      </w:r>
      <w:r w:rsidR="0007504D">
        <w:rPr>
          <w:rFonts w:hint="eastAsia"/>
          <w:lang w:eastAsia="zh-CN"/>
        </w:rPr>
        <w:t xml:space="preserve"> </w:t>
      </w:r>
      <w:r>
        <w:t>317–346.</w:t>
      </w:r>
    </w:p>
    <w:p w:rsidR="00887848" w:rsidRDefault="00887848">
      <w:pPr>
        <w:ind w:left="720" w:hanging="720"/>
        <w:jc w:val="both"/>
        <w:rPr>
          <w:lang w:val="en-US" w:eastAsia="zh-CN"/>
        </w:rPr>
      </w:pPr>
      <w:r>
        <w:rPr>
          <w:lang w:val="en-US" w:eastAsia="zh-CN"/>
        </w:rPr>
        <w:t xml:space="preserve">Huddart, S., B. Ke, and C. Shi. 2007. Jeopardy, non-public information, and insider trading around SEC 10-K and 10-Q filings. </w:t>
      </w:r>
      <w:r>
        <w:rPr>
          <w:i/>
          <w:lang w:val="en-US" w:eastAsia="zh-CN"/>
        </w:rPr>
        <w:t>Journal of Accounting and Economics</w:t>
      </w:r>
      <w:r>
        <w:rPr>
          <w:lang w:val="en-US" w:eastAsia="zh-CN"/>
        </w:rPr>
        <w:t xml:space="preserve"> 43: 3-36 </w:t>
      </w:r>
    </w:p>
    <w:p w:rsidR="00887848" w:rsidRDefault="00887848">
      <w:pPr>
        <w:ind w:left="720" w:hanging="720"/>
        <w:jc w:val="both"/>
        <w:rPr>
          <w:lang w:val="en-US" w:eastAsia="zh-CN"/>
        </w:rPr>
      </w:pPr>
      <w:r>
        <w:rPr>
          <w:lang w:val="en-US" w:eastAsia="zh-CN"/>
        </w:rPr>
        <w:t xml:space="preserve">La Porta, R., F. Lopez-de-Silanes, </w:t>
      </w:r>
      <w:r w:rsidR="00DA5EE1">
        <w:rPr>
          <w:rFonts w:hint="eastAsia"/>
          <w:lang w:val="en-US" w:eastAsia="zh-CN"/>
        </w:rPr>
        <w:t xml:space="preserve">and </w:t>
      </w:r>
      <w:r>
        <w:rPr>
          <w:lang w:val="en-US" w:eastAsia="zh-CN"/>
        </w:rPr>
        <w:t xml:space="preserve">A. Shleifer. 1999. Corporate ownership around the world. </w:t>
      </w:r>
      <w:r>
        <w:rPr>
          <w:i/>
          <w:lang w:val="en-US" w:eastAsia="zh-CN"/>
        </w:rPr>
        <w:t>The Journal of Finance</w:t>
      </w:r>
      <w:r>
        <w:rPr>
          <w:lang w:val="en-US" w:eastAsia="zh-CN"/>
        </w:rPr>
        <w:t xml:space="preserve"> 54</w:t>
      </w:r>
      <w:r w:rsidR="0007504D">
        <w:rPr>
          <w:rFonts w:hint="eastAsia"/>
          <w:lang w:val="en-US" w:eastAsia="zh-CN"/>
        </w:rPr>
        <w:t>:</w:t>
      </w:r>
      <w:r>
        <w:rPr>
          <w:lang w:val="en-US" w:eastAsia="zh-CN"/>
        </w:rPr>
        <w:t xml:space="preserve"> 471-517. </w:t>
      </w:r>
    </w:p>
    <w:p w:rsidR="00887848" w:rsidRDefault="00887848">
      <w:pPr>
        <w:ind w:left="720" w:hanging="720"/>
        <w:jc w:val="both"/>
        <w:rPr>
          <w:lang w:val="en-US"/>
        </w:rPr>
      </w:pPr>
      <w:r>
        <w:rPr>
          <w:lang w:val="en-US"/>
        </w:rPr>
        <w:t xml:space="preserve">Laeven L., and R. Levin. 2008. Complex </w:t>
      </w:r>
      <w:r>
        <w:rPr>
          <w:lang w:val="en-US" w:eastAsia="zh-CN"/>
        </w:rPr>
        <w:t>o</w:t>
      </w:r>
      <w:r>
        <w:rPr>
          <w:lang w:val="en-US"/>
        </w:rPr>
        <w:t xml:space="preserve">wnership </w:t>
      </w:r>
      <w:r>
        <w:rPr>
          <w:lang w:val="en-US" w:eastAsia="zh-CN"/>
        </w:rPr>
        <w:t>s</w:t>
      </w:r>
      <w:r>
        <w:rPr>
          <w:lang w:val="en-US"/>
        </w:rPr>
        <w:t xml:space="preserve">tructure and </w:t>
      </w:r>
      <w:r>
        <w:rPr>
          <w:lang w:val="en-US" w:eastAsia="zh-CN"/>
        </w:rPr>
        <w:t>c</w:t>
      </w:r>
      <w:r>
        <w:rPr>
          <w:lang w:val="en-US"/>
        </w:rPr>
        <w:t xml:space="preserve">orporate </w:t>
      </w:r>
      <w:r>
        <w:rPr>
          <w:lang w:val="en-US" w:eastAsia="zh-CN"/>
        </w:rPr>
        <w:t>v</w:t>
      </w:r>
      <w:r>
        <w:rPr>
          <w:lang w:val="en-US"/>
        </w:rPr>
        <w:t xml:space="preserve">aluation. </w:t>
      </w:r>
      <w:r>
        <w:rPr>
          <w:i/>
          <w:lang w:val="en-US"/>
        </w:rPr>
        <w:t xml:space="preserve">Review of Financial Studies </w:t>
      </w:r>
      <w:r>
        <w:rPr>
          <w:lang w:val="en-US"/>
        </w:rPr>
        <w:t>21</w:t>
      </w:r>
      <w:r w:rsidR="0007504D">
        <w:rPr>
          <w:rFonts w:hint="eastAsia"/>
          <w:lang w:val="en-US" w:eastAsia="zh-CN"/>
        </w:rPr>
        <w:t xml:space="preserve">, no. </w:t>
      </w:r>
      <w:r>
        <w:rPr>
          <w:lang w:val="en-US"/>
        </w:rPr>
        <w:t>2: 579-604</w:t>
      </w:r>
    </w:p>
    <w:p w:rsidR="002147A3" w:rsidRDefault="002147A3" w:rsidP="002147A3">
      <w:pPr>
        <w:ind w:left="720" w:hanging="720"/>
        <w:jc w:val="both"/>
        <w:rPr>
          <w:lang w:eastAsia="zh-CN"/>
        </w:rPr>
      </w:pPr>
      <w:r>
        <w:rPr>
          <w:lang w:eastAsia="zh-CN"/>
        </w:rPr>
        <w:t xml:space="preserve">Lai, S., L. Ng, </w:t>
      </w:r>
      <w:r>
        <w:rPr>
          <w:rFonts w:hint="eastAsia"/>
          <w:lang w:eastAsia="zh-CN"/>
        </w:rPr>
        <w:t xml:space="preserve">and </w:t>
      </w:r>
      <w:r>
        <w:rPr>
          <w:lang w:eastAsia="zh-CN"/>
        </w:rPr>
        <w:t xml:space="preserve">B. Zhang. 2009. Informed trading around the world. </w:t>
      </w:r>
      <w:r w:rsidR="006C5F98">
        <w:rPr>
          <w:lang w:eastAsia="zh-CN"/>
        </w:rPr>
        <w:t>W</w:t>
      </w:r>
      <w:r>
        <w:rPr>
          <w:lang w:eastAsia="zh-CN"/>
        </w:rPr>
        <w:t>orking paper.</w:t>
      </w:r>
      <w:r w:rsidR="006C5F98">
        <w:rPr>
          <w:lang w:eastAsia="zh-CN"/>
        </w:rPr>
        <w:t xml:space="preserve"> Singapore Management University.</w:t>
      </w:r>
    </w:p>
    <w:p w:rsidR="00887848" w:rsidRDefault="00887848">
      <w:pPr>
        <w:ind w:left="720" w:hanging="720"/>
        <w:jc w:val="both"/>
        <w:rPr>
          <w:lang w:eastAsia="zh-CN"/>
        </w:rPr>
      </w:pPr>
      <w:r>
        <w:t xml:space="preserve">Lang, M., K. Lins, and D. Miller. 2004. Concentrated </w:t>
      </w:r>
      <w:r>
        <w:rPr>
          <w:lang w:eastAsia="zh-CN"/>
        </w:rPr>
        <w:t>c</w:t>
      </w:r>
      <w:r>
        <w:t xml:space="preserve">ontrol, </w:t>
      </w:r>
      <w:r>
        <w:rPr>
          <w:lang w:eastAsia="zh-CN"/>
        </w:rPr>
        <w:t>a</w:t>
      </w:r>
      <w:r>
        <w:t xml:space="preserve">nalyst </w:t>
      </w:r>
      <w:r>
        <w:rPr>
          <w:lang w:eastAsia="zh-CN"/>
        </w:rPr>
        <w:t>f</w:t>
      </w:r>
      <w:r>
        <w:t xml:space="preserve">ollowing, and </w:t>
      </w:r>
      <w:r>
        <w:rPr>
          <w:lang w:eastAsia="zh-CN"/>
        </w:rPr>
        <w:t>v</w:t>
      </w:r>
      <w:r>
        <w:t xml:space="preserve">aluation. </w:t>
      </w:r>
      <w:r>
        <w:rPr>
          <w:i/>
        </w:rPr>
        <w:t>Journal of Accounting Research</w:t>
      </w:r>
      <w:r>
        <w:t xml:space="preserve"> 42:</w:t>
      </w:r>
      <w:r w:rsidR="0007504D">
        <w:rPr>
          <w:rFonts w:hint="eastAsia"/>
          <w:lang w:eastAsia="zh-CN"/>
        </w:rPr>
        <w:t xml:space="preserve"> </w:t>
      </w:r>
      <w:r>
        <w:t>589-623.</w:t>
      </w:r>
    </w:p>
    <w:p w:rsidR="00887848" w:rsidRDefault="00887848">
      <w:pPr>
        <w:ind w:left="720" w:hanging="720"/>
        <w:jc w:val="both"/>
        <w:rPr>
          <w:lang w:eastAsia="zh-CN"/>
        </w:rPr>
      </w:pPr>
      <w:r>
        <w:rPr>
          <w:lang w:eastAsia="zh-CN"/>
        </w:rPr>
        <w:t xml:space="preserve">Lang, M., and R. Lundholm. 1996. Corporate disclosure policy and analyst behaviour. </w:t>
      </w:r>
      <w:r>
        <w:rPr>
          <w:i/>
          <w:lang w:eastAsia="zh-CN"/>
        </w:rPr>
        <w:t>Accounting Review</w:t>
      </w:r>
      <w:r>
        <w:rPr>
          <w:lang w:eastAsia="zh-CN"/>
        </w:rPr>
        <w:t xml:space="preserve"> 71</w:t>
      </w:r>
      <w:r w:rsidR="0007504D">
        <w:rPr>
          <w:rFonts w:hint="eastAsia"/>
          <w:lang w:eastAsia="zh-CN"/>
        </w:rPr>
        <w:t xml:space="preserve">, no. </w:t>
      </w:r>
      <w:r>
        <w:rPr>
          <w:lang w:eastAsia="zh-CN"/>
        </w:rPr>
        <w:t>4:</w:t>
      </w:r>
      <w:r w:rsidR="0007504D">
        <w:rPr>
          <w:rFonts w:hint="eastAsia"/>
          <w:lang w:eastAsia="zh-CN"/>
        </w:rPr>
        <w:t xml:space="preserve"> </w:t>
      </w:r>
      <w:r>
        <w:rPr>
          <w:lang w:eastAsia="zh-CN"/>
        </w:rPr>
        <w:t>467-492.</w:t>
      </w:r>
    </w:p>
    <w:p w:rsidR="00887848" w:rsidRDefault="00887848">
      <w:pPr>
        <w:ind w:left="720" w:hanging="720"/>
        <w:jc w:val="both"/>
        <w:rPr>
          <w:lang w:val="en-US"/>
        </w:rPr>
      </w:pPr>
      <w:r>
        <w:rPr>
          <w:lang w:val="en-US"/>
        </w:rPr>
        <w:t xml:space="preserve">Lee, C., and M. Ready. 1991. Inferring </w:t>
      </w:r>
      <w:r>
        <w:rPr>
          <w:lang w:val="en-US" w:eastAsia="zh-CN"/>
        </w:rPr>
        <w:t>t</w:t>
      </w:r>
      <w:r>
        <w:rPr>
          <w:lang w:val="en-US"/>
        </w:rPr>
        <w:t xml:space="preserve">rade </w:t>
      </w:r>
      <w:r>
        <w:rPr>
          <w:lang w:val="en-US" w:eastAsia="zh-CN"/>
        </w:rPr>
        <w:t>d</w:t>
      </w:r>
      <w:r>
        <w:rPr>
          <w:lang w:val="en-US"/>
        </w:rPr>
        <w:t xml:space="preserve">irection from </w:t>
      </w:r>
      <w:r>
        <w:rPr>
          <w:lang w:val="en-US" w:eastAsia="zh-CN"/>
        </w:rPr>
        <w:t>i</w:t>
      </w:r>
      <w:r>
        <w:rPr>
          <w:lang w:val="en-US"/>
        </w:rPr>
        <w:t xml:space="preserve">ntraday </w:t>
      </w:r>
      <w:r>
        <w:rPr>
          <w:lang w:val="en-US" w:eastAsia="zh-CN"/>
        </w:rPr>
        <w:t>d</w:t>
      </w:r>
      <w:r>
        <w:rPr>
          <w:lang w:val="en-US"/>
        </w:rPr>
        <w:t xml:space="preserve">ata. </w:t>
      </w:r>
      <w:r>
        <w:rPr>
          <w:i/>
          <w:lang w:val="en-US"/>
        </w:rPr>
        <w:t>The Journal of Finance</w:t>
      </w:r>
      <w:r>
        <w:rPr>
          <w:lang w:val="en-US"/>
        </w:rPr>
        <w:t xml:space="preserve"> 46</w:t>
      </w:r>
      <w:r w:rsidR="0007504D">
        <w:rPr>
          <w:rFonts w:hint="eastAsia"/>
          <w:lang w:val="en-US" w:eastAsia="zh-CN"/>
        </w:rPr>
        <w:t xml:space="preserve">, no. </w:t>
      </w:r>
      <w:r>
        <w:rPr>
          <w:lang w:val="en-US"/>
        </w:rPr>
        <w:t>2:</w:t>
      </w:r>
      <w:r w:rsidR="0007504D">
        <w:rPr>
          <w:rFonts w:hint="eastAsia"/>
          <w:lang w:val="en-US" w:eastAsia="zh-CN"/>
        </w:rPr>
        <w:t xml:space="preserve"> </w:t>
      </w:r>
      <w:r>
        <w:rPr>
          <w:lang w:val="en-US"/>
        </w:rPr>
        <w:t>733-746.</w:t>
      </w:r>
    </w:p>
    <w:p w:rsidR="00887848" w:rsidRDefault="00887848">
      <w:pPr>
        <w:ind w:left="720" w:hanging="720"/>
        <w:jc w:val="both"/>
        <w:rPr>
          <w:lang w:eastAsia="zh-CN"/>
        </w:rPr>
      </w:pPr>
      <w:r>
        <w:rPr>
          <w:lang w:eastAsia="zh-CN"/>
        </w:rPr>
        <w:t xml:space="preserve">Llorente, G., R. Michaely, G. Saar, and J. Wang. 2002. Dynamic volume return relation of individual stocks. </w:t>
      </w:r>
      <w:r>
        <w:rPr>
          <w:i/>
          <w:lang w:eastAsia="zh-CN"/>
        </w:rPr>
        <w:t>Review of Financial Studies</w:t>
      </w:r>
      <w:r>
        <w:rPr>
          <w:lang w:eastAsia="zh-CN"/>
        </w:rPr>
        <w:t xml:space="preserve"> 15</w:t>
      </w:r>
      <w:r w:rsidR="0007504D">
        <w:rPr>
          <w:rFonts w:hint="eastAsia"/>
          <w:lang w:eastAsia="zh-CN"/>
        </w:rPr>
        <w:t>:</w:t>
      </w:r>
      <w:r>
        <w:rPr>
          <w:lang w:eastAsia="zh-CN"/>
        </w:rPr>
        <w:t xml:space="preserve"> 1005-1047.</w:t>
      </w:r>
    </w:p>
    <w:p w:rsidR="00887848" w:rsidRDefault="00887848">
      <w:pPr>
        <w:ind w:left="720" w:hanging="720"/>
        <w:jc w:val="both"/>
        <w:rPr>
          <w:lang w:eastAsia="zh-CN"/>
        </w:rPr>
      </w:pPr>
      <w:r>
        <w:rPr>
          <w:lang w:eastAsia="zh-CN"/>
        </w:rPr>
        <w:t xml:space="preserve">Li, H., J. Wang, C. Wu, and Y. He. 2010. Are liquidity and information risks priced in the treasury bond market. </w:t>
      </w:r>
      <w:r>
        <w:rPr>
          <w:i/>
          <w:iCs/>
          <w:lang w:eastAsia="zh-CN"/>
        </w:rPr>
        <w:t>Journal of Finance</w:t>
      </w:r>
      <w:r>
        <w:rPr>
          <w:lang w:eastAsia="zh-CN"/>
        </w:rPr>
        <w:t xml:space="preserve"> forthcoming.</w:t>
      </w:r>
    </w:p>
    <w:p w:rsidR="00887848" w:rsidRDefault="00887848">
      <w:pPr>
        <w:ind w:left="720" w:hanging="720"/>
        <w:jc w:val="both"/>
        <w:rPr>
          <w:lang w:val="en-US"/>
        </w:rPr>
      </w:pPr>
      <w:r>
        <w:rPr>
          <w:lang w:val="en-US"/>
        </w:rPr>
        <w:t xml:space="preserve">Kahn, C., and A. Winton. 1998. Ownership </w:t>
      </w:r>
      <w:r>
        <w:rPr>
          <w:lang w:val="en-US" w:eastAsia="zh-CN"/>
        </w:rPr>
        <w:t>s</w:t>
      </w:r>
      <w:r>
        <w:rPr>
          <w:lang w:val="en-US"/>
        </w:rPr>
        <w:t xml:space="preserve">tructure, </w:t>
      </w:r>
      <w:r>
        <w:rPr>
          <w:lang w:val="en-US" w:eastAsia="zh-CN"/>
        </w:rPr>
        <w:t>sp</w:t>
      </w:r>
      <w:r>
        <w:rPr>
          <w:lang w:val="en-US"/>
        </w:rPr>
        <w:t xml:space="preserve">eculation, and </w:t>
      </w:r>
      <w:r>
        <w:rPr>
          <w:lang w:val="en-US" w:eastAsia="zh-CN"/>
        </w:rPr>
        <w:t>s</w:t>
      </w:r>
      <w:r>
        <w:rPr>
          <w:lang w:val="en-US"/>
        </w:rPr>
        <w:t xml:space="preserve">hareholder </w:t>
      </w:r>
      <w:r>
        <w:rPr>
          <w:lang w:val="en-US" w:eastAsia="zh-CN"/>
        </w:rPr>
        <w:t>i</w:t>
      </w:r>
      <w:r>
        <w:rPr>
          <w:lang w:val="en-US"/>
        </w:rPr>
        <w:t xml:space="preserve">ntervention. </w:t>
      </w:r>
      <w:r>
        <w:rPr>
          <w:i/>
          <w:lang w:val="en-US"/>
        </w:rPr>
        <w:t>The Journal of Finance</w:t>
      </w:r>
      <w:r>
        <w:rPr>
          <w:lang w:val="en-US"/>
        </w:rPr>
        <w:t xml:space="preserve"> 53:</w:t>
      </w:r>
      <w:r w:rsidR="0007504D">
        <w:rPr>
          <w:rFonts w:hint="eastAsia"/>
          <w:lang w:val="en-US" w:eastAsia="zh-CN"/>
        </w:rPr>
        <w:t xml:space="preserve"> </w:t>
      </w:r>
      <w:r>
        <w:rPr>
          <w:lang w:val="en-US"/>
        </w:rPr>
        <w:t>99-129.</w:t>
      </w:r>
    </w:p>
    <w:p w:rsidR="00887848" w:rsidRDefault="00887848">
      <w:pPr>
        <w:ind w:left="720" w:hanging="720"/>
        <w:jc w:val="both"/>
        <w:rPr>
          <w:lang w:val="en-US" w:eastAsia="zh-CN"/>
        </w:rPr>
      </w:pPr>
      <w:r>
        <w:rPr>
          <w:lang w:val="en-US" w:eastAsia="zh-CN"/>
        </w:rPr>
        <w:t xml:space="preserve">Knapp, M., A. Gart, and M. Chaudhry. 2006. The impact of mean reversion of bank profitability on post-merger performance in the banking industry. </w:t>
      </w:r>
      <w:r>
        <w:rPr>
          <w:i/>
          <w:lang w:val="en-US" w:eastAsia="zh-CN"/>
        </w:rPr>
        <w:t>Journal of Banking and Finance</w:t>
      </w:r>
      <w:r>
        <w:rPr>
          <w:lang w:val="en-US" w:eastAsia="zh-CN"/>
        </w:rPr>
        <w:t xml:space="preserve"> 30</w:t>
      </w:r>
      <w:r w:rsidR="0007504D">
        <w:rPr>
          <w:rFonts w:hint="eastAsia"/>
          <w:lang w:val="en-US" w:eastAsia="zh-CN"/>
        </w:rPr>
        <w:t xml:space="preserve">, no. </w:t>
      </w:r>
      <w:r>
        <w:rPr>
          <w:lang w:val="en-US" w:eastAsia="zh-CN"/>
        </w:rPr>
        <w:t>12:</w:t>
      </w:r>
      <w:r w:rsidR="0007504D">
        <w:rPr>
          <w:rFonts w:hint="eastAsia"/>
          <w:lang w:val="en-US" w:eastAsia="zh-CN"/>
        </w:rPr>
        <w:t xml:space="preserve"> </w:t>
      </w:r>
      <w:r>
        <w:rPr>
          <w:lang w:val="en-US" w:eastAsia="zh-CN"/>
        </w:rPr>
        <w:t>3503-3517.</w:t>
      </w:r>
    </w:p>
    <w:p w:rsidR="00887848" w:rsidRDefault="001437A7">
      <w:pPr>
        <w:ind w:left="720" w:hanging="720"/>
        <w:jc w:val="both"/>
        <w:rPr>
          <w:lang w:eastAsia="zh-CN"/>
        </w:rPr>
      </w:pPr>
      <w:r>
        <w:rPr>
          <w:lang w:eastAsia="zh-CN"/>
        </w:rPr>
        <w:t>Kyle, A.</w:t>
      </w:r>
      <w:r w:rsidR="00887848">
        <w:rPr>
          <w:lang w:eastAsia="zh-CN"/>
        </w:rPr>
        <w:t xml:space="preserve"> 1985. Continuous auctions and insider trading. </w:t>
      </w:r>
      <w:r w:rsidR="00887848">
        <w:rPr>
          <w:i/>
          <w:iCs/>
          <w:lang w:eastAsia="zh-CN"/>
        </w:rPr>
        <w:t xml:space="preserve">Econometrica </w:t>
      </w:r>
      <w:r w:rsidR="00887848">
        <w:rPr>
          <w:lang w:eastAsia="zh-CN"/>
        </w:rPr>
        <w:t>53</w:t>
      </w:r>
      <w:r w:rsidR="0007504D">
        <w:rPr>
          <w:rFonts w:hint="eastAsia"/>
          <w:lang w:eastAsia="zh-CN"/>
        </w:rPr>
        <w:t>:</w:t>
      </w:r>
      <w:r w:rsidR="00887848">
        <w:rPr>
          <w:lang w:eastAsia="zh-CN"/>
        </w:rPr>
        <w:t xml:space="preserve"> 1315-1335.</w:t>
      </w:r>
    </w:p>
    <w:p w:rsidR="00887848" w:rsidRDefault="00887848">
      <w:pPr>
        <w:ind w:left="720" w:hanging="720"/>
        <w:jc w:val="both"/>
        <w:rPr>
          <w:lang w:eastAsia="zh-CN"/>
        </w:rPr>
      </w:pPr>
      <w:r>
        <w:rPr>
          <w:lang w:eastAsia="zh-CN"/>
        </w:rPr>
        <w:t xml:space="preserve">Madhavan, A., M. Richardson, and M. Roomans. 1997. Why do security prices change? A transaction-level analysis of NYSE stocks. </w:t>
      </w:r>
      <w:r>
        <w:rPr>
          <w:i/>
          <w:lang w:eastAsia="zh-CN"/>
        </w:rPr>
        <w:t>Review of Financial Studies</w:t>
      </w:r>
      <w:r>
        <w:rPr>
          <w:lang w:eastAsia="zh-CN"/>
        </w:rPr>
        <w:t xml:space="preserve"> 10</w:t>
      </w:r>
      <w:r w:rsidR="0007504D">
        <w:rPr>
          <w:rFonts w:hint="eastAsia"/>
          <w:lang w:eastAsia="zh-CN"/>
        </w:rPr>
        <w:t xml:space="preserve">, no. </w:t>
      </w:r>
      <w:r>
        <w:rPr>
          <w:lang w:eastAsia="zh-CN"/>
        </w:rPr>
        <w:t>4:</w:t>
      </w:r>
      <w:r w:rsidR="0007504D">
        <w:rPr>
          <w:rFonts w:hint="eastAsia"/>
          <w:lang w:eastAsia="zh-CN"/>
        </w:rPr>
        <w:t xml:space="preserve"> </w:t>
      </w:r>
      <w:r>
        <w:rPr>
          <w:lang w:eastAsia="zh-CN"/>
        </w:rPr>
        <w:t>1035-1064.</w:t>
      </w:r>
    </w:p>
    <w:p w:rsidR="00887848" w:rsidRDefault="00887848">
      <w:pPr>
        <w:ind w:left="720" w:hanging="720"/>
        <w:jc w:val="both"/>
        <w:rPr>
          <w:lang w:eastAsia="zh-CN"/>
        </w:rPr>
      </w:pPr>
      <w:r>
        <w:t xml:space="preserve">Makhijia, A., and J.M. Patton. 2004. The </w:t>
      </w:r>
      <w:r>
        <w:rPr>
          <w:lang w:eastAsia="zh-CN"/>
        </w:rPr>
        <w:t>i</w:t>
      </w:r>
      <w:r>
        <w:t xml:space="preserve">mpact of </w:t>
      </w:r>
      <w:r>
        <w:rPr>
          <w:lang w:eastAsia="zh-CN"/>
        </w:rPr>
        <w:t>f</w:t>
      </w:r>
      <w:r>
        <w:t xml:space="preserve">irm </w:t>
      </w:r>
      <w:r>
        <w:rPr>
          <w:lang w:eastAsia="zh-CN"/>
        </w:rPr>
        <w:t>o</w:t>
      </w:r>
      <w:r>
        <w:t xml:space="preserve">wnership </w:t>
      </w:r>
      <w:r>
        <w:rPr>
          <w:lang w:eastAsia="zh-CN"/>
        </w:rPr>
        <w:t>s</w:t>
      </w:r>
      <w:r>
        <w:t xml:space="preserve">tructure on </w:t>
      </w:r>
      <w:r>
        <w:rPr>
          <w:lang w:eastAsia="zh-CN"/>
        </w:rPr>
        <w:t>v</w:t>
      </w:r>
      <w:r>
        <w:t xml:space="preserve">oluntary </w:t>
      </w:r>
      <w:r>
        <w:rPr>
          <w:lang w:eastAsia="zh-CN"/>
        </w:rPr>
        <w:t>d</w:t>
      </w:r>
      <w:r>
        <w:t xml:space="preserve">isclosure: Empirical </w:t>
      </w:r>
      <w:r>
        <w:rPr>
          <w:lang w:eastAsia="zh-CN"/>
        </w:rPr>
        <w:t>e</w:t>
      </w:r>
      <w:r>
        <w:t xml:space="preserve">vidence from Czech </w:t>
      </w:r>
      <w:r>
        <w:rPr>
          <w:lang w:eastAsia="zh-CN"/>
        </w:rPr>
        <w:t>a</w:t>
      </w:r>
      <w:r>
        <w:t xml:space="preserve">nnual </w:t>
      </w:r>
      <w:r>
        <w:rPr>
          <w:lang w:eastAsia="zh-CN"/>
        </w:rPr>
        <w:t>r</w:t>
      </w:r>
      <w:r>
        <w:t xml:space="preserve">eports. </w:t>
      </w:r>
      <w:r>
        <w:rPr>
          <w:i/>
        </w:rPr>
        <w:t>The Journal of Business</w:t>
      </w:r>
      <w:r>
        <w:t xml:space="preserve"> 77</w:t>
      </w:r>
      <w:r w:rsidR="0007504D">
        <w:rPr>
          <w:rFonts w:hint="eastAsia"/>
          <w:lang w:eastAsia="zh-CN"/>
        </w:rPr>
        <w:t xml:space="preserve">, no. </w:t>
      </w:r>
      <w:r>
        <w:t>3: 457-491</w:t>
      </w:r>
      <w:r>
        <w:rPr>
          <w:lang w:eastAsia="zh-CN"/>
        </w:rPr>
        <w:t>.</w:t>
      </w:r>
    </w:p>
    <w:p w:rsidR="00887848" w:rsidRDefault="00887848">
      <w:pPr>
        <w:ind w:left="720" w:hanging="720"/>
        <w:jc w:val="both"/>
        <w:rPr>
          <w:lang w:eastAsia="zh-CN"/>
        </w:rPr>
      </w:pPr>
      <w:r>
        <w:rPr>
          <w:lang w:eastAsia="zh-CN"/>
        </w:rPr>
        <w:lastRenderedPageBreak/>
        <w:t>Massoun</w:t>
      </w:r>
      <w:r w:rsidR="004E7BB2">
        <w:rPr>
          <w:lang w:eastAsia="zh-CN"/>
        </w:rPr>
        <w:t>d</w:t>
      </w:r>
      <w:r>
        <w:rPr>
          <w:lang w:eastAsia="zh-CN"/>
        </w:rPr>
        <w:t xml:space="preserve">, N., D. Nandy, A. Saunders, and K. Song. 2011. Do hedge funds trade on private information? Evidence from syndicated lending and short-selling. </w:t>
      </w:r>
      <w:r>
        <w:rPr>
          <w:i/>
          <w:lang w:eastAsia="zh-CN"/>
        </w:rPr>
        <w:t>Journal of Financial Economics</w:t>
      </w:r>
      <w:r>
        <w:rPr>
          <w:lang w:eastAsia="zh-CN"/>
        </w:rPr>
        <w:t xml:space="preserve"> 99: 477-499.</w:t>
      </w:r>
    </w:p>
    <w:p w:rsidR="00887848" w:rsidRDefault="00887848">
      <w:pPr>
        <w:ind w:left="720" w:hanging="720"/>
        <w:jc w:val="both"/>
        <w:rPr>
          <w:lang w:val="en-US" w:eastAsia="zh-CN"/>
        </w:rPr>
      </w:pPr>
      <w:r>
        <w:rPr>
          <w:lang w:val="en-US"/>
        </w:rPr>
        <w:t xml:space="preserve">Maury, B. 2006. Family </w:t>
      </w:r>
      <w:r>
        <w:rPr>
          <w:lang w:val="en-US" w:eastAsia="zh-CN"/>
        </w:rPr>
        <w:t>o</w:t>
      </w:r>
      <w:r>
        <w:rPr>
          <w:lang w:val="en-US"/>
        </w:rPr>
        <w:t xml:space="preserve">wnership and </w:t>
      </w:r>
      <w:r>
        <w:rPr>
          <w:lang w:val="en-US" w:eastAsia="zh-CN"/>
        </w:rPr>
        <w:t>f</w:t>
      </w:r>
      <w:r>
        <w:rPr>
          <w:lang w:val="en-US"/>
        </w:rPr>
        <w:t xml:space="preserve">irm </w:t>
      </w:r>
      <w:r>
        <w:rPr>
          <w:lang w:val="en-US" w:eastAsia="zh-CN"/>
        </w:rPr>
        <w:t>p</w:t>
      </w:r>
      <w:r>
        <w:rPr>
          <w:lang w:val="en-US"/>
        </w:rPr>
        <w:t xml:space="preserve">erformance: </w:t>
      </w:r>
      <w:r>
        <w:rPr>
          <w:lang w:val="en-US" w:eastAsia="zh-CN"/>
        </w:rPr>
        <w:t>E</w:t>
      </w:r>
      <w:r>
        <w:rPr>
          <w:lang w:val="en-US"/>
        </w:rPr>
        <w:t xml:space="preserve">mpirical </w:t>
      </w:r>
      <w:r>
        <w:rPr>
          <w:lang w:val="en-US" w:eastAsia="zh-CN"/>
        </w:rPr>
        <w:t>e</w:t>
      </w:r>
      <w:r>
        <w:rPr>
          <w:lang w:val="en-US"/>
        </w:rPr>
        <w:t xml:space="preserve">vidence from </w:t>
      </w:r>
      <w:r>
        <w:rPr>
          <w:lang w:val="en-US" w:eastAsia="zh-CN"/>
        </w:rPr>
        <w:t>W</w:t>
      </w:r>
      <w:r>
        <w:rPr>
          <w:lang w:val="en-US"/>
        </w:rPr>
        <w:t xml:space="preserve">estern European </w:t>
      </w:r>
      <w:r>
        <w:rPr>
          <w:lang w:val="en-US" w:eastAsia="zh-CN"/>
        </w:rPr>
        <w:t>c</w:t>
      </w:r>
      <w:r>
        <w:rPr>
          <w:lang w:val="en-US"/>
        </w:rPr>
        <w:t xml:space="preserve">orporations. </w:t>
      </w:r>
      <w:r>
        <w:rPr>
          <w:i/>
          <w:lang w:val="en-US"/>
        </w:rPr>
        <w:t>Journal of Corporate Finance</w:t>
      </w:r>
      <w:r>
        <w:rPr>
          <w:lang w:val="en-US"/>
        </w:rPr>
        <w:t xml:space="preserve"> 12</w:t>
      </w:r>
      <w:r w:rsidR="0007504D">
        <w:rPr>
          <w:rFonts w:hint="eastAsia"/>
          <w:lang w:val="en-US" w:eastAsia="zh-CN"/>
        </w:rPr>
        <w:t xml:space="preserve">, no. </w:t>
      </w:r>
      <w:r>
        <w:rPr>
          <w:lang w:val="en-US"/>
        </w:rPr>
        <w:t>2:</w:t>
      </w:r>
      <w:r w:rsidR="0007504D">
        <w:rPr>
          <w:rFonts w:hint="eastAsia"/>
          <w:lang w:val="en-US" w:eastAsia="zh-CN"/>
        </w:rPr>
        <w:t xml:space="preserve"> </w:t>
      </w:r>
      <w:r>
        <w:rPr>
          <w:lang w:val="en-US"/>
        </w:rPr>
        <w:t>321-341.</w:t>
      </w:r>
    </w:p>
    <w:p w:rsidR="00887848" w:rsidRDefault="00887848">
      <w:pPr>
        <w:ind w:left="720" w:hanging="720"/>
        <w:jc w:val="both"/>
        <w:rPr>
          <w:lang w:eastAsia="zh-CN"/>
        </w:rPr>
      </w:pPr>
      <w:r>
        <w:rPr>
          <w:lang w:eastAsia="zh-CN"/>
        </w:rPr>
        <w:t xml:space="preserve">Mohanram, P, and S. Rajgopal. 2009. Is information risk (PIN) priced? </w:t>
      </w:r>
      <w:r>
        <w:rPr>
          <w:i/>
          <w:lang w:eastAsia="zh-CN"/>
        </w:rPr>
        <w:t>Journal of Accounting Research</w:t>
      </w:r>
      <w:r>
        <w:rPr>
          <w:lang w:eastAsia="zh-CN"/>
        </w:rPr>
        <w:t xml:space="preserve"> 47</w:t>
      </w:r>
      <w:r w:rsidR="0007504D">
        <w:rPr>
          <w:rFonts w:hint="eastAsia"/>
          <w:lang w:eastAsia="zh-CN"/>
        </w:rPr>
        <w:t xml:space="preserve">, no. </w:t>
      </w:r>
      <w:r>
        <w:rPr>
          <w:lang w:eastAsia="zh-CN"/>
        </w:rPr>
        <w:t>3: 226-243.</w:t>
      </w:r>
    </w:p>
    <w:p w:rsidR="00887848" w:rsidRDefault="00887848">
      <w:pPr>
        <w:ind w:left="720" w:hanging="720"/>
        <w:jc w:val="both"/>
        <w:rPr>
          <w:lang w:val="en-US" w:eastAsia="zh-CN"/>
        </w:rPr>
      </w:pPr>
      <w:r>
        <w:rPr>
          <w:lang w:val="en-US"/>
        </w:rPr>
        <w:t>Morck, R., B. Yeung</w:t>
      </w:r>
      <w:r>
        <w:rPr>
          <w:lang w:val="en-US" w:eastAsia="zh-CN"/>
        </w:rPr>
        <w:t>,</w:t>
      </w:r>
      <w:r>
        <w:rPr>
          <w:lang w:val="en-US"/>
        </w:rPr>
        <w:t xml:space="preserve"> and W. Yu. 2000. The </w:t>
      </w:r>
      <w:r>
        <w:rPr>
          <w:lang w:val="en-US" w:eastAsia="zh-CN"/>
        </w:rPr>
        <w:t>i</w:t>
      </w:r>
      <w:r>
        <w:rPr>
          <w:lang w:val="en-US"/>
        </w:rPr>
        <w:t xml:space="preserve">nformation </w:t>
      </w:r>
      <w:r>
        <w:rPr>
          <w:lang w:val="en-US" w:eastAsia="zh-CN"/>
        </w:rPr>
        <w:t>c</w:t>
      </w:r>
      <w:r>
        <w:rPr>
          <w:lang w:val="en-US"/>
        </w:rPr>
        <w:t xml:space="preserve">ontent of </w:t>
      </w:r>
      <w:r>
        <w:rPr>
          <w:lang w:val="en-US" w:eastAsia="zh-CN"/>
        </w:rPr>
        <w:t>s</w:t>
      </w:r>
      <w:r>
        <w:rPr>
          <w:lang w:val="en-US"/>
        </w:rPr>
        <w:t xml:space="preserve">tock </w:t>
      </w:r>
      <w:r>
        <w:rPr>
          <w:lang w:val="en-US" w:eastAsia="zh-CN"/>
        </w:rPr>
        <w:t>m</w:t>
      </w:r>
      <w:r>
        <w:rPr>
          <w:lang w:val="en-US"/>
        </w:rPr>
        <w:t xml:space="preserve">arkets: Why </w:t>
      </w:r>
      <w:r>
        <w:rPr>
          <w:lang w:val="en-US" w:eastAsia="zh-CN"/>
        </w:rPr>
        <w:t>d</w:t>
      </w:r>
      <w:r>
        <w:rPr>
          <w:lang w:val="en-US"/>
        </w:rPr>
        <w:t xml:space="preserve">o </w:t>
      </w:r>
      <w:r>
        <w:rPr>
          <w:lang w:val="en-US" w:eastAsia="zh-CN"/>
        </w:rPr>
        <w:t>e</w:t>
      </w:r>
      <w:r>
        <w:rPr>
          <w:lang w:val="en-US"/>
        </w:rPr>
        <w:t xml:space="preserve">merging </w:t>
      </w:r>
      <w:r>
        <w:rPr>
          <w:lang w:val="en-US" w:eastAsia="zh-CN"/>
        </w:rPr>
        <w:t>m</w:t>
      </w:r>
      <w:r>
        <w:rPr>
          <w:lang w:val="en-US"/>
        </w:rPr>
        <w:t xml:space="preserve">arkets </w:t>
      </w:r>
      <w:r>
        <w:rPr>
          <w:lang w:val="en-US" w:eastAsia="zh-CN"/>
        </w:rPr>
        <w:t>h</w:t>
      </w:r>
      <w:r>
        <w:rPr>
          <w:lang w:val="en-US"/>
        </w:rPr>
        <w:t xml:space="preserve">ave </w:t>
      </w:r>
      <w:r>
        <w:rPr>
          <w:lang w:val="en-US" w:eastAsia="zh-CN"/>
        </w:rPr>
        <w:t>s</w:t>
      </w:r>
      <w:r>
        <w:rPr>
          <w:lang w:val="en-US"/>
        </w:rPr>
        <w:t xml:space="preserve">ynchronous </w:t>
      </w:r>
      <w:r>
        <w:rPr>
          <w:lang w:val="en-US" w:eastAsia="zh-CN"/>
        </w:rPr>
        <w:t>s</w:t>
      </w:r>
      <w:r>
        <w:rPr>
          <w:lang w:val="en-US"/>
        </w:rPr>
        <w:t xml:space="preserve">tock </w:t>
      </w:r>
      <w:r>
        <w:rPr>
          <w:lang w:val="en-US" w:eastAsia="zh-CN"/>
        </w:rPr>
        <w:t>p</w:t>
      </w:r>
      <w:r>
        <w:rPr>
          <w:lang w:val="en-US"/>
        </w:rPr>
        <w:t xml:space="preserve">rice </w:t>
      </w:r>
      <w:r>
        <w:rPr>
          <w:lang w:val="en-US" w:eastAsia="zh-CN"/>
        </w:rPr>
        <w:t>m</w:t>
      </w:r>
      <w:r>
        <w:rPr>
          <w:lang w:val="en-US"/>
        </w:rPr>
        <w:t xml:space="preserve">ovements? </w:t>
      </w:r>
      <w:r>
        <w:rPr>
          <w:i/>
          <w:lang w:val="en-US"/>
        </w:rPr>
        <w:t>Journal of Financial Economics</w:t>
      </w:r>
      <w:r>
        <w:rPr>
          <w:lang w:val="en-US"/>
        </w:rPr>
        <w:t xml:space="preserve"> 58</w:t>
      </w:r>
      <w:r w:rsidR="0007504D">
        <w:rPr>
          <w:rFonts w:hint="eastAsia"/>
          <w:lang w:val="en-US" w:eastAsia="zh-CN"/>
        </w:rPr>
        <w:t xml:space="preserve">, no. </w:t>
      </w:r>
      <w:r>
        <w:rPr>
          <w:lang w:val="en-US"/>
        </w:rPr>
        <w:t>1-2:</w:t>
      </w:r>
      <w:r w:rsidR="0007504D">
        <w:rPr>
          <w:rFonts w:hint="eastAsia"/>
          <w:lang w:val="en-US" w:eastAsia="zh-CN"/>
        </w:rPr>
        <w:t xml:space="preserve"> </w:t>
      </w:r>
      <w:r>
        <w:rPr>
          <w:lang w:val="en-US"/>
        </w:rPr>
        <w:t>215-260.</w:t>
      </w:r>
    </w:p>
    <w:p w:rsidR="00887848" w:rsidRDefault="00887848">
      <w:pPr>
        <w:ind w:left="720" w:hanging="720"/>
        <w:jc w:val="both"/>
        <w:rPr>
          <w:lang w:val="en-US" w:eastAsia="zh-CN"/>
        </w:rPr>
      </w:pPr>
      <w:r>
        <w:rPr>
          <w:lang w:val="en-US" w:eastAsia="zh-CN"/>
        </w:rPr>
        <w:t xml:space="preserve">Morck, R., A. Shleifer, and R. Vishny. 1988. Management ownership and market valuation: An empirical analysis. </w:t>
      </w:r>
      <w:r>
        <w:rPr>
          <w:i/>
          <w:lang w:val="en-US" w:eastAsia="zh-CN"/>
        </w:rPr>
        <w:t>Journal of Financial Economics</w:t>
      </w:r>
      <w:r>
        <w:rPr>
          <w:lang w:val="en-US" w:eastAsia="zh-CN"/>
        </w:rPr>
        <w:t xml:space="preserve"> 20:293-315.</w:t>
      </w:r>
    </w:p>
    <w:p w:rsidR="00887848" w:rsidRDefault="00887848">
      <w:pPr>
        <w:ind w:left="720" w:hanging="720"/>
        <w:jc w:val="both"/>
        <w:rPr>
          <w:lang w:val="en-US" w:eastAsia="zh-CN"/>
        </w:rPr>
      </w:pPr>
      <w:r>
        <w:rPr>
          <w:lang w:val="en-US" w:eastAsia="zh-CN"/>
        </w:rPr>
        <w:t xml:space="preserve">Neal, R., and S. Wheatley. 1998. Adverse selection and bid-ask spreads: Evidence from closed-end funds-An intraday analysis. </w:t>
      </w:r>
      <w:r>
        <w:rPr>
          <w:i/>
          <w:lang w:val="en-US" w:eastAsia="zh-CN"/>
        </w:rPr>
        <w:t>Journal of Financial Markets</w:t>
      </w:r>
      <w:r>
        <w:rPr>
          <w:lang w:val="en-US" w:eastAsia="zh-CN"/>
        </w:rPr>
        <w:t xml:space="preserve"> 1:</w:t>
      </w:r>
      <w:r w:rsidR="0007504D">
        <w:rPr>
          <w:rFonts w:hint="eastAsia"/>
          <w:lang w:val="en-US" w:eastAsia="zh-CN"/>
        </w:rPr>
        <w:t xml:space="preserve"> </w:t>
      </w:r>
      <w:r>
        <w:rPr>
          <w:lang w:val="en-US" w:eastAsia="zh-CN"/>
        </w:rPr>
        <w:t>121-149.</w:t>
      </w:r>
    </w:p>
    <w:p w:rsidR="00887848" w:rsidRDefault="00887848">
      <w:pPr>
        <w:ind w:left="720" w:hanging="720"/>
        <w:jc w:val="both"/>
        <w:rPr>
          <w:lang w:val="en-US" w:eastAsia="zh-CN"/>
        </w:rPr>
      </w:pPr>
      <w:r>
        <w:rPr>
          <w:lang w:val="en-US" w:eastAsia="zh-CN"/>
        </w:rPr>
        <w:t xml:space="preserve">O’Hara, M. 1995. </w:t>
      </w:r>
      <w:r>
        <w:rPr>
          <w:i/>
          <w:lang w:val="en-US" w:eastAsia="zh-CN"/>
        </w:rPr>
        <w:t>Market microstructure theory</w:t>
      </w:r>
      <w:r>
        <w:rPr>
          <w:lang w:val="en-US" w:eastAsia="zh-CN"/>
        </w:rPr>
        <w:t xml:space="preserve">. Cambridge, MA: Blackwell Publishers. </w:t>
      </w:r>
    </w:p>
    <w:p w:rsidR="00887848" w:rsidRDefault="00887848">
      <w:pPr>
        <w:ind w:left="720" w:hanging="720"/>
        <w:jc w:val="both"/>
        <w:rPr>
          <w:lang w:val="en-US" w:eastAsia="zh-CN"/>
        </w:rPr>
      </w:pPr>
      <w:r>
        <w:rPr>
          <w:lang w:val="en-US" w:eastAsia="zh-CN"/>
        </w:rPr>
        <w:t xml:space="preserve">O’Hara, M., and G. Oldfield. 1986. The microeconomics of market making. </w:t>
      </w:r>
      <w:r>
        <w:rPr>
          <w:i/>
          <w:lang w:val="en-US" w:eastAsia="zh-CN"/>
        </w:rPr>
        <w:t>Journal of Financial and Quantitative Analysis</w:t>
      </w:r>
      <w:r>
        <w:rPr>
          <w:lang w:val="en-US" w:eastAsia="zh-CN"/>
        </w:rPr>
        <w:t xml:space="preserve"> 21:361-376.</w:t>
      </w:r>
    </w:p>
    <w:p w:rsidR="00887848" w:rsidRDefault="00887848">
      <w:pPr>
        <w:ind w:left="720" w:hanging="720"/>
        <w:jc w:val="both"/>
        <w:rPr>
          <w:lang w:eastAsia="zh-CN"/>
        </w:rPr>
      </w:pPr>
      <w:r>
        <w:t>Pagan, A</w:t>
      </w:r>
      <w:r>
        <w:rPr>
          <w:lang w:eastAsia="zh-CN"/>
        </w:rPr>
        <w:t>.</w:t>
      </w:r>
      <w:r>
        <w:t xml:space="preserve"> 1984. Econometric </w:t>
      </w:r>
      <w:r>
        <w:rPr>
          <w:lang w:eastAsia="zh-CN"/>
        </w:rPr>
        <w:t>i</w:t>
      </w:r>
      <w:r>
        <w:t xml:space="preserve">ssues in the </w:t>
      </w:r>
      <w:r>
        <w:rPr>
          <w:lang w:eastAsia="zh-CN"/>
        </w:rPr>
        <w:t>a</w:t>
      </w:r>
      <w:r>
        <w:t xml:space="preserve">nalysis of </w:t>
      </w:r>
      <w:r>
        <w:rPr>
          <w:lang w:eastAsia="zh-CN"/>
        </w:rPr>
        <w:t>r</w:t>
      </w:r>
      <w:r>
        <w:t xml:space="preserve">egressions with </w:t>
      </w:r>
      <w:r>
        <w:rPr>
          <w:lang w:eastAsia="zh-CN"/>
        </w:rPr>
        <w:t>g</w:t>
      </w:r>
      <w:r>
        <w:t xml:space="preserve">enerated </w:t>
      </w:r>
      <w:r>
        <w:rPr>
          <w:lang w:eastAsia="zh-CN"/>
        </w:rPr>
        <w:t>r</w:t>
      </w:r>
      <w:r>
        <w:t xml:space="preserve">egressors. </w:t>
      </w:r>
      <w:r>
        <w:rPr>
          <w:i/>
        </w:rPr>
        <w:t>International Economic Review</w:t>
      </w:r>
      <w:r>
        <w:t xml:space="preserve"> 25</w:t>
      </w:r>
      <w:r w:rsidR="0007504D">
        <w:rPr>
          <w:rFonts w:hint="eastAsia"/>
          <w:lang w:eastAsia="zh-CN"/>
        </w:rPr>
        <w:t xml:space="preserve">, no. </w:t>
      </w:r>
      <w:r>
        <w:t>1:</w:t>
      </w:r>
      <w:r w:rsidR="0007504D">
        <w:rPr>
          <w:rFonts w:hint="eastAsia"/>
          <w:lang w:eastAsia="zh-CN"/>
        </w:rPr>
        <w:t xml:space="preserve"> </w:t>
      </w:r>
      <w:r>
        <w:t>221-247</w:t>
      </w:r>
      <w:r>
        <w:rPr>
          <w:lang w:eastAsia="zh-CN"/>
        </w:rPr>
        <w:t>.</w:t>
      </w:r>
    </w:p>
    <w:p w:rsidR="00887848" w:rsidRDefault="00887848">
      <w:pPr>
        <w:ind w:left="720" w:hanging="720"/>
        <w:jc w:val="both"/>
        <w:rPr>
          <w:lang w:val="en-US" w:eastAsia="zh-CN"/>
        </w:rPr>
      </w:pPr>
      <w:r>
        <w:rPr>
          <w:lang w:val="en-US" w:eastAsia="zh-CN"/>
        </w:rPr>
        <w:t xml:space="preserve">Shleifer, A., and R. Vishny, 1997. The limits of arbitrage. </w:t>
      </w:r>
      <w:r>
        <w:rPr>
          <w:i/>
          <w:lang w:val="en-US" w:eastAsia="zh-CN"/>
        </w:rPr>
        <w:t>The Journal of Finance</w:t>
      </w:r>
      <w:r>
        <w:rPr>
          <w:lang w:val="en-US" w:eastAsia="zh-CN"/>
        </w:rPr>
        <w:t xml:space="preserve"> 52</w:t>
      </w:r>
      <w:r w:rsidR="0007504D">
        <w:rPr>
          <w:rFonts w:hint="eastAsia"/>
          <w:lang w:val="en-US" w:eastAsia="zh-CN"/>
        </w:rPr>
        <w:t>:</w:t>
      </w:r>
      <w:r>
        <w:rPr>
          <w:lang w:val="en-US" w:eastAsia="zh-CN"/>
        </w:rPr>
        <w:t xml:space="preserve"> 35-55.</w:t>
      </w:r>
    </w:p>
    <w:p w:rsidR="00887848" w:rsidRDefault="00887848">
      <w:pPr>
        <w:ind w:left="720" w:hanging="720"/>
        <w:jc w:val="both"/>
        <w:rPr>
          <w:lang w:eastAsia="zh-CN"/>
        </w:rPr>
      </w:pPr>
      <w:r>
        <w:t>Stocken, P</w:t>
      </w:r>
      <w:r>
        <w:rPr>
          <w:lang w:eastAsia="zh-CN"/>
        </w:rPr>
        <w:t>.</w:t>
      </w:r>
      <w:r>
        <w:t xml:space="preserve"> 2000. Credibility of </w:t>
      </w:r>
      <w:r>
        <w:rPr>
          <w:lang w:eastAsia="zh-CN"/>
        </w:rPr>
        <w:t>v</w:t>
      </w:r>
      <w:r>
        <w:t xml:space="preserve">oluntary </w:t>
      </w:r>
      <w:r>
        <w:rPr>
          <w:lang w:eastAsia="zh-CN"/>
        </w:rPr>
        <w:t>d</w:t>
      </w:r>
      <w:r>
        <w:t xml:space="preserve">isclosure. </w:t>
      </w:r>
      <w:r>
        <w:rPr>
          <w:i/>
        </w:rPr>
        <w:t>RAND Journal of Economics</w:t>
      </w:r>
      <w:r>
        <w:rPr>
          <w:b/>
          <w:i/>
        </w:rPr>
        <w:t xml:space="preserve"> </w:t>
      </w:r>
      <w:r>
        <w:t>31</w:t>
      </w:r>
      <w:r w:rsidR="0007504D">
        <w:rPr>
          <w:rFonts w:hint="eastAsia"/>
          <w:lang w:eastAsia="zh-CN"/>
        </w:rPr>
        <w:t xml:space="preserve">, no. </w:t>
      </w:r>
      <w:r>
        <w:t>2:</w:t>
      </w:r>
      <w:r w:rsidR="0007504D">
        <w:rPr>
          <w:rFonts w:hint="eastAsia"/>
          <w:lang w:eastAsia="zh-CN"/>
        </w:rPr>
        <w:t xml:space="preserve"> </w:t>
      </w:r>
      <w:r>
        <w:t>359-374.</w:t>
      </w:r>
    </w:p>
    <w:p w:rsidR="00887848" w:rsidRDefault="00887848">
      <w:pPr>
        <w:ind w:left="720" w:hanging="720"/>
        <w:jc w:val="both"/>
        <w:rPr>
          <w:lang w:eastAsia="zh-CN"/>
        </w:rPr>
      </w:pPr>
      <w:r>
        <w:rPr>
          <w:lang w:eastAsia="zh-CN"/>
        </w:rPr>
        <w:t xml:space="preserve">Stoll, H., and R. Whaley. 1990. Stock market structure and volatility. </w:t>
      </w:r>
      <w:r>
        <w:rPr>
          <w:i/>
          <w:lang w:eastAsia="zh-CN"/>
        </w:rPr>
        <w:t>Review of Financial Studies</w:t>
      </w:r>
      <w:r>
        <w:rPr>
          <w:lang w:eastAsia="zh-CN"/>
        </w:rPr>
        <w:t xml:space="preserve"> 3</w:t>
      </w:r>
      <w:r w:rsidR="0007504D">
        <w:rPr>
          <w:rFonts w:hint="eastAsia"/>
          <w:lang w:eastAsia="zh-CN"/>
        </w:rPr>
        <w:t xml:space="preserve">, no. </w:t>
      </w:r>
      <w:r>
        <w:rPr>
          <w:lang w:eastAsia="zh-CN"/>
        </w:rPr>
        <w:t>1:</w:t>
      </w:r>
      <w:r w:rsidR="0007504D">
        <w:rPr>
          <w:rFonts w:hint="eastAsia"/>
          <w:lang w:eastAsia="zh-CN"/>
        </w:rPr>
        <w:t xml:space="preserve"> </w:t>
      </w:r>
      <w:r>
        <w:rPr>
          <w:lang w:eastAsia="zh-CN"/>
        </w:rPr>
        <w:t>37-71.</w:t>
      </w:r>
    </w:p>
    <w:p w:rsidR="00887848" w:rsidRDefault="00887848">
      <w:pPr>
        <w:ind w:left="720" w:hanging="720"/>
        <w:jc w:val="both"/>
      </w:pPr>
      <w:r>
        <w:t>Trueman, B</w:t>
      </w:r>
      <w:r>
        <w:rPr>
          <w:lang w:eastAsia="zh-CN"/>
        </w:rPr>
        <w:t>.</w:t>
      </w:r>
      <w:r>
        <w:t xml:space="preserve"> 1986. A </w:t>
      </w:r>
      <w:r>
        <w:rPr>
          <w:lang w:eastAsia="zh-CN"/>
        </w:rPr>
        <w:t>t</w:t>
      </w:r>
      <w:r>
        <w:t xml:space="preserve">heoretical </w:t>
      </w:r>
      <w:r>
        <w:rPr>
          <w:lang w:eastAsia="zh-CN"/>
        </w:rPr>
        <w:t>i</w:t>
      </w:r>
      <w:r>
        <w:t xml:space="preserve">nvestigation into the </w:t>
      </w:r>
      <w:r>
        <w:rPr>
          <w:lang w:eastAsia="zh-CN"/>
        </w:rPr>
        <w:t>r</w:t>
      </w:r>
      <w:r>
        <w:t xml:space="preserve">elative </w:t>
      </w:r>
      <w:r>
        <w:rPr>
          <w:lang w:eastAsia="zh-CN"/>
        </w:rPr>
        <w:t>a</w:t>
      </w:r>
      <w:r>
        <w:t xml:space="preserve">ccuracy of </w:t>
      </w:r>
      <w:r>
        <w:rPr>
          <w:lang w:eastAsia="zh-CN"/>
        </w:rPr>
        <w:t>m</w:t>
      </w:r>
      <w:r>
        <w:t xml:space="preserve">anagement and </w:t>
      </w:r>
      <w:r>
        <w:rPr>
          <w:lang w:eastAsia="zh-CN"/>
        </w:rPr>
        <w:t>a</w:t>
      </w:r>
      <w:r>
        <w:t xml:space="preserve">nalyst </w:t>
      </w:r>
      <w:r>
        <w:rPr>
          <w:lang w:eastAsia="zh-CN"/>
        </w:rPr>
        <w:t>e</w:t>
      </w:r>
      <w:r>
        <w:t xml:space="preserve">arnings </w:t>
      </w:r>
      <w:r>
        <w:rPr>
          <w:lang w:eastAsia="zh-CN"/>
        </w:rPr>
        <w:t>f</w:t>
      </w:r>
      <w:r>
        <w:t xml:space="preserve">orecasts. </w:t>
      </w:r>
      <w:r>
        <w:rPr>
          <w:i/>
        </w:rPr>
        <w:t>eScholarship Repository</w:t>
      </w:r>
      <w:r>
        <w:t>, University of California.</w:t>
      </w:r>
    </w:p>
    <w:p w:rsidR="00887848" w:rsidRDefault="00887848">
      <w:pPr>
        <w:ind w:left="720" w:hanging="720"/>
        <w:jc w:val="both"/>
        <w:rPr>
          <w:lang w:eastAsia="zh-CN"/>
        </w:rPr>
      </w:pPr>
      <w:r>
        <w:rPr>
          <w:lang w:val="en-US" w:eastAsia="zh-CN"/>
        </w:rPr>
        <w:t xml:space="preserve">Yosha, O. 1995. Information disclosure costs and the choice of financing source. </w:t>
      </w:r>
      <w:r>
        <w:rPr>
          <w:i/>
          <w:lang w:val="en-US" w:eastAsia="zh-CN"/>
        </w:rPr>
        <w:t>Journal of Financial Intermediation</w:t>
      </w:r>
      <w:r>
        <w:rPr>
          <w:lang w:val="en-US" w:eastAsia="zh-CN"/>
        </w:rPr>
        <w:t xml:space="preserve"> 4</w:t>
      </w:r>
      <w:r w:rsidR="0007504D">
        <w:rPr>
          <w:rFonts w:hint="eastAsia"/>
          <w:lang w:val="en-US" w:eastAsia="zh-CN"/>
        </w:rPr>
        <w:t xml:space="preserve">, no. </w:t>
      </w:r>
      <w:r>
        <w:rPr>
          <w:lang w:val="en-US" w:eastAsia="zh-CN"/>
        </w:rPr>
        <w:t>1:</w:t>
      </w:r>
      <w:r w:rsidR="0007504D">
        <w:rPr>
          <w:rFonts w:hint="eastAsia"/>
          <w:lang w:val="en-US" w:eastAsia="zh-CN"/>
        </w:rPr>
        <w:t xml:space="preserve"> </w:t>
      </w:r>
      <w:r>
        <w:rPr>
          <w:lang w:val="en-US" w:eastAsia="zh-CN"/>
        </w:rPr>
        <w:t>3-20.</w:t>
      </w:r>
    </w:p>
    <w:p w:rsidR="00887848" w:rsidRDefault="00887848">
      <w:pPr>
        <w:ind w:left="720" w:hanging="720"/>
        <w:jc w:val="both"/>
        <w:rPr>
          <w:lang w:eastAsia="zh-CN"/>
        </w:rPr>
      </w:pPr>
      <w:r>
        <w:rPr>
          <w:lang w:eastAsia="zh-CN"/>
        </w:rPr>
        <w:t xml:space="preserve">Venter, J. H., and D.D. Jongh. 2006. Extending the EKOP model to estimate the probability of informed trading. </w:t>
      </w:r>
      <w:r>
        <w:rPr>
          <w:i/>
          <w:lang w:eastAsia="zh-CN"/>
        </w:rPr>
        <w:t>Studies in Economics and Econometrics</w:t>
      </w:r>
      <w:r>
        <w:rPr>
          <w:lang w:eastAsia="zh-CN"/>
        </w:rPr>
        <w:t xml:space="preserve"> 30: 25-39.</w:t>
      </w:r>
    </w:p>
    <w:p w:rsidR="00887848" w:rsidRDefault="00887848">
      <w:pPr>
        <w:ind w:left="720" w:hanging="720"/>
        <w:jc w:val="both"/>
      </w:pPr>
      <w:r>
        <w:t xml:space="preserve">Verrecchia, R. 2001. Essays on </w:t>
      </w:r>
      <w:r>
        <w:rPr>
          <w:lang w:eastAsia="zh-CN"/>
        </w:rPr>
        <w:t>d</w:t>
      </w:r>
      <w:r>
        <w:t xml:space="preserve">isclosure. </w:t>
      </w:r>
      <w:r>
        <w:rPr>
          <w:i/>
        </w:rPr>
        <w:t>Journal of Accounting and Economics</w:t>
      </w:r>
      <w:r>
        <w:t xml:space="preserve"> 32:</w:t>
      </w:r>
      <w:r w:rsidR="0007504D">
        <w:rPr>
          <w:rFonts w:hint="eastAsia"/>
          <w:lang w:eastAsia="zh-CN"/>
        </w:rPr>
        <w:t xml:space="preserve"> </w:t>
      </w:r>
      <w:r>
        <w:t>97-180.</w:t>
      </w:r>
    </w:p>
    <w:p w:rsidR="006C5F98" w:rsidRDefault="006C5F98" w:rsidP="006C5F98">
      <w:pPr>
        <w:ind w:left="720" w:hanging="720"/>
        <w:jc w:val="both"/>
        <w:rPr>
          <w:lang w:eastAsia="zh-CN"/>
        </w:rPr>
      </w:pPr>
      <w:r>
        <w:rPr>
          <w:bCs/>
        </w:rPr>
        <w:t>Villalonga, B.</w:t>
      </w:r>
      <w:r>
        <w:rPr>
          <w:bCs/>
          <w:lang w:eastAsia="zh-CN"/>
        </w:rPr>
        <w:t>,</w:t>
      </w:r>
      <w:r>
        <w:rPr>
          <w:bCs/>
        </w:rPr>
        <w:t xml:space="preserve"> and R. Amit</w:t>
      </w:r>
      <w:r>
        <w:rPr>
          <w:bCs/>
          <w:lang w:eastAsia="zh-CN"/>
        </w:rPr>
        <w:t>.</w:t>
      </w:r>
      <w:r>
        <w:rPr>
          <w:bCs/>
        </w:rPr>
        <w:t xml:space="preserve"> 2010</w:t>
      </w:r>
      <w:r>
        <w:rPr>
          <w:bCs/>
          <w:lang w:eastAsia="zh-CN"/>
        </w:rPr>
        <w:t>.</w:t>
      </w:r>
      <w:r>
        <w:rPr>
          <w:bCs/>
        </w:rPr>
        <w:t xml:space="preserve"> Family control of firms and industries</w:t>
      </w:r>
      <w:r>
        <w:rPr>
          <w:bCs/>
          <w:lang w:eastAsia="zh-CN"/>
        </w:rPr>
        <w:t>.</w:t>
      </w:r>
      <w:r>
        <w:rPr>
          <w:bCs/>
        </w:rPr>
        <w:t xml:space="preserve"> </w:t>
      </w:r>
      <w:r>
        <w:rPr>
          <w:bCs/>
          <w:i/>
          <w:iCs/>
        </w:rPr>
        <w:t xml:space="preserve">Financial Management </w:t>
      </w:r>
      <w:r>
        <w:rPr>
          <w:bCs/>
        </w:rPr>
        <w:t>39</w:t>
      </w:r>
      <w:r>
        <w:rPr>
          <w:rFonts w:hint="eastAsia"/>
          <w:bCs/>
          <w:lang w:eastAsia="zh-CN"/>
        </w:rPr>
        <w:t>:</w:t>
      </w:r>
      <w:r>
        <w:rPr>
          <w:bCs/>
        </w:rPr>
        <w:t xml:space="preserve"> 863–904.</w:t>
      </w:r>
    </w:p>
    <w:p w:rsidR="00887848" w:rsidRDefault="00887848">
      <w:pPr>
        <w:ind w:left="720" w:hanging="720"/>
        <w:jc w:val="both"/>
        <w:rPr>
          <w:lang w:eastAsia="zh-CN"/>
        </w:rPr>
      </w:pPr>
      <w:r>
        <w:rPr>
          <w:lang w:eastAsia="zh-CN"/>
        </w:rPr>
        <w:t xml:space="preserve">Villalonga, B., and R. Amit. 2006. How do family ownership, control and management affect firm value? </w:t>
      </w:r>
      <w:r>
        <w:rPr>
          <w:i/>
          <w:lang w:eastAsia="zh-CN"/>
        </w:rPr>
        <w:t>Journal of Financial Economics</w:t>
      </w:r>
      <w:r>
        <w:rPr>
          <w:lang w:eastAsia="zh-CN"/>
        </w:rPr>
        <w:t xml:space="preserve"> 80:</w:t>
      </w:r>
      <w:r w:rsidR="0007504D">
        <w:rPr>
          <w:rFonts w:hint="eastAsia"/>
          <w:lang w:eastAsia="zh-CN"/>
        </w:rPr>
        <w:t xml:space="preserve"> </w:t>
      </w:r>
      <w:r>
        <w:rPr>
          <w:lang w:eastAsia="zh-CN"/>
        </w:rPr>
        <w:t>385–417.</w:t>
      </w:r>
    </w:p>
    <w:p w:rsidR="00887848" w:rsidRDefault="00887848">
      <w:pPr>
        <w:ind w:left="720" w:hanging="720"/>
        <w:jc w:val="both"/>
        <w:rPr>
          <w:lang w:val="en-US" w:eastAsia="zh-CN"/>
        </w:rPr>
      </w:pPr>
      <w:r>
        <w:rPr>
          <w:lang w:val="en-US" w:eastAsia="zh-CN"/>
        </w:rPr>
        <w:t xml:space="preserve">Wahal, S., and J. McConnell. 2000. Do institutional investor exacerbate managerial myopia? </w:t>
      </w:r>
      <w:r>
        <w:rPr>
          <w:i/>
          <w:lang w:val="en-US" w:eastAsia="zh-CN"/>
        </w:rPr>
        <w:t>Journal of Corporate Finance</w:t>
      </w:r>
      <w:r>
        <w:rPr>
          <w:lang w:val="en-US" w:eastAsia="zh-CN"/>
        </w:rPr>
        <w:t xml:space="preserve"> 6:</w:t>
      </w:r>
      <w:r w:rsidR="0007504D">
        <w:rPr>
          <w:rFonts w:hint="eastAsia"/>
          <w:lang w:val="en-US" w:eastAsia="zh-CN"/>
        </w:rPr>
        <w:t xml:space="preserve"> </w:t>
      </w:r>
      <w:r>
        <w:rPr>
          <w:lang w:val="en-US" w:eastAsia="zh-CN"/>
        </w:rPr>
        <w:t>307-329.</w:t>
      </w:r>
    </w:p>
    <w:p w:rsidR="00887848" w:rsidRDefault="00887848">
      <w:pPr>
        <w:ind w:left="720" w:hanging="720"/>
        <w:jc w:val="both"/>
        <w:rPr>
          <w:lang w:eastAsia="zh-CN"/>
        </w:rPr>
      </w:pPr>
      <w:r>
        <w:rPr>
          <w:lang w:val="en-US" w:eastAsia="zh-CN"/>
        </w:rPr>
        <w:t xml:space="preserve">Warfield, T., J. Wild, and K. Wild. 1995. Managerial ownership, accounting choices, and informativeness of earnings. </w:t>
      </w:r>
      <w:r>
        <w:rPr>
          <w:i/>
          <w:lang w:val="en-US" w:eastAsia="zh-CN"/>
        </w:rPr>
        <w:t>Journal of Accounting and Economics</w:t>
      </w:r>
      <w:r>
        <w:rPr>
          <w:lang w:val="en-US" w:eastAsia="zh-CN"/>
        </w:rPr>
        <w:t xml:space="preserve"> 20</w:t>
      </w:r>
      <w:r w:rsidR="00A05341">
        <w:rPr>
          <w:rFonts w:hint="eastAsia"/>
          <w:lang w:val="en-US" w:eastAsia="zh-CN"/>
        </w:rPr>
        <w:t xml:space="preserve">, no. </w:t>
      </w:r>
      <w:r>
        <w:rPr>
          <w:lang w:val="en-US" w:eastAsia="zh-CN"/>
        </w:rPr>
        <w:t>1: 61-91.</w:t>
      </w:r>
    </w:p>
    <w:p w:rsidR="00887848" w:rsidRDefault="00887848">
      <w:pPr>
        <w:ind w:left="720" w:hanging="720"/>
        <w:jc w:val="both"/>
        <w:rPr>
          <w:lang w:val="en-US"/>
        </w:rPr>
      </w:pPr>
      <w:r>
        <w:rPr>
          <w:lang w:val="en-US"/>
        </w:rPr>
        <w:t xml:space="preserve">Winton, A. 1993. Limitation of </w:t>
      </w:r>
      <w:r>
        <w:rPr>
          <w:lang w:val="en-US" w:eastAsia="zh-CN"/>
        </w:rPr>
        <w:t>l</w:t>
      </w:r>
      <w:r>
        <w:rPr>
          <w:lang w:val="en-US"/>
        </w:rPr>
        <w:t xml:space="preserve">iability and the </w:t>
      </w:r>
      <w:r>
        <w:rPr>
          <w:lang w:val="en-US" w:eastAsia="zh-CN"/>
        </w:rPr>
        <w:t>o</w:t>
      </w:r>
      <w:r>
        <w:rPr>
          <w:lang w:val="en-US"/>
        </w:rPr>
        <w:t xml:space="preserve">wnership </w:t>
      </w:r>
      <w:r>
        <w:rPr>
          <w:lang w:val="en-US" w:eastAsia="zh-CN"/>
        </w:rPr>
        <w:t>s</w:t>
      </w:r>
      <w:r>
        <w:rPr>
          <w:lang w:val="en-US"/>
        </w:rPr>
        <w:t xml:space="preserve">tructure of the </w:t>
      </w:r>
      <w:r>
        <w:rPr>
          <w:lang w:val="en-US" w:eastAsia="zh-CN"/>
        </w:rPr>
        <w:t>f</w:t>
      </w:r>
      <w:r>
        <w:rPr>
          <w:lang w:val="en-US"/>
        </w:rPr>
        <w:t xml:space="preserve">irm. </w:t>
      </w:r>
      <w:r>
        <w:rPr>
          <w:i/>
          <w:lang w:val="en-US"/>
        </w:rPr>
        <w:t>The</w:t>
      </w:r>
      <w:r>
        <w:rPr>
          <w:lang w:val="en-US"/>
        </w:rPr>
        <w:t xml:space="preserve"> </w:t>
      </w:r>
      <w:r>
        <w:rPr>
          <w:i/>
          <w:lang w:val="en-US"/>
        </w:rPr>
        <w:t>Journal of Finance</w:t>
      </w:r>
      <w:r>
        <w:rPr>
          <w:lang w:val="en-US"/>
        </w:rPr>
        <w:t xml:space="preserve"> 48:</w:t>
      </w:r>
      <w:r w:rsidR="00A05341">
        <w:rPr>
          <w:rFonts w:hint="eastAsia"/>
          <w:lang w:val="en-US" w:eastAsia="zh-CN"/>
        </w:rPr>
        <w:t xml:space="preserve"> </w:t>
      </w:r>
      <w:r>
        <w:rPr>
          <w:lang w:val="en-US"/>
        </w:rPr>
        <w:t>487-512.</w:t>
      </w:r>
    </w:p>
    <w:p w:rsidR="00887848" w:rsidRDefault="00887848">
      <w:pPr>
        <w:ind w:left="720" w:hanging="720"/>
        <w:jc w:val="both"/>
        <w:rPr>
          <w:lang w:val="en-US" w:eastAsia="zh-CN"/>
        </w:rPr>
      </w:pPr>
      <w:r>
        <w:rPr>
          <w:lang w:val="en-US" w:eastAsia="zh-CN"/>
        </w:rPr>
        <w:t xml:space="preserve">Zingales, L. 1995. Insider ownership and the decision to go public. </w:t>
      </w:r>
      <w:r>
        <w:rPr>
          <w:i/>
          <w:lang w:val="en-US" w:eastAsia="zh-CN"/>
        </w:rPr>
        <w:t>Review of Economic Studies</w:t>
      </w:r>
      <w:r>
        <w:rPr>
          <w:lang w:val="en-US" w:eastAsia="zh-CN"/>
        </w:rPr>
        <w:t xml:space="preserve"> 62: 425-448.</w:t>
      </w:r>
    </w:p>
    <w:p w:rsidR="00887848" w:rsidRDefault="00887848">
      <w:pPr>
        <w:ind w:left="720" w:hanging="720"/>
        <w:jc w:val="both"/>
        <w:rPr>
          <w:lang w:val="en-US"/>
        </w:rPr>
      </w:pPr>
      <w:r>
        <w:rPr>
          <w:lang w:val="en-US"/>
        </w:rPr>
        <w:t xml:space="preserve">Zwiebel, J. 1995. Block </w:t>
      </w:r>
      <w:r>
        <w:rPr>
          <w:lang w:val="en-US" w:eastAsia="zh-CN"/>
        </w:rPr>
        <w:t>i</w:t>
      </w:r>
      <w:r>
        <w:rPr>
          <w:lang w:val="en-US"/>
        </w:rPr>
        <w:t xml:space="preserve">nvestment and </w:t>
      </w:r>
      <w:r>
        <w:rPr>
          <w:lang w:val="en-US" w:eastAsia="zh-CN"/>
        </w:rPr>
        <w:t>p</w:t>
      </w:r>
      <w:r>
        <w:rPr>
          <w:lang w:val="en-US"/>
        </w:rPr>
        <w:t xml:space="preserve">artial </w:t>
      </w:r>
      <w:r>
        <w:rPr>
          <w:lang w:val="en-US" w:eastAsia="zh-CN"/>
        </w:rPr>
        <w:t>b</w:t>
      </w:r>
      <w:r>
        <w:rPr>
          <w:lang w:val="en-US"/>
        </w:rPr>
        <w:t xml:space="preserve">enefits of </w:t>
      </w:r>
      <w:r>
        <w:rPr>
          <w:lang w:val="en-US" w:eastAsia="zh-CN"/>
        </w:rPr>
        <w:t>c</w:t>
      </w:r>
      <w:r>
        <w:rPr>
          <w:lang w:val="en-US"/>
        </w:rPr>
        <w:t xml:space="preserve">orporate </w:t>
      </w:r>
      <w:r>
        <w:rPr>
          <w:lang w:val="en-US" w:eastAsia="zh-CN"/>
        </w:rPr>
        <w:t>c</w:t>
      </w:r>
      <w:r>
        <w:rPr>
          <w:lang w:val="en-US"/>
        </w:rPr>
        <w:t xml:space="preserve">ontrol. </w:t>
      </w:r>
      <w:r>
        <w:rPr>
          <w:i/>
          <w:lang w:val="en-US"/>
        </w:rPr>
        <w:t>Review of Economic Studies</w:t>
      </w:r>
      <w:r>
        <w:rPr>
          <w:lang w:val="en-US"/>
        </w:rPr>
        <w:t xml:space="preserve"> 62:161-185.</w:t>
      </w:r>
    </w:p>
    <w:p w:rsidR="00887848" w:rsidRPr="00E73006" w:rsidRDefault="00887848">
      <w:pPr>
        <w:spacing w:line="480" w:lineRule="auto"/>
        <w:rPr>
          <w:b/>
          <w:lang w:eastAsia="zh-CN"/>
        </w:rPr>
      </w:pPr>
      <w:r>
        <w:rPr>
          <w:lang w:val="en-US"/>
        </w:rPr>
        <w:br w:type="page"/>
      </w:r>
      <w:r w:rsidRPr="00E73006">
        <w:rPr>
          <w:b/>
        </w:rPr>
        <w:lastRenderedPageBreak/>
        <w:t xml:space="preserve">Table 1. </w:t>
      </w:r>
    </w:p>
    <w:p w:rsidR="00887848" w:rsidRPr="00E73006" w:rsidRDefault="00887848">
      <w:pPr>
        <w:rPr>
          <w:b/>
          <w:lang w:eastAsia="zh-CN"/>
        </w:rPr>
      </w:pPr>
      <w:r w:rsidRPr="00E73006">
        <w:rPr>
          <w:b/>
          <w:lang w:eastAsia="zh-CN"/>
        </w:rPr>
        <w:t xml:space="preserve">Panel A: </w:t>
      </w:r>
      <w:r w:rsidRPr="00E73006">
        <w:rPr>
          <w:b/>
        </w:rPr>
        <w:t>Descriptive Statistics</w:t>
      </w:r>
    </w:p>
    <w:tbl>
      <w:tblPr>
        <w:tblW w:w="5216" w:type="pct"/>
        <w:jc w:val="center"/>
        <w:tblLook w:val="00A0" w:firstRow="1" w:lastRow="0" w:firstColumn="1" w:lastColumn="0" w:noHBand="0" w:noVBand="0"/>
      </w:tblPr>
      <w:tblGrid>
        <w:gridCol w:w="4288"/>
        <w:gridCol w:w="1332"/>
        <w:gridCol w:w="1429"/>
        <w:gridCol w:w="1296"/>
        <w:gridCol w:w="1296"/>
      </w:tblGrid>
      <w:tr w:rsidR="00887848" w:rsidRPr="0047304A">
        <w:trPr>
          <w:jc w:val="center"/>
        </w:trPr>
        <w:tc>
          <w:tcPr>
            <w:tcW w:w="2224" w:type="pct"/>
            <w:tcBorders>
              <w:top w:val="single" w:sz="4" w:space="0" w:color="auto"/>
              <w:bottom w:val="single" w:sz="4" w:space="0" w:color="auto"/>
            </w:tcBorders>
          </w:tcPr>
          <w:p w:rsidR="00887848" w:rsidRPr="0047304A" w:rsidRDefault="00887848"/>
        </w:tc>
        <w:tc>
          <w:tcPr>
            <w:tcW w:w="691" w:type="pct"/>
            <w:tcBorders>
              <w:top w:val="single" w:sz="4" w:space="0" w:color="auto"/>
              <w:bottom w:val="single" w:sz="4" w:space="0" w:color="auto"/>
            </w:tcBorders>
          </w:tcPr>
          <w:p w:rsidR="00887848" w:rsidRPr="0047304A" w:rsidRDefault="00887848">
            <w:r w:rsidRPr="0047304A">
              <w:t>Mean</w:t>
            </w:r>
          </w:p>
        </w:tc>
        <w:tc>
          <w:tcPr>
            <w:tcW w:w="741" w:type="pct"/>
            <w:tcBorders>
              <w:top w:val="single" w:sz="4" w:space="0" w:color="auto"/>
              <w:bottom w:val="single" w:sz="4" w:space="0" w:color="auto"/>
            </w:tcBorders>
          </w:tcPr>
          <w:p w:rsidR="00887848" w:rsidRPr="0047304A" w:rsidRDefault="00887848">
            <w:r w:rsidRPr="0047304A">
              <w:t xml:space="preserve">Standard Deviation </w:t>
            </w:r>
          </w:p>
        </w:tc>
        <w:tc>
          <w:tcPr>
            <w:tcW w:w="672" w:type="pct"/>
            <w:tcBorders>
              <w:top w:val="single" w:sz="4" w:space="0" w:color="auto"/>
              <w:bottom w:val="single" w:sz="4" w:space="0" w:color="auto"/>
            </w:tcBorders>
          </w:tcPr>
          <w:p w:rsidR="00887848" w:rsidRPr="0047304A" w:rsidRDefault="00887848">
            <w:r w:rsidRPr="0047304A">
              <w:t>Min</w:t>
            </w:r>
          </w:p>
        </w:tc>
        <w:tc>
          <w:tcPr>
            <w:tcW w:w="672" w:type="pct"/>
            <w:tcBorders>
              <w:top w:val="single" w:sz="4" w:space="0" w:color="auto"/>
              <w:bottom w:val="single" w:sz="4" w:space="0" w:color="auto"/>
            </w:tcBorders>
          </w:tcPr>
          <w:p w:rsidR="00887848" w:rsidRPr="0047304A" w:rsidRDefault="00887848">
            <w:r w:rsidRPr="0047304A">
              <w:t>Max</w:t>
            </w:r>
          </w:p>
        </w:tc>
      </w:tr>
      <w:tr w:rsidR="00887848" w:rsidRPr="0047304A">
        <w:trPr>
          <w:jc w:val="center"/>
        </w:trPr>
        <w:tc>
          <w:tcPr>
            <w:tcW w:w="5000" w:type="pct"/>
            <w:gridSpan w:val="5"/>
            <w:tcBorders>
              <w:top w:val="single" w:sz="4" w:space="0" w:color="auto"/>
              <w:bottom w:val="single" w:sz="4" w:space="0" w:color="auto"/>
            </w:tcBorders>
          </w:tcPr>
          <w:p w:rsidR="00887848" w:rsidRPr="0047304A" w:rsidRDefault="00887848">
            <w:r w:rsidRPr="0047304A">
              <w:t>Informed Trading and The Structure of Informed Trading in Hong Kong</w:t>
            </w:r>
          </w:p>
        </w:tc>
      </w:tr>
      <w:tr w:rsidR="00887848" w:rsidRPr="0047304A">
        <w:trPr>
          <w:jc w:val="center"/>
        </w:trPr>
        <w:tc>
          <w:tcPr>
            <w:tcW w:w="2224" w:type="pct"/>
            <w:tcBorders>
              <w:top w:val="single" w:sz="4" w:space="0" w:color="auto"/>
            </w:tcBorders>
          </w:tcPr>
          <w:p w:rsidR="00887848" w:rsidRPr="0047304A" w:rsidRDefault="00887848">
            <w:r w:rsidRPr="0047304A">
              <w:t>1.PIN</w:t>
            </w:r>
          </w:p>
        </w:tc>
        <w:tc>
          <w:tcPr>
            <w:tcW w:w="691" w:type="pct"/>
            <w:tcBorders>
              <w:top w:val="single" w:sz="4" w:space="0" w:color="auto"/>
            </w:tcBorders>
          </w:tcPr>
          <w:p w:rsidR="00887848" w:rsidRPr="0047304A" w:rsidRDefault="00887848">
            <w:r w:rsidRPr="0047304A">
              <w:t>0.30</w:t>
            </w:r>
          </w:p>
        </w:tc>
        <w:tc>
          <w:tcPr>
            <w:tcW w:w="741" w:type="pct"/>
            <w:tcBorders>
              <w:top w:val="single" w:sz="4" w:space="0" w:color="auto"/>
            </w:tcBorders>
          </w:tcPr>
          <w:p w:rsidR="00887848" w:rsidRPr="0047304A" w:rsidRDefault="00887848">
            <w:r w:rsidRPr="0047304A">
              <w:t>0.13</w:t>
            </w:r>
          </w:p>
        </w:tc>
        <w:tc>
          <w:tcPr>
            <w:tcW w:w="672" w:type="pct"/>
            <w:tcBorders>
              <w:top w:val="single" w:sz="4" w:space="0" w:color="auto"/>
            </w:tcBorders>
          </w:tcPr>
          <w:p w:rsidR="00887848" w:rsidRPr="0047304A" w:rsidRDefault="00887848">
            <w:r w:rsidRPr="0047304A">
              <w:t>0.08</w:t>
            </w:r>
          </w:p>
        </w:tc>
        <w:tc>
          <w:tcPr>
            <w:tcW w:w="672" w:type="pct"/>
            <w:tcBorders>
              <w:top w:val="single" w:sz="4" w:space="0" w:color="auto"/>
            </w:tcBorders>
          </w:tcPr>
          <w:p w:rsidR="00887848" w:rsidRPr="0047304A" w:rsidRDefault="00887848">
            <w:r w:rsidRPr="0047304A">
              <w:t>0.84</w:t>
            </w:r>
          </w:p>
        </w:tc>
      </w:tr>
      <w:tr w:rsidR="00887848" w:rsidRPr="0047304A">
        <w:trPr>
          <w:jc w:val="center"/>
        </w:trPr>
        <w:tc>
          <w:tcPr>
            <w:tcW w:w="2224" w:type="pct"/>
          </w:tcPr>
          <w:p w:rsidR="00887848" w:rsidRPr="0047304A" w:rsidRDefault="00887848">
            <w:r w:rsidRPr="0047304A">
              <w:t>2.DF</w:t>
            </w:r>
          </w:p>
        </w:tc>
        <w:tc>
          <w:tcPr>
            <w:tcW w:w="691" w:type="pct"/>
          </w:tcPr>
          <w:p w:rsidR="00887848" w:rsidRPr="0047304A" w:rsidRDefault="00887848">
            <w:r w:rsidRPr="0047304A">
              <w:t>-0.02</w:t>
            </w:r>
          </w:p>
        </w:tc>
        <w:tc>
          <w:tcPr>
            <w:tcW w:w="741" w:type="pct"/>
          </w:tcPr>
          <w:p w:rsidR="00887848" w:rsidRPr="0047304A" w:rsidRDefault="00887848">
            <w:r w:rsidRPr="0047304A">
              <w:t>0.15</w:t>
            </w:r>
          </w:p>
        </w:tc>
        <w:tc>
          <w:tcPr>
            <w:tcW w:w="672" w:type="pct"/>
          </w:tcPr>
          <w:p w:rsidR="00887848" w:rsidRPr="0047304A" w:rsidRDefault="00887848">
            <w:r w:rsidRPr="0047304A">
              <w:t>-0.77</w:t>
            </w:r>
          </w:p>
        </w:tc>
        <w:tc>
          <w:tcPr>
            <w:tcW w:w="672" w:type="pct"/>
          </w:tcPr>
          <w:p w:rsidR="00887848" w:rsidRPr="0047304A" w:rsidRDefault="00887848">
            <w:r w:rsidRPr="0047304A">
              <w:t>0.40</w:t>
            </w:r>
          </w:p>
        </w:tc>
      </w:tr>
      <w:tr w:rsidR="00887848" w:rsidRPr="0047304A">
        <w:trPr>
          <w:jc w:val="center"/>
        </w:trPr>
        <w:tc>
          <w:tcPr>
            <w:tcW w:w="5000" w:type="pct"/>
            <w:gridSpan w:val="5"/>
            <w:tcBorders>
              <w:top w:val="single" w:sz="4" w:space="0" w:color="auto"/>
              <w:bottom w:val="single" w:sz="4" w:space="0" w:color="auto"/>
            </w:tcBorders>
          </w:tcPr>
          <w:p w:rsidR="00887848" w:rsidRPr="0047304A" w:rsidRDefault="00887848">
            <w:r w:rsidRPr="0047304A">
              <w:t>Ownership Structure Variables</w:t>
            </w:r>
          </w:p>
        </w:tc>
      </w:tr>
      <w:tr w:rsidR="00887848" w:rsidRPr="0047304A">
        <w:trPr>
          <w:jc w:val="center"/>
        </w:trPr>
        <w:tc>
          <w:tcPr>
            <w:tcW w:w="2224" w:type="pct"/>
          </w:tcPr>
          <w:p w:rsidR="00887848" w:rsidRPr="0047304A" w:rsidRDefault="00AF142B">
            <w:r w:rsidRPr="0047304A">
              <w:rPr>
                <w:rFonts w:hint="eastAsia"/>
                <w:lang w:eastAsia="zh-CN"/>
              </w:rPr>
              <w:t>3</w:t>
            </w:r>
            <w:r w:rsidR="00887848" w:rsidRPr="0047304A">
              <w:t>.Family Controller’ Ownership</w:t>
            </w:r>
            <w:r w:rsidR="00887848" w:rsidRPr="0047304A">
              <w:rPr>
                <w:lang w:eastAsia="zh-CN"/>
              </w:rPr>
              <w:t xml:space="preserve"> (n=361)</w:t>
            </w:r>
          </w:p>
        </w:tc>
        <w:tc>
          <w:tcPr>
            <w:tcW w:w="691" w:type="pct"/>
          </w:tcPr>
          <w:p w:rsidR="00887848" w:rsidRPr="0047304A" w:rsidRDefault="00887848">
            <w:pPr>
              <w:rPr>
                <w:lang w:eastAsia="zh-CN"/>
              </w:rPr>
            </w:pPr>
            <w:r w:rsidRPr="0047304A">
              <w:t>48.77</w:t>
            </w:r>
          </w:p>
        </w:tc>
        <w:tc>
          <w:tcPr>
            <w:tcW w:w="741" w:type="pct"/>
          </w:tcPr>
          <w:p w:rsidR="00887848" w:rsidRPr="0047304A" w:rsidRDefault="00887848">
            <w:pPr>
              <w:rPr>
                <w:lang w:eastAsia="zh-CN"/>
              </w:rPr>
            </w:pPr>
            <w:r w:rsidRPr="0047304A">
              <w:t>17.70</w:t>
            </w:r>
          </w:p>
        </w:tc>
        <w:tc>
          <w:tcPr>
            <w:tcW w:w="672" w:type="pct"/>
          </w:tcPr>
          <w:p w:rsidR="00887848" w:rsidRPr="0047304A" w:rsidRDefault="00887848">
            <w:pPr>
              <w:rPr>
                <w:lang w:eastAsia="zh-CN"/>
              </w:rPr>
            </w:pPr>
            <w:r w:rsidRPr="0047304A">
              <w:t>10.00</w:t>
            </w:r>
          </w:p>
        </w:tc>
        <w:tc>
          <w:tcPr>
            <w:tcW w:w="672" w:type="pct"/>
          </w:tcPr>
          <w:p w:rsidR="00887848" w:rsidRPr="0047304A" w:rsidRDefault="00887848">
            <w:pPr>
              <w:rPr>
                <w:lang w:eastAsia="zh-CN"/>
              </w:rPr>
            </w:pPr>
            <w:r w:rsidRPr="0047304A">
              <w:t>89.64</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4</w:t>
            </w:r>
            <w:r w:rsidR="00887848" w:rsidRPr="0047304A">
              <w:t>.Institutional Block-holders</w:t>
            </w:r>
            <w:r w:rsidR="00887848" w:rsidRPr="0047304A">
              <w:rPr>
                <w:lang w:eastAsia="zh-CN"/>
              </w:rPr>
              <w:t>’ Ownership (n=173)</w:t>
            </w:r>
          </w:p>
        </w:tc>
        <w:tc>
          <w:tcPr>
            <w:tcW w:w="691" w:type="pct"/>
          </w:tcPr>
          <w:p w:rsidR="00887848" w:rsidRPr="0047304A" w:rsidRDefault="00887848">
            <w:pPr>
              <w:rPr>
                <w:lang w:eastAsia="zh-CN"/>
              </w:rPr>
            </w:pPr>
            <w:r w:rsidRPr="0047304A">
              <w:t>14.09</w:t>
            </w:r>
          </w:p>
        </w:tc>
        <w:tc>
          <w:tcPr>
            <w:tcW w:w="741" w:type="pct"/>
          </w:tcPr>
          <w:p w:rsidR="00887848" w:rsidRPr="0047304A" w:rsidRDefault="00887848">
            <w:r w:rsidRPr="0047304A">
              <w:t>8.39</w:t>
            </w:r>
          </w:p>
        </w:tc>
        <w:tc>
          <w:tcPr>
            <w:tcW w:w="672" w:type="pct"/>
          </w:tcPr>
          <w:p w:rsidR="00887848" w:rsidRPr="0047304A" w:rsidRDefault="00887848">
            <w:pPr>
              <w:rPr>
                <w:lang w:eastAsia="zh-CN"/>
              </w:rPr>
            </w:pPr>
            <w:r w:rsidRPr="0047304A">
              <w:t>5.00</w:t>
            </w:r>
          </w:p>
        </w:tc>
        <w:tc>
          <w:tcPr>
            <w:tcW w:w="672" w:type="pct"/>
          </w:tcPr>
          <w:p w:rsidR="00887848" w:rsidRPr="0047304A" w:rsidRDefault="00887848">
            <w:pPr>
              <w:rPr>
                <w:lang w:eastAsia="zh-CN"/>
              </w:rPr>
            </w:pPr>
            <w:r w:rsidRPr="0047304A">
              <w:t>41.69</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5</w:t>
            </w:r>
            <w:r w:rsidR="00887848" w:rsidRPr="0047304A">
              <w:rPr>
                <w:lang w:eastAsia="zh-CN"/>
              </w:rPr>
              <w:t>.Institutional Block-holders’ Relative  Power over Family</w:t>
            </w:r>
          </w:p>
        </w:tc>
        <w:tc>
          <w:tcPr>
            <w:tcW w:w="691" w:type="pct"/>
          </w:tcPr>
          <w:p w:rsidR="00887848" w:rsidRPr="0047304A" w:rsidRDefault="00887848">
            <w:pPr>
              <w:rPr>
                <w:lang w:eastAsia="zh-CN"/>
              </w:rPr>
            </w:pPr>
            <w:r w:rsidRPr="0047304A">
              <w:rPr>
                <w:lang w:eastAsia="zh-CN"/>
              </w:rPr>
              <w:t>0.38</w:t>
            </w:r>
          </w:p>
        </w:tc>
        <w:tc>
          <w:tcPr>
            <w:tcW w:w="741" w:type="pct"/>
          </w:tcPr>
          <w:p w:rsidR="00887848" w:rsidRPr="0047304A" w:rsidRDefault="00887848">
            <w:pPr>
              <w:rPr>
                <w:lang w:eastAsia="zh-CN"/>
              </w:rPr>
            </w:pPr>
            <w:r w:rsidRPr="0047304A">
              <w:rPr>
                <w:lang w:eastAsia="zh-CN"/>
              </w:rPr>
              <w:t>0.39</w:t>
            </w:r>
          </w:p>
        </w:tc>
        <w:tc>
          <w:tcPr>
            <w:tcW w:w="672" w:type="pct"/>
          </w:tcPr>
          <w:p w:rsidR="00887848" w:rsidRPr="0047304A" w:rsidRDefault="00887848">
            <w:pPr>
              <w:rPr>
                <w:lang w:eastAsia="zh-CN"/>
              </w:rPr>
            </w:pPr>
            <w:r w:rsidRPr="0047304A">
              <w:rPr>
                <w:lang w:eastAsia="zh-CN"/>
              </w:rPr>
              <w:t>0.07</w:t>
            </w:r>
          </w:p>
        </w:tc>
        <w:tc>
          <w:tcPr>
            <w:tcW w:w="672" w:type="pct"/>
          </w:tcPr>
          <w:p w:rsidR="00887848" w:rsidRPr="0047304A" w:rsidRDefault="00887848">
            <w:pPr>
              <w:rPr>
                <w:lang w:eastAsia="zh-CN"/>
              </w:rPr>
            </w:pPr>
            <w:r w:rsidRPr="0047304A">
              <w:rPr>
                <w:lang w:eastAsia="zh-CN"/>
              </w:rPr>
              <w:t>2.40</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6</w:t>
            </w:r>
            <w:r w:rsidR="00887848" w:rsidRPr="0047304A">
              <w:rPr>
                <w:lang w:eastAsia="zh-CN"/>
              </w:rPr>
              <w:t>. Pressure-Resistant Institutional Block-holders’ Ownership (n=129)</w:t>
            </w:r>
          </w:p>
        </w:tc>
        <w:tc>
          <w:tcPr>
            <w:tcW w:w="691" w:type="pct"/>
          </w:tcPr>
          <w:p w:rsidR="00887848" w:rsidRPr="0047304A" w:rsidRDefault="00887848">
            <w:pPr>
              <w:rPr>
                <w:lang w:eastAsia="zh-CN"/>
              </w:rPr>
            </w:pPr>
            <w:r w:rsidRPr="0047304A">
              <w:rPr>
                <w:lang w:eastAsia="zh-CN"/>
              </w:rPr>
              <w:t>12.15</w:t>
            </w:r>
          </w:p>
        </w:tc>
        <w:tc>
          <w:tcPr>
            <w:tcW w:w="741" w:type="pct"/>
          </w:tcPr>
          <w:p w:rsidR="00887848" w:rsidRPr="0047304A" w:rsidRDefault="00887848">
            <w:r w:rsidRPr="0047304A">
              <w:t>7.07</w:t>
            </w:r>
          </w:p>
        </w:tc>
        <w:tc>
          <w:tcPr>
            <w:tcW w:w="672" w:type="pct"/>
          </w:tcPr>
          <w:p w:rsidR="00887848" w:rsidRPr="0047304A" w:rsidRDefault="00887848">
            <w:r w:rsidRPr="0047304A">
              <w:t>5.00</w:t>
            </w:r>
          </w:p>
        </w:tc>
        <w:tc>
          <w:tcPr>
            <w:tcW w:w="672" w:type="pct"/>
          </w:tcPr>
          <w:p w:rsidR="00887848" w:rsidRPr="0047304A" w:rsidRDefault="00887848">
            <w:r w:rsidRPr="0047304A">
              <w:t>35.04</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7</w:t>
            </w:r>
            <w:r w:rsidR="00887848" w:rsidRPr="0047304A">
              <w:rPr>
                <w:lang w:eastAsia="zh-CN"/>
              </w:rPr>
              <w:t>. Pressure-Resistant Institutional Block-holders’s Relative  Power over Family</w:t>
            </w:r>
          </w:p>
        </w:tc>
        <w:tc>
          <w:tcPr>
            <w:tcW w:w="691" w:type="pct"/>
          </w:tcPr>
          <w:p w:rsidR="00887848" w:rsidRPr="0047304A" w:rsidRDefault="00887848">
            <w:pPr>
              <w:rPr>
                <w:lang w:eastAsia="zh-CN"/>
              </w:rPr>
            </w:pPr>
            <w:r w:rsidRPr="0047304A">
              <w:rPr>
                <w:lang w:eastAsia="zh-CN"/>
              </w:rPr>
              <w:t>0.31</w:t>
            </w:r>
          </w:p>
        </w:tc>
        <w:tc>
          <w:tcPr>
            <w:tcW w:w="741" w:type="pct"/>
          </w:tcPr>
          <w:p w:rsidR="00887848" w:rsidRPr="0047304A" w:rsidRDefault="00887848">
            <w:r w:rsidRPr="0047304A">
              <w:t>0.24</w:t>
            </w:r>
          </w:p>
        </w:tc>
        <w:tc>
          <w:tcPr>
            <w:tcW w:w="672" w:type="pct"/>
          </w:tcPr>
          <w:p w:rsidR="00887848" w:rsidRPr="0047304A" w:rsidRDefault="00887848">
            <w:r w:rsidRPr="0047304A">
              <w:t>0.07</w:t>
            </w:r>
          </w:p>
        </w:tc>
        <w:tc>
          <w:tcPr>
            <w:tcW w:w="672" w:type="pct"/>
          </w:tcPr>
          <w:p w:rsidR="00887848" w:rsidRPr="0047304A" w:rsidRDefault="00887848">
            <w:r w:rsidRPr="0047304A">
              <w:t>1.08</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8</w:t>
            </w:r>
            <w:r w:rsidR="00887848" w:rsidRPr="0047304A">
              <w:rPr>
                <w:lang w:eastAsia="zh-CN"/>
              </w:rPr>
              <w:t>. Pressure Sensitive institutional block-holders’ Ownership (n=62)</w:t>
            </w:r>
          </w:p>
        </w:tc>
        <w:tc>
          <w:tcPr>
            <w:tcW w:w="691" w:type="pct"/>
          </w:tcPr>
          <w:p w:rsidR="00887848" w:rsidRPr="0047304A" w:rsidRDefault="00887848">
            <w:pPr>
              <w:rPr>
                <w:lang w:eastAsia="zh-CN"/>
              </w:rPr>
            </w:pPr>
            <w:r w:rsidRPr="0047304A">
              <w:rPr>
                <w:lang w:eastAsia="zh-CN"/>
              </w:rPr>
              <w:t>9.19</w:t>
            </w:r>
          </w:p>
        </w:tc>
        <w:tc>
          <w:tcPr>
            <w:tcW w:w="741" w:type="pct"/>
          </w:tcPr>
          <w:p w:rsidR="00887848" w:rsidRPr="0047304A" w:rsidRDefault="00887848">
            <w:r w:rsidRPr="0047304A">
              <w:t>3.87</w:t>
            </w:r>
          </w:p>
        </w:tc>
        <w:tc>
          <w:tcPr>
            <w:tcW w:w="672" w:type="pct"/>
          </w:tcPr>
          <w:p w:rsidR="00887848" w:rsidRPr="0047304A" w:rsidRDefault="00887848">
            <w:r w:rsidRPr="0047304A">
              <w:t>5.00</w:t>
            </w:r>
          </w:p>
        </w:tc>
        <w:tc>
          <w:tcPr>
            <w:tcW w:w="672" w:type="pct"/>
          </w:tcPr>
          <w:p w:rsidR="00887848" w:rsidRPr="0047304A" w:rsidRDefault="00887848">
            <w:r w:rsidRPr="0047304A">
              <w:t>21.95</w:t>
            </w:r>
          </w:p>
        </w:tc>
      </w:tr>
      <w:tr w:rsidR="00887848" w:rsidRPr="0047304A">
        <w:trPr>
          <w:jc w:val="center"/>
        </w:trPr>
        <w:tc>
          <w:tcPr>
            <w:tcW w:w="2224" w:type="pct"/>
          </w:tcPr>
          <w:p w:rsidR="00887848" w:rsidRPr="0047304A" w:rsidRDefault="00AF142B">
            <w:pPr>
              <w:rPr>
                <w:lang w:eastAsia="zh-CN"/>
              </w:rPr>
            </w:pPr>
            <w:r w:rsidRPr="0047304A">
              <w:rPr>
                <w:rFonts w:hint="eastAsia"/>
                <w:lang w:eastAsia="zh-CN"/>
              </w:rPr>
              <w:t>9</w:t>
            </w:r>
            <w:r w:rsidR="00887848" w:rsidRPr="0047304A">
              <w:rPr>
                <w:lang w:eastAsia="zh-CN"/>
              </w:rPr>
              <w:t xml:space="preserve">. Pressure-Sensitive Institutional Block-holders’ Relative  Power over family </w:t>
            </w:r>
          </w:p>
        </w:tc>
        <w:tc>
          <w:tcPr>
            <w:tcW w:w="691" w:type="pct"/>
          </w:tcPr>
          <w:p w:rsidR="00887848" w:rsidRPr="0047304A" w:rsidRDefault="00887848">
            <w:pPr>
              <w:rPr>
                <w:lang w:eastAsia="zh-CN"/>
              </w:rPr>
            </w:pPr>
            <w:r w:rsidRPr="0047304A">
              <w:rPr>
                <w:lang w:eastAsia="zh-CN"/>
              </w:rPr>
              <w:t>0.26</w:t>
            </w:r>
          </w:p>
        </w:tc>
        <w:tc>
          <w:tcPr>
            <w:tcW w:w="741" w:type="pct"/>
          </w:tcPr>
          <w:p w:rsidR="00887848" w:rsidRPr="0047304A" w:rsidRDefault="00887848">
            <w:r w:rsidRPr="0047304A">
              <w:t>0.23</w:t>
            </w:r>
          </w:p>
        </w:tc>
        <w:tc>
          <w:tcPr>
            <w:tcW w:w="672" w:type="pct"/>
          </w:tcPr>
          <w:p w:rsidR="00887848" w:rsidRPr="0047304A" w:rsidRDefault="00887848">
            <w:r w:rsidRPr="0047304A">
              <w:t>0.07</w:t>
            </w:r>
          </w:p>
        </w:tc>
        <w:tc>
          <w:tcPr>
            <w:tcW w:w="672" w:type="pct"/>
          </w:tcPr>
          <w:p w:rsidR="00887848" w:rsidRPr="0047304A" w:rsidRDefault="00887848">
            <w:r w:rsidRPr="0047304A">
              <w:t>1.40</w:t>
            </w:r>
          </w:p>
        </w:tc>
      </w:tr>
      <w:tr w:rsidR="00887848" w:rsidRPr="0047304A">
        <w:trPr>
          <w:jc w:val="center"/>
        </w:trPr>
        <w:tc>
          <w:tcPr>
            <w:tcW w:w="2224" w:type="pct"/>
          </w:tcPr>
          <w:p w:rsidR="00887848" w:rsidRPr="0047304A" w:rsidRDefault="00887848">
            <w:pPr>
              <w:rPr>
                <w:lang w:eastAsia="zh-CN"/>
              </w:rPr>
            </w:pPr>
            <w:r w:rsidRPr="0047304A">
              <w:rPr>
                <w:lang w:eastAsia="zh-CN"/>
              </w:rPr>
              <w:t>1</w:t>
            </w:r>
            <w:r w:rsidR="00AF142B" w:rsidRPr="0047304A">
              <w:rPr>
                <w:rFonts w:hint="eastAsia"/>
                <w:lang w:eastAsia="zh-CN"/>
              </w:rPr>
              <w:t>0</w:t>
            </w:r>
            <w:r w:rsidRPr="0047304A">
              <w:t>.Pressure-Uncertain Institutional Block-holders’ Ownership</w:t>
            </w:r>
            <w:r w:rsidRPr="0047304A">
              <w:rPr>
                <w:lang w:eastAsia="zh-CN"/>
              </w:rPr>
              <w:t xml:space="preserve"> (n=25)</w:t>
            </w:r>
          </w:p>
        </w:tc>
        <w:tc>
          <w:tcPr>
            <w:tcW w:w="691" w:type="pct"/>
          </w:tcPr>
          <w:p w:rsidR="00887848" w:rsidRPr="0047304A" w:rsidRDefault="00887848">
            <w:pPr>
              <w:rPr>
                <w:lang w:eastAsia="zh-CN"/>
              </w:rPr>
            </w:pPr>
            <w:r w:rsidRPr="0047304A">
              <w:t>11.96</w:t>
            </w:r>
          </w:p>
        </w:tc>
        <w:tc>
          <w:tcPr>
            <w:tcW w:w="741" w:type="pct"/>
          </w:tcPr>
          <w:p w:rsidR="00887848" w:rsidRPr="0047304A" w:rsidRDefault="00887848">
            <w:r w:rsidRPr="0047304A">
              <w:t>7.61</w:t>
            </w:r>
          </w:p>
        </w:tc>
        <w:tc>
          <w:tcPr>
            <w:tcW w:w="672" w:type="pct"/>
          </w:tcPr>
          <w:p w:rsidR="00887848" w:rsidRPr="0047304A" w:rsidRDefault="00887848">
            <w:r w:rsidRPr="0047304A">
              <w:t>5.86</w:t>
            </w:r>
          </w:p>
        </w:tc>
        <w:tc>
          <w:tcPr>
            <w:tcW w:w="672" w:type="pct"/>
          </w:tcPr>
          <w:p w:rsidR="00887848" w:rsidRPr="0047304A" w:rsidRDefault="00887848">
            <w:r w:rsidRPr="0047304A">
              <w:t>32.31</w:t>
            </w:r>
          </w:p>
        </w:tc>
      </w:tr>
      <w:tr w:rsidR="00887848" w:rsidRPr="0047304A">
        <w:trPr>
          <w:jc w:val="center"/>
        </w:trPr>
        <w:tc>
          <w:tcPr>
            <w:tcW w:w="2224" w:type="pct"/>
            <w:tcBorders>
              <w:bottom w:val="single" w:sz="4" w:space="0" w:color="auto"/>
            </w:tcBorders>
          </w:tcPr>
          <w:p w:rsidR="00887848" w:rsidRPr="0047304A" w:rsidRDefault="00887848">
            <w:pPr>
              <w:rPr>
                <w:lang w:eastAsia="zh-CN"/>
              </w:rPr>
            </w:pPr>
            <w:r w:rsidRPr="0047304A">
              <w:rPr>
                <w:lang w:eastAsia="zh-CN"/>
              </w:rPr>
              <w:t>1</w:t>
            </w:r>
            <w:r w:rsidR="00AF142B" w:rsidRPr="0047304A">
              <w:rPr>
                <w:rFonts w:hint="eastAsia"/>
                <w:lang w:eastAsia="zh-CN"/>
              </w:rPr>
              <w:t>1</w:t>
            </w:r>
            <w:r w:rsidRPr="0047304A">
              <w:rPr>
                <w:lang w:eastAsia="zh-CN"/>
              </w:rPr>
              <w:t>. Pressure-Uncertain Institutional Block-holders’ Relative  Power</w:t>
            </w:r>
          </w:p>
        </w:tc>
        <w:tc>
          <w:tcPr>
            <w:tcW w:w="691" w:type="pct"/>
            <w:tcBorders>
              <w:bottom w:val="single" w:sz="4" w:space="0" w:color="auto"/>
            </w:tcBorders>
          </w:tcPr>
          <w:p w:rsidR="00887848" w:rsidRPr="0047304A" w:rsidRDefault="00887848">
            <w:pPr>
              <w:rPr>
                <w:lang w:eastAsia="zh-CN"/>
              </w:rPr>
            </w:pPr>
            <w:r w:rsidRPr="0047304A">
              <w:rPr>
                <w:lang w:eastAsia="zh-CN"/>
              </w:rPr>
              <w:t>0.40</w:t>
            </w:r>
          </w:p>
        </w:tc>
        <w:tc>
          <w:tcPr>
            <w:tcW w:w="741" w:type="pct"/>
            <w:tcBorders>
              <w:bottom w:val="single" w:sz="4" w:space="0" w:color="auto"/>
            </w:tcBorders>
          </w:tcPr>
          <w:p w:rsidR="00887848" w:rsidRPr="0047304A" w:rsidRDefault="00887848">
            <w:pPr>
              <w:rPr>
                <w:lang w:eastAsia="zh-CN"/>
              </w:rPr>
            </w:pPr>
            <w:r w:rsidRPr="0047304A">
              <w:rPr>
                <w:lang w:eastAsia="zh-CN"/>
              </w:rPr>
              <w:t>0.49</w:t>
            </w:r>
          </w:p>
        </w:tc>
        <w:tc>
          <w:tcPr>
            <w:tcW w:w="672" w:type="pct"/>
            <w:tcBorders>
              <w:bottom w:val="single" w:sz="4" w:space="0" w:color="auto"/>
            </w:tcBorders>
          </w:tcPr>
          <w:p w:rsidR="00887848" w:rsidRPr="0047304A" w:rsidRDefault="00887848">
            <w:pPr>
              <w:rPr>
                <w:lang w:eastAsia="zh-CN"/>
              </w:rPr>
            </w:pPr>
            <w:r w:rsidRPr="0047304A">
              <w:rPr>
                <w:lang w:eastAsia="zh-CN"/>
              </w:rPr>
              <w:t>0.08</w:t>
            </w:r>
          </w:p>
        </w:tc>
        <w:tc>
          <w:tcPr>
            <w:tcW w:w="672" w:type="pct"/>
            <w:tcBorders>
              <w:bottom w:val="single" w:sz="4" w:space="0" w:color="auto"/>
            </w:tcBorders>
          </w:tcPr>
          <w:p w:rsidR="00887848" w:rsidRPr="0047304A" w:rsidRDefault="00887848">
            <w:pPr>
              <w:rPr>
                <w:lang w:eastAsia="zh-CN"/>
              </w:rPr>
            </w:pPr>
            <w:r w:rsidRPr="0047304A">
              <w:rPr>
                <w:lang w:eastAsia="zh-CN"/>
              </w:rPr>
              <w:t>2.40</w:t>
            </w:r>
          </w:p>
        </w:tc>
      </w:tr>
      <w:tr w:rsidR="00887848" w:rsidRPr="0047304A">
        <w:trPr>
          <w:jc w:val="center"/>
        </w:trPr>
        <w:tc>
          <w:tcPr>
            <w:tcW w:w="5000" w:type="pct"/>
            <w:gridSpan w:val="5"/>
            <w:tcBorders>
              <w:top w:val="single" w:sz="4" w:space="0" w:color="auto"/>
              <w:bottom w:val="single" w:sz="4" w:space="0" w:color="auto"/>
            </w:tcBorders>
          </w:tcPr>
          <w:p w:rsidR="00887848" w:rsidRPr="0047304A" w:rsidRDefault="00887848">
            <w:r w:rsidRPr="0047304A">
              <w:t xml:space="preserve">Firm Valuation </w:t>
            </w:r>
          </w:p>
        </w:tc>
      </w:tr>
      <w:tr w:rsidR="00887848" w:rsidRPr="0047304A">
        <w:trPr>
          <w:jc w:val="center"/>
        </w:trPr>
        <w:tc>
          <w:tcPr>
            <w:tcW w:w="2224" w:type="pct"/>
            <w:tcBorders>
              <w:top w:val="single" w:sz="4" w:space="0" w:color="auto"/>
            </w:tcBorders>
          </w:tcPr>
          <w:p w:rsidR="00887848" w:rsidRPr="0047304A" w:rsidRDefault="00887848">
            <w:r w:rsidRPr="0047304A">
              <w:rPr>
                <w:lang w:eastAsia="zh-CN"/>
              </w:rPr>
              <w:t>1</w:t>
            </w:r>
            <w:r w:rsidR="00AF142B" w:rsidRPr="0047304A">
              <w:rPr>
                <w:rFonts w:hint="eastAsia"/>
                <w:lang w:eastAsia="zh-CN"/>
              </w:rPr>
              <w:t>2</w:t>
            </w:r>
            <w:r w:rsidRPr="0047304A">
              <w:t>.Tobin’s Q 06</w:t>
            </w:r>
          </w:p>
        </w:tc>
        <w:tc>
          <w:tcPr>
            <w:tcW w:w="691" w:type="pct"/>
            <w:tcBorders>
              <w:top w:val="single" w:sz="4" w:space="0" w:color="auto"/>
            </w:tcBorders>
          </w:tcPr>
          <w:p w:rsidR="00887848" w:rsidRPr="0047304A" w:rsidRDefault="00887848">
            <w:r w:rsidRPr="0047304A">
              <w:t>1.57</w:t>
            </w:r>
          </w:p>
        </w:tc>
        <w:tc>
          <w:tcPr>
            <w:tcW w:w="741" w:type="pct"/>
            <w:tcBorders>
              <w:top w:val="single" w:sz="4" w:space="0" w:color="auto"/>
            </w:tcBorders>
          </w:tcPr>
          <w:p w:rsidR="00887848" w:rsidRPr="0047304A" w:rsidRDefault="00887848">
            <w:r w:rsidRPr="0047304A">
              <w:t>2.70</w:t>
            </w:r>
          </w:p>
        </w:tc>
        <w:tc>
          <w:tcPr>
            <w:tcW w:w="672" w:type="pct"/>
            <w:tcBorders>
              <w:top w:val="single" w:sz="4" w:space="0" w:color="auto"/>
            </w:tcBorders>
          </w:tcPr>
          <w:p w:rsidR="00887848" w:rsidRPr="0047304A" w:rsidRDefault="00887848">
            <w:r w:rsidRPr="0047304A">
              <w:t>0.20</w:t>
            </w:r>
          </w:p>
        </w:tc>
        <w:tc>
          <w:tcPr>
            <w:tcW w:w="672" w:type="pct"/>
            <w:tcBorders>
              <w:top w:val="single" w:sz="4" w:space="0" w:color="auto"/>
            </w:tcBorders>
          </w:tcPr>
          <w:p w:rsidR="00887848" w:rsidRPr="0047304A" w:rsidRDefault="00887848">
            <w:r w:rsidRPr="0047304A">
              <w:t>25.84</w:t>
            </w:r>
          </w:p>
        </w:tc>
      </w:tr>
      <w:tr w:rsidR="00887848" w:rsidRPr="0047304A">
        <w:trPr>
          <w:jc w:val="center"/>
        </w:trPr>
        <w:tc>
          <w:tcPr>
            <w:tcW w:w="5000" w:type="pct"/>
            <w:gridSpan w:val="5"/>
            <w:tcBorders>
              <w:top w:val="single" w:sz="4" w:space="0" w:color="auto"/>
              <w:bottom w:val="single" w:sz="4" w:space="0" w:color="auto"/>
            </w:tcBorders>
          </w:tcPr>
          <w:p w:rsidR="00887848" w:rsidRPr="0047304A" w:rsidRDefault="00887848">
            <w:r w:rsidRPr="0047304A">
              <w:t>Control Variables</w:t>
            </w:r>
          </w:p>
        </w:tc>
      </w:tr>
      <w:tr w:rsidR="00887848" w:rsidRPr="0047304A">
        <w:trPr>
          <w:jc w:val="center"/>
        </w:trPr>
        <w:tc>
          <w:tcPr>
            <w:tcW w:w="2224" w:type="pct"/>
            <w:tcBorders>
              <w:top w:val="single" w:sz="4" w:space="0" w:color="auto"/>
            </w:tcBorders>
          </w:tcPr>
          <w:p w:rsidR="00887848" w:rsidRPr="0047304A" w:rsidRDefault="00887848">
            <w:r w:rsidRPr="0047304A">
              <w:rPr>
                <w:lang w:eastAsia="zh-CN"/>
              </w:rPr>
              <w:t>1</w:t>
            </w:r>
            <w:r w:rsidR="00AF142B" w:rsidRPr="0047304A">
              <w:rPr>
                <w:rFonts w:hint="eastAsia"/>
                <w:lang w:eastAsia="zh-CN"/>
              </w:rPr>
              <w:t>3</w:t>
            </w:r>
            <w:r w:rsidRPr="0047304A">
              <w:t>.Ln Market Capitalization of Equity</w:t>
            </w:r>
          </w:p>
        </w:tc>
        <w:tc>
          <w:tcPr>
            <w:tcW w:w="691" w:type="pct"/>
            <w:tcBorders>
              <w:top w:val="single" w:sz="4" w:space="0" w:color="auto"/>
            </w:tcBorders>
          </w:tcPr>
          <w:p w:rsidR="00887848" w:rsidRPr="0047304A" w:rsidRDefault="00887848">
            <w:r w:rsidRPr="0047304A">
              <w:t>21.00</w:t>
            </w:r>
          </w:p>
        </w:tc>
        <w:tc>
          <w:tcPr>
            <w:tcW w:w="741" w:type="pct"/>
            <w:tcBorders>
              <w:top w:val="single" w:sz="4" w:space="0" w:color="auto"/>
            </w:tcBorders>
          </w:tcPr>
          <w:p w:rsidR="00887848" w:rsidRPr="0047304A" w:rsidRDefault="00887848">
            <w:r w:rsidRPr="0047304A">
              <w:t>1.96</w:t>
            </w:r>
          </w:p>
        </w:tc>
        <w:tc>
          <w:tcPr>
            <w:tcW w:w="672" w:type="pct"/>
            <w:tcBorders>
              <w:top w:val="single" w:sz="4" w:space="0" w:color="auto"/>
            </w:tcBorders>
          </w:tcPr>
          <w:p w:rsidR="00887848" w:rsidRPr="0047304A" w:rsidRDefault="00887848">
            <w:r w:rsidRPr="0047304A">
              <w:t>17.11</w:t>
            </w:r>
          </w:p>
        </w:tc>
        <w:tc>
          <w:tcPr>
            <w:tcW w:w="672" w:type="pct"/>
            <w:tcBorders>
              <w:top w:val="single" w:sz="4" w:space="0" w:color="auto"/>
            </w:tcBorders>
          </w:tcPr>
          <w:p w:rsidR="00887848" w:rsidRPr="0047304A" w:rsidRDefault="00887848">
            <w:r w:rsidRPr="0047304A">
              <w:t>27.93</w:t>
            </w:r>
          </w:p>
        </w:tc>
      </w:tr>
      <w:tr w:rsidR="00887848" w:rsidRPr="0047304A">
        <w:trPr>
          <w:jc w:val="center"/>
        </w:trPr>
        <w:tc>
          <w:tcPr>
            <w:tcW w:w="2224" w:type="pct"/>
          </w:tcPr>
          <w:p w:rsidR="00887848" w:rsidRPr="0047304A" w:rsidRDefault="00887848">
            <w:r w:rsidRPr="0047304A">
              <w:rPr>
                <w:lang w:eastAsia="zh-CN"/>
              </w:rPr>
              <w:t>1</w:t>
            </w:r>
            <w:r w:rsidR="00AF142B" w:rsidRPr="0047304A">
              <w:rPr>
                <w:rFonts w:hint="eastAsia"/>
                <w:lang w:eastAsia="zh-CN"/>
              </w:rPr>
              <w:t>4</w:t>
            </w:r>
            <w:r w:rsidRPr="0047304A">
              <w:t>.Ln Share Liquidity</w:t>
            </w:r>
          </w:p>
        </w:tc>
        <w:tc>
          <w:tcPr>
            <w:tcW w:w="691" w:type="pct"/>
          </w:tcPr>
          <w:p w:rsidR="00887848" w:rsidRPr="0047304A" w:rsidRDefault="00887848">
            <w:r w:rsidRPr="0047304A">
              <w:t>13.79</w:t>
            </w:r>
          </w:p>
        </w:tc>
        <w:tc>
          <w:tcPr>
            <w:tcW w:w="741" w:type="pct"/>
          </w:tcPr>
          <w:p w:rsidR="00887848" w:rsidRPr="0047304A" w:rsidRDefault="00887848">
            <w:r w:rsidRPr="0047304A">
              <w:t>1.98</w:t>
            </w:r>
          </w:p>
        </w:tc>
        <w:tc>
          <w:tcPr>
            <w:tcW w:w="672" w:type="pct"/>
          </w:tcPr>
          <w:p w:rsidR="00887848" w:rsidRPr="0047304A" w:rsidRDefault="00887848">
            <w:r w:rsidRPr="0047304A">
              <w:t>7.86</w:t>
            </w:r>
          </w:p>
        </w:tc>
        <w:tc>
          <w:tcPr>
            <w:tcW w:w="672" w:type="pct"/>
          </w:tcPr>
          <w:p w:rsidR="00887848" w:rsidRPr="0047304A" w:rsidRDefault="00887848">
            <w:r w:rsidRPr="0047304A">
              <w:t>20.12</w:t>
            </w:r>
          </w:p>
        </w:tc>
      </w:tr>
      <w:tr w:rsidR="00887848" w:rsidRPr="0047304A">
        <w:trPr>
          <w:jc w:val="center"/>
        </w:trPr>
        <w:tc>
          <w:tcPr>
            <w:tcW w:w="2224" w:type="pct"/>
          </w:tcPr>
          <w:p w:rsidR="00887848" w:rsidRPr="0047304A" w:rsidRDefault="00887848">
            <w:r w:rsidRPr="0047304A">
              <w:rPr>
                <w:lang w:eastAsia="zh-CN"/>
              </w:rPr>
              <w:t>1</w:t>
            </w:r>
            <w:r w:rsidR="00AF142B" w:rsidRPr="0047304A">
              <w:rPr>
                <w:rFonts w:hint="eastAsia"/>
                <w:lang w:eastAsia="zh-CN"/>
              </w:rPr>
              <w:t>5</w:t>
            </w:r>
            <w:r w:rsidRPr="0047304A">
              <w:t>.Daily Return Risk</w:t>
            </w:r>
          </w:p>
        </w:tc>
        <w:tc>
          <w:tcPr>
            <w:tcW w:w="691" w:type="pct"/>
          </w:tcPr>
          <w:p w:rsidR="00887848" w:rsidRPr="0047304A" w:rsidRDefault="00887848">
            <w:r w:rsidRPr="0047304A">
              <w:t>12.85</w:t>
            </w:r>
          </w:p>
        </w:tc>
        <w:tc>
          <w:tcPr>
            <w:tcW w:w="741" w:type="pct"/>
          </w:tcPr>
          <w:p w:rsidR="00887848" w:rsidRPr="0047304A" w:rsidRDefault="00887848">
            <w:r w:rsidRPr="0047304A">
              <w:t>9.56</w:t>
            </w:r>
          </w:p>
        </w:tc>
        <w:tc>
          <w:tcPr>
            <w:tcW w:w="672" w:type="pct"/>
          </w:tcPr>
          <w:p w:rsidR="00887848" w:rsidRPr="0047304A" w:rsidRDefault="00887848">
            <w:r w:rsidRPr="0047304A">
              <w:t>1.75</w:t>
            </w:r>
          </w:p>
        </w:tc>
        <w:tc>
          <w:tcPr>
            <w:tcW w:w="672" w:type="pct"/>
          </w:tcPr>
          <w:p w:rsidR="00887848" w:rsidRPr="0047304A" w:rsidRDefault="00887848">
            <w:r w:rsidRPr="0047304A">
              <w:t>74.77</w:t>
            </w:r>
          </w:p>
        </w:tc>
      </w:tr>
      <w:tr w:rsidR="00887848" w:rsidRPr="0047304A">
        <w:trPr>
          <w:jc w:val="center"/>
        </w:trPr>
        <w:tc>
          <w:tcPr>
            <w:tcW w:w="2224" w:type="pct"/>
          </w:tcPr>
          <w:p w:rsidR="00887848" w:rsidRPr="0047304A" w:rsidRDefault="00AF142B">
            <w:r w:rsidRPr="0047304A">
              <w:rPr>
                <w:rFonts w:hint="eastAsia"/>
                <w:lang w:eastAsia="zh-CN"/>
              </w:rPr>
              <w:t>16</w:t>
            </w:r>
            <w:r w:rsidR="00887848" w:rsidRPr="0047304A">
              <w:t>. Leverage</w:t>
            </w:r>
          </w:p>
        </w:tc>
        <w:tc>
          <w:tcPr>
            <w:tcW w:w="691" w:type="pct"/>
          </w:tcPr>
          <w:p w:rsidR="00887848" w:rsidRPr="0047304A" w:rsidRDefault="00887848">
            <w:r w:rsidRPr="0047304A">
              <w:t>19.67</w:t>
            </w:r>
          </w:p>
        </w:tc>
        <w:tc>
          <w:tcPr>
            <w:tcW w:w="741" w:type="pct"/>
          </w:tcPr>
          <w:p w:rsidR="00887848" w:rsidRPr="0047304A" w:rsidRDefault="00887848">
            <w:r w:rsidRPr="0047304A">
              <w:t>18.33</w:t>
            </w:r>
          </w:p>
        </w:tc>
        <w:tc>
          <w:tcPr>
            <w:tcW w:w="672" w:type="pct"/>
          </w:tcPr>
          <w:p w:rsidR="00887848" w:rsidRPr="0047304A" w:rsidRDefault="00887848">
            <w:r w:rsidRPr="0047304A">
              <w:t>0</w:t>
            </w:r>
          </w:p>
        </w:tc>
        <w:tc>
          <w:tcPr>
            <w:tcW w:w="672" w:type="pct"/>
          </w:tcPr>
          <w:p w:rsidR="00887848" w:rsidRPr="0047304A" w:rsidRDefault="00887848">
            <w:r w:rsidRPr="0047304A">
              <w:t>110.66</w:t>
            </w:r>
          </w:p>
        </w:tc>
      </w:tr>
      <w:tr w:rsidR="00887848" w:rsidRPr="0047304A">
        <w:trPr>
          <w:jc w:val="center"/>
        </w:trPr>
        <w:tc>
          <w:tcPr>
            <w:tcW w:w="2224" w:type="pct"/>
          </w:tcPr>
          <w:p w:rsidR="00887848" w:rsidRPr="0047304A" w:rsidRDefault="00AF142B">
            <w:r w:rsidRPr="0047304A">
              <w:rPr>
                <w:rFonts w:hint="eastAsia"/>
                <w:lang w:eastAsia="zh-CN"/>
              </w:rPr>
              <w:t>17</w:t>
            </w:r>
            <w:r w:rsidR="00887848" w:rsidRPr="0047304A">
              <w:t>.ROE</w:t>
            </w:r>
          </w:p>
        </w:tc>
        <w:tc>
          <w:tcPr>
            <w:tcW w:w="691" w:type="pct"/>
          </w:tcPr>
          <w:p w:rsidR="00887848" w:rsidRPr="0047304A" w:rsidRDefault="00887848">
            <w:r w:rsidRPr="0047304A">
              <w:t>0.07</w:t>
            </w:r>
          </w:p>
        </w:tc>
        <w:tc>
          <w:tcPr>
            <w:tcW w:w="741" w:type="pct"/>
          </w:tcPr>
          <w:p w:rsidR="00887848" w:rsidRPr="0047304A" w:rsidRDefault="00887848">
            <w:r w:rsidRPr="0047304A">
              <w:t>1.62</w:t>
            </w:r>
          </w:p>
        </w:tc>
        <w:tc>
          <w:tcPr>
            <w:tcW w:w="672" w:type="pct"/>
          </w:tcPr>
          <w:p w:rsidR="00887848" w:rsidRPr="0047304A" w:rsidRDefault="00887848">
            <w:r w:rsidRPr="0047304A">
              <w:t>-21.34</w:t>
            </w:r>
          </w:p>
        </w:tc>
        <w:tc>
          <w:tcPr>
            <w:tcW w:w="672" w:type="pct"/>
          </w:tcPr>
          <w:p w:rsidR="00887848" w:rsidRPr="0047304A" w:rsidRDefault="00887848">
            <w:r w:rsidRPr="0047304A">
              <w:t>17.58</w:t>
            </w:r>
          </w:p>
        </w:tc>
      </w:tr>
      <w:tr w:rsidR="00887848" w:rsidRPr="0047304A">
        <w:trPr>
          <w:jc w:val="center"/>
        </w:trPr>
        <w:tc>
          <w:tcPr>
            <w:tcW w:w="2224" w:type="pct"/>
          </w:tcPr>
          <w:p w:rsidR="00887848" w:rsidRPr="0047304A" w:rsidRDefault="00AF142B">
            <w:r w:rsidRPr="0047304A">
              <w:rPr>
                <w:rFonts w:hint="eastAsia"/>
                <w:lang w:eastAsia="zh-CN"/>
              </w:rPr>
              <w:t>18</w:t>
            </w:r>
            <w:r w:rsidR="00887848" w:rsidRPr="0047304A">
              <w:t>.Growth</w:t>
            </w:r>
          </w:p>
        </w:tc>
        <w:tc>
          <w:tcPr>
            <w:tcW w:w="691" w:type="pct"/>
          </w:tcPr>
          <w:p w:rsidR="00887848" w:rsidRPr="0047304A" w:rsidRDefault="00887848">
            <w:r w:rsidRPr="0047304A">
              <w:t>0.60</w:t>
            </w:r>
          </w:p>
        </w:tc>
        <w:tc>
          <w:tcPr>
            <w:tcW w:w="741" w:type="pct"/>
          </w:tcPr>
          <w:p w:rsidR="00887848" w:rsidRPr="0047304A" w:rsidRDefault="00887848">
            <w:r w:rsidRPr="0047304A">
              <w:t>3.35</w:t>
            </w:r>
          </w:p>
        </w:tc>
        <w:tc>
          <w:tcPr>
            <w:tcW w:w="672" w:type="pct"/>
          </w:tcPr>
          <w:p w:rsidR="00887848" w:rsidRPr="0047304A" w:rsidRDefault="00887848">
            <w:r w:rsidRPr="0047304A">
              <w:t>-1.00</w:t>
            </w:r>
          </w:p>
        </w:tc>
        <w:tc>
          <w:tcPr>
            <w:tcW w:w="672" w:type="pct"/>
          </w:tcPr>
          <w:p w:rsidR="00887848" w:rsidRPr="0047304A" w:rsidRDefault="00887848">
            <w:r w:rsidRPr="0047304A">
              <w:t>53.58</w:t>
            </w:r>
          </w:p>
        </w:tc>
      </w:tr>
      <w:tr w:rsidR="00887848" w:rsidRPr="0047304A">
        <w:trPr>
          <w:jc w:val="center"/>
        </w:trPr>
        <w:tc>
          <w:tcPr>
            <w:tcW w:w="2224" w:type="pct"/>
          </w:tcPr>
          <w:p w:rsidR="00887848" w:rsidRPr="0047304A" w:rsidRDefault="00AF142B">
            <w:pPr>
              <w:rPr>
                <w:lang w:val="en-US" w:eastAsia="zh-CN"/>
              </w:rPr>
            </w:pPr>
            <w:r w:rsidRPr="0047304A">
              <w:rPr>
                <w:rFonts w:hint="eastAsia"/>
                <w:lang w:eastAsia="zh-CN"/>
              </w:rPr>
              <w:t>19</w:t>
            </w:r>
            <w:r w:rsidR="00887848" w:rsidRPr="0047304A">
              <w:rPr>
                <w:lang w:eastAsia="zh-CN"/>
              </w:rPr>
              <w:t xml:space="preserve">. </w:t>
            </w:r>
            <w:r w:rsidR="009D6E9C" w:rsidRPr="0047304A">
              <w:rPr>
                <w:rFonts w:hint="eastAsia"/>
                <w:lang w:eastAsia="zh-CN"/>
              </w:rPr>
              <w:t xml:space="preserve">Ln </w:t>
            </w:r>
            <w:r w:rsidR="00887848" w:rsidRPr="0047304A">
              <w:rPr>
                <w:lang w:eastAsia="zh-CN"/>
              </w:rPr>
              <w:t>A</w:t>
            </w:r>
            <w:r w:rsidR="00887848" w:rsidRPr="0047304A">
              <w:rPr>
                <w:lang w:val="en-US" w:eastAsia="zh-CN"/>
              </w:rPr>
              <w:t>analyst Coverage</w:t>
            </w:r>
          </w:p>
        </w:tc>
        <w:tc>
          <w:tcPr>
            <w:tcW w:w="691" w:type="pct"/>
          </w:tcPr>
          <w:p w:rsidR="00887848" w:rsidRPr="0047304A" w:rsidRDefault="009D6E9C" w:rsidP="009D6E9C">
            <w:r w:rsidRPr="0047304A">
              <w:rPr>
                <w:rFonts w:hint="eastAsia"/>
                <w:lang w:eastAsia="zh-CN"/>
              </w:rPr>
              <w:t>0.74</w:t>
            </w:r>
          </w:p>
        </w:tc>
        <w:tc>
          <w:tcPr>
            <w:tcW w:w="741" w:type="pct"/>
          </w:tcPr>
          <w:p w:rsidR="00887848" w:rsidRPr="0047304A" w:rsidRDefault="009D6E9C" w:rsidP="009D6E9C">
            <w:r w:rsidRPr="0047304A">
              <w:rPr>
                <w:rFonts w:hint="eastAsia"/>
                <w:lang w:eastAsia="zh-CN"/>
              </w:rPr>
              <w:t>1.05</w:t>
            </w:r>
          </w:p>
        </w:tc>
        <w:tc>
          <w:tcPr>
            <w:tcW w:w="672" w:type="pct"/>
          </w:tcPr>
          <w:p w:rsidR="00887848" w:rsidRPr="0047304A" w:rsidRDefault="00887848">
            <w:r w:rsidRPr="0047304A">
              <w:t>0</w:t>
            </w:r>
          </w:p>
        </w:tc>
        <w:tc>
          <w:tcPr>
            <w:tcW w:w="672" w:type="pct"/>
          </w:tcPr>
          <w:p w:rsidR="00887848" w:rsidRPr="0047304A" w:rsidRDefault="00887848">
            <w:pPr>
              <w:rPr>
                <w:lang w:eastAsia="zh-CN"/>
              </w:rPr>
            </w:pPr>
            <w:r w:rsidRPr="0047304A">
              <w:t>3</w:t>
            </w:r>
            <w:r w:rsidR="009D6E9C" w:rsidRPr="0047304A">
              <w:rPr>
                <w:rFonts w:hint="eastAsia"/>
                <w:lang w:eastAsia="zh-CN"/>
              </w:rPr>
              <w:t>.56</w:t>
            </w:r>
          </w:p>
        </w:tc>
      </w:tr>
      <w:tr w:rsidR="00887848" w:rsidRPr="0047304A">
        <w:trPr>
          <w:jc w:val="center"/>
        </w:trPr>
        <w:tc>
          <w:tcPr>
            <w:tcW w:w="2224" w:type="pct"/>
            <w:tcBorders>
              <w:bottom w:val="single" w:sz="4" w:space="0" w:color="auto"/>
            </w:tcBorders>
          </w:tcPr>
          <w:p w:rsidR="00887848" w:rsidRPr="0047304A" w:rsidRDefault="00887848">
            <w:r w:rsidRPr="0047304A">
              <w:rPr>
                <w:lang w:eastAsia="zh-CN"/>
              </w:rPr>
              <w:t>2</w:t>
            </w:r>
            <w:r w:rsidR="00AF142B" w:rsidRPr="0047304A">
              <w:rPr>
                <w:rFonts w:hint="eastAsia"/>
                <w:lang w:eastAsia="zh-CN"/>
              </w:rPr>
              <w:t>0</w:t>
            </w:r>
            <w:r w:rsidRPr="0047304A">
              <w:t>.Ln Firm Age</w:t>
            </w:r>
          </w:p>
        </w:tc>
        <w:tc>
          <w:tcPr>
            <w:tcW w:w="691" w:type="pct"/>
            <w:tcBorders>
              <w:bottom w:val="single" w:sz="4" w:space="0" w:color="auto"/>
            </w:tcBorders>
          </w:tcPr>
          <w:p w:rsidR="00887848" w:rsidRPr="0047304A" w:rsidRDefault="009D6E9C" w:rsidP="009D6E9C">
            <w:r w:rsidRPr="0047304A">
              <w:rPr>
                <w:rFonts w:hint="eastAsia"/>
                <w:lang w:eastAsia="zh-CN"/>
              </w:rPr>
              <w:t>2.40</w:t>
            </w:r>
          </w:p>
        </w:tc>
        <w:tc>
          <w:tcPr>
            <w:tcW w:w="741" w:type="pct"/>
            <w:tcBorders>
              <w:bottom w:val="single" w:sz="4" w:space="0" w:color="auto"/>
            </w:tcBorders>
          </w:tcPr>
          <w:p w:rsidR="00887848" w:rsidRPr="0047304A" w:rsidRDefault="009D6E9C" w:rsidP="009D6E9C">
            <w:r w:rsidRPr="0047304A">
              <w:rPr>
                <w:rFonts w:hint="eastAsia"/>
                <w:lang w:eastAsia="zh-CN"/>
              </w:rPr>
              <w:t>0.71</w:t>
            </w:r>
          </w:p>
        </w:tc>
        <w:tc>
          <w:tcPr>
            <w:tcW w:w="672" w:type="pct"/>
            <w:tcBorders>
              <w:bottom w:val="single" w:sz="4" w:space="0" w:color="auto"/>
            </w:tcBorders>
          </w:tcPr>
          <w:p w:rsidR="00887848" w:rsidRPr="0047304A" w:rsidRDefault="009D6E9C">
            <w:pPr>
              <w:rPr>
                <w:lang w:eastAsia="zh-CN"/>
              </w:rPr>
            </w:pPr>
            <w:r w:rsidRPr="0047304A">
              <w:rPr>
                <w:rFonts w:hint="eastAsia"/>
                <w:lang w:eastAsia="zh-CN"/>
              </w:rPr>
              <w:t>0</w:t>
            </w:r>
          </w:p>
        </w:tc>
        <w:tc>
          <w:tcPr>
            <w:tcW w:w="672" w:type="pct"/>
            <w:tcBorders>
              <w:bottom w:val="single" w:sz="4" w:space="0" w:color="auto"/>
            </w:tcBorders>
          </w:tcPr>
          <w:p w:rsidR="00887848" w:rsidRPr="0047304A" w:rsidRDefault="00887848" w:rsidP="009D6E9C">
            <w:r w:rsidRPr="0047304A">
              <w:t>3</w:t>
            </w:r>
            <w:r w:rsidR="009D6E9C" w:rsidRPr="0047304A">
              <w:rPr>
                <w:rFonts w:hint="eastAsia"/>
                <w:lang w:eastAsia="zh-CN"/>
              </w:rPr>
              <w:t>.56</w:t>
            </w:r>
          </w:p>
        </w:tc>
      </w:tr>
    </w:tbl>
    <w:p w:rsidR="00887848" w:rsidRDefault="00887848">
      <w:pPr>
        <w:rPr>
          <w:sz w:val="18"/>
          <w:szCs w:val="18"/>
          <w:lang w:eastAsia="zh-CN"/>
        </w:rPr>
      </w:pPr>
      <w:r>
        <w:rPr>
          <w:sz w:val="18"/>
          <w:szCs w:val="18"/>
        </w:rPr>
        <w:t xml:space="preserve">Note: PIN is the proxy of informed trading DF is the proxy of the structure of informed trading, measured by the difference between </w:t>
      </w:r>
      <w:r>
        <w:rPr>
          <w:sz w:val="18"/>
          <w:szCs w:val="18"/>
          <w:lang w:eastAsia="zh-CN"/>
        </w:rPr>
        <w:t>the levels of informed trading on positive and negative private information</w:t>
      </w:r>
      <w:r>
        <w:rPr>
          <w:sz w:val="18"/>
          <w:szCs w:val="18"/>
        </w:rPr>
        <w:t>.</w:t>
      </w:r>
      <w:r>
        <w:rPr>
          <w:sz w:val="22"/>
          <w:szCs w:val="22"/>
        </w:rPr>
        <w:t xml:space="preserve"> </w:t>
      </w:r>
      <w:r>
        <w:rPr>
          <w:sz w:val="18"/>
          <w:szCs w:val="18"/>
        </w:rPr>
        <w:t xml:space="preserve">Family ownership is measured by the equity holding of the largest individual shareholder and close family. Institutional block-holders’ ownership is measured by the equity holding of all institutional investors with more than 5 percent shareholdings. The institutional block-holders’ relative power in large family controlled multiple block-holder ownership structure is measured by the ratio of the ownership of institutional block-holders to that of the controlling family. </w:t>
      </w:r>
      <w:r w:rsidR="00826AC6">
        <w:rPr>
          <w:sz w:val="18"/>
          <w:szCs w:val="18"/>
        </w:rPr>
        <w:t>I</w:t>
      </w:r>
      <w:r w:rsidR="00700EEF" w:rsidRPr="00700EEF">
        <w:rPr>
          <w:sz w:val="18"/>
          <w:szCs w:val="18"/>
        </w:rPr>
        <w:t xml:space="preserve">institutional block-holders are defined as pressure-sensitive, pressure-resistant and pressure-uncertain based on their business links with their invested companies. </w:t>
      </w:r>
      <w:r>
        <w:rPr>
          <w:sz w:val="18"/>
          <w:szCs w:val="18"/>
        </w:rPr>
        <w:t>The pressure-resistant group only includes pension funds, investment companies, independent investment advisors and independent research institutes and foundations</w:t>
      </w:r>
      <w:r w:rsidR="00826AC6">
        <w:rPr>
          <w:sz w:val="18"/>
          <w:szCs w:val="18"/>
        </w:rPr>
        <w:t xml:space="preserve">. </w:t>
      </w:r>
      <w:r>
        <w:rPr>
          <w:sz w:val="18"/>
          <w:szCs w:val="18"/>
        </w:rPr>
        <w:t xml:space="preserve"> Banks, bank trusts and insurance companies are included in the pressure-sensitive group. Industrial and public institutions, and other unclassified institutional investors </w:t>
      </w:r>
      <w:r w:rsidR="00700EEF" w:rsidRPr="00700EEF">
        <w:rPr>
          <w:sz w:val="18"/>
          <w:szCs w:val="18"/>
        </w:rPr>
        <w:t xml:space="preserve">whose business links with the invested companies are not clear </w:t>
      </w:r>
      <w:r>
        <w:rPr>
          <w:sz w:val="18"/>
          <w:szCs w:val="18"/>
        </w:rPr>
        <w:t>are put into the pressure-uncertainty group</w:t>
      </w:r>
      <w:r w:rsidRPr="00826AC6">
        <w:rPr>
          <w:sz w:val="18"/>
          <w:szCs w:val="18"/>
        </w:rPr>
        <w:t xml:space="preserve">. </w:t>
      </w:r>
      <w:r w:rsidR="00826AC6" w:rsidRPr="00826AC6">
        <w:rPr>
          <w:sz w:val="18"/>
          <w:szCs w:val="18"/>
        </w:rPr>
        <w:t>We use three ownership variables for institutional block-holders that are defined as total ownership stakes held by pressure-sensitive, pressure-</w:t>
      </w:r>
      <w:r w:rsidR="00826AC6" w:rsidRPr="00826AC6">
        <w:rPr>
          <w:sz w:val="18"/>
          <w:szCs w:val="18"/>
          <w:lang w:eastAsia="zh-CN"/>
        </w:rPr>
        <w:t xml:space="preserve">resistant </w:t>
      </w:r>
      <w:r w:rsidR="00826AC6" w:rsidRPr="00826AC6">
        <w:rPr>
          <w:sz w:val="18"/>
          <w:szCs w:val="18"/>
        </w:rPr>
        <w:t>and pressure-uncertain institutional investors.</w:t>
      </w:r>
      <w:r w:rsidR="00826AC6">
        <w:t xml:space="preserve"> </w:t>
      </w:r>
      <w:r>
        <w:rPr>
          <w:bCs/>
          <w:sz w:val="18"/>
          <w:szCs w:val="18"/>
        </w:rPr>
        <w:t>Tobin’s Q is calculated as the market value of total assets divided by the book value of total assets at the end of 2006.</w:t>
      </w:r>
      <w:r>
        <w:rPr>
          <w:sz w:val="18"/>
          <w:szCs w:val="18"/>
        </w:rPr>
        <w:t xml:space="preserve"> M</w:t>
      </w:r>
      <w:r>
        <w:rPr>
          <w:bCs/>
          <w:sz w:val="18"/>
          <w:szCs w:val="18"/>
        </w:rPr>
        <w:t xml:space="preserve">arket capitalisation of common equity is calculated as the number of outstanding shares times the closing price in the end of 2006. Share liquidity is measured by average monthly trading volume in 2006. The daily return risk is the standard deviation of daily </w:t>
      </w:r>
      <w:r>
        <w:rPr>
          <w:bCs/>
          <w:sz w:val="18"/>
          <w:szCs w:val="18"/>
          <w:lang w:eastAsia="zh-CN"/>
        </w:rPr>
        <w:t xml:space="preserve">share </w:t>
      </w:r>
      <w:r>
        <w:rPr>
          <w:bCs/>
          <w:sz w:val="18"/>
          <w:szCs w:val="18"/>
        </w:rPr>
        <w:t>return in 2006. Leverage is the ratio of long term debt over common equity in the end of 2006. Firm age is measured by the number of years listed on the Hong Kong Stock Exchange</w:t>
      </w:r>
      <w:r>
        <w:rPr>
          <w:bCs/>
          <w:sz w:val="18"/>
          <w:szCs w:val="18"/>
          <w:lang w:eastAsia="zh-CN"/>
        </w:rPr>
        <w:t xml:space="preserve"> in year 2006</w:t>
      </w:r>
      <w:r>
        <w:rPr>
          <w:bCs/>
          <w:sz w:val="18"/>
          <w:szCs w:val="18"/>
        </w:rPr>
        <w:t xml:space="preserve">. Financial </w:t>
      </w:r>
      <w:r>
        <w:rPr>
          <w:bCs/>
          <w:sz w:val="18"/>
          <w:szCs w:val="18"/>
        </w:rPr>
        <w:lastRenderedPageBreak/>
        <w:t xml:space="preserve">analysts’ coverage is measured by the number of the first year forward EPS estimates available from Institutional Brokers' Estimate System </w:t>
      </w:r>
      <w:r>
        <w:rPr>
          <w:bCs/>
          <w:sz w:val="18"/>
          <w:szCs w:val="18"/>
          <w:lang w:eastAsia="zh-CN"/>
        </w:rPr>
        <w:t>(</w:t>
      </w:r>
      <w:r>
        <w:rPr>
          <w:bCs/>
          <w:sz w:val="18"/>
          <w:szCs w:val="18"/>
        </w:rPr>
        <w:t>I/B/E/S</w:t>
      </w:r>
      <w:r>
        <w:rPr>
          <w:bCs/>
          <w:sz w:val="18"/>
          <w:szCs w:val="18"/>
          <w:lang w:eastAsia="zh-CN"/>
        </w:rPr>
        <w:t>)</w:t>
      </w:r>
      <w:r>
        <w:rPr>
          <w:bCs/>
          <w:sz w:val="18"/>
          <w:szCs w:val="18"/>
        </w:rPr>
        <w:t xml:space="preserve"> in the end of 2006.</w:t>
      </w:r>
      <w:r>
        <w:rPr>
          <w:bCs/>
          <w:sz w:val="18"/>
          <w:szCs w:val="18"/>
          <w:lang w:eastAsia="zh-CN"/>
        </w:rPr>
        <w:t xml:space="preserve"> Growth is the </w:t>
      </w:r>
      <w:r w:rsidR="00FA3FFD" w:rsidRPr="00FA3FFD">
        <w:rPr>
          <w:bCs/>
          <w:sz w:val="18"/>
          <w:szCs w:val="18"/>
          <w:lang w:eastAsia="zh-CN"/>
        </w:rPr>
        <w:t>sale revenue change from 2005 to 2006 divided by sale revenue in 2005</w:t>
      </w:r>
      <w:r>
        <w:rPr>
          <w:bCs/>
          <w:sz w:val="18"/>
          <w:szCs w:val="18"/>
          <w:lang w:eastAsia="zh-CN"/>
        </w:rPr>
        <w:t>. ROE is measured by the ratio of EPS over the book value per share in year 2005. N=447.</w:t>
      </w:r>
    </w:p>
    <w:p w:rsidR="00887848" w:rsidRDefault="00887848">
      <w:pPr>
        <w:spacing w:line="480" w:lineRule="auto"/>
        <w:rPr>
          <w:lang w:eastAsia="zh-CN"/>
        </w:rPr>
        <w:sectPr w:rsidR="00887848">
          <w:footerReference w:type="default" r:id="rId42"/>
          <w:pgSz w:w="11906" w:h="16838"/>
          <w:pgMar w:top="1440" w:right="1440" w:bottom="1440" w:left="1440" w:header="709" w:footer="709" w:gutter="0"/>
          <w:cols w:space="708"/>
          <w:docGrid w:linePitch="360"/>
        </w:sectPr>
      </w:pPr>
    </w:p>
    <w:p w:rsidR="00887848" w:rsidRPr="00E73006" w:rsidRDefault="00887848">
      <w:pPr>
        <w:rPr>
          <w:b/>
          <w:sz w:val="22"/>
          <w:szCs w:val="22"/>
          <w:lang w:eastAsia="zh-CN"/>
        </w:rPr>
      </w:pPr>
      <w:r w:rsidRPr="00E73006">
        <w:rPr>
          <w:b/>
          <w:sz w:val="22"/>
          <w:szCs w:val="22"/>
          <w:lang w:eastAsia="zh-CN"/>
        </w:rPr>
        <w:lastRenderedPageBreak/>
        <w:t>Panel B: Correlation Matrix for Key Variables</w:t>
      </w:r>
    </w:p>
    <w:tbl>
      <w:tblPr>
        <w:tblW w:w="5000" w:type="pct"/>
        <w:tblLook w:val="00A0" w:firstRow="1" w:lastRow="0" w:firstColumn="1" w:lastColumn="0" w:noHBand="0" w:noVBand="0"/>
      </w:tblPr>
      <w:tblGrid>
        <w:gridCol w:w="2347"/>
        <w:gridCol w:w="403"/>
        <w:gridCol w:w="1347"/>
        <w:gridCol w:w="391"/>
        <w:gridCol w:w="1324"/>
        <w:gridCol w:w="414"/>
        <w:gridCol w:w="1301"/>
        <w:gridCol w:w="397"/>
        <w:gridCol w:w="1318"/>
        <w:gridCol w:w="388"/>
        <w:gridCol w:w="1327"/>
        <w:gridCol w:w="411"/>
        <w:gridCol w:w="1196"/>
        <w:gridCol w:w="207"/>
        <w:gridCol w:w="1403"/>
      </w:tblGrid>
      <w:tr w:rsidR="00887848" w:rsidRPr="0047304A" w:rsidTr="00C91857">
        <w:tc>
          <w:tcPr>
            <w:tcW w:w="828" w:type="pct"/>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Variable</w:t>
            </w:r>
          </w:p>
        </w:tc>
        <w:tc>
          <w:tcPr>
            <w:tcW w:w="617"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1</w:t>
            </w:r>
          </w:p>
        </w:tc>
        <w:tc>
          <w:tcPr>
            <w:tcW w:w="605"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2</w:t>
            </w:r>
          </w:p>
        </w:tc>
        <w:tc>
          <w:tcPr>
            <w:tcW w:w="605"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3</w:t>
            </w:r>
          </w:p>
        </w:tc>
        <w:tc>
          <w:tcPr>
            <w:tcW w:w="605"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4</w:t>
            </w:r>
          </w:p>
        </w:tc>
        <w:tc>
          <w:tcPr>
            <w:tcW w:w="605"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5</w:t>
            </w:r>
          </w:p>
        </w:tc>
        <w:tc>
          <w:tcPr>
            <w:tcW w:w="567"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6</w:t>
            </w:r>
          </w:p>
        </w:tc>
        <w:tc>
          <w:tcPr>
            <w:tcW w:w="568" w:type="pct"/>
            <w:gridSpan w:val="2"/>
            <w:tcBorders>
              <w:top w:val="single" w:sz="4" w:space="0" w:color="auto"/>
              <w:bottom w:val="single" w:sz="4" w:space="0" w:color="auto"/>
            </w:tcBorders>
          </w:tcPr>
          <w:p w:rsidR="00887848" w:rsidRPr="0047304A" w:rsidRDefault="00887848">
            <w:pPr>
              <w:adjustRightInd w:val="0"/>
              <w:snapToGrid w:val="0"/>
              <w:rPr>
                <w:lang w:eastAsia="zh-CN"/>
              </w:rPr>
            </w:pPr>
            <w:r w:rsidRPr="0047304A">
              <w:rPr>
                <w:lang w:eastAsia="zh-CN"/>
              </w:rPr>
              <w:t>7</w:t>
            </w:r>
          </w:p>
        </w:tc>
      </w:tr>
      <w:tr w:rsidR="00887848" w:rsidRPr="0047304A" w:rsidTr="00C91857">
        <w:tc>
          <w:tcPr>
            <w:tcW w:w="828" w:type="pct"/>
            <w:tcBorders>
              <w:top w:val="single" w:sz="4" w:space="0" w:color="auto"/>
            </w:tcBorders>
          </w:tcPr>
          <w:p w:rsidR="00887848" w:rsidRPr="0047304A" w:rsidRDefault="00887848">
            <w:pPr>
              <w:adjustRightInd w:val="0"/>
              <w:snapToGrid w:val="0"/>
              <w:rPr>
                <w:lang w:eastAsia="zh-CN"/>
              </w:rPr>
            </w:pPr>
            <w:r w:rsidRPr="0047304A">
              <w:rPr>
                <w:lang w:eastAsia="zh-CN"/>
              </w:rPr>
              <w:t>1.Tobin’s Q</w:t>
            </w:r>
          </w:p>
        </w:tc>
        <w:tc>
          <w:tcPr>
            <w:tcW w:w="617" w:type="pct"/>
            <w:gridSpan w:val="2"/>
            <w:tcBorders>
              <w:top w:val="single" w:sz="4" w:space="0" w:color="auto"/>
            </w:tcBorders>
          </w:tcPr>
          <w:p w:rsidR="00887848" w:rsidRPr="0047304A" w:rsidRDefault="00887848">
            <w:pPr>
              <w:adjustRightInd w:val="0"/>
              <w:snapToGrid w:val="0"/>
              <w:rPr>
                <w:lang w:eastAsia="zh-CN"/>
              </w:rPr>
            </w:pPr>
            <w:r w:rsidRPr="0047304A">
              <w:rPr>
                <w:lang w:eastAsia="zh-CN"/>
              </w:rPr>
              <w:t>1.00</w:t>
            </w:r>
          </w:p>
        </w:tc>
        <w:tc>
          <w:tcPr>
            <w:tcW w:w="605" w:type="pct"/>
            <w:gridSpan w:val="2"/>
            <w:tcBorders>
              <w:top w:val="single" w:sz="4" w:space="0" w:color="auto"/>
            </w:tcBorders>
          </w:tcPr>
          <w:p w:rsidR="00887848" w:rsidRPr="0047304A" w:rsidRDefault="00887848">
            <w:pPr>
              <w:adjustRightInd w:val="0"/>
              <w:snapToGrid w:val="0"/>
              <w:rPr>
                <w:lang w:eastAsia="zh-CN"/>
              </w:rPr>
            </w:pPr>
          </w:p>
        </w:tc>
        <w:tc>
          <w:tcPr>
            <w:tcW w:w="605" w:type="pct"/>
            <w:gridSpan w:val="2"/>
            <w:tcBorders>
              <w:top w:val="single" w:sz="4" w:space="0" w:color="auto"/>
            </w:tcBorders>
          </w:tcPr>
          <w:p w:rsidR="00887848" w:rsidRPr="0047304A" w:rsidRDefault="00887848">
            <w:pPr>
              <w:adjustRightInd w:val="0"/>
              <w:snapToGrid w:val="0"/>
              <w:rPr>
                <w:lang w:eastAsia="zh-CN"/>
              </w:rPr>
            </w:pPr>
          </w:p>
        </w:tc>
        <w:tc>
          <w:tcPr>
            <w:tcW w:w="605" w:type="pct"/>
            <w:gridSpan w:val="2"/>
            <w:tcBorders>
              <w:top w:val="single" w:sz="4" w:space="0" w:color="auto"/>
            </w:tcBorders>
          </w:tcPr>
          <w:p w:rsidR="00887848" w:rsidRPr="0047304A" w:rsidRDefault="00887848">
            <w:pPr>
              <w:adjustRightInd w:val="0"/>
              <w:snapToGrid w:val="0"/>
              <w:rPr>
                <w:lang w:eastAsia="zh-CN"/>
              </w:rPr>
            </w:pPr>
          </w:p>
        </w:tc>
        <w:tc>
          <w:tcPr>
            <w:tcW w:w="605" w:type="pct"/>
            <w:gridSpan w:val="2"/>
            <w:tcBorders>
              <w:top w:val="single" w:sz="4" w:space="0" w:color="auto"/>
            </w:tcBorders>
          </w:tcPr>
          <w:p w:rsidR="00887848" w:rsidRPr="0047304A" w:rsidRDefault="00887848">
            <w:pPr>
              <w:adjustRightInd w:val="0"/>
              <w:snapToGrid w:val="0"/>
              <w:rPr>
                <w:lang w:eastAsia="zh-CN"/>
              </w:rPr>
            </w:pPr>
          </w:p>
        </w:tc>
        <w:tc>
          <w:tcPr>
            <w:tcW w:w="567" w:type="pct"/>
            <w:gridSpan w:val="2"/>
            <w:tcBorders>
              <w:top w:val="single" w:sz="4" w:space="0" w:color="auto"/>
            </w:tcBorders>
          </w:tcPr>
          <w:p w:rsidR="00887848" w:rsidRPr="0047304A" w:rsidRDefault="00887848">
            <w:pPr>
              <w:adjustRightInd w:val="0"/>
              <w:snapToGrid w:val="0"/>
              <w:rPr>
                <w:lang w:eastAsia="zh-CN"/>
              </w:rPr>
            </w:pPr>
          </w:p>
        </w:tc>
        <w:tc>
          <w:tcPr>
            <w:tcW w:w="568" w:type="pct"/>
            <w:gridSpan w:val="2"/>
            <w:tcBorders>
              <w:top w:val="single" w:sz="4" w:space="0" w:color="auto"/>
            </w:tcBorders>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2.DF</w:t>
            </w:r>
          </w:p>
        </w:tc>
        <w:tc>
          <w:tcPr>
            <w:tcW w:w="617" w:type="pct"/>
            <w:gridSpan w:val="2"/>
          </w:tcPr>
          <w:p w:rsidR="00887848" w:rsidRPr="0047304A" w:rsidRDefault="00887848">
            <w:pPr>
              <w:adjustRightInd w:val="0"/>
              <w:snapToGrid w:val="0"/>
              <w:rPr>
                <w:lang w:eastAsia="zh-CN"/>
              </w:rPr>
            </w:pPr>
            <w:r w:rsidRPr="0047304A">
              <w:rPr>
                <w:lang w:eastAsia="zh-CN"/>
              </w:rPr>
              <w:t>0.08**</w:t>
            </w:r>
          </w:p>
        </w:tc>
        <w:tc>
          <w:tcPr>
            <w:tcW w:w="605" w:type="pct"/>
            <w:gridSpan w:val="2"/>
          </w:tcPr>
          <w:p w:rsidR="00887848" w:rsidRPr="0047304A" w:rsidRDefault="00887848">
            <w:pPr>
              <w:adjustRightInd w:val="0"/>
              <w:snapToGrid w:val="0"/>
              <w:rPr>
                <w:lang w:eastAsia="zh-CN"/>
              </w:rPr>
            </w:pPr>
            <w:r w:rsidRPr="0047304A">
              <w:rPr>
                <w:lang w:eastAsia="zh-CN"/>
              </w:rPr>
              <w:t>1.00</w:t>
            </w:r>
          </w:p>
        </w:tc>
        <w:tc>
          <w:tcPr>
            <w:tcW w:w="605" w:type="pct"/>
            <w:gridSpan w:val="2"/>
          </w:tcPr>
          <w:p w:rsidR="00887848" w:rsidRPr="0047304A" w:rsidRDefault="00887848">
            <w:pPr>
              <w:adjustRightInd w:val="0"/>
              <w:snapToGrid w:val="0"/>
              <w:rPr>
                <w:lang w:eastAsia="zh-CN"/>
              </w:rPr>
            </w:pPr>
          </w:p>
        </w:tc>
        <w:tc>
          <w:tcPr>
            <w:tcW w:w="605" w:type="pct"/>
            <w:gridSpan w:val="2"/>
          </w:tcPr>
          <w:p w:rsidR="00887848" w:rsidRPr="0047304A" w:rsidRDefault="00887848">
            <w:pPr>
              <w:adjustRightInd w:val="0"/>
              <w:snapToGrid w:val="0"/>
              <w:rPr>
                <w:lang w:eastAsia="zh-CN"/>
              </w:rPr>
            </w:pPr>
          </w:p>
        </w:tc>
        <w:tc>
          <w:tcPr>
            <w:tcW w:w="605" w:type="pct"/>
            <w:gridSpan w:val="2"/>
          </w:tcPr>
          <w:p w:rsidR="00887848" w:rsidRPr="0047304A" w:rsidRDefault="00887848">
            <w:pPr>
              <w:adjustRightInd w:val="0"/>
              <w:snapToGrid w:val="0"/>
              <w:rPr>
                <w:lang w:eastAsia="zh-CN"/>
              </w:rPr>
            </w:pPr>
          </w:p>
        </w:tc>
        <w:tc>
          <w:tcPr>
            <w:tcW w:w="567" w:type="pct"/>
            <w:gridSpan w:val="2"/>
          </w:tcPr>
          <w:p w:rsidR="00887848" w:rsidRPr="0047304A" w:rsidRDefault="00887848">
            <w:pPr>
              <w:adjustRightInd w:val="0"/>
              <w:snapToGrid w:val="0"/>
              <w:rPr>
                <w:lang w:eastAsia="zh-CN"/>
              </w:rPr>
            </w:pPr>
          </w:p>
        </w:tc>
        <w:tc>
          <w:tcPr>
            <w:tcW w:w="568" w:type="pct"/>
            <w:gridSpan w:val="2"/>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3.PIN</w:t>
            </w:r>
          </w:p>
        </w:tc>
        <w:tc>
          <w:tcPr>
            <w:tcW w:w="617" w:type="pct"/>
            <w:gridSpan w:val="2"/>
          </w:tcPr>
          <w:p w:rsidR="00887848" w:rsidRPr="0047304A" w:rsidRDefault="00887848">
            <w:pPr>
              <w:adjustRightInd w:val="0"/>
              <w:snapToGrid w:val="0"/>
              <w:rPr>
                <w:lang w:eastAsia="zh-CN"/>
              </w:rPr>
            </w:pPr>
            <w:r w:rsidRPr="0047304A">
              <w:rPr>
                <w:lang w:eastAsia="zh-CN"/>
              </w:rPr>
              <w:t>-0.18***</w:t>
            </w:r>
          </w:p>
        </w:tc>
        <w:tc>
          <w:tcPr>
            <w:tcW w:w="605" w:type="pct"/>
            <w:gridSpan w:val="2"/>
          </w:tcPr>
          <w:p w:rsidR="00887848" w:rsidRPr="0047304A" w:rsidRDefault="00887848">
            <w:pPr>
              <w:adjustRightInd w:val="0"/>
              <w:snapToGrid w:val="0"/>
              <w:rPr>
                <w:lang w:eastAsia="zh-CN"/>
              </w:rPr>
            </w:pPr>
            <w:r w:rsidRPr="0047304A">
              <w:rPr>
                <w:lang w:eastAsia="zh-CN"/>
              </w:rPr>
              <w:t>-0.33***</w:t>
            </w:r>
          </w:p>
        </w:tc>
        <w:tc>
          <w:tcPr>
            <w:tcW w:w="605" w:type="pct"/>
            <w:gridSpan w:val="2"/>
          </w:tcPr>
          <w:p w:rsidR="00887848" w:rsidRPr="0047304A" w:rsidRDefault="00887848">
            <w:pPr>
              <w:adjustRightInd w:val="0"/>
              <w:snapToGrid w:val="0"/>
              <w:rPr>
                <w:lang w:eastAsia="zh-CN"/>
              </w:rPr>
            </w:pPr>
            <w:r w:rsidRPr="0047304A">
              <w:rPr>
                <w:lang w:eastAsia="zh-CN"/>
              </w:rPr>
              <w:t>1.00</w:t>
            </w:r>
          </w:p>
        </w:tc>
        <w:tc>
          <w:tcPr>
            <w:tcW w:w="605" w:type="pct"/>
            <w:gridSpan w:val="2"/>
          </w:tcPr>
          <w:p w:rsidR="00887848" w:rsidRPr="0047304A" w:rsidRDefault="00887848">
            <w:pPr>
              <w:adjustRightInd w:val="0"/>
              <w:snapToGrid w:val="0"/>
              <w:rPr>
                <w:lang w:eastAsia="zh-CN"/>
              </w:rPr>
            </w:pPr>
          </w:p>
        </w:tc>
        <w:tc>
          <w:tcPr>
            <w:tcW w:w="605" w:type="pct"/>
            <w:gridSpan w:val="2"/>
          </w:tcPr>
          <w:p w:rsidR="00887848" w:rsidRPr="0047304A" w:rsidRDefault="00887848">
            <w:pPr>
              <w:adjustRightInd w:val="0"/>
              <w:snapToGrid w:val="0"/>
              <w:rPr>
                <w:lang w:eastAsia="zh-CN"/>
              </w:rPr>
            </w:pPr>
          </w:p>
        </w:tc>
        <w:tc>
          <w:tcPr>
            <w:tcW w:w="567" w:type="pct"/>
            <w:gridSpan w:val="2"/>
          </w:tcPr>
          <w:p w:rsidR="00887848" w:rsidRPr="0047304A" w:rsidRDefault="00887848">
            <w:pPr>
              <w:adjustRightInd w:val="0"/>
              <w:snapToGrid w:val="0"/>
              <w:rPr>
                <w:lang w:eastAsia="zh-CN"/>
              </w:rPr>
            </w:pPr>
          </w:p>
        </w:tc>
        <w:tc>
          <w:tcPr>
            <w:tcW w:w="568" w:type="pct"/>
            <w:gridSpan w:val="2"/>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4</w:t>
            </w:r>
            <w:r w:rsidRPr="0047304A">
              <w:t>.Family Controller’ Ownership</w:t>
            </w:r>
          </w:p>
        </w:tc>
        <w:tc>
          <w:tcPr>
            <w:tcW w:w="617" w:type="pct"/>
            <w:gridSpan w:val="2"/>
          </w:tcPr>
          <w:p w:rsidR="00887848" w:rsidRPr="0047304A" w:rsidRDefault="00887848">
            <w:pPr>
              <w:adjustRightInd w:val="0"/>
              <w:snapToGrid w:val="0"/>
              <w:rPr>
                <w:lang w:eastAsia="zh-CN"/>
              </w:rPr>
            </w:pPr>
            <w:r w:rsidRPr="0047304A">
              <w:rPr>
                <w:lang w:eastAsia="zh-CN"/>
              </w:rPr>
              <w:t>0.02</w:t>
            </w:r>
          </w:p>
        </w:tc>
        <w:tc>
          <w:tcPr>
            <w:tcW w:w="605" w:type="pct"/>
            <w:gridSpan w:val="2"/>
          </w:tcPr>
          <w:p w:rsidR="00887848" w:rsidRPr="0047304A" w:rsidRDefault="00887848">
            <w:pPr>
              <w:adjustRightInd w:val="0"/>
              <w:snapToGrid w:val="0"/>
              <w:rPr>
                <w:lang w:eastAsia="zh-CN"/>
              </w:rPr>
            </w:pPr>
            <w:r w:rsidRPr="0047304A">
              <w:rPr>
                <w:lang w:eastAsia="zh-CN"/>
              </w:rPr>
              <w:t>-0.10**</w:t>
            </w:r>
          </w:p>
        </w:tc>
        <w:tc>
          <w:tcPr>
            <w:tcW w:w="605" w:type="pct"/>
            <w:gridSpan w:val="2"/>
          </w:tcPr>
          <w:p w:rsidR="00887848" w:rsidRPr="0047304A" w:rsidRDefault="00887848">
            <w:pPr>
              <w:adjustRightInd w:val="0"/>
              <w:snapToGrid w:val="0"/>
              <w:rPr>
                <w:lang w:eastAsia="zh-CN"/>
              </w:rPr>
            </w:pPr>
            <w:r w:rsidRPr="0047304A">
              <w:rPr>
                <w:lang w:eastAsia="zh-CN"/>
              </w:rPr>
              <w:t>0.25***</w:t>
            </w:r>
          </w:p>
        </w:tc>
        <w:tc>
          <w:tcPr>
            <w:tcW w:w="605" w:type="pct"/>
            <w:gridSpan w:val="2"/>
          </w:tcPr>
          <w:p w:rsidR="00887848" w:rsidRPr="0047304A" w:rsidRDefault="00887848">
            <w:pPr>
              <w:adjustRightInd w:val="0"/>
              <w:snapToGrid w:val="0"/>
              <w:rPr>
                <w:lang w:eastAsia="zh-CN"/>
              </w:rPr>
            </w:pPr>
            <w:r w:rsidRPr="0047304A">
              <w:rPr>
                <w:lang w:eastAsia="zh-CN"/>
              </w:rPr>
              <w:t>1.00</w:t>
            </w:r>
          </w:p>
        </w:tc>
        <w:tc>
          <w:tcPr>
            <w:tcW w:w="605" w:type="pct"/>
            <w:gridSpan w:val="2"/>
          </w:tcPr>
          <w:p w:rsidR="00887848" w:rsidRPr="0047304A" w:rsidRDefault="00887848">
            <w:pPr>
              <w:adjustRightInd w:val="0"/>
              <w:snapToGrid w:val="0"/>
              <w:rPr>
                <w:lang w:eastAsia="zh-CN"/>
              </w:rPr>
            </w:pPr>
          </w:p>
        </w:tc>
        <w:tc>
          <w:tcPr>
            <w:tcW w:w="567" w:type="pct"/>
            <w:gridSpan w:val="2"/>
          </w:tcPr>
          <w:p w:rsidR="00887848" w:rsidRPr="0047304A" w:rsidRDefault="00887848">
            <w:pPr>
              <w:adjustRightInd w:val="0"/>
              <w:snapToGrid w:val="0"/>
              <w:rPr>
                <w:lang w:eastAsia="zh-CN"/>
              </w:rPr>
            </w:pPr>
          </w:p>
        </w:tc>
        <w:tc>
          <w:tcPr>
            <w:tcW w:w="568" w:type="pct"/>
            <w:gridSpan w:val="2"/>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5.Non-controlling Institutional Block-holders’ Ownership</w:t>
            </w:r>
          </w:p>
        </w:tc>
        <w:tc>
          <w:tcPr>
            <w:tcW w:w="617" w:type="pct"/>
            <w:gridSpan w:val="2"/>
          </w:tcPr>
          <w:p w:rsidR="00887848" w:rsidRPr="0047304A" w:rsidRDefault="00887848">
            <w:pPr>
              <w:adjustRightInd w:val="0"/>
              <w:snapToGrid w:val="0"/>
              <w:rPr>
                <w:lang w:eastAsia="zh-CN"/>
              </w:rPr>
            </w:pPr>
            <w:r w:rsidRPr="0047304A">
              <w:rPr>
                <w:lang w:eastAsia="zh-CN"/>
              </w:rPr>
              <w:t>0.03</w:t>
            </w:r>
          </w:p>
        </w:tc>
        <w:tc>
          <w:tcPr>
            <w:tcW w:w="605" w:type="pct"/>
            <w:gridSpan w:val="2"/>
          </w:tcPr>
          <w:p w:rsidR="00887848" w:rsidRPr="0047304A" w:rsidRDefault="00887848">
            <w:pPr>
              <w:adjustRightInd w:val="0"/>
              <w:snapToGrid w:val="0"/>
              <w:rPr>
                <w:lang w:eastAsia="zh-CN"/>
              </w:rPr>
            </w:pPr>
            <w:r w:rsidRPr="0047304A">
              <w:rPr>
                <w:lang w:eastAsia="zh-CN"/>
              </w:rPr>
              <w:t>0.17***</w:t>
            </w:r>
          </w:p>
        </w:tc>
        <w:tc>
          <w:tcPr>
            <w:tcW w:w="605" w:type="pct"/>
            <w:gridSpan w:val="2"/>
          </w:tcPr>
          <w:p w:rsidR="00887848" w:rsidRPr="0047304A" w:rsidRDefault="00887848">
            <w:pPr>
              <w:adjustRightInd w:val="0"/>
              <w:snapToGrid w:val="0"/>
              <w:rPr>
                <w:lang w:eastAsia="zh-CN"/>
              </w:rPr>
            </w:pPr>
            <w:r w:rsidRPr="0047304A">
              <w:rPr>
                <w:lang w:eastAsia="zh-CN"/>
              </w:rPr>
              <w:t>-0.12***</w:t>
            </w:r>
          </w:p>
        </w:tc>
        <w:tc>
          <w:tcPr>
            <w:tcW w:w="605" w:type="pct"/>
            <w:gridSpan w:val="2"/>
          </w:tcPr>
          <w:p w:rsidR="00887848" w:rsidRPr="0047304A" w:rsidRDefault="00887848">
            <w:pPr>
              <w:adjustRightInd w:val="0"/>
              <w:snapToGrid w:val="0"/>
              <w:rPr>
                <w:lang w:eastAsia="zh-CN"/>
              </w:rPr>
            </w:pPr>
            <w:r w:rsidRPr="0047304A">
              <w:rPr>
                <w:lang w:eastAsia="zh-CN"/>
              </w:rPr>
              <w:t>-0.11**</w:t>
            </w:r>
          </w:p>
        </w:tc>
        <w:tc>
          <w:tcPr>
            <w:tcW w:w="605" w:type="pct"/>
            <w:gridSpan w:val="2"/>
          </w:tcPr>
          <w:p w:rsidR="00887848" w:rsidRPr="0047304A" w:rsidRDefault="00887848">
            <w:pPr>
              <w:adjustRightInd w:val="0"/>
              <w:snapToGrid w:val="0"/>
              <w:rPr>
                <w:lang w:eastAsia="zh-CN"/>
              </w:rPr>
            </w:pPr>
            <w:r w:rsidRPr="0047304A">
              <w:rPr>
                <w:lang w:eastAsia="zh-CN"/>
              </w:rPr>
              <w:t>1.00</w:t>
            </w:r>
          </w:p>
        </w:tc>
        <w:tc>
          <w:tcPr>
            <w:tcW w:w="567" w:type="pct"/>
            <w:gridSpan w:val="2"/>
          </w:tcPr>
          <w:p w:rsidR="00887848" w:rsidRPr="0047304A" w:rsidRDefault="00887848">
            <w:pPr>
              <w:adjustRightInd w:val="0"/>
              <w:snapToGrid w:val="0"/>
              <w:rPr>
                <w:lang w:eastAsia="zh-CN"/>
              </w:rPr>
            </w:pPr>
          </w:p>
        </w:tc>
        <w:tc>
          <w:tcPr>
            <w:tcW w:w="568" w:type="pct"/>
            <w:gridSpan w:val="2"/>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6.Institutional block-holders’ relative  power over family</w:t>
            </w:r>
          </w:p>
        </w:tc>
        <w:tc>
          <w:tcPr>
            <w:tcW w:w="617" w:type="pct"/>
            <w:gridSpan w:val="2"/>
          </w:tcPr>
          <w:p w:rsidR="00887848" w:rsidRPr="0047304A" w:rsidRDefault="00887848">
            <w:pPr>
              <w:adjustRightInd w:val="0"/>
              <w:snapToGrid w:val="0"/>
              <w:rPr>
                <w:lang w:eastAsia="zh-CN"/>
              </w:rPr>
            </w:pPr>
            <w:r w:rsidRPr="0047304A">
              <w:rPr>
                <w:lang w:eastAsia="zh-CN"/>
              </w:rPr>
              <w:t>0.08</w:t>
            </w:r>
          </w:p>
        </w:tc>
        <w:tc>
          <w:tcPr>
            <w:tcW w:w="605" w:type="pct"/>
            <w:gridSpan w:val="2"/>
          </w:tcPr>
          <w:p w:rsidR="00887848" w:rsidRPr="0047304A" w:rsidRDefault="00887848">
            <w:pPr>
              <w:adjustRightInd w:val="0"/>
              <w:snapToGrid w:val="0"/>
              <w:rPr>
                <w:lang w:eastAsia="zh-CN"/>
              </w:rPr>
            </w:pPr>
            <w:r w:rsidRPr="0047304A">
              <w:rPr>
                <w:lang w:eastAsia="zh-CN"/>
              </w:rPr>
              <w:t>0.15***</w:t>
            </w:r>
          </w:p>
        </w:tc>
        <w:tc>
          <w:tcPr>
            <w:tcW w:w="605" w:type="pct"/>
            <w:gridSpan w:val="2"/>
          </w:tcPr>
          <w:p w:rsidR="00887848" w:rsidRPr="0047304A" w:rsidRDefault="00887848">
            <w:pPr>
              <w:adjustRightInd w:val="0"/>
              <w:snapToGrid w:val="0"/>
              <w:rPr>
                <w:lang w:eastAsia="zh-CN"/>
              </w:rPr>
            </w:pPr>
            <w:r w:rsidRPr="0047304A">
              <w:rPr>
                <w:lang w:eastAsia="zh-CN"/>
              </w:rPr>
              <w:t>-0.13***</w:t>
            </w:r>
          </w:p>
        </w:tc>
        <w:tc>
          <w:tcPr>
            <w:tcW w:w="605" w:type="pct"/>
            <w:gridSpan w:val="2"/>
          </w:tcPr>
          <w:p w:rsidR="00887848" w:rsidRPr="0047304A" w:rsidRDefault="00887848">
            <w:pPr>
              <w:adjustRightInd w:val="0"/>
              <w:snapToGrid w:val="0"/>
              <w:rPr>
                <w:lang w:eastAsia="zh-CN"/>
              </w:rPr>
            </w:pPr>
            <w:r w:rsidRPr="0047304A">
              <w:rPr>
                <w:lang w:eastAsia="zh-CN"/>
              </w:rPr>
              <w:t>-0.24***</w:t>
            </w:r>
          </w:p>
        </w:tc>
        <w:tc>
          <w:tcPr>
            <w:tcW w:w="605" w:type="pct"/>
            <w:gridSpan w:val="2"/>
          </w:tcPr>
          <w:p w:rsidR="00887848" w:rsidRPr="0047304A" w:rsidRDefault="00887848">
            <w:pPr>
              <w:adjustRightInd w:val="0"/>
              <w:snapToGrid w:val="0"/>
              <w:rPr>
                <w:lang w:eastAsia="zh-CN"/>
              </w:rPr>
            </w:pPr>
            <w:r w:rsidRPr="0047304A">
              <w:rPr>
                <w:lang w:eastAsia="zh-CN"/>
              </w:rPr>
              <w:t>0.834</w:t>
            </w:r>
          </w:p>
        </w:tc>
        <w:tc>
          <w:tcPr>
            <w:tcW w:w="567" w:type="pct"/>
            <w:gridSpan w:val="2"/>
          </w:tcPr>
          <w:p w:rsidR="00887848" w:rsidRPr="0047304A" w:rsidRDefault="00887848">
            <w:pPr>
              <w:adjustRightInd w:val="0"/>
              <w:snapToGrid w:val="0"/>
              <w:rPr>
                <w:lang w:eastAsia="zh-CN"/>
              </w:rPr>
            </w:pPr>
            <w:r w:rsidRPr="0047304A">
              <w:rPr>
                <w:lang w:eastAsia="zh-CN"/>
              </w:rPr>
              <w:t>1.00</w:t>
            </w:r>
          </w:p>
        </w:tc>
        <w:tc>
          <w:tcPr>
            <w:tcW w:w="568" w:type="pct"/>
            <w:gridSpan w:val="2"/>
          </w:tcPr>
          <w:p w:rsidR="00887848" w:rsidRPr="0047304A" w:rsidRDefault="00887848">
            <w:pPr>
              <w:adjustRightInd w:val="0"/>
              <w:snapToGrid w:val="0"/>
              <w:rPr>
                <w:lang w:eastAsia="zh-CN"/>
              </w:rPr>
            </w:pP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7.</w:t>
            </w:r>
            <w:r w:rsidRPr="0047304A">
              <w:t xml:space="preserve"> Ln Market Capitalization of Equity</w:t>
            </w:r>
          </w:p>
        </w:tc>
        <w:tc>
          <w:tcPr>
            <w:tcW w:w="617" w:type="pct"/>
            <w:gridSpan w:val="2"/>
          </w:tcPr>
          <w:p w:rsidR="00887848" w:rsidRPr="0047304A" w:rsidRDefault="00887848">
            <w:pPr>
              <w:adjustRightInd w:val="0"/>
              <w:snapToGrid w:val="0"/>
              <w:rPr>
                <w:lang w:eastAsia="zh-CN"/>
              </w:rPr>
            </w:pPr>
            <w:r w:rsidRPr="0047304A">
              <w:rPr>
                <w:lang w:eastAsia="zh-CN"/>
              </w:rPr>
              <w:t>0.26***</w:t>
            </w:r>
          </w:p>
        </w:tc>
        <w:tc>
          <w:tcPr>
            <w:tcW w:w="605" w:type="pct"/>
            <w:gridSpan w:val="2"/>
          </w:tcPr>
          <w:p w:rsidR="00887848" w:rsidRPr="0047304A" w:rsidRDefault="00887848">
            <w:pPr>
              <w:adjustRightInd w:val="0"/>
              <w:snapToGrid w:val="0"/>
              <w:rPr>
                <w:lang w:eastAsia="zh-CN"/>
              </w:rPr>
            </w:pPr>
            <w:r w:rsidRPr="0047304A">
              <w:rPr>
                <w:lang w:eastAsia="zh-CN"/>
              </w:rPr>
              <w:t>0.16***</w:t>
            </w:r>
          </w:p>
        </w:tc>
        <w:tc>
          <w:tcPr>
            <w:tcW w:w="605" w:type="pct"/>
            <w:gridSpan w:val="2"/>
          </w:tcPr>
          <w:p w:rsidR="00887848" w:rsidRPr="0047304A" w:rsidRDefault="00887848">
            <w:pPr>
              <w:adjustRightInd w:val="0"/>
              <w:snapToGrid w:val="0"/>
              <w:rPr>
                <w:lang w:eastAsia="zh-CN"/>
              </w:rPr>
            </w:pPr>
            <w:r w:rsidRPr="0047304A">
              <w:rPr>
                <w:lang w:eastAsia="zh-CN"/>
              </w:rPr>
              <w:t>-0.53***</w:t>
            </w:r>
          </w:p>
        </w:tc>
        <w:tc>
          <w:tcPr>
            <w:tcW w:w="605" w:type="pct"/>
            <w:gridSpan w:val="2"/>
          </w:tcPr>
          <w:p w:rsidR="00887848" w:rsidRPr="0047304A" w:rsidRDefault="00887848">
            <w:pPr>
              <w:adjustRightInd w:val="0"/>
              <w:snapToGrid w:val="0"/>
              <w:rPr>
                <w:lang w:eastAsia="zh-CN"/>
              </w:rPr>
            </w:pPr>
            <w:r w:rsidRPr="0047304A">
              <w:rPr>
                <w:lang w:eastAsia="zh-CN"/>
              </w:rPr>
              <w:t>-0.15***</w:t>
            </w:r>
          </w:p>
        </w:tc>
        <w:tc>
          <w:tcPr>
            <w:tcW w:w="605" w:type="pct"/>
            <w:gridSpan w:val="2"/>
          </w:tcPr>
          <w:p w:rsidR="00887848" w:rsidRPr="0047304A" w:rsidRDefault="00887848">
            <w:pPr>
              <w:adjustRightInd w:val="0"/>
              <w:snapToGrid w:val="0"/>
              <w:rPr>
                <w:lang w:eastAsia="zh-CN"/>
              </w:rPr>
            </w:pPr>
            <w:r w:rsidRPr="0047304A">
              <w:rPr>
                <w:lang w:eastAsia="zh-CN"/>
              </w:rPr>
              <w:t>0.11***</w:t>
            </w:r>
          </w:p>
        </w:tc>
        <w:tc>
          <w:tcPr>
            <w:tcW w:w="567" w:type="pct"/>
            <w:gridSpan w:val="2"/>
          </w:tcPr>
          <w:p w:rsidR="00887848" w:rsidRPr="0047304A" w:rsidRDefault="00887848">
            <w:pPr>
              <w:adjustRightInd w:val="0"/>
              <w:snapToGrid w:val="0"/>
              <w:rPr>
                <w:lang w:eastAsia="zh-CN"/>
              </w:rPr>
            </w:pPr>
            <w:r w:rsidRPr="0047304A">
              <w:rPr>
                <w:lang w:eastAsia="zh-CN"/>
              </w:rPr>
              <w:t>0.06</w:t>
            </w:r>
          </w:p>
        </w:tc>
        <w:tc>
          <w:tcPr>
            <w:tcW w:w="568" w:type="pct"/>
            <w:gridSpan w:val="2"/>
          </w:tcPr>
          <w:p w:rsidR="00887848" w:rsidRPr="0047304A" w:rsidRDefault="00887848">
            <w:pPr>
              <w:adjustRightInd w:val="0"/>
              <w:snapToGrid w:val="0"/>
              <w:rPr>
                <w:lang w:eastAsia="zh-CN"/>
              </w:rPr>
            </w:pPr>
            <w:r w:rsidRPr="0047304A">
              <w:rPr>
                <w:lang w:eastAsia="zh-CN"/>
              </w:rPr>
              <w:t>1.00</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8</w:t>
            </w:r>
            <w:r w:rsidRPr="0047304A">
              <w:t>.Ln Share Liquidity</w:t>
            </w:r>
          </w:p>
        </w:tc>
        <w:tc>
          <w:tcPr>
            <w:tcW w:w="617" w:type="pct"/>
            <w:gridSpan w:val="2"/>
          </w:tcPr>
          <w:p w:rsidR="00887848" w:rsidRPr="0047304A" w:rsidRDefault="00887848">
            <w:pPr>
              <w:adjustRightInd w:val="0"/>
              <w:snapToGrid w:val="0"/>
              <w:rPr>
                <w:lang w:eastAsia="zh-CN"/>
              </w:rPr>
            </w:pPr>
            <w:r w:rsidRPr="0047304A">
              <w:rPr>
                <w:lang w:eastAsia="zh-CN"/>
              </w:rPr>
              <w:t>0.26***</w:t>
            </w:r>
          </w:p>
        </w:tc>
        <w:tc>
          <w:tcPr>
            <w:tcW w:w="605" w:type="pct"/>
            <w:gridSpan w:val="2"/>
          </w:tcPr>
          <w:p w:rsidR="00887848" w:rsidRPr="0047304A" w:rsidRDefault="00887848">
            <w:pPr>
              <w:adjustRightInd w:val="0"/>
              <w:snapToGrid w:val="0"/>
              <w:rPr>
                <w:lang w:eastAsia="zh-CN"/>
              </w:rPr>
            </w:pPr>
            <w:r w:rsidRPr="0047304A">
              <w:rPr>
                <w:lang w:eastAsia="zh-CN"/>
              </w:rPr>
              <w:t>0.17***</w:t>
            </w:r>
          </w:p>
        </w:tc>
        <w:tc>
          <w:tcPr>
            <w:tcW w:w="605" w:type="pct"/>
            <w:gridSpan w:val="2"/>
          </w:tcPr>
          <w:p w:rsidR="00887848" w:rsidRPr="0047304A" w:rsidRDefault="00887848">
            <w:pPr>
              <w:adjustRightInd w:val="0"/>
              <w:snapToGrid w:val="0"/>
              <w:rPr>
                <w:lang w:eastAsia="zh-CN"/>
              </w:rPr>
            </w:pPr>
            <w:r w:rsidRPr="0047304A">
              <w:rPr>
                <w:lang w:eastAsia="zh-CN"/>
              </w:rPr>
              <w:t>-0.46***</w:t>
            </w:r>
          </w:p>
        </w:tc>
        <w:tc>
          <w:tcPr>
            <w:tcW w:w="605" w:type="pct"/>
            <w:gridSpan w:val="2"/>
          </w:tcPr>
          <w:p w:rsidR="00887848" w:rsidRPr="0047304A" w:rsidRDefault="00887848">
            <w:pPr>
              <w:adjustRightInd w:val="0"/>
              <w:snapToGrid w:val="0"/>
              <w:rPr>
                <w:lang w:eastAsia="zh-CN"/>
              </w:rPr>
            </w:pPr>
            <w:r w:rsidRPr="0047304A">
              <w:rPr>
                <w:lang w:eastAsia="zh-CN"/>
              </w:rPr>
              <w:t>-0.27***</w:t>
            </w:r>
          </w:p>
        </w:tc>
        <w:tc>
          <w:tcPr>
            <w:tcW w:w="605" w:type="pct"/>
            <w:gridSpan w:val="2"/>
          </w:tcPr>
          <w:p w:rsidR="00887848" w:rsidRPr="0047304A" w:rsidRDefault="00887848">
            <w:pPr>
              <w:adjustRightInd w:val="0"/>
              <w:snapToGrid w:val="0"/>
              <w:rPr>
                <w:lang w:eastAsia="zh-CN"/>
              </w:rPr>
            </w:pPr>
            <w:r w:rsidRPr="0047304A">
              <w:rPr>
                <w:lang w:eastAsia="zh-CN"/>
              </w:rPr>
              <w:t>0.08*</w:t>
            </w:r>
          </w:p>
        </w:tc>
        <w:tc>
          <w:tcPr>
            <w:tcW w:w="567" w:type="pct"/>
            <w:gridSpan w:val="2"/>
          </w:tcPr>
          <w:p w:rsidR="00887848" w:rsidRPr="0047304A" w:rsidRDefault="00887848">
            <w:pPr>
              <w:adjustRightInd w:val="0"/>
              <w:snapToGrid w:val="0"/>
              <w:rPr>
                <w:lang w:eastAsia="zh-CN"/>
              </w:rPr>
            </w:pPr>
            <w:r w:rsidRPr="0047304A">
              <w:rPr>
                <w:lang w:eastAsia="zh-CN"/>
              </w:rPr>
              <w:t>0.13***</w:t>
            </w:r>
          </w:p>
        </w:tc>
        <w:tc>
          <w:tcPr>
            <w:tcW w:w="568" w:type="pct"/>
            <w:gridSpan w:val="2"/>
          </w:tcPr>
          <w:p w:rsidR="00887848" w:rsidRPr="0047304A" w:rsidRDefault="00887848">
            <w:pPr>
              <w:adjustRightInd w:val="0"/>
              <w:snapToGrid w:val="0"/>
              <w:rPr>
                <w:lang w:eastAsia="zh-CN"/>
              </w:rPr>
            </w:pPr>
            <w:r w:rsidRPr="0047304A">
              <w:rPr>
                <w:lang w:eastAsia="zh-CN"/>
              </w:rPr>
              <w:t>0.30***</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9</w:t>
            </w:r>
            <w:r w:rsidRPr="0047304A">
              <w:t>.Daily Return Risk</w:t>
            </w:r>
          </w:p>
        </w:tc>
        <w:tc>
          <w:tcPr>
            <w:tcW w:w="617" w:type="pct"/>
            <w:gridSpan w:val="2"/>
          </w:tcPr>
          <w:p w:rsidR="00887848" w:rsidRPr="0047304A" w:rsidRDefault="00887848">
            <w:pPr>
              <w:adjustRightInd w:val="0"/>
              <w:snapToGrid w:val="0"/>
              <w:rPr>
                <w:lang w:eastAsia="zh-CN"/>
              </w:rPr>
            </w:pPr>
            <w:r w:rsidRPr="0047304A">
              <w:rPr>
                <w:lang w:eastAsia="zh-CN"/>
              </w:rPr>
              <w:t>0.10**</w:t>
            </w:r>
          </w:p>
        </w:tc>
        <w:tc>
          <w:tcPr>
            <w:tcW w:w="605" w:type="pct"/>
            <w:gridSpan w:val="2"/>
          </w:tcPr>
          <w:p w:rsidR="00887848" w:rsidRPr="0047304A" w:rsidRDefault="00887848">
            <w:pPr>
              <w:adjustRightInd w:val="0"/>
              <w:snapToGrid w:val="0"/>
              <w:rPr>
                <w:lang w:eastAsia="zh-CN"/>
              </w:rPr>
            </w:pPr>
            <w:r w:rsidRPr="0047304A">
              <w:rPr>
                <w:lang w:eastAsia="zh-CN"/>
              </w:rPr>
              <w:t>0.12**</w:t>
            </w:r>
          </w:p>
        </w:tc>
        <w:tc>
          <w:tcPr>
            <w:tcW w:w="605" w:type="pct"/>
            <w:gridSpan w:val="2"/>
          </w:tcPr>
          <w:p w:rsidR="00887848" w:rsidRPr="0047304A" w:rsidRDefault="00887848">
            <w:pPr>
              <w:adjustRightInd w:val="0"/>
              <w:snapToGrid w:val="0"/>
              <w:rPr>
                <w:lang w:eastAsia="zh-CN"/>
              </w:rPr>
            </w:pPr>
            <w:r w:rsidRPr="0047304A">
              <w:rPr>
                <w:lang w:eastAsia="zh-CN"/>
              </w:rPr>
              <w:t>0.05</w:t>
            </w:r>
          </w:p>
        </w:tc>
        <w:tc>
          <w:tcPr>
            <w:tcW w:w="605" w:type="pct"/>
            <w:gridSpan w:val="2"/>
          </w:tcPr>
          <w:p w:rsidR="00887848" w:rsidRPr="0047304A" w:rsidRDefault="00887848">
            <w:pPr>
              <w:adjustRightInd w:val="0"/>
              <w:snapToGrid w:val="0"/>
              <w:rPr>
                <w:lang w:eastAsia="zh-CN"/>
              </w:rPr>
            </w:pPr>
            <w:r w:rsidRPr="0047304A">
              <w:rPr>
                <w:lang w:eastAsia="zh-CN"/>
              </w:rPr>
              <w:t>-0.03</w:t>
            </w:r>
          </w:p>
        </w:tc>
        <w:tc>
          <w:tcPr>
            <w:tcW w:w="605" w:type="pct"/>
            <w:gridSpan w:val="2"/>
          </w:tcPr>
          <w:p w:rsidR="00887848" w:rsidRPr="0047304A" w:rsidRDefault="00887848">
            <w:pPr>
              <w:adjustRightInd w:val="0"/>
              <w:snapToGrid w:val="0"/>
              <w:rPr>
                <w:lang w:eastAsia="zh-CN"/>
              </w:rPr>
            </w:pPr>
            <w:r w:rsidRPr="0047304A">
              <w:rPr>
                <w:lang w:eastAsia="zh-CN"/>
              </w:rPr>
              <w:t>-0.05</w:t>
            </w:r>
          </w:p>
        </w:tc>
        <w:tc>
          <w:tcPr>
            <w:tcW w:w="567" w:type="pct"/>
            <w:gridSpan w:val="2"/>
          </w:tcPr>
          <w:p w:rsidR="00887848" w:rsidRPr="0047304A" w:rsidRDefault="00887848">
            <w:pPr>
              <w:adjustRightInd w:val="0"/>
              <w:snapToGrid w:val="0"/>
              <w:rPr>
                <w:lang w:eastAsia="zh-CN"/>
              </w:rPr>
            </w:pPr>
            <w:r w:rsidRPr="0047304A">
              <w:rPr>
                <w:lang w:eastAsia="zh-CN"/>
              </w:rPr>
              <w:t>0.03</w:t>
            </w:r>
          </w:p>
        </w:tc>
        <w:tc>
          <w:tcPr>
            <w:tcW w:w="568" w:type="pct"/>
            <w:gridSpan w:val="2"/>
          </w:tcPr>
          <w:p w:rsidR="00887848" w:rsidRPr="0047304A" w:rsidRDefault="00887848">
            <w:pPr>
              <w:adjustRightInd w:val="0"/>
              <w:snapToGrid w:val="0"/>
              <w:rPr>
                <w:lang w:eastAsia="zh-CN"/>
              </w:rPr>
            </w:pPr>
            <w:r w:rsidRPr="0047304A">
              <w:rPr>
                <w:lang w:eastAsia="zh-CN"/>
              </w:rPr>
              <w:t>-0.41</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10</w:t>
            </w:r>
            <w:r w:rsidRPr="0047304A">
              <w:t>. Leverage</w:t>
            </w:r>
          </w:p>
        </w:tc>
        <w:tc>
          <w:tcPr>
            <w:tcW w:w="617" w:type="pct"/>
            <w:gridSpan w:val="2"/>
          </w:tcPr>
          <w:p w:rsidR="00887848" w:rsidRPr="0047304A" w:rsidRDefault="00887848">
            <w:pPr>
              <w:adjustRightInd w:val="0"/>
              <w:snapToGrid w:val="0"/>
              <w:rPr>
                <w:lang w:eastAsia="zh-CN"/>
              </w:rPr>
            </w:pPr>
            <w:r w:rsidRPr="0047304A">
              <w:rPr>
                <w:lang w:eastAsia="zh-CN"/>
              </w:rPr>
              <w:t>0.01</w:t>
            </w:r>
          </w:p>
        </w:tc>
        <w:tc>
          <w:tcPr>
            <w:tcW w:w="605" w:type="pct"/>
            <w:gridSpan w:val="2"/>
          </w:tcPr>
          <w:p w:rsidR="00887848" w:rsidRPr="0047304A" w:rsidRDefault="00887848">
            <w:pPr>
              <w:adjustRightInd w:val="0"/>
              <w:snapToGrid w:val="0"/>
              <w:rPr>
                <w:lang w:eastAsia="zh-CN"/>
              </w:rPr>
            </w:pPr>
            <w:r w:rsidRPr="0047304A">
              <w:rPr>
                <w:lang w:eastAsia="zh-CN"/>
              </w:rPr>
              <w:t>-0.07</w:t>
            </w:r>
          </w:p>
        </w:tc>
        <w:tc>
          <w:tcPr>
            <w:tcW w:w="605" w:type="pct"/>
            <w:gridSpan w:val="2"/>
          </w:tcPr>
          <w:p w:rsidR="00887848" w:rsidRPr="0047304A" w:rsidRDefault="00887848">
            <w:pPr>
              <w:adjustRightInd w:val="0"/>
              <w:snapToGrid w:val="0"/>
              <w:rPr>
                <w:lang w:eastAsia="zh-CN"/>
              </w:rPr>
            </w:pPr>
            <w:r w:rsidRPr="0047304A">
              <w:rPr>
                <w:lang w:eastAsia="zh-CN"/>
              </w:rPr>
              <w:t>0.01</w:t>
            </w:r>
          </w:p>
        </w:tc>
        <w:tc>
          <w:tcPr>
            <w:tcW w:w="605" w:type="pct"/>
            <w:gridSpan w:val="2"/>
          </w:tcPr>
          <w:p w:rsidR="00887848" w:rsidRPr="0047304A" w:rsidRDefault="00887848">
            <w:pPr>
              <w:adjustRightInd w:val="0"/>
              <w:snapToGrid w:val="0"/>
              <w:rPr>
                <w:lang w:eastAsia="zh-CN"/>
              </w:rPr>
            </w:pPr>
            <w:r w:rsidRPr="0047304A">
              <w:rPr>
                <w:lang w:eastAsia="zh-CN"/>
              </w:rPr>
              <w:t>-0.04</w:t>
            </w:r>
          </w:p>
        </w:tc>
        <w:tc>
          <w:tcPr>
            <w:tcW w:w="605" w:type="pct"/>
            <w:gridSpan w:val="2"/>
          </w:tcPr>
          <w:p w:rsidR="00887848" w:rsidRPr="0047304A" w:rsidRDefault="00887848">
            <w:pPr>
              <w:adjustRightInd w:val="0"/>
              <w:snapToGrid w:val="0"/>
              <w:rPr>
                <w:lang w:eastAsia="zh-CN"/>
              </w:rPr>
            </w:pPr>
            <w:r w:rsidRPr="0047304A">
              <w:rPr>
                <w:lang w:eastAsia="zh-CN"/>
              </w:rPr>
              <w:t>-0.03</w:t>
            </w:r>
          </w:p>
        </w:tc>
        <w:tc>
          <w:tcPr>
            <w:tcW w:w="567" w:type="pct"/>
            <w:gridSpan w:val="2"/>
          </w:tcPr>
          <w:p w:rsidR="00887848" w:rsidRPr="0047304A" w:rsidRDefault="00887848">
            <w:pPr>
              <w:adjustRightInd w:val="0"/>
              <w:snapToGrid w:val="0"/>
              <w:rPr>
                <w:lang w:eastAsia="zh-CN"/>
              </w:rPr>
            </w:pPr>
            <w:r w:rsidRPr="0047304A">
              <w:rPr>
                <w:lang w:eastAsia="zh-CN"/>
              </w:rPr>
              <w:t>-0.03</w:t>
            </w:r>
          </w:p>
        </w:tc>
        <w:tc>
          <w:tcPr>
            <w:tcW w:w="568" w:type="pct"/>
            <w:gridSpan w:val="2"/>
          </w:tcPr>
          <w:p w:rsidR="00887848" w:rsidRPr="0047304A" w:rsidRDefault="00887848">
            <w:pPr>
              <w:adjustRightInd w:val="0"/>
              <w:snapToGrid w:val="0"/>
              <w:rPr>
                <w:lang w:eastAsia="zh-CN"/>
              </w:rPr>
            </w:pPr>
            <w:r w:rsidRPr="0047304A">
              <w:rPr>
                <w:lang w:eastAsia="zh-CN"/>
              </w:rPr>
              <w:t>0.05</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11</w:t>
            </w:r>
            <w:r w:rsidRPr="0047304A">
              <w:t>.Growth</w:t>
            </w:r>
          </w:p>
        </w:tc>
        <w:tc>
          <w:tcPr>
            <w:tcW w:w="617" w:type="pct"/>
            <w:gridSpan w:val="2"/>
          </w:tcPr>
          <w:p w:rsidR="00887848" w:rsidRPr="0047304A" w:rsidRDefault="00887848">
            <w:pPr>
              <w:adjustRightInd w:val="0"/>
              <w:snapToGrid w:val="0"/>
              <w:rPr>
                <w:lang w:eastAsia="zh-CN"/>
              </w:rPr>
            </w:pPr>
            <w:r w:rsidRPr="0047304A">
              <w:rPr>
                <w:lang w:eastAsia="zh-CN"/>
              </w:rPr>
              <w:t>-0.03</w:t>
            </w:r>
          </w:p>
        </w:tc>
        <w:tc>
          <w:tcPr>
            <w:tcW w:w="605" w:type="pct"/>
            <w:gridSpan w:val="2"/>
          </w:tcPr>
          <w:p w:rsidR="00887848" w:rsidRPr="0047304A" w:rsidRDefault="00887848">
            <w:pPr>
              <w:adjustRightInd w:val="0"/>
              <w:snapToGrid w:val="0"/>
              <w:rPr>
                <w:lang w:eastAsia="zh-CN"/>
              </w:rPr>
            </w:pPr>
            <w:r w:rsidRPr="0047304A">
              <w:rPr>
                <w:lang w:eastAsia="zh-CN"/>
              </w:rPr>
              <w:t>-0.06</w:t>
            </w:r>
          </w:p>
        </w:tc>
        <w:tc>
          <w:tcPr>
            <w:tcW w:w="605" w:type="pct"/>
            <w:gridSpan w:val="2"/>
          </w:tcPr>
          <w:p w:rsidR="00887848" w:rsidRPr="0047304A" w:rsidRDefault="00887848">
            <w:pPr>
              <w:adjustRightInd w:val="0"/>
              <w:snapToGrid w:val="0"/>
              <w:rPr>
                <w:lang w:eastAsia="zh-CN"/>
              </w:rPr>
            </w:pPr>
            <w:r w:rsidRPr="0047304A">
              <w:rPr>
                <w:lang w:eastAsia="zh-CN"/>
              </w:rPr>
              <w:t>0.02</w:t>
            </w:r>
          </w:p>
        </w:tc>
        <w:tc>
          <w:tcPr>
            <w:tcW w:w="605" w:type="pct"/>
            <w:gridSpan w:val="2"/>
          </w:tcPr>
          <w:p w:rsidR="00887848" w:rsidRPr="0047304A" w:rsidRDefault="00887848">
            <w:pPr>
              <w:adjustRightInd w:val="0"/>
              <w:snapToGrid w:val="0"/>
              <w:rPr>
                <w:lang w:eastAsia="zh-CN"/>
              </w:rPr>
            </w:pPr>
            <w:r w:rsidRPr="0047304A">
              <w:rPr>
                <w:lang w:eastAsia="zh-CN"/>
              </w:rPr>
              <w:t>-0.08*</w:t>
            </w:r>
          </w:p>
        </w:tc>
        <w:tc>
          <w:tcPr>
            <w:tcW w:w="605" w:type="pct"/>
            <w:gridSpan w:val="2"/>
          </w:tcPr>
          <w:p w:rsidR="00887848" w:rsidRPr="0047304A" w:rsidRDefault="00887848">
            <w:pPr>
              <w:adjustRightInd w:val="0"/>
              <w:snapToGrid w:val="0"/>
              <w:rPr>
                <w:lang w:eastAsia="zh-CN"/>
              </w:rPr>
            </w:pPr>
            <w:r w:rsidRPr="0047304A">
              <w:rPr>
                <w:lang w:eastAsia="zh-CN"/>
              </w:rPr>
              <w:t>-0.03</w:t>
            </w:r>
          </w:p>
        </w:tc>
        <w:tc>
          <w:tcPr>
            <w:tcW w:w="567" w:type="pct"/>
            <w:gridSpan w:val="2"/>
          </w:tcPr>
          <w:p w:rsidR="00887848" w:rsidRPr="0047304A" w:rsidRDefault="00887848">
            <w:pPr>
              <w:adjustRightInd w:val="0"/>
              <w:snapToGrid w:val="0"/>
              <w:rPr>
                <w:lang w:eastAsia="zh-CN"/>
              </w:rPr>
            </w:pPr>
            <w:r w:rsidRPr="0047304A">
              <w:rPr>
                <w:lang w:eastAsia="zh-CN"/>
              </w:rPr>
              <w:t>-0.02</w:t>
            </w:r>
          </w:p>
        </w:tc>
        <w:tc>
          <w:tcPr>
            <w:tcW w:w="568" w:type="pct"/>
            <w:gridSpan w:val="2"/>
          </w:tcPr>
          <w:p w:rsidR="00887848" w:rsidRPr="0047304A" w:rsidRDefault="00887848">
            <w:pPr>
              <w:adjustRightInd w:val="0"/>
              <w:snapToGrid w:val="0"/>
              <w:rPr>
                <w:lang w:eastAsia="zh-CN"/>
              </w:rPr>
            </w:pPr>
            <w:r w:rsidRPr="0047304A">
              <w:rPr>
                <w:lang w:eastAsia="zh-CN"/>
              </w:rPr>
              <w:t>-0.01</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12.ROE</w:t>
            </w:r>
          </w:p>
        </w:tc>
        <w:tc>
          <w:tcPr>
            <w:tcW w:w="617" w:type="pct"/>
            <w:gridSpan w:val="2"/>
          </w:tcPr>
          <w:p w:rsidR="00887848" w:rsidRPr="0047304A" w:rsidRDefault="00887848">
            <w:pPr>
              <w:adjustRightInd w:val="0"/>
              <w:snapToGrid w:val="0"/>
              <w:rPr>
                <w:lang w:eastAsia="zh-CN"/>
              </w:rPr>
            </w:pPr>
            <w:r w:rsidRPr="0047304A">
              <w:rPr>
                <w:lang w:eastAsia="zh-CN"/>
              </w:rPr>
              <w:t>-0.04</w:t>
            </w:r>
          </w:p>
        </w:tc>
        <w:tc>
          <w:tcPr>
            <w:tcW w:w="605" w:type="pct"/>
            <w:gridSpan w:val="2"/>
          </w:tcPr>
          <w:p w:rsidR="00887848" w:rsidRPr="0047304A" w:rsidRDefault="00887848">
            <w:pPr>
              <w:adjustRightInd w:val="0"/>
              <w:snapToGrid w:val="0"/>
              <w:rPr>
                <w:lang w:eastAsia="zh-CN"/>
              </w:rPr>
            </w:pPr>
            <w:r w:rsidRPr="0047304A">
              <w:rPr>
                <w:lang w:eastAsia="zh-CN"/>
              </w:rPr>
              <w:t>0.14***</w:t>
            </w:r>
          </w:p>
        </w:tc>
        <w:tc>
          <w:tcPr>
            <w:tcW w:w="605" w:type="pct"/>
            <w:gridSpan w:val="2"/>
          </w:tcPr>
          <w:p w:rsidR="00887848" w:rsidRPr="0047304A" w:rsidRDefault="00887848">
            <w:pPr>
              <w:adjustRightInd w:val="0"/>
              <w:snapToGrid w:val="0"/>
              <w:rPr>
                <w:lang w:eastAsia="zh-CN"/>
              </w:rPr>
            </w:pPr>
            <w:r w:rsidRPr="0047304A">
              <w:rPr>
                <w:lang w:eastAsia="zh-CN"/>
              </w:rPr>
              <w:t>-0.12***</w:t>
            </w:r>
          </w:p>
        </w:tc>
        <w:tc>
          <w:tcPr>
            <w:tcW w:w="605" w:type="pct"/>
            <w:gridSpan w:val="2"/>
          </w:tcPr>
          <w:p w:rsidR="00887848" w:rsidRPr="0047304A" w:rsidRDefault="00887848">
            <w:pPr>
              <w:adjustRightInd w:val="0"/>
              <w:snapToGrid w:val="0"/>
              <w:rPr>
                <w:lang w:eastAsia="zh-CN"/>
              </w:rPr>
            </w:pPr>
            <w:r w:rsidRPr="0047304A">
              <w:rPr>
                <w:lang w:eastAsia="zh-CN"/>
              </w:rPr>
              <w:t>0.03</w:t>
            </w:r>
          </w:p>
        </w:tc>
        <w:tc>
          <w:tcPr>
            <w:tcW w:w="605" w:type="pct"/>
            <w:gridSpan w:val="2"/>
          </w:tcPr>
          <w:p w:rsidR="00887848" w:rsidRPr="0047304A" w:rsidRDefault="00887848">
            <w:pPr>
              <w:adjustRightInd w:val="0"/>
              <w:snapToGrid w:val="0"/>
              <w:rPr>
                <w:lang w:eastAsia="zh-CN"/>
              </w:rPr>
            </w:pPr>
            <w:r w:rsidRPr="0047304A">
              <w:rPr>
                <w:lang w:eastAsia="zh-CN"/>
              </w:rPr>
              <w:t>0.04</w:t>
            </w:r>
          </w:p>
        </w:tc>
        <w:tc>
          <w:tcPr>
            <w:tcW w:w="567" w:type="pct"/>
            <w:gridSpan w:val="2"/>
          </w:tcPr>
          <w:p w:rsidR="00887848" w:rsidRPr="0047304A" w:rsidRDefault="00887848">
            <w:pPr>
              <w:adjustRightInd w:val="0"/>
              <w:snapToGrid w:val="0"/>
              <w:rPr>
                <w:lang w:eastAsia="zh-CN"/>
              </w:rPr>
            </w:pPr>
            <w:r w:rsidRPr="0047304A">
              <w:rPr>
                <w:lang w:eastAsia="zh-CN"/>
              </w:rPr>
              <w:t>0.02</w:t>
            </w:r>
          </w:p>
        </w:tc>
        <w:tc>
          <w:tcPr>
            <w:tcW w:w="568" w:type="pct"/>
            <w:gridSpan w:val="2"/>
          </w:tcPr>
          <w:p w:rsidR="00887848" w:rsidRPr="0047304A" w:rsidRDefault="00887848">
            <w:pPr>
              <w:adjustRightInd w:val="0"/>
              <w:snapToGrid w:val="0"/>
              <w:rPr>
                <w:lang w:eastAsia="zh-CN"/>
              </w:rPr>
            </w:pPr>
            <w:r w:rsidRPr="0047304A">
              <w:rPr>
                <w:lang w:eastAsia="zh-CN"/>
              </w:rPr>
              <w:t>0.19</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 xml:space="preserve">13. </w:t>
            </w:r>
            <w:r w:rsidR="009D6E9C" w:rsidRPr="0047304A">
              <w:rPr>
                <w:rFonts w:hint="eastAsia"/>
                <w:lang w:eastAsia="zh-CN"/>
              </w:rPr>
              <w:t xml:space="preserve">Ln </w:t>
            </w:r>
            <w:r w:rsidRPr="0047304A">
              <w:rPr>
                <w:lang w:eastAsia="zh-CN"/>
              </w:rPr>
              <w:t>A</w:t>
            </w:r>
            <w:r w:rsidRPr="0047304A">
              <w:rPr>
                <w:lang w:val="en-US" w:eastAsia="zh-CN"/>
              </w:rPr>
              <w:t>analyst Coverage</w:t>
            </w:r>
          </w:p>
        </w:tc>
        <w:tc>
          <w:tcPr>
            <w:tcW w:w="617" w:type="pct"/>
            <w:gridSpan w:val="2"/>
          </w:tcPr>
          <w:p w:rsidR="00887848" w:rsidRPr="0047304A" w:rsidRDefault="00887848">
            <w:pPr>
              <w:adjustRightInd w:val="0"/>
              <w:snapToGrid w:val="0"/>
              <w:rPr>
                <w:lang w:eastAsia="zh-CN"/>
              </w:rPr>
            </w:pPr>
            <w:r w:rsidRPr="0047304A">
              <w:rPr>
                <w:lang w:eastAsia="zh-CN"/>
              </w:rPr>
              <w:t>0.25***</w:t>
            </w:r>
          </w:p>
        </w:tc>
        <w:tc>
          <w:tcPr>
            <w:tcW w:w="605" w:type="pct"/>
            <w:gridSpan w:val="2"/>
          </w:tcPr>
          <w:p w:rsidR="00887848" w:rsidRPr="0047304A" w:rsidRDefault="00887848">
            <w:pPr>
              <w:adjustRightInd w:val="0"/>
              <w:snapToGrid w:val="0"/>
              <w:rPr>
                <w:lang w:eastAsia="zh-CN"/>
              </w:rPr>
            </w:pPr>
            <w:r w:rsidRPr="0047304A">
              <w:rPr>
                <w:lang w:eastAsia="zh-CN"/>
              </w:rPr>
              <w:t>0.13***</w:t>
            </w:r>
          </w:p>
        </w:tc>
        <w:tc>
          <w:tcPr>
            <w:tcW w:w="605" w:type="pct"/>
            <w:gridSpan w:val="2"/>
          </w:tcPr>
          <w:p w:rsidR="00887848" w:rsidRPr="0047304A" w:rsidRDefault="00887848">
            <w:pPr>
              <w:adjustRightInd w:val="0"/>
              <w:snapToGrid w:val="0"/>
              <w:rPr>
                <w:lang w:eastAsia="zh-CN"/>
              </w:rPr>
            </w:pPr>
            <w:r w:rsidRPr="0047304A">
              <w:rPr>
                <w:lang w:eastAsia="zh-CN"/>
              </w:rPr>
              <w:t>-0.50***</w:t>
            </w:r>
          </w:p>
        </w:tc>
        <w:tc>
          <w:tcPr>
            <w:tcW w:w="605" w:type="pct"/>
            <w:gridSpan w:val="2"/>
          </w:tcPr>
          <w:p w:rsidR="00887848" w:rsidRPr="0047304A" w:rsidRDefault="00887848">
            <w:pPr>
              <w:adjustRightInd w:val="0"/>
              <w:snapToGrid w:val="0"/>
              <w:rPr>
                <w:lang w:eastAsia="zh-CN"/>
              </w:rPr>
            </w:pPr>
            <w:r w:rsidRPr="0047304A">
              <w:rPr>
                <w:lang w:eastAsia="zh-CN"/>
              </w:rPr>
              <w:t>-0.21***</w:t>
            </w:r>
          </w:p>
        </w:tc>
        <w:tc>
          <w:tcPr>
            <w:tcW w:w="605" w:type="pct"/>
            <w:gridSpan w:val="2"/>
          </w:tcPr>
          <w:p w:rsidR="00887848" w:rsidRPr="0047304A" w:rsidRDefault="00887848">
            <w:pPr>
              <w:adjustRightInd w:val="0"/>
              <w:snapToGrid w:val="0"/>
              <w:rPr>
                <w:lang w:eastAsia="zh-CN"/>
              </w:rPr>
            </w:pPr>
            <w:r w:rsidRPr="0047304A">
              <w:rPr>
                <w:lang w:eastAsia="zh-CN"/>
              </w:rPr>
              <w:t>0.16***</w:t>
            </w:r>
          </w:p>
        </w:tc>
        <w:tc>
          <w:tcPr>
            <w:tcW w:w="567" w:type="pct"/>
            <w:gridSpan w:val="2"/>
          </w:tcPr>
          <w:p w:rsidR="00887848" w:rsidRPr="0047304A" w:rsidRDefault="00887848">
            <w:pPr>
              <w:adjustRightInd w:val="0"/>
              <w:snapToGrid w:val="0"/>
              <w:rPr>
                <w:lang w:eastAsia="zh-CN"/>
              </w:rPr>
            </w:pPr>
            <w:r w:rsidRPr="0047304A">
              <w:rPr>
                <w:lang w:eastAsia="zh-CN"/>
              </w:rPr>
              <w:t>0.11***</w:t>
            </w:r>
          </w:p>
        </w:tc>
        <w:tc>
          <w:tcPr>
            <w:tcW w:w="568" w:type="pct"/>
            <w:gridSpan w:val="2"/>
          </w:tcPr>
          <w:p w:rsidR="00887848" w:rsidRPr="0047304A" w:rsidRDefault="00887848">
            <w:pPr>
              <w:adjustRightInd w:val="0"/>
              <w:snapToGrid w:val="0"/>
              <w:rPr>
                <w:lang w:eastAsia="zh-CN"/>
              </w:rPr>
            </w:pPr>
            <w:r w:rsidRPr="0047304A">
              <w:rPr>
                <w:lang w:eastAsia="zh-CN"/>
              </w:rPr>
              <w:t>0.80***</w:t>
            </w:r>
          </w:p>
        </w:tc>
      </w:tr>
      <w:tr w:rsidR="00887848" w:rsidRPr="0047304A" w:rsidTr="00C91857">
        <w:tc>
          <w:tcPr>
            <w:tcW w:w="828" w:type="pct"/>
          </w:tcPr>
          <w:p w:rsidR="00887848" w:rsidRPr="0047304A" w:rsidRDefault="00887848">
            <w:pPr>
              <w:adjustRightInd w:val="0"/>
              <w:snapToGrid w:val="0"/>
              <w:rPr>
                <w:lang w:eastAsia="zh-CN"/>
              </w:rPr>
            </w:pPr>
            <w:r w:rsidRPr="0047304A">
              <w:rPr>
                <w:lang w:eastAsia="zh-CN"/>
              </w:rPr>
              <w:t>14</w:t>
            </w:r>
            <w:r w:rsidRPr="0047304A">
              <w:t>.Ln Firm Age</w:t>
            </w:r>
          </w:p>
        </w:tc>
        <w:tc>
          <w:tcPr>
            <w:tcW w:w="617" w:type="pct"/>
            <w:gridSpan w:val="2"/>
          </w:tcPr>
          <w:p w:rsidR="00887848" w:rsidRPr="0047304A" w:rsidRDefault="00887848">
            <w:pPr>
              <w:adjustRightInd w:val="0"/>
              <w:snapToGrid w:val="0"/>
              <w:rPr>
                <w:lang w:eastAsia="zh-CN"/>
              </w:rPr>
            </w:pPr>
            <w:r w:rsidRPr="0047304A">
              <w:rPr>
                <w:lang w:eastAsia="zh-CN"/>
              </w:rPr>
              <w:t>-0.07</w:t>
            </w:r>
          </w:p>
        </w:tc>
        <w:tc>
          <w:tcPr>
            <w:tcW w:w="605" w:type="pct"/>
            <w:gridSpan w:val="2"/>
          </w:tcPr>
          <w:p w:rsidR="00887848" w:rsidRPr="0047304A" w:rsidRDefault="00887848">
            <w:pPr>
              <w:adjustRightInd w:val="0"/>
              <w:snapToGrid w:val="0"/>
              <w:rPr>
                <w:lang w:eastAsia="zh-CN"/>
              </w:rPr>
            </w:pPr>
            <w:r w:rsidRPr="0047304A">
              <w:rPr>
                <w:lang w:eastAsia="zh-CN"/>
              </w:rPr>
              <w:t>-0.01</w:t>
            </w:r>
          </w:p>
        </w:tc>
        <w:tc>
          <w:tcPr>
            <w:tcW w:w="605" w:type="pct"/>
            <w:gridSpan w:val="2"/>
          </w:tcPr>
          <w:p w:rsidR="00887848" w:rsidRPr="0047304A" w:rsidRDefault="00887848">
            <w:pPr>
              <w:adjustRightInd w:val="0"/>
              <w:snapToGrid w:val="0"/>
              <w:rPr>
                <w:lang w:eastAsia="zh-CN"/>
              </w:rPr>
            </w:pPr>
            <w:r w:rsidRPr="0047304A">
              <w:rPr>
                <w:lang w:eastAsia="zh-CN"/>
              </w:rPr>
              <w:t>-0.07</w:t>
            </w:r>
          </w:p>
        </w:tc>
        <w:tc>
          <w:tcPr>
            <w:tcW w:w="605" w:type="pct"/>
            <w:gridSpan w:val="2"/>
          </w:tcPr>
          <w:p w:rsidR="00887848" w:rsidRPr="0047304A" w:rsidRDefault="00887848">
            <w:pPr>
              <w:adjustRightInd w:val="0"/>
              <w:snapToGrid w:val="0"/>
              <w:rPr>
                <w:lang w:eastAsia="zh-CN"/>
              </w:rPr>
            </w:pPr>
            <w:r w:rsidRPr="0047304A">
              <w:rPr>
                <w:lang w:eastAsia="zh-CN"/>
              </w:rPr>
              <w:t>-0.03</w:t>
            </w:r>
          </w:p>
        </w:tc>
        <w:tc>
          <w:tcPr>
            <w:tcW w:w="605" w:type="pct"/>
            <w:gridSpan w:val="2"/>
          </w:tcPr>
          <w:p w:rsidR="00887848" w:rsidRPr="0047304A" w:rsidRDefault="00887848">
            <w:pPr>
              <w:adjustRightInd w:val="0"/>
              <w:snapToGrid w:val="0"/>
              <w:rPr>
                <w:lang w:eastAsia="zh-CN"/>
              </w:rPr>
            </w:pPr>
            <w:r w:rsidRPr="0047304A">
              <w:rPr>
                <w:lang w:eastAsia="zh-CN"/>
              </w:rPr>
              <w:t>-0.12***</w:t>
            </w:r>
          </w:p>
        </w:tc>
        <w:tc>
          <w:tcPr>
            <w:tcW w:w="567" w:type="pct"/>
            <w:gridSpan w:val="2"/>
          </w:tcPr>
          <w:p w:rsidR="00887848" w:rsidRPr="0047304A" w:rsidRDefault="00887848">
            <w:pPr>
              <w:adjustRightInd w:val="0"/>
              <w:snapToGrid w:val="0"/>
              <w:rPr>
                <w:lang w:eastAsia="zh-CN"/>
              </w:rPr>
            </w:pPr>
            <w:r w:rsidRPr="0047304A">
              <w:rPr>
                <w:lang w:eastAsia="zh-CN"/>
              </w:rPr>
              <w:t>-0.10</w:t>
            </w:r>
          </w:p>
        </w:tc>
        <w:tc>
          <w:tcPr>
            <w:tcW w:w="568" w:type="pct"/>
            <w:gridSpan w:val="2"/>
          </w:tcPr>
          <w:p w:rsidR="00887848" w:rsidRPr="0047304A" w:rsidRDefault="00887848">
            <w:pPr>
              <w:adjustRightInd w:val="0"/>
              <w:snapToGrid w:val="0"/>
              <w:rPr>
                <w:lang w:eastAsia="zh-CN"/>
              </w:rPr>
            </w:pPr>
            <w:r w:rsidRPr="0047304A">
              <w:rPr>
                <w:lang w:eastAsia="zh-CN"/>
              </w:rPr>
              <w:t>0.17***</w:t>
            </w:r>
          </w:p>
        </w:tc>
      </w:tr>
      <w:tr w:rsidR="00887848" w:rsidRPr="0047304A" w:rsidTr="00C91857">
        <w:tblPrEx>
          <w:tblBorders>
            <w:top w:val="single" w:sz="4" w:space="0" w:color="000000"/>
            <w:bottom w:val="single" w:sz="4" w:space="0" w:color="000000"/>
          </w:tblBorders>
        </w:tblPrEx>
        <w:tc>
          <w:tcPr>
            <w:tcW w:w="970"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Variable</w:t>
            </w:r>
          </w:p>
        </w:tc>
        <w:tc>
          <w:tcPr>
            <w:tcW w:w="613"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8</w:t>
            </w:r>
          </w:p>
        </w:tc>
        <w:tc>
          <w:tcPr>
            <w:tcW w:w="613"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9</w:t>
            </w:r>
          </w:p>
        </w:tc>
        <w:tc>
          <w:tcPr>
            <w:tcW w:w="599"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10</w:t>
            </w:r>
          </w:p>
        </w:tc>
        <w:tc>
          <w:tcPr>
            <w:tcW w:w="602"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11</w:t>
            </w:r>
          </w:p>
        </w:tc>
        <w:tc>
          <w:tcPr>
            <w:tcW w:w="613"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12</w:t>
            </w:r>
          </w:p>
        </w:tc>
        <w:tc>
          <w:tcPr>
            <w:tcW w:w="495" w:type="pct"/>
            <w:gridSpan w:val="2"/>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13</w:t>
            </w:r>
          </w:p>
        </w:tc>
        <w:tc>
          <w:tcPr>
            <w:tcW w:w="495" w:type="pct"/>
            <w:tcBorders>
              <w:top w:val="single" w:sz="4" w:space="0" w:color="000000"/>
              <w:bottom w:val="single" w:sz="4" w:space="0" w:color="000000"/>
            </w:tcBorders>
          </w:tcPr>
          <w:p w:rsidR="00887848" w:rsidRPr="0047304A" w:rsidRDefault="00887848">
            <w:pPr>
              <w:adjustRightInd w:val="0"/>
              <w:snapToGrid w:val="0"/>
              <w:rPr>
                <w:lang w:eastAsia="zh-CN"/>
              </w:rPr>
            </w:pPr>
            <w:r w:rsidRPr="0047304A">
              <w:rPr>
                <w:sz w:val="22"/>
                <w:szCs w:val="22"/>
                <w:lang w:eastAsia="zh-CN"/>
              </w:rPr>
              <w:t>14</w:t>
            </w:r>
          </w:p>
        </w:tc>
      </w:tr>
      <w:tr w:rsidR="00887848" w:rsidRPr="0047304A" w:rsidTr="00C91857">
        <w:tblPrEx>
          <w:tblBorders>
            <w:top w:val="single" w:sz="4" w:space="0" w:color="000000"/>
            <w:bottom w:val="single" w:sz="4" w:space="0" w:color="000000"/>
          </w:tblBorders>
        </w:tblPrEx>
        <w:tc>
          <w:tcPr>
            <w:tcW w:w="970" w:type="pct"/>
            <w:gridSpan w:val="2"/>
            <w:tcBorders>
              <w:top w:val="single" w:sz="4" w:space="0" w:color="000000"/>
            </w:tcBorders>
          </w:tcPr>
          <w:p w:rsidR="00887848" w:rsidRPr="0047304A" w:rsidRDefault="00887848">
            <w:pPr>
              <w:adjustRightInd w:val="0"/>
              <w:snapToGrid w:val="0"/>
              <w:rPr>
                <w:lang w:eastAsia="zh-CN"/>
              </w:rPr>
            </w:pPr>
            <w:r w:rsidRPr="0047304A">
              <w:rPr>
                <w:sz w:val="22"/>
                <w:szCs w:val="22"/>
                <w:lang w:eastAsia="zh-CN"/>
              </w:rPr>
              <w:t>8</w:t>
            </w:r>
            <w:r w:rsidRPr="0047304A">
              <w:rPr>
                <w:sz w:val="22"/>
                <w:szCs w:val="22"/>
              </w:rPr>
              <w:t>.Ln Share Liquidity</w:t>
            </w:r>
          </w:p>
        </w:tc>
        <w:tc>
          <w:tcPr>
            <w:tcW w:w="613" w:type="pct"/>
            <w:gridSpan w:val="2"/>
            <w:tcBorders>
              <w:top w:val="single" w:sz="4" w:space="0" w:color="000000"/>
            </w:tcBorders>
          </w:tcPr>
          <w:p w:rsidR="00887848" w:rsidRPr="0047304A" w:rsidRDefault="00887848">
            <w:pPr>
              <w:adjustRightInd w:val="0"/>
              <w:snapToGrid w:val="0"/>
              <w:rPr>
                <w:lang w:eastAsia="zh-CN"/>
              </w:rPr>
            </w:pPr>
            <w:r w:rsidRPr="0047304A">
              <w:rPr>
                <w:sz w:val="22"/>
                <w:szCs w:val="22"/>
                <w:lang w:eastAsia="zh-CN"/>
              </w:rPr>
              <w:t>1.00</w:t>
            </w:r>
          </w:p>
        </w:tc>
        <w:tc>
          <w:tcPr>
            <w:tcW w:w="613" w:type="pct"/>
            <w:gridSpan w:val="2"/>
            <w:tcBorders>
              <w:top w:val="single" w:sz="4" w:space="0" w:color="000000"/>
            </w:tcBorders>
          </w:tcPr>
          <w:p w:rsidR="00887848" w:rsidRPr="0047304A" w:rsidRDefault="00887848">
            <w:pPr>
              <w:adjustRightInd w:val="0"/>
              <w:snapToGrid w:val="0"/>
              <w:rPr>
                <w:lang w:eastAsia="zh-CN"/>
              </w:rPr>
            </w:pPr>
          </w:p>
        </w:tc>
        <w:tc>
          <w:tcPr>
            <w:tcW w:w="599" w:type="pct"/>
            <w:gridSpan w:val="2"/>
            <w:tcBorders>
              <w:top w:val="single" w:sz="4" w:space="0" w:color="000000"/>
            </w:tcBorders>
          </w:tcPr>
          <w:p w:rsidR="00887848" w:rsidRPr="0047304A" w:rsidRDefault="00887848">
            <w:pPr>
              <w:adjustRightInd w:val="0"/>
              <w:snapToGrid w:val="0"/>
              <w:rPr>
                <w:lang w:eastAsia="zh-CN"/>
              </w:rPr>
            </w:pPr>
          </w:p>
        </w:tc>
        <w:tc>
          <w:tcPr>
            <w:tcW w:w="602" w:type="pct"/>
            <w:gridSpan w:val="2"/>
            <w:tcBorders>
              <w:top w:val="single" w:sz="4" w:space="0" w:color="000000"/>
            </w:tcBorders>
          </w:tcPr>
          <w:p w:rsidR="00887848" w:rsidRPr="0047304A" w:rsidRDefault="00887848">
            <w:pPr>
              <w:adjustRightInd w:val="0"/>
              <w:snapToGrid w:val="0"/>
              <w:rPr>
                <w:lang w:eastAsia="zh-CN"/>
              </w:rPr>
            </w:pPr>
          </w:p>
        </w:tc>
        <w:tc>
          <w:tcPr>
            <w:tcW w:w="613" w:type="pct"/>
            <w:gridSpan w:val="2"/>
            <w:tcBorders>
              <w:top w:val="single" w:sz="4" w:space="0" w:color="000000"/>
            </w:tcBorders>
          </w:tcPr>
          <w:p w:rsidR="00887848" w:rsidRPr="0047304A" w:rsidRDefault="00887848">
            <w:pPr>
              <w:adjustRightInd w:val="0"/>
              <w:snapToGrid w:val="0"/>
              <w:rPr>
                <w:lang w:eastAsia="zh-CN"/>
              </w:rPr>
            </w:pPr>
          </w:p>
        </w:tc>
        <w:tc>
          <w:tcPr>
            <w:tcW w:w="495" w:type="pct"/>
            <w:gridSpan w:val="2"/>
            <w:tcBorders>
              <w:top w:val="single" w:sz="4" w:space="0" w:color="000000"/>
            </w:tcBorders>
          </w:tcPr>
          <w:p w:rsidR="00887848" w:rsidRPr="0047304A" w:rsidRDefault="00887848">
            <w:pPr>
              <w:adjustRightInd w:val="0"/>
              <w:snapToGrid w:val="0"/>
              <w:rPr>
                <w:lang w:eastAsia="zh-CN"/>
              </w:rPr>
            </w:pPr>
          </w:p>
        </w:tc>
        <w:tc>
          <w:tcPr>
            <w:tcW w:w="495" w:type="pct"/>
            <w:tcBorders>
              <w:top w:val="single" w:sz="4" w:space="0" w:color="000000"/>
            </w:tcBorders>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Pr>
          <w:p w:rsidR="00887848" w:rsidRPr="0047304A" w:rsidRDefault="00887848">
            <w:pPr>
              <w:adjustRightInd w:val="0"/>
              <w:snapToGrid w:val="0"/>
              <w:rPr>
                <w:lang w:eastAsia="zh-CN"/>
              </w:rPr>
            </w:pPr>
            <w:r w:rsidRPr="0047304A">
              <w:rPr>
                <w:sz w:val="22"/>
                <w:szCs w:val="22"/>
                <w:lang w:eastAsia="zh-CN"/>
              </w:rPr>
              <w:t>9</w:t>
            </w:r>
            <w:r w:rsidRPr="0047304A">
              <w:rPr>
                <w:sz w:val="22"/>
                <w:szCs w:val="22"/>
              </w:rPr>
              <w:t>.Daily Return Risk</w:t>
            </w:r>
          </w:p>
        </w:tc>
        <w:tc>
          <w:tcPr>
            <w:tcW w:w="613" w:type="pct"/>
            <w:gridSpan w:val="2"/>
          </w:tcPr>
          <w:p w:rsidR="00887848" w:rsidRPr="0047304A" w:rsidRDefault="00887848">
            <w:pPr>
              <w:adjustRightInd w:val="0"/>
              <w:snapToGrid w:val="0"/>
              <w:rPr>
                <w:lang w:eastAsia="zh-CN"/>
              </w:rPr>
            </w:pPr>
            <w:r w:rsidRPr="0047304A">
              <w:rPr>
                <w:sz w:val="22"/>
                <w:szCs w:val="22"/>
                <w:lang w:eastAsia="zh-CN"/>
              </w:rPr>
              <w:t>0.12***</w:t>
            </w:r>
          </w:p>
        </w:tc>
        <w:tc>
          <w:tcPr>
            <w:tcW w:w="613" w:type="pct"/>
            <w:gridSpan w:val="2"/>
          </w:tcPr>
          <w:p w:rsidR="00887848" w:rsidRPr="0047304A" w:rsidRDefault="00887848">
            <w:pPr>
              <w:adjustRightInd w:val="0"/>
              <w:snapToGrid w:val="0"/>
              <w:rPr>
                <w:lang w:eastAsia="zh-CN"/>
              </w:rPr>
            </w:pPr>
            <w:r w:rsidRPr="0047304A">
              <w:rPr>
                <w:sz w:val="22"/>
                <w:szCs w:val="22"/>
                <w:lang w:eastAsia="zh-CN"/>
              </w:rPr>
              <w:t>1.00</w:t>
            </w:r>
          </w:p>
        </w:tc>
        <w:tc>
          <w:tcPr>
            <w:tcW w:w="599" w:type="pct"/>
            <w:gridSpan w:val="2"/>
          </w:tcPr>
          <w:p w:rsidR="00887848" w:rsidRPr="0047304A" w:rsidRDefault="00887848">
            <w:pPr>
              <w:adjustRightInd w:val="0"/>
              <w:snapToGrid w:val="0"/>
              <w:rPr>
                <w:lang w:eastAsia="zh-CN"/>
              </w:rPr>
            </w:pPr>
          </w:p>
        </w:tc>
        <w:tc>
          <w:tcPr>
            <w:tcW w:w="602" w:type="pct"/>
            <w:gridSpan w:val="2"/>
          </w:tcPr>
          <w:p w:rsidR="00887848" w:rsidRPr="0047304A" w:rsidRDefault="00887848">
            <w:pPr>
              <w:adjustRightInd w:val="0"/>
              <w:snapToGrid w:val="0"/>
              <w:rPr>
                <w:lang w:eastAsia="zh-CN"/>
              </w:rPr>
            </w:pPr>
          </w:p>
        </w:tc>
        <w:tc>
          <w:tcPr>
            <w:tcW w:w="613" w:type="pct"/>
            <w:gridSpan w:val="2"/>
          </w:tcPr>
          <w:p w:rsidR="00887848" w:rsidRPr="0047304A" w:rsidRDefault="00887848">
            <w:pPr>
              <w:adjustRightInd w:val="0"/>
              <w:snapToGrid w:val="0"/>
              <w:rPr>
                <w:lang w:eastAsia="zh-CN"/>
              </w:rPr>
            </w:pPr>
          </w:p>
        </w:tc>
        <w:tc>
          <w:tcPr>
            <w:tcW w:w="495" w:type="pct"/>
            <w:gridSpan w:val="2"/>
          </w:tcPr>
          <w:p w:rsidR="00887848" w:rsidRPr="0047304A" w:rsidRDefault="00887848">
            <w:pPr>
              <w:adjustRightInd w:val="0"/>
              <w:snapToGrid w:val="0"/>
              <w:rPr>
                <w:lang w:eastAsia="zh-CN"/>
              </w:rPr>
            </w:pPr>
          </w:p>
        </w:tc>
        <w:tc>
          <w:tcPr>
            <w:tcW w:w="495" w:type="pct"/>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Pr>
          <w:p w:rsidR="00887848" w:rsidRPr="0047304A" w:rsidRDefault="00887848">
            <w:pPr>
              <w:adjustRightInd w:val="0"/>
              <w:snapToGrid w:val="0"/>
              <w:rPr>
                <w:lang w:eastAsia="zh-CN"/>
              </w:rPr>
            </w:pPr>
            <w:r w:rsidRPr="0047304A">
              <w:rPr>
                <w:sz w:val="22"/>
                <w:szCs w:val="22"/>
                <w:lang w:eastAsia="zh-CN"/>
              </w:rPr>
              <w:t>10</w:t>
            </w:r>
            <w:r w:rsidRPr="0047304A">
              <w:rPr>
                <w:sz w:val="22"/>
                <w:szCs w:val="22"/>
              </w:rPr>
              <w:t>. Leverage</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0.05</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-0.03</w:t>
            </w:r>
          </w:p>
        </w:tc>
        <w:tc>
          <w:tcPr>
            <w:tcW w:w="599" w:type="pct"/>
            <w:gridSpan w:val="2"/>
          </w:tcPr>
          <w:p w:rsidR="00887848" w:rsidRPr="0047304A" w:rsidRDefault="00887848">
            <w:pPr>
              <w:adjustRightInd w:val="0"/>
              <w:snapToGrid w:val="0"/>
              <w:rPr>
                <w:lang w:eastAsia="zh-CN"/>
              </w:rPr>
            </w:pPr>
            <w:r w:rsidRPr="0047304A">
              <w:rPr>
                <w:sz w:val="22"/>
                <w:szCs w:val="22"/>
                <w:lang w:eastAsia="zh-CN"/>
              </w:rPr>
              <w:t>1.00</w:t>
            </w:r>
          </w:p>
        </w:tc>
        <w:tc>
          <w:tcPr>
            <w:tcW w:w="602" w:type="pct"/>
            <w:gridSpan w:val="2"/>
          </w:tcPr>
          <w:p w:rsidR="00887848" w:rsidRPr="0047304A" w:rsidRDefault="00887848">
            <w:pPr>
              <w:adjustRightInd w:val="0"/>
              <w:snapToGrid w:val="0"/>
              <w:rPr>
                <w:lang w:eastAsia="zh-CN"/>
              </w:rPr>
            </w:pPr>
          </w:p>
        </w:tc>
        <w:tc>
          <w:tcPr>
            <w:tcW w:w="613" w:type="pct"/>
            <w:gridSpan w:val="2"/>
          </w:tcPr>
          <w:p w:rsidR="00887848" w:rsidRPr="0047304A" w:rsidRDefault="00887848">
            <w:pPr>
              <w:adjustRightInd w:val="0"/>
              <w:snapToGrid w:val="0"/>
              <w:rPr>
                <w:lang w:eastAsia="zh-CN"/>
              </w:rPr>
            </w:pPr>
          </w:p>
        </w:tc>
        <w:tc>
          <w:tcPr>
            <w:tcW w:w="495" w:type="pct"/>
            <w:gridSpan w:val="2"/>
          </w:tcPr>
          <w:p w:rsidR="00887848" w:rsidRPr="0047304A" w:rsidRDefault="00887848">
            <w:pPr>
              <w:adjustRightInd w:val="0"/>
              <w:snapToGrid w:val="0"/>
              <w:rPr>
                <w:lang w:eastAsia="zh-CN"/>
              </w:rPr>
            </w:pPr>
          </w:p>
        </w:tc>
        <w:tc>
          <w:tcPr>
            <w:tcW w:w="495" w:type="pct"/>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Pr>
          <w:p w:rsidR="00887848" w:rsidRPr="0047304A" w:rsidRDefault="00887848">
            <w:pPr>
              <w:adjustRightInd w:val="0"/>
              <w:snapToGrid w:val="0"/>
              <w:rPr>
                <w:lang w:eastAsia="zh-CN"/>
              </w:rPr>
            </w:pPr>
            <w:r w:rsidRPr="0047304A">
              <w:rPr>
                <w:sz w:val="22"/>
                <w:szCs w:val="22"/>
                <w:lang w:eastAsia="zh-CN"/>
              </w:rPr>
              <w:t>11</w:t>
            </w:r>
            <w:r w:rsidRPr="0047304A">
              <w:rPr>
                <w:sz w:val="22"/>
                <w:szCs w:val="22"/>
              </w:rPr>
              <w:t>.Growth</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-0.01</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-0.02</w:t>
            </w:r>
          </w:p>
        </w:tc>
        <w:tc>
          <w:tcPr>
            <w:tcW w:w="599" w:type="pct"/>
            <w:gridSpan w:val="2"/>
          </w:tcPr>
          <w:p w:rsidR="00887848" w:rsidRPr="0047304A" w:rsidRDefault="00887848">
            <w:pPr>
              <w:adjustRightInd w:val="0"/>
              <w:snapToGrid w:val="0"/>
              <w:rPr>
                <w:lang w:eastAsia="zh-CN"/>
              </w:rPr>
            </w:pPr>
            <w:r w:rsidRPr="0047304A">
              <w:rPr>
                <w:sz w:val="22"/>
                <w:szCs w:val="22"/>
                <w:lang w:eastAsia="zh-CN"/>
              </w:rPr>
              <w:t>-0.01</w:t>
            </w:r>
          </w:p>
        </w:tc>
        <w:tc>
          <w:tcPr>
            <w:tcW w:w="602" w:type="pct"/>
            <w:gridSpan w:val="2"/>
          </w:tcPr>
          <w:p w:rsidR="00887848" w:rsidRPr="0047304A" w:rsidRDefault="00887848">
            <w:pPr>
              <w:adjustRightInd w:val="0"/>
              <w:snapToGrid w:val="0"/>
              <w:rPr>
                <w:lang w:eastAsia="zh-CN"/>
              </w:rPr>
            </w:pPr>
            <w:r w:rsidRPr="0047304A">
              <w:rPr>
                <w:sz w:val="22"/>
                <w:szCs w:val="22"/>
                <w:lang w:eastAsia="zh-CN"/>
              </w:rPr>
              <w:t>1.00</w:t>
            </w:r>
          </w:p>
        </w:tc>
        <w:tc>
          <w:tcPr>
            <w:tcW w:w="613" w:type="pct"/>
            <w:gridSpan w:val="2"/>
          </w:tcPr>
          <w:p w:rsidR="00887848" w:rsidRPr="0047304A" w:rsidRDefault="00887848">
            <w:pPr>
              <w:adjustRightInd w:val="0"/>
              <w:snapToGrid w:val="0"/>
              <w:rPr>
                <w:lang w:eastAsia="zh-CN"/>
              </w:rPr>
            </w:pPr>
          </w:p>
        </w:tc>
        <w:tc>
          <w:tcPr>
            <w:tcW w:w="495" w:type="pct"/>
            <w:gridSpan w:val="2"/>
          </w:tcPr>
          <w:p w:rsidR="00887848" w:rsidRPr="0047304A" w:rsidRDefault="00887848">
            <w:pPr>
              <w:adjustRightInd w:val="0"/>
              <w:snapToGrid w:val="0"/>
              <w:rPr>
                <w:lang w:eastAsia="zh-CN"/>
              </w:rPr>
            </w:pPr>
          </w:p>
        </w:tc>
        <w:tc>
          <w:tcPr>
            <w:tcW w:w="495" w:type="pct"/>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Pr>
          <w:p w:rsidR="00887848" w:rsidRPr="0047304A" w:rsidRDefault="00887848">
            <w:pPr>
              <w:adjustRightInd w:val="0"/>
              <w:snapToGrid w:val="0"/>
              <w:rPr>
                <w:lang w:eastAsia="zh-CN"/>
              </w:rPr>
            </w:pPr>
            <w:r w:rsidRPr="0047304A">
              <w:rPr>
                <w:sz w:val="22"/>
                <w:szCs w:val="22"/>
                <w:lang w:eastAsia="zh-CN"/>
              </w:rPr>
              <w:t>12.ROE</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0.06</w:t>
            </w:r>
          </w:p>
        </w:tc>
        <w:tc>
          <w:tcPr>
            <w:tcW w:w="613" w:type="pct"/>
            <w:gridSpan w:val="2"/>
          </w:tcPr>
          <w:p w:rsidR="00887848" w:rsidRPr="0047304A" w:rsidRDefault="00887848">
            <w:pPr>
              <w:adjustRightInd w:val="0"/>
              <w:snapToGrid w:val="0"/>
              <w:rPr>
                <w:lang w:eastAsia="zh-CN"/>
              </w:rPr>
            </w:pPr>
            <w:r w:rsidRPr="0047304A">
              <w:rPr>
                <w:sz w:val="22"/>
                <w:szCs w:val="22"/>
                <w:lang w:eastAsia="zh-CN"/>
              </w:rPr>
              <w:t>-0.05</w:t>
            </w:r>
          </w:p>
        </w:tc>
        <w:tc>
          <w:tcPr>
            <w:tcW w:w="599" w:type="pct"/>
            <w:gridSpan w:val="2"/>
          </w:tcPr>
          <w:p w:rsidR="00887848" w:rsidRPr="0047304A" w:rsidRDefault="00887848">
            <w:pPr>
              <w:adjustRightInd w:val="0"/>
              <w:snapToGrid w:val="0"/>
              <w:rPr>
                <w:lang w:eastAsia="zh-CN"/>
              </w:rPr>
            </w:pPr>
            <w:r w:rsidRPr="0047304A">
              <w:rPr>
                <w:sz w:val="22"/>
                <w:szCs w:val="22"/>
                <w:lang w:eastAsia="zh-CN"/>
              </w:rPr>
              <w:t>-0.01</w:t>
            </w:r>
          </w:p>
        </w:tc>
        <w:tc>
          <w:tcPr>
            <w:tcW w:w="602" w:type="pct"/>
            <w:gridSpan w:val="2"/>
          </w:tcPr>
          <w:p w:rsidR="00887848" w:rsidRPr="0047304A" w:rsidRDefault="00887848">
            <w:pPr>
              <w:adjustRightInd w:val="0"/>
              <w:snapToGrid w:val="0"/>
              <w:rPr>
                <w:lang w:eastAsia="zh-CN"/>
              </w:rPr>
            </w:pPr>
            <w:r w:rsidRPr="0047304A">
              <w:rPr>
                <w:sz w:val="22"/>
                <w:szCs w:val="22"/>
                <w:lang w:eastAsia="zh-CN"/>
              </w:rPr>
              <w:t>0.01</w:t>
            </w:r>
          </w:p>
        </w:tc>
        <w:tc>
          <w:tcPr>
            <w:tcW w:w="613" w:type="pct"/>
            <w:gridSpan w:val="2"/>
          </w:tcPr>
          <w:p w:rsidR="00887848" w:rsidRPr="0047304A" w:rsidRDefault="00887848">
            <w:pPr>
              <w:adjustRightInd w:val="0"/>
              <w:snapToGrid w:val="0"/>
              <w:rPr>
                <w:lang w:eastAsia="zh-CN"/>
              </w:rPr>
            </w:pPr>
            <w:r w:rsidRPr="0047304A">
              <w:rPr>
                <w:sz w:val="22"/>
                <w:szCs w:val="22"/>
                <w:lang w:eastAsia="zh-CN"/>
              </w:rPr>
              <w:t>1.00</w:t>
            </w:r>
          </w:p>
        </w:tc>
        <w:tc>
          <w:tcPr>
            <w:tcW w:w="495" w:type="pct"/>
            <w:gridSpan w:val="2"/>
          </w:tcPr>
          <w:p w:rsidR="00887848" w:rsidRPr="0047304A" w:rsidRDefault="00887848">
            <w:pPr>
              <w:adjustRightInd w:val="0"/>
              <w:snapToGrid w:val="0"/>
              <w:rPr>
                <w:lang w:eastAsia="zh-CN"/>
              </w:rPr>
            </w:pPr>
          </w:p>
        </w:tc>
        <w:tc>
          <w:tcPr>
            <w:tcW w:w="495" w:type="pct"/>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Pr>
          <w:p w:rsidR="00887848" w:rsidRPr="0047304A" w:rsidRDefault="00887848">
            <w:pPr>
              <w:adjustRightInd w:val="0"/>
              <w:snapToGrid w:val="0"/>
              <w:rPr>
                <w:lang w:eastAsia="zh-CN"/>
              </w:rPr>
            </w:pPr>
            <w:r w:rsidRPr="0047304A">
              <w:rPr>
                <w:sz w:val="22"/>
                <w:szCs w:val="22"/>
                <w:lang w:eastAsia="zh-CN"/>
              </w:rPr>
              <w:lastRenderedPageBreak/>
              <w:t xml:space="preserve">13. </w:t>
            </w:r>
            <w:r w:rsidR="009D6E9C" w:rsidRPr="0047304A">
              <w:rPr>
                <w:rFonts w:hint="eastAsia"/>
                <w:sz w:val="22"/>
                <w:szCs w:val="22"/>
                <w:lang w:eastAsia="zh-CN"/>
              </w:rPr>
              <w:t xml:space="preserve">Ln </w:t>
            </w:r>
            <w:r w:rsidRPr="0047304A">
              <w:rPr>
                <w:sz w:val="22"/>
                <w:szCs w:val="22"/>
                <w:lang w:eastAsia="zh-CN"/>
              </w:rPr>
              <w:t>A</w:t>
            </w:r>
            <w:r w:rsidRPr="0047304A">
              <w:rPr>
                <w:sz w:val="22"/>
                <w:szCs w:val="22"/>
                <w:lang w:val="en-US" w:eastAsia="zh-CN"/>
              </w:rPr>
              <w:t>analyst Coverage</w:t>
            </w:r>
          </w:p>
        </w:tc>
        <w:tc>
          <w:tcPr>
            <w:tcW w:w="613" w:type="pct"/>
            <w:gridSpan w:val="2"/>
          </w:tcPr>
          <w:p w:rsidR="00887848" w:rsidRPr="0047304A" w:rsidRDefault="00887848">
            <w:pPr>
              <w:adjustRightInd w:val="0"/>
              <w:snapToGrid w:val="0"/>
              <w:rPr>
                <w:lang w:eastAsia="zh-CN"/>
              </w:rPr>
            </w:pPr>
            <w:r w:rsidRPr="0047304A">
              <w:rPr>
                <w:sz w:val="22"/>
                <w:szCs w:val="22"/>
                <w:lang w:eastAsia="zh-CN"/>
              </w:rPr>
              <w:t>0.35***</w:t>
            </w:r>
          </w:p>
        </w:tc>
        <w:tc>
          <w:tcPr>
            <w:tcW w:w="613" w:type="pct"/>
            <w:gridSpan w:val="2"/>
          </w:tcPr>
          <w:p w:rsidR="00887848" w:rsidRPr="0047304A" w:rsidRDefault="00887848">
            <w:pPr>
              <w:adjustRightInd w:val="0"/>
              <w:snapToGrid w:val="0"/>
              <w:rPr>
                <w:lang w:eastAsia="zh-CN"/>
              </w:rPr>
            </w:pPr>
            <w:r w:rsidRPr="0047304A">
              <w:rPr>
                <w:sz w:val="22"/>
                <w:szCs w:val="22"/>
                <w:lang w:eastAsia="zh-CN"/>
              </w:rPr>
              <w:t>-0.29***</w:t>
            </w:r>
          </w:p>
        </w:tc>
        <w:tc>
          <w:tcPr>
            <w:tcW w:w="599" w:type="pct"/>
            <w:gridSpan w:val="2"/>
          </w:tcPr>
          <w:p w:rsidR="00887848" w:rsidRPr="0047304A" w:rsidRDefault="00887848">
            <w:pPr>
              <w:adjustRightInd w:val="0"/>
              <w:snapToGrid w:val="0"/>
              <w:rPr>
                <w:lang w:eastAsia="zh-CN"/>
              </w:rPr>
            </w:pPr>
            <w:r w:rsidRPr="0047304A">
              <w:rPr>
                <w:sz w:val="22"/>
                <w:szCs w:val="22"/>
                <w:lang w:eastAsia="zh-CN"/>
              </w:rPr>
              <w:t>0.08*</w:t>
            </w:r>
          </w:p>
        </w:tc>
        <w:tc>
          <w:tcPr>
            <w:tcW w:w="602" w:type="pct"/>
            <w:gridSpan w:val="2"/>
          </w:tcPr>
          <w:p w:rsidR="00887848" w:rsidRPr="0047304A" w:rsidRDefault="00887848">
            <w:pPr>
              <w:adjustRightInd w:val="0"/>
              <w:snapToGrid w:val="0"/>
              <w:rPr>
                <w:lang w:eastAsia="zh-CN"/>
              </w:rPr>
            </w:pPr>
            <w:r w:rsidRPr="0047304A">
              <w:rPr>
                <w:sz w:val="22"/>
                <w:szCs w:val="22"/>
                <w:lang w:eastAsia="zh-CN"/>
              </w:rPr>
              <w:t>-0.03</w:t>
            </w:r>
          </w:p>
        </w:tc>
        <w:tc>
          <w:tcPr>
            <w:tcW w:w="613" w:type="pct"/>
            <w:gridSpan w:val="2"/>
          </w:tcPr>
          <w:p w:rsidR="00887848" w:rsidRPr="0047304A" w:rsidRDefault="00887848">
            <w:pPr>
              <w:adjustRightInd w:val="0"/>
              <w:snapToGrid w:val="0"/>
              <w:rPr>
                <w:lang w:eastAsia="zh-CN"/>
              </w:rPr>
            </w:pPr>
            <w:r w:rsidRPr="0047304A">
              <w:rPr>
                <w:sz w:val="22"/>
                <w:szCs w:val="22"/>
                <w:lang w:eastAsia="zh-CN"/>
              </w:rPr>
              <w:t>0.11***</w:t>
            </w:r>
          </w:p>
        </w:tc>
        <w:tc>
          <w:tcPr>
            <w:tcW w:w="495" w:type="pct"/>
            <w:gridSpan w:val="2"/>
          </w:tcPr>
          <w:p w:rsidR="00887848" w:rsidRPr="0047304A" w:rsidRDefault="00887848">
            <w:pPr>
              <w:adjustRightInd w:val="0"/>
              <w:snapToGrid w:val="0"/>
              <w:rPr>
                <w:lang w:eastAsia="zh-CN"/>
              </w:rPr>
            </w:pPr>
            <w:r w:rsidRPr="0047304A">
              <w:rPr>
                <w:sz w:val="22"/>
                <w:szCs w:val="22"/>
                <w:lang w:eastAsia="zh-CN"/>
              </w:rPr>
              <w:t>1.00</w:t>
            </w:r>
          </w:p>
        </w:tc>
        <w:tc>
          <w:tcPr>
            <w:tcW w:w="495" w:type="pct"/>
          </w:tcPr>
          <w:p w:rsidR="00887848" w:rsidRPr="0047304A" w:rsidRDefault="00887848">
            <w:pPr>
              <w:adjustRightInd w:val="0"/>
              <w:snapToGrid w:val="0"/>
              <w:rPr>
                <w:lang w:eastAsia="zh-CN"/>
              </w:rPr>
            </w:pPr>
          </w:p>
        </w:tc>
      </w:tr>
      <w:tr w:rsidR="00887848" w:rsidRPr="0047304A" w:rsidTr="00C91857">
        <w:tblPrEx>
          <w:tblBorders>
            <w:top w:val="single" w:sz="4" w:space="0" w:color="000000"/>
            <w:bottom w:val="single" w:sz="4" w:space="0" w:color="000000"/>
          </w:tblBorders>
        </w:tblPrEx>
        <w:tc>
          <w:tcPr>
            <w:tcW w:w="970"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14</w:t>
            </w:r>
            <w:r w:rsidRPr="0047304A">
              <w:rPr>
                <w:sz w:val="22"/>
                <w:szCs w:val="22"/>
              </w:rPr>
              <w:t>.Ln Firm Age</w:t>
            </w:r>
          </w:p>
        </w:tc>
        <w:tc>
          <w:tcPr>
            <w:tcW w:w="613"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-0.06</w:t>
            </w:r>
          </w:p>
        </w:tc>
        <w:tc>
          <w:tcPr>
            <w:tcW w:w="613"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-0.07</w:t>
            </w:r>
          </w:p>
        </w:tc>
        <w:tc>
          <w:tcPr>
            <w:tcW w:w="599"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0.05</w:t>
            </w:r>
          </w:p>
        </w:tc>
        <w:tc>
          <w:tcPr>
            <w:tcW w:w="602"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0.04</w:t>
            </w:r>
          </w:p>
        </w:tc>
        <w:tc>
          <w:tcPr>
            <w:tcW w:w="613"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0.03</w:t>
            </w:r>
          </w:p>
        </w:tc>
        <w:tc>
          <w:tcPr>
            <w:tcW w:w="495" w:type="pct"/>
            <w:gridSpan w:val="2"/>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-0.03</w:t>
            </w:r>
          </w:p>
        </w:tc>
        <w:tc>
          <w:tcPr>
            <w:tcW w:w="495" w:type="pct"/>
            <w:tcBorders>
              <w:bottom w:val="single" w:sz="4" w:space="0" w:color="000000"/>
            </w:tcBorders>
          </w:tcPr>
          <w:p w:rsidR="00887848" w:rsidRPr="0047304A" w:rsidRDefault="00887848">
            <w:pPr>
              <w:adjustRightInd w:val="0"/>
              <w:snapToGrid w:val="0"/>
              <w:rPr>
                <w:lang w:eastAsia="zh-CN"/>
              </w:rPr>
            </w:pPr>
            <w:r w:rsidRPr="0047304A">
              <w:rPr>
                <w:sz w:val="22"/>
                <w:szCs w:val="22"/>
                <w:lang w:eastAsia="zh-CN"/>
              </w:rPr>
              <w:t>1.00</w:t>
            </w:r>
          </w:p>
        </w:tc>
      </w:tr>
    </w:tbl>
    <w:p w:rsidR="00887848" w:rsidRDefault="00C91857" w:rsidP="00C91857">
      <w:pPr>
        <w:rPr>
          <w:bCs/>
          <w:sz w:val="18"/>
          <w:szCs w:val="18"/>
          <w:lang w:eastAsia="zh-CN"/>
        </w:rPr>
        <w:sectPr w:rsidR="00887848">
          <w:pgSz w:w="16838" w:h="11906" w:orient="landscape"/>
          <w:pgMar w:top="1797" w:right="1440" w:bottom="1797" w:left="1440" w:header="709" w:footer="709" w:gutter="0"/>
          <w:cols w:space="708"/>
          <w:docGrid w:linePitch="360"/>
        </w:sectPr>
      </w:pPr>
      <w:bookmarkStart w:id="8" w:name="_Toc221891351"/>
      <w:r w:rsidRPr="00C91857">
        <w:rPr>
          <w:bCs/>
          <w:sz w:val="18"/>
          <w:szCs w:val="18"/>
          <w:lang w:eastAsia="zh-CN"/>
        </w:rPr>
        <w:t xml:space="preserve">Correlations are for the sample of </w:t>
      </w:r>
      <w:r>
        <w:rPr>
          <w:bCs/>
          <w:sz w:val="18"/>
          <w:szCs w:val="18"/>
          <w:lang w:eastAsia="zh-CN"/>
        </w:rPr>
        <w:t>447</w:t>
      </w:r>
      <w:r w:rsidRPr="00C91857">
        <w:rPr>
          <w:bCs/>
          <w:sz w:val="18"/>
          <w:szCs w:val="18"/>
          <w:lang w:eastAsia="zh-CN"/>
        </w:rPr>
        <w:t xml:space="preserve"> observations. </w:t>
      </w:r>
      <w:r>
        <w:rPr>
          <w:bCs/>
          <w:sz w:val="18"/>
          <w:szCs w:val="18"/>
          <w:lang w:eastAsia="zh-CN"/>
        </w:rPr>
        <w:t>C</w:t>
      </w:r>
      <w:r w:rsidRPr="00C91857">
        <w:rPr>
          <w:bCs/>
          <w:sz w:val="18"/>
          <w:szCs w:val="18"/>
          <w:lang w:eastAsia="zh-CN"/>
        </w:rPr>
        <w:t>orre</w:t>
      </w:r>
      <w:r>
        <w:rPr>
          <w:bCs/>
          <w:sz w:val="18"/>
          <w:szCs w:val="18"/>
          <w:lang w:eastAsia="zh-CN"/>
        </w:rPr>
        <w:t>lations</w:t>
      </w:r>
      <w:r w:rsidRPr="00C91857">
        <w:rPr>
          <w:bCs/>
          <w:sz w:val="18"/>
          <w:szCs w:val="18"/>
          <w:lang w:eastAsia="zh-CN"/>
        </w:rPr>
        <w:t xml:space="preserve"> significant</w:t>
      </w:r>
      <w:r>
        <w:rPr>
          <w:bCs/>
          <w:sz w:val="18"/>
          <w:szCs w:val="18"/>
          <w:lang w:eastAsia="zh-CN"/>
        </w:rPr>
        <w:t xml:space="preserve"> </w:t>
      </w:r>
      <w:r w:rsidRPr="00C91857">
        <w:rPr>
          <w:bCs/>
          <w:sz w:val="18"/>
          <w:szCs w:val="18"/>
          <w:lang w:eastAsia="zh-CN"/>
        </w:rPr>
        <w:t xml:space="preserve">at the </w:t>
      </w:r>
      <w:r>
        <w:rPr>
          <w:bCs/>
          <w:sz w:val="18"/>
          <w:szCs w:val="18"/>
          <w:lang w:eastAsia="zh-CN"/>
        </w:rPr>
        <w:t>10%/</w:t>
      </w:r>
      <w:r w:rsidRPr="00C91857">
        <w:rPr>
          <w:bCs/>
          <w:sz w:val="18"/>
          <w:szCs w:val="18"/>
          <w:lang w:eastAsia="zh-CN"/>
        </w:rPr>
        <w:t>5%</w:t>
      </w:r>
      <w:r>
        <w:rPr>
          <w:bCs/>
          <w:sz w:val="18"/>
          <w:szCs w:val="18"/>
          <w:lang w:eastAsia="zh-CN"/>
        </w:rPr>
        <w:t xml:space="preserve">/1% </w:t>
      </w:r>
      <w:r w:rsidRPr="00C91857">
        <w:rPr>
          <w:bCs/>
          <w:sz w:val="18"/>
          <w:szCs w:val="18"/>
          <w:lang w:eastAsia="zh-CN"/>
        </w:rPr>
        <w:t>level or lower</w:t>
      </w:r>
      <w:r>
        <w:rPr>
          <w:bCs/>
          <w:sz w:val="18"/>
          <w:szCs w:val="18"/>
          <w:lang w:eastAsia="zh-CN"/>
        </w:rPr>
        <w:t xml:space="preserve"> are noted with */**/*** respectively</w:t>
      </w:r>
      <w:r w:rsidRPr="00C91857">
        <w:rPr>
          <w:bCs/>
          <w:sz w:val="18"/>
          <w:szCs w:val="18"/>
          <w:lang w:eastAsia="zh-CN"/>
        </w:rPr>
        <w:t>. See Table 1</w:t>
      </w:r>
      <w:r>
        <w:rPr>
          <w:bCs/>
          <w:sz w:val="18"/>
          <w:szCs w:val="18"/>
          <w:lang w:eastAsia="zh-CN"/>
        </w:rPr>
        <w:t>Panel A</w:t>
      </w:r>
      <w:r w:rsidRPr="00C91857">
        <w:rPr>
          <w:bCs/>
          <w:sz w:val="18"/>
          <w:szCs w:val="18"/>
          <w:lang w:eastAsia="zh-CN"/>
        </w:rPr>
        <w:t xml:space="preserve"> for variable definitions</w:t>
      </w:r>
      <w:r w:rsidR="0019152D">
        <w:rPr>
          <w:bCs/>
          <w:sz w:val="18"/>
          <w:szCs w:val="18"/>
          <w:lang w:eastAsia="zh-CN"/>
        </w:rPr>
        <w:t>.</w:t>
      </w:r>
    </w:p>
    <w:bookmarkEnd w:id="8"/>
    <w:p w:rsidR="00887848" w:rsidRPr="00E73006" w:rsidRDefault="00887848">
      <w:pPr>
        <w:rPr>
          <w:b/>
        </w:rPr>
      </w:pPr>
      <w:r w:rsidRPr="00E73006">
        <w:rPr>
          <w:b/>
        </w:rPr>
        <w:lastRenderedPageBreak/>
        <w:t xml:space="preserve">Table </w:t>
      </w:r>
      <w:r w:rsidRPr="00E73006">
        <w:rPr>
          <w:b/>
          <w:lang w:eastAsia="zh-CN"/>
        </w:rPr>
        <w:t>2</w:t>
      </w:r>
      <w:r w:rsidRPr="00E73006">
        <w:rPr>
          <w:b/>
          <w:color w:val="FFFFFF"/>
        </w:rPr>
        <w:t xml:space="preserve">. </w:t>
      </w:r>
      <w:r w:rsidRPr="00E73006">
        <w:rPr>
          <w:b/>
        </w:rPr>
        <w:t>Institutional Block-holders and Family Owner in Informed Trading and Its Structure</w:t>
      </w:r>
    </w:p>
    <w:tbl>
      <w:tblPr>
        <w:tblpPr w:leftFromText="180" w:rightFromText="180" w:vertAnchor="text" w:tblpXSpec="center" w:tblpY="1"/>
        <w:tblOverlap w:val="never"/>
        <w:tblW w:w="5000" w:type="pct"/>
        <w:tblLook w:val="00A0" w:firstRow="1" w:lastRow="0" w:firstColumn="1" w:lastColumn="0" w:noHBand="0" w:noVBand="0"/>
      </w:tblPr>
      <w:tblGrid>
        <w:gridCol w:w="3240"/>
        <w:gridCol w:w="1316"/>
        <w:gridCol w:w="1319"/>
        <w:gridCol w:w="1323"/>
        <w:gridCol w:w="1324"/>
      </w:tblGrid>
      <w:tr w:rsidR="00887848" w:rsidRPr="0047304A">
        <w:trPr>
          <w:trHeight w:val="20"/>
        </w:trPr>
        <w:tc>
          <w:tcPr>
            <w:tcW w:w="1901" w:type="pct"/>
            <w:tcBorders>
              <w:top w:val="single" w:sz="4" w:space="0" w:color="auto"/>
            </w:tcBorders>
          </w:tcPr>
          <w:p w:rsidR="00887848" w:rsidRPr="0047304A" w:rsidRDefault="00887848"/>
        </w:tc>
        <w:tc>
          <w:tcPr>
            <w:tcW w:w="772" w:type="pct"/>
            <w:tcBorders>
              <w:top w:val="single" w:sz="4" w:space="0" w:color="auto"/>
            </w:tcBorders>
          </w:tcPr>
          <w:p w:rsidR="00887848" w:rsidRPr="0047304A" w:rsidRDefault="00887848">
            <w:pPr>
              <w:rPr>
                <w:lang w:eastAsia="zh-CN"/>
              </w:rPr>
            </w:pPr>
            <w:r w:rsidRPr="0047304A">
              <w:t xml:space="preserve">Model </w:t>
            </w:r>
            <w:r w:rsidRPr="0047304A">
              <w:rPr>
                <w:lang w:eastAsia="zh-CN"/>
              </w:rPr>
              <w:t>1</w:t>
            </w:r>
          </w:p>
        </w:tc>
        <w:tc>
          <w:tcPr>
            <w:tcW w:w="774" w:type="pct"/>
            <w:tcBorders>
              <w:top w:val="single" w:sz="4" w:space="0" w:color="auto"/>
            </w:tcBorders>
          </w:tcPr>
          <w:p w:rsidR="00887848" w:rsidRPr="0047304A" w:rsidRDefault="00887848">
            <w:pPr>
              <w:rPr>
                <w:lang w:eastAsia="zh-CN"/>
              </w:rPr>
            </w:pPr>
            <w:r w:rsidRPr="0047304A">
              <w:t xml:space="preserve">Model </w:t>
            </w:r>
            <w:r w:rsidRPr="0047304A">
              <w:rPr>
                <w:lang w:eastAsia="zh-CN"/>
              </w:rPr>
              <w:t>2</w:t>
            </w:r>
          </w:p>
        </w:tc>
        <w:tc>
          <w:tcPr>
            <w:tcW w:w="776" w:type="pct"/>
            <w:tcBorders>
              <w:top w:val="single" w:sz="4" w:space="0" w:color="auto"/>
            </w:tcBorders>
          </w:tcPr>
          <w:p w:rsidR="00887848" w:rsidRPr="0047304A" w:rsidRDefault="00887848">
            <w:pPr>
              <w:rPr>
                <w:lang w:eastAsia="zh-CN"/>
              </w:rPr>
            </w:pPr>
            <w:r w:rsidRPr="0047304A">
              <w:rPr>
                <w:lang w:eastAsia="zh-CN"/>
              </w:rPr>
              <w:t>Model 3</w:t>
            </w:r>
          </w:p>
        </w:tc>
        <w:tc>
          <w:tcPr>
            <w:tcW w:w="777" w:type="pct"/>
            <w:tcBorders>
              <w:top w:val="single" w:sz="4" w:space="0" w:color="auto"/>
            </w:tcBorders>
          </w:tcPr>
          <w:p w:rsidR="00887848" w:rsidRPr="0047304A" w:rsidRDefault="00887848">
            <w:pPr>
              <w:rPr>
                <w:lang w:eastAsia="zh-CN"/>
              </w:rPr>
            </w:pPr>
            <w:r w:rsidRPr="0047304A">
              <w:t xml:space="preserve">Model </w:t>
            </w:r>
            <w:r w:rsidRPr="0047304A">
              <w:rPr>
                <w:lang w:eastAsia="zh-CN"/>
              </w:rPr>
              <w:t>4</w:t>
            </w:r>
          </w:p>
        </w:tc>
      </w:tr>
      <w:tr w:rsidR="00887848" w:rsidRPr="0047304A">
        <w:trPr>
          <w:trHeight w:val="20"/>
        </w:trPr>
        <w:tc>
          <w:tcPr>
            <w:tcW w:w="1901" w:type="pct"/>
            <w:tcBorders>
              <w:bottom w:val="single" w:sz="8" w:space="0" w:color="000000"/>
            </w:tcBorders>
          </w:tcPr>
          <w:p w:rsidR="00887848" w:rsidRPr="0047304A" w:rsidRDefault="008011D1">
            <w:r w:rsidRPr="0047304A">
              <w:t>Dependent variable</w:t>
            </w:r>
          </w:p>
        </w:tc>
        <w:tc>
          <w:tcPr>
            <w:tcW w:w="772" w:type="pct"/>
            <w:tcBorders>
              <w:bottom w:val="single" w:sz="8" w:space="0" w:color="000000"/>
            </w:tcBorders>
          </w:tcPr>
          <w:p w:rsidR="00887848" w:rsidRPr="0047304A" w:rsidRDefault="00887848">
            <w:r w:rsidRPr="0047304A">
              <w:t>PIN</w:t>
            </w:r>
          </w:p>
        </w:tc>
        <w:tc>
          <w:tcPr>
            <w:tcW w:w="774" w:type="pct"/>
            <w:tcBorders>
              <w:bottom w:val="single" w:sz="8" w:space="0" w:color="000000"/>
            </w:tcBorders>
          </w:tcPr>
          <w:p w:rsidR="00887848" w:rsidRPr="0047304A" w:rsidRDefault="00887848">
            <w:r w:rsidRPr="0047304A">
              <w:t>PIN</w:t>
            </w:r>
          </w:p>
        </w:tc>
        <w:tc>
          <w:tcPr>
            <w:tcW w:w="776" w:type="pct"/>
            <w:tcBorders>
              <w:bottom w:val="single" w:sz="8" w:space="0" w:color="000000"/>
            </w:tcBorders>
          </w:tcPr>
          <w:p w:rsidR="00887848" w:rsidRPr="0047304A" w:rsidRDefault="00887848">
            <w:pPr>
              <w:rPr>
                <w:lang w:eastAsia="zh-CN"/>
              </w:rPr>
            </w:pPr>
            <w:r w:rsidRPr="0047304A">
              <w:rPr>
                <w:lang w:eastAsia="zh-CN"/>
              </w:rPr>
              <w:t>PIN</w:t>
            </w:r>
          </w:p>
        </w:tc>
        <w:tc>
          <w:tcPr>
            <w:tcW w:w="777" w:type="pct"/>
            <w:tcBorders>
              <w:bottom w:val="single" w:sz="8" w:space="0" w:color="000000"/>
            </w:tcBorders>
          </w:tcPr>
          <w:p w:rsidR="00887848" w:rsidRPr="0047304A" w:rsidRDefault="00887848">
            <w:pPr>
              <w:rPr>
                <w:lang w:eastAsia="zh-CN"/>
              </w:rPr>
            </w:pPr>
            <w:r w:rsidRPr="0047304A">
              <w:rPr>
                <w:lang w:eastAsia="zh-CN"/>
              </w:rPr>
              <w:t>DF</w:t>
            </w:r>
          </w:p>
        </w:tc>
      </w:tr>
      <w:tr w:rsidR="00887848" w:rsidRPr="0047304A">
        <w:trPr>
          <w:trHeight w:val="20"/>
        </w:trPr>
        <w:tc>
          <w:tcPr>
            <w:tcW w:w="1901" w:type="pct"/>
            <w:tcBorders>
              <w:top w:val="single" w:sz="8" w:space="0" w:color="000000"/>
            </w:tcBorders>
          </w:tcPr>
          <w:p w:rsidR="00887848" w:rsidRPr="0047304A" w:rsidRDefault="00887848">
            <w:r w:rsidRPr="0047304A">
              <w:rPr>
                <w:lang w:eastAsia="zh-CN"/>
              </w:rPr>
              <w:t xml:space="preserve">Family </w:t>
            </w:r>
            <w:r w:rsidRPr="0047304A">
              <w:t xml:space="preserve"> ownership</w:t>
            </w:r>
          </w:p>
        </w:tc>
        <w:tc>
          <w:tcPr>
            <w:tcW w:w="772" w:type="pct"/>
            <w:tcBorders>
              <w:top w:val="single" w:sz="8" w:space="0" w:color="000000"/>
            </w:tcBorders>
          </w:tcPr>
          <w:p w:rsidR="00887848" w:rsidRPr="0047304A" w:rsidRDefault="00887848">
            <w:pPr>
              <w:rPr>
                <w:lang w:eastAsia="zh-CN"/>
              </w:rPr>
            </w:pPr>
            <w:r w:rsidRPr="0047304A">
              <w:rPr>
                <w:lang w:eastAsia="zh-CN"/>
              </w:rPr>
              <w:t>0.04**</w:t>
            </w:r>
          </w:p>
          <w:p w:rsidR="00887848" w:rsidRPr="0047304A" w:rsidRDefault="00887848">
            <w:pPr>
              <w:rPr>
                <w:lang w:eastAsia="zh-CN"/>
              </w:rPr>
            </w:pPr>
            <w:r w:rsidRPr="0047304A">
              <w:rPr>
                <w:lang w:eastAsia="zh-CN"/>
              </w:rPr>
              <w:t>[2.11]</w:t>
            </w:r>
          </w:p>
        </w:tc>
        <w:tc>
          <w:tcPr>
            <w:tcW w:w="774" w:type="pct"/>
            <w:tcBorders>
              <w:top w:val="single" w:sz="8" w:space="0" w:color="000000"/>
            </w:tcBorders>
          </w:tcPr>
          <w:p w:rsidR="00887848" w:rsidRPr="0047304A" w:rsidRDefault="00887848">
            <w:pPr>
              <w:rPr>
                <w:lang w:eastAsia="zh-CN"/>
              </w:rPr>
            </w:pPr>
            <w:r w:rsidRPr="0047304A">
              <w:rPr>
                <w:lang w:eastAsia="zh-CN"/>
              </w:rPr>
              <w:t>0.04**</w:t>
            </w:r>
          </w:p>
          <w:p w:rsidR="00887848" w:rsidRPr="0047304A" w:rsidRDefault="00887848">
            <w:pPr>
              <w:rPr>
                <w:lang w:eastAsia="zh-CN"/>
              </w:rPr>
            </w:pPr>
            <w:r w:rsidRPr="0047304A">
              <w:rPr>
                <w:lang w:eastAsia="zh-CN"/>
              </w:rPr>
              <w:t>[2.08]</w:t>
            </w:r>
          </w:p>
        </w:tc>
        <w:tc>
          <w:tcPr>
            <w:tcW w:w="776" w:type="pct"/>
            <w:tcBorders>
              <w:top w:val="single" w:sz="8" w:space="0" w:color="000000"/>
            </w:tcBorders>
          </w:tcPr>
          <w:p w:rsidR="00887848" w:rsidRPr="0047304A" w:rsidRDefault="00887848">
            <w:pPr>
              <w:rPr>
                <w:lang w:eastAsia="zh-CN"/>
              </w:rPr>
            </w:pPr>
            <w:r w:rsidRPr="0047304A">
              <w:rPr>
                <w:lang w:eastAsia="zh-CN"/>
              </w:rPr>
              <w:t>0.04**</w:t>
            </w:r>
          </w:p>
          <w:p w:rsidR="00887848" w:rsidRPr="0047304A" w:rsidRDefault="00887848">
            <w:pPr>
              <w:rPr>
                <w:lang w:eastAsia="zh-CN"/>
              </w:rPr>
            </w:pPr>
            <w:r w:rsidRPr="0047304A">
              <w:rPr>
                <w:lang w:eastAsia="zh-CN"/>
              </w:rPr>
              <w:t>[2.38]</w:t>
            </w:r>
          </w:p>
        </w:tc>
        <w:tc>
          <w:tcPr>
            <w:tcW w:w="777" w:type="pct"/>
            <w:tcBorders>
              <w:top w:val="single" w:sz="8" w:space="0" w:color="000000"/>
            </w:tcBorders>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[-0.85]</w:t>
            </w:r>
          </w:p>
        </w:tc>
      </w:tr>
      <w:tr w:rsidR="00887848" w:rsidRPr="0047304A">
        <w:trPr>
          <w:trHeight w:val="20"/>
        </w:trPr>
        <w:tc>
          <w:tcPr>
            <w:tcW w:w="1901" w:type="pct"/>
          </w:tcPr>
          <w:p w:rsidR="00887848" w:rsidRPr="0047304A" w:rsidRDefault="00887848">
            <w:r w:rsidRPr="0047304A">
              <w:rPr>
                <w:lang w:eastAsia="zh-CN"/>
              </w:rPr>
              <w:t>Institutional Blockholders’</w:t>
            </w:r>
            <w:r w:rsidRPr="0047304A">
              <w:t xml:space="preserve"> Ownership</w:t>
            </w:r>
          </w:p>
        </w:tc>
        <w:tc>
          <w:tcPr>
            <w:tcW w:w="772" w:type="pct"/>
          </w:tcPr>
          <w:p w:rsidR="00887848" w:rsidRPr="0047304A" w:rsidRDefault="00887848">
            <w:r w:rsidRPr="0047304A">
              <w:t>---</w:t>
            </w:r>
          </w:p>
        </w:tc>
        <w:tc>
          <w:tcPr>
            <w:tcW w:w="774" w:type="pct"/>
          </w:tcPr>
          <w:p w:rsidR="00887848" w:rsidRPr="0047304A" w:rsidRDefault="00887848">
            <w:pPr>
              <w:rPr>
                <w:lang w:eastAsia="zh-CN"/>
              </w:rPr>
            </w:pPr>
            <w:r w:rsidRPr="0047304A">
              <w:rPr>
                <w:lang w:eastAsia="zh-CN"/>
              </w:rPr>
              <w:t>-0.002</w:t>
            </w:r>
          </w:p>
          <w:p w:rsidR="00887848" w:rsidRPr="0047304A" w:rsidRDefault="00887848">
            <w:pPr>
              <w:rPr>
                <w:lang w:eastAsia="zh-CN"/>
              </w:rPr>
            </w:pPr>
            <w:r w:rsidRPr="0047304A">
              <w:rPr>
                <w:lang w:eastAsia="zh-CN"/>
              </w:rPr>
              <w:t>[-0.40]</w:t>
            </w:r>
          </w:p>
        </w:tc>
        <w:tc>
          <w:tcPr>
            <w:tcW w:w="776" w:type="pct"/>
          </w:tcPr>
          <w:p w:rsidR="00887848" w:rsidRPr="0047304A" w:rsidRDefault="00887848">
            <w:pPr>
              <w:rPr>
                <w:lang w:eastAsia="zh-CN"/>
              </w:rPr>
            </w:pPr>
            <w:r w:rsidRPr="0047304A">
              <w:rPr>
                <w:lang w:eastAsia="zh-CN"/>
              </w:rPr>
              <w:t>0.03</w:t>
            </w:r>
          </w:p>
          <w:p w:rsidR="00887848" w:rsidRPr="0047304A" w:rsidRDefault="00887848">
            <w:pPr>
              <w:rPr>
                <w:lang w:eastAsia="zh-CN"/>
              </w:rPr>
            </w:pPr>
            <w:r w:rsidRPr="0047304A">
              <w:rPr>
                <w:lang w:eastAsia="zh-CN"/>
              </w:rPr>
              <w:t>[1.07]</w:t>
            </w:r>
          </w:p>
        </w:tc>
        <w:tc>
          <w:tcPr>
            <w:tcW w:w="777" w:type="pct"/>
          </w:tcPr>
          <w:p w:rsidR="00887848" w:rsidRPr="0047304A" w:rsidRDefault="00887848">
            <w:pPr>
              <w:rPr>
                <w:lang w:eastAsia="zh-CN"/>
              </w:rPr>
            </w:pPr>
            <w:r w:rsidRPr="0047304A">
              <w:rPr>
                <w:lang w:eastAsia="zh-CN"/>
              </w:rPr>
              <w:t>0.02**</w:t>
            </w:r>
          </w:p>
          <w:p w:rsidR="00887848" w:rsidRPr="0047304A" w:rsidRDefault="00887848">
            <w:pPr>
              <w:rPr>
                <w:lang w:eastAsia="zh-CN"/>
              </w:rPr>
            </w:pPr>
            <w:r w:rsidRPr="0047304A">
              <w:rPr>
                <w:lang w:eastAsia="zh-CN"/>
              </w:rPr>
              <w:t>[2.07]</w:t>
            </w:r>
          </w:p>
        </w:tc>
      </w:tr>
      <w:tr w:rsidR="00887848" w:rsidRPr="0047304A">
        <w:trPr>
          <w:trHeight w:val="20"/>
        </w:trPr>
        <w:tc>
          <w:tcPr>
            <w:tcW w:w="1901" w:type="pct"/>
          </w:tcPr>
          <w:p w:rsidR="00887848" w:rsidRPr="0047304A" w:rsidRDefault="00887848">
            <w:r w:rsidRPr="0047304A">
              <w:t>Institutional Block-holders’ Ownership/Family’s Ownership</w:t>
            </w:r>
          </w:p>
        </w:tc>
        <w:tc>
          <w:tcPr>
            <w:tcW w:w="772" w:type="pct"/>
          </w:tcPr>
          <w:p w:rsidR="00887848" w:rsidRPr="0047304A" w:rsidRDefault="00887848">
            <w:r w:rsidRPr="0047304A">
              <w:t>---</w:t>
            </w:r>
          </w:p>
        </w:tc>
        <w:tc>
          <w:tcPr>
            <w:tcW w:w="774" w:type="pct"/>
          </w:tcPr>
          <w:p w:rsidR="00887848" w:rsidRPr="0047304A" w:rsidRDefault="00887848">
            <w:pPr>
              <w:rPr>
                <w:lang w:eastAsia="zh-CN"/>
              </w:rPr>
            </w:pPr>
            <w:r w:rsidRPr="0047304A">
              <w:rPr>
                <w:lang w:eastAsia="zh-CN"/>
              </w:rPr>
              <w:t>---</w:t>
            </w:r>
          </w:p>
        </w:tc>
        <w:tc>
          <w:tcPr>
            <w:tcW w:w="776" w:type="pct"/>
          </w:tcPr>
          <w:p w:rsidR="00887848" w:rsidRPr="0047304A" w:rsidRDefault="00887848">
            <w:pPr>
              <w:rPr>
                <w:lang w:eastAsia="zh-CN"/>
              </w:rPr>
            </w:pPr>
            <w:r w:rsidRPr="0047304A">
              <w:rPr>
                <w:lang w:eastAsia="zh-CN"/>
              </w:rPr>
              <w:t>-0.05**</w:t>
            </w:r>
          </w:p>
          <w:p w:rsidR="00887848" w:rsidRPr="0047304A" w:rsidRDefault="00887848">
            <w:pPr>
              <w:rPr>
                <w:lang w:eastAsia="zh-CN"/>
              </w:rPr>
            </w:pPr>
            <w:r w:rsidRPr="0047304A">
              <w:rPr>
                <w:lang w:eastAsia="zh-CN"/>
              </w:rPr>
              <w:t>[-1.98]</w:t>
            </w:r>
          </w:p>
        </w:tc>
        <w:tc>
          <w:tcPr>
            <w:tcW w:w="777" w:type="pct"/>
          </w:tcPr>
          <w:p w:rsidR="00887848" w:rsidRPr="0047304A" w:rsidRDefault="00887848">
            <w:pPr>
              <w:rPr>
                <w:lang w:eastAsia="zh-CN"/>
              </w:rPr>
            </w:pPr>
            <w:r w:rsidRPr="0047304A">
              <w:rPr>
                <w:lang w:eastAsia="zh-CN"/>
              </w:rPr>
              <w:t>0.003</w:t>
            </w:r>
          </w:p>
          <w:p w:rsidR="00887848" w:rsidRPr="0047304A" w:rsidRDefault="00887848">
            <w:pPr>
              <w:rPr>
                <w:lang w:eastAsia="zh-CN"/>
              </w:rPr>
            </w:pPr>
            <w:r w:rsidRPr="0047304A">
              <w:rPr>
                <w:lang w:eastAsia="zh-CN"/>
              </w:rPr>
              <w:t>[0.39]</w:t>
            </w:r>
          </w:p>
        </w:tc>
      </w:tr>
      <w:tr w:rsidR="00887848" w:rsidRPr="0047304A">
        <w:trPr>
          <w:trHeight w:val="20"/>
        </w:trPr>
        <w:tc>
          <w:tcPr>
            <w:tcW w:w="1901" w:type="pct"/>
          </w:tcPr>
          <w:p w:rsidR="00887848" w:rsidRPr="0047304A" w:rsidRDefault="00887848">
            <w:pPr>
              <w:rPr>
                <w:lang w:eastAsia="zh-CN"/>
              </w:rPr>
            </w:pPr>
            <w:r w:rsidRPr="0047304A">
              <w:t>Ln Market Capitalization</w:t>
            </w:r>
            <w:r w:rsidRPr="0047304A">
              <w:rPr>
                <w:lang w:eastAsia="zh-CN"/>
              </w:rPr>
              <w:t xml:space="preserve"> of Common Equity</w:t>
            </w:r>
          </w:p>
        </w:tc>
        <w:tc>
          <w:tcPr>
            <w:tcW w:w="772" w:type="pct"/>
          </w:tcPr>
          <w:p w:rsidR="00887848" w:rsidRPr="0047304A" w:rsidRDefault="00887848">
            <w:pPr>
              <w:rPr>
                <w:lang w:eastAsia="zh-CN"/>
              </w:rPr>
            </w:pPr>
            <w:r w:rsidRPr="0047304A">
              <w:rPr>
                <w:lang w:eastAsia="zh-CN"/>
              </w:rPr>
              <w:t>-0.03***</w:t>
            </w:r>
          </w:p>
          <w:p w:rsidR="00887848" w:rsidRPr="0047304A" w:rsidRDefault="00887848">
            <w:pPr>
              <w:rPr>
                <w:lang w:eastAsia="zh-CN"/>
              </w:rPr>
            </w:pPr>
            <w:r w:rsidRPr="0047304A">
              <w:rPr>
                <w:lang w:eastAsia="zh-CN"/>
              </w:rPr>
              <w:t>[-5.12]</w:t>
            </w:r>
          </w:p>
        </w:tc>
        <w:tc>
          <w:tcPr>
            <w:tcW w:w="774" w:type="pct"/>
          </w:tcPr>
          <w:p w:rsidR="00887848" w:rsidRPr="0047304A" w:rsidRDefault="00887848">
            <w:pPr>
              <w:rPr>
                <w:lang w:eastAsia="zh-CN"/>
              </w:rPr>
            </w:pPr>
            <w:r w:rsidRPr="0047304A">
              <w:rPr>
                <w:lang w:eastAsia="zh-CN"/>
              </w:rPr>
              <w:t>-0.05***</w:t>
            </w:r>
          </w:p>
          <w:p w:rsidR="00887848" w:rsidRPr="0047304A" w:rsidRDefault="00887848">
            <w:pPr>
              <w:rPr>
                <w:lang w:eastAsia="zh-CN"/>
              </w:rPr>
            </w:pPr>
            <w:r w:rsidRPr="0047304A">
              <w:rPr>
                <w:lang w:eastAsia="zh-CN"/>
              </w:rPr>
              <w:t>[-4.99]</w:t>
            </w:r>
          </w:p>
        </w:tc>
        <w:tc>
          <w:tcPr>
            <w:tcW w:w="776" w:type="pct"/>
          </w:tcPr>
          <w:p w:rsidR="00887848" w:rsidRPr="0047304A" w:rsidRDefault="00887848">
            <w:r w:rsidRPr="0047304A">
              <w:t>-0.</w:t>
            </w:r>
            <w:r w:rsidRPr="0047304A">
              <w:rPr>
                <w:lang w:eastAsia="zh-CN"/>
              </w:rPr>
              <w:t>05</w:t>
            </w:r>
            <w:r w:rsidRPr="0047304A">
              <w:t>***</w:t>
            </w:r>
          </w:p>
          <w:p w:rsidR="00887848" w:rsidRPr="0047304A" w:rsidRDefault="00887848">
            <w:r w:rsidRPr="0047304A">
              <w:t>[-</w:t>
            </w:r>
            <w:r w:rsidRPr="0047304A">
              <w:rPr>
                <w:lang w:eastAsia="zh-CN"/>
              </w:rPr>
              <w:t>4.90</w:t>
            </w:r>
            <w:r w:rsidRPr="0047304A">
              <w:t>]</w:t>
            </w:r>
          </w:p>
        </w:tc>
        <w:tc>
          <w:tcPr>
            <w:tcW w:w="777" w:type="pct"/>
          </w:tcPr>
          <w:p w:rsidR="00887848" w:rsidRPr="0047304A" w:rsidRDefault="00887848">
            <w:r w:rsidRPr="0047304A">
              <w:rPr>
                <w:lang w:eastAsia="zh-CN"/>
              </w:rPr>
              <w:t>0.02</w:t>
            </w:r>
            <w:r w:rsidRPr="0047304A">
              <w:t>**</w:t>
            </w:r>
          </w:p>
          <w:p w:rsidR="00887848" w:rsidRPr="0047304A" w:rsidRDefault="00887848">
            <w:r w:rsidRPr="0047304A">
              <w:t>[-2.</w:t>
            </w:r>
            <w:r w:rsidRPr="0047304A">
              <w:rPr>
                <w:lang w:eastAsia="zh-CN"/>
              </w:rPr>
              <w:t>56</w:t>
            </w:r>
            <w:r w:rsidRPr="0047304A">
              <w:t>]</w:t>
            </w:r>
          </w:p>
        </w:tc>
      </w:tr>
      <w:tr w:rsidR="00887848" w:rsidRPr="0047304A">
        <w:trPr>
          <w:trHeight w:val="20"/>
        </w:trPr>
        <w:tc>
          <w:tcPr>
            <w:tcW w:w="1901" w:type="pct"/>
          </w:tcPr>
          <w:p w:rsidR="00887848" w:rsidRPr="0047304A" w:rsidRDefault="00887848">
            <w:r w:rsidRPr="0047304A">
              <w:t>Ln Share Liquidity</w:t>
            </w:r>
          </w:p>
        </w:tc>
        <w:tc>
          <w:tcPr>
            <w:tcW w:w="772" w:type="pct"/>
          </w:tcPr>
          <w:p w:rsidR="00887848" w:rsidRPr="0047304A" w:rsidRDefault="00887848">
            <w:pPr>
              <w:rPr>
                <w:lang w:eastAsia="zh-CN"/>
              </w:rPr>
            </w:pPr>
            <w:r w:rsidRPr="0047304A">
              <w:rPr>
                <w:lang w:eastAsia="zh-CN"/>
              </w:rPr>
              <w:t>-0.02***</w:t>
            </w:r>
          </w:p>
          <w:p w:rsidR="00887848" w:rsidRPr="0047304A" w:rsidRDefault="00887848">
            <w:pPr>
              <w:rPr>
                <w:lang w:eastAsia="zh-CN"/>
              </w:rPr>
            </w:pPr>
            <w:r w:rsidRPr="0047304A">
              <w:rPr>
                <w:lang w:eastAsia="zh-CN"/>
              </w:rPr>
              <w:t>[-5.85]</w:t>
            </w:r>
          </w:p>
        </w:tc>
        <w:tc>
          <w:tcPr>
            <w:tcW w:w="774" w:type="pct"/>
          </w:tcPr>
          <w:p w:rsidR="00887848" w:rsidRPr="0047304A" w:rsidRDefault="00887848">
            <w:pPr>
              <w:rPr>
                <w:lang w:eastAsia="zh-CN"/>
              </w:rPr>
            </w:pPr>
            <w:r w:rsidRPr="0047304A">
              <w:rPr>
                <w:lang w:eastAsia="zh-CN"/>
              </w:rPr>
              <w:t>-0.03***</w:t>
            </w:r>
          </w:p>
          <w:p w:rsidR="00887848" w:rsidRPr="0047304A" w:rsidRDefault="00887848">
            <w:pPr>
              <w:rPr>
                <w:lang w:eastAsia="zh-CN"/>
              </w:rPr>
            </w:pPr>
            <w:r w:rsidRPr="0047304A">
              <w:rPr>
                <w:lang w:eastAsia="zh-CN"/>
              </w:rPr>
              <w:t>[-5.60]</w:t>
            </w:r>
          </w:p>
        </w:tc>
        <w:tc>
          <w:tcPr>
            <w:tcW w:w="776" w:type="pct"/>
          </w:tcPr>
          <w:p w:rsidR="00887848" w:rsidRPr="0047304A" w:rsidRDefault="00887848">
            <w:r w:rsidRPr="0047304A">
              <w:t>-0.03</w:t>
            </w:r>
            <w:r w:rsidRPr="0047304A">
              <w:rPr>
                <w:lang w:eastAsia="zh-CN"/>
              </w:rPr>
              <w:t>**</w:t>
            </w:r>
            <w:r w:rsidRPr="0047304A">
              <w:t>*</w:t>
            </w:r>
          </w:p>
          <w:p w:rsidR="00887848" w:rsidRPr="0047304A" w:rsidRDefault="00887848">
            <w:r w:rsidRPr="0047304A">
              <w:t>[-</w:t>
            </w:r>
            <w:r w:rsidRPr="0047304A">
              <w:rPr>
                <w:lang w:eastAsia="zh-CN"/>
              </w:rPr>
              <w:t>4.90</w:t>
            </w:r>
            <w:r w:rsidRPr="0047304A">
              <w:t>]</w:t>
            </w:r>
          </w:p>
        </w:tc>
        <w:tc>
          <w:tcPr>
            <w:tcW w:w="777" w:type="pct"/>
          </w:tcPr>
          <w:p w:rsidR="00887848" w:rsidRPr="0047304A" w:rsidRDefault="00887848">
            <w:r w:rsidRPr="0047304A">
              <w:rPr>
                <w:lang w:eastAsia="zh-CN"/>
              </w:rPr>
              <w:t>0.02**</w:t>
            </w:r>
          </w:p>
          <w:p w:rsidR="00887848" w:rsidRPr="0047304A" w:rsidRDefault="00887848">
            <w:r w:rsidRPr="0047304A">
              <w:t>[</w:t>
            </w:r>
            <w:r w:rsidRPr="0047304A">
              <w:rPr>
                <w:lang w:eastAsia="zh-CN"/>
              </w:rPr>
              <w:t>2.44</w:t>
            </w:r>
            <w:r w:rsidRPr="0047304A">
              <w:t>]</w:t>
            </w:r>
          </w:p>
        </w:tc>
      </w:tr>
      <w:tr w:rsidR="00887848" w:rsidRPr="0047304A">
        <w:trPr>
          <w:trHeight w:val="20"/>
        </w:trPr>
        <w:tc>
          <w:tcPr>
            <w:tcW w:w="1901" w:type="pct"/>
          </w:tcPr>
          <w:p w:rsidR="00887848" w:rsidRPr="0047304A" w:rsidRDefault="00887848">
            <w:r w:rsidRPr="0047304A">
              <w:t>Daily Return Volatility</w:t>
            </w:r>
          </w:p>
        </w:tc>
        <w:tc>
          <w:tcPr>
            <w:tcW w:w="772"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[-2.30]</w:t>
            </w:r>
          </w:p>
        </w:tc>
        <w:tc>
          <w:tcPr>
            <w:tcW w:w="774"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[-2.32]</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t>[</w:t>
            </w:r>
            <w:r w:rsidRPr="0047304A">
              <w:rPr>
                <w:lang w:eastAsia="zh-CN"/>
              </w:rPr>
              <w:t>-2.15</w:t>
            </w:r>
            <w:r w:rsidRPr="0047304A">
              <w:t>]</w:t>
            </w:r>
          </w:p>
        </w:tc>
        <w:tc>
          <w:tcPr>
            <w:tcW w:w="777" w:type="pct"/>
          </w:tcPr>
          <w:p w:rsidR="00887848" w:rsidRPr="0047304A" w:rsidRDefault="00887848">
            <w:r w:rsidRPr="0047304A">
              <w:rPr>
                <w:lang w:eastAsia="zh-CN"/>
              </w:rPr>
              <w:t>0.03**</w:t>
            </w:r>
            <w:r w:rsidRPr="0047304A">
              <w:t>*</w:t>
            </w:r>
          </w:p>
          <w:p w:rsidR="00887848" w:rsidRPr="0047304A" w:rsidRDefault="00887848">
            <w:r w:rsidRPr="0047304A">
              <w:t>[</w:t>
            </w:r>
            <w:r w:rsidRPr="0047304A">
              <w:rPr>
                <w:lang w:eastAsia="zh-CN"/>
              </w:rPr>
              <w:t>3.09</w:t>
            </w:r>
            <w:r w:rsidRPr="0047304A">
              <w:t>]</w:t>
            </w:r>
          </w:p>
        </w:tc>
      </w:tr>
      <w:tr w:rsidR="00887848" w:rsidRPr="0047304A">
        <w:trPr>
          <w:trHeight w:val="20"/>
        </w:trPr>
        <w:tc>
          <w:tcPr>
            <w:tcW w:w="1901" w:type="pct"/>
          </w:tcPr>
          <w:p w:rsidR="00887848" w:rsidRPr="0047304A" w:rsidRDefault="00887848">
            <w:r w:rsidRPr="0047304A">
              <w:t>Growth</w:t>
            </w:r>
          </w:p>
        </w:tc>
        <w:tc>
          <w:tcPr>
            <w:tcW w:w="772"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[-1.50]</w:t>
            </w:r>
          </w:p>
        </w:tc>
        <w:tc>
          <w:tcPr>
            <w:tcW w:w="774"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[-1.52]</w:t>
            </w:r>
          </w:p>
        </w:tc>
        <w:tc>
          <w:tcPr>
            <w:tcW w:w="776" w:type="pct"/>
          </w:tcPr>
          <w:p w:rsidR="00887848" w:rsidRPr="0047304A" w:rsidRDefault="00887848">
            <w:pPr>
              <w:rPr>
                <w:lang w:eastAsia="zh-CN"/>
              </w:rPr>
            </w:pPr>
            <w:r w:rsidRPr="0047304A">
              <w:t>-0.0</w:t>
            </w:r>
            <w:r w:rsidRPr="0047304A">
              <w:rPr>
                <w:lang w:eastAsia="zh-CN"/>
              </w:rPr>
              <w:t>1</w:t>
            </w:r>
          </w:p>
          <w:p w:rsidR="00887848" w:rsidRPr="0047304A" w:rsidRDefault="00887848">
            <w:r w:rsidRPr="0047304A">
              <w:t>[-1.</w:t>
            </w:r>
            <w:r w:rsidRPr="0047304A">
              <w:rPr>
                <w:lang w:eastAsia="zh-CN"/>
              </w:rPr>
              <w:t>51</w:t>
            </w:r>
            <w:r w:rsidRPr="0047304A">
              <w:t>]</w:t>
            </w:r>
          </w:p>
        </w:tc>
        <w:tc>
          <w:tcPr>
            <w:tcW w:w="777" w:type="pct"/>
          </w:tcPr>
          <w:p w:rsidR="00887848" w:rsidRPr="0047304A" w:rsidRDefault="00887848">
            <w:pPr>
              <w:rPr>
                <w:lang w:eastAsia="zh-CN"/>
              </w:rPr>
            </w:pPr>
            <w:r w:rsidRPr="0047304A">
              <w:rPr>
                <w:lang w:eastAsia="zh-CN"/>
              </w:rPr>
              <w:t>-0.01***</w:t>
            </w:r>
          </w:p>
          <w:p w:rsidR="00887848" w:rsidRPr="0047304A" w:rsidRDefault="00887848">
            <w:r w:rsidRPr="0047304A">
              <w:t>[1.09]</w:t>
            </w:r>
          </w:p>
        </w:tc>
      </w:tr>
      <w:tr w:rsidR="00887848" w:rsidRPr="0047304A">
        <w:trPr>
          <w:trHeight w:val="20"/>
        </w:trPr>
        <w:tc>
          <w:tcPr>
            <w:tcW w:w="1901" w:type="pct"/>
          </w:tcPr>
          <w:p w:rsidR="00887848" w:rsidRPr="0047304A" w:rsidRDefault="00887848">
            <w:r w:rsidRPr="0047304A">
              <w:t>Ln Firm Age</w:t>
            </w:r>
          </w:p>
        </w:tc>
        <w:tc>
          <w:tcPr>
            <w:tcW w:w="772"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[-0.04]</w:t>
            </w:r>
          </w:p>
        </w:tc>
        <w:tc>
          <w:tcPr>
            <w:tcW w:w="774"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[0.05]</w:t>
            </w:r>
          </w:p>
        </w:tc>
        <w:tc>
          <w:tcPr>
            <w:tcW w:w="776" w:type="pct"/>
          </w:tcPr>
          <w:p w:rsidR="00887848" w:rsidRPr="0047304A" w:rsidRDefault="00887848">
            <w:r w:rsidRPr="0047304A">
              <w:rPr>
                <w:lang w:eastAsia="zh-CN"/>
              </w:rPr>
              <w:t>0.01</w:t>
            </w:r>
          </w:p>
          <w:p w:rsidR="00887848" w:rsidRPr="0047304A" w:rsidRDefault="00887848">
            <w:r w:rsidRPr="0047304A">
              <w:t>[</w:t>
            </w:r>
            <w:r w:rsidRPr="0047304A">
              <w:rPr>
                <w:lang w:eastAsia="zh-CN"/>
              </w:rPr>
              <w:t>0.08</w:t>
            </w:r>
            <w:r w:rsidRPr="0047304A">
              <w:t>]</w:t>
            </w:r>
          </w:p>
        </w:tc>
        <w:tc>
          <w:tcPr>
            <w:tcW w:w="777" w:type="pct"/>
          </w:tcPr>
          <w:p w:rsidR="00887848" w:rsidRPr="0047304A" w:rsidRDefault="00887848">
            <w:pPr>
              <w:rPr>
                <w:lang w:eastAsia="zh-CN"/>
              </w:rPr>
            </w:pPr>
            <w:r w:rsidRPr="0047304A">
              <w:t>-0.</w:t>
            </w:r>
            <w:r w:rsidRPr="0047304A">
              <w:rPr>
                <w:lang w:eastAsia="zh-CN"/>
              </w:rPr>
              <w:t>000</w:t>
            </w:r>
          </w:p>
          <w:p w:rsidR="00887848" w:rsidRPr="0047304A" w:rsidRDefault="00887848">
            <w:r w:rsidRPr="0047304A">
              <w:t>[</w:t>
            </w:r>
            <w:r w:rsidRPr="0047304A">
              <w:rPr>
                <w:lang w:eastAsia="zh-CN"/>
              </w:rPr>
              <w:t>-0.00</w:t>
            </w:r>
            <w:r w:rsidRPr="0047304A">
              <w:t>]</w:t>
            </w:r>
          </w:p>
        </w:tc>
      </w:tr>
      <w:tr w:rsidR="00887848" w:rsidRPr="0047304A">
        <w:trPr>
          <w:trHeight w:val="20"/>
        </w:trPr>
        <w:tc>
          <w:tcPr>
            <w:tcW w:w="1901" w:type="pct"/>
          </w:tcPr>
          <w:p w:rsidR="00887848" w:rsidRPr="0047304A" w:rsidRDefault="00887848">
            <w:r w:rsidRPr="0047304A">
              <w:t>Ln Analyst Coverage</w:t>
            </w:r>
          </w:p>
        </w:tc>
        <w:tc>
          <w:tcPr>
            <w:tcW w:w="772"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[-6.84]</w:t>
            </w:r>
          </w:p>
        </w:tc>
        <w:tc>
          <w:tcPr>
            <w:tcW w:w="774"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[-6.56]</w:t>
            </w:r>
          </w:p>
        </w:tc>
        <w:tc>
          <w:tcPr>
            <w:tcW w:w="776" w:type="pct"/>
          </w:tcPr>
          <w:p w:rsidR="00887848" w:rsidRPr="0047304A" w:rsidRDefault="00887848">
            <w:pPr>
              <w:rPr>
                <w:lang w:eastAsia="zh-CN"/>
              </w:rPr>
            </w:pPr>
            <w:r w:rsidRPr="0047304A">
              <w:t>-</w:t>
            </w:r>
            <w:r w:rsidRPr="0047304A">
              <w:rPr>
                <w:lang w:eastAsia="zh-CN"/>
              </w:rPr>
              <w:t>0.01***</w:t>
            </w:r>
          </w:p>
          <w:p w:rsidR="00887848" w:rsidRPr="0047304A" w:rsidRDefault="00887848">
            <w:r w:rsidRPr="0047304A">
              <w:t>[-</w:t>
            </w:r>
            <w:r w:rsidRPr="0047304A">
              <w:rPr>
                <w:lang w:eastAsia="zh-CN"/>
              </w:rPr>
              <w:t>6.78</w:t>
            </w:r>
            <w:r w:rsidRPr="0047304A">
              <w:t>]</w:t>
            </w:r>
          </w:p>
        </w:tc>
        <w:tc>
          <w:tcPr>
            <w:tcW w:w="777" w:type="pct"/>
          </w:tcPr>
          <w:p w:rsidR="00887848" w:rsidRPr="0047304A" w:rsidRDefault="00887848">
            <w:pPr>
              <w:rPr>
                <w:lang w:eastAsia="zh-CN"/>
              </w:rPr>
            </w:pPr>
            <w:r w:rsidRPr="0047304A">
              <w:t>0.001</w:t>
            </w:r>
          </w:p>
          <w:p w:rsidR="00887848" w:rsidRPr="0047304A" w:rsidRDefault="00887848">
            <w:r w:rsidRPr="0047304A">
              <w:t>[</w:t>
            </w:r>
            <w:r w:rsidRPr="0047304A">
              <w:rPr>
                <w:lang w:eastAsia="zh-CN"/>
              </w:rPr>
              <w:t>0.10</w:t>
            </w:r>
            <w:r w:rsidRPr="0047304A">
              <w:t>]</w:t>
            </w:r>
          </w:p>
        </w:tc>
      </w:tr>
      <w:tr w:rsidR="00887848" w:rsidRPr="0047304A">
        <w:trPr>
          <w:trHeight w:val="20"/>
        </w:trPr>
        <w:tc>
          <w:tcPr>
            <w:tcW w:w="1901" w:type="pct"/>
          </w:tcPr>
          <w:p w:rsidR="00887848" w:rsidRPr="0047304A" w:rsidRDefault="00887848">
            <w:r w:rsidRPr="0047304A">
              <w:t>ROE</w:t>
            </w:r>
          </w:p>
        </w:tc>
        <w:tc>
          <w:tcPr>
            <w:tcW w:w="772" w:type="pct"/>
          </w:tcPr>
          <w:p w:rsidR="00887848" w:rsidRPr="0047304A" w:rsidRDefault="00887848">
            <w:pPr>
              <w:rPr>
                <w:lang w:eastAsia="zh-CN"/>
              </w:rPr>
            </w:pPr>
            <w:r w:rsidRPr="0047304A">
              <w:rPr>
                <w:lang w:eastAsia="zh-CN"/>
              </w:rPr>
              <w:t>-0.004</w:t>
            </w:r>
          </w:p>
          <w:p w:rsidR="00887848" w:rsidRPr="0047304A" w:rsidRDefault="00887848">
            <w:pPr>
              <w:rPr>
                <w:lang w:eastAsia="zh-CN"/>
              </w:rPr>
            </w:pPr>
            <w:r w:rsidRPr="0047304A">
              <w:rPr>
                <w:lang w:eastAsia="zh-CN"/>
              </w:rPr>
              <w:t>[-0.94]</w:t>
            </w:r>
          </w:p>
        </w:tc>
        <w:tc>
          <w:tcPr>
            <w:tcW w:w="774"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[-0.05]</w:t>
            </w:r>
          </w:p>
        </w:tc>
        <w:tc>
          <w:tcPr>
            <w:tcW w:w="776"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[-1.30]</w:t>
            </w:r>
          </w:p>
        </w:tc>
        <w:tc>
          <w:tcPr>
            <w:tcW w:w="777" w:type="pct"/>
          </w:tcPr>
          <w:p w:rsidR="00887848" w:rsidRPr="0047304A" w:rsidRDefault="00887848">
            <w:pPr>
              <w:rPr>
                <w:lang w:eastAsia="zh-CN"/>
              </w:rPr>
            </w:pPr>
            <w:r w:rsidRPr="0047304A">
              <w:rPr>
                <w:lang w:eastAsia="zh-CN"/>
              </w:rPr>
              <w:t>0.02</w:t>
            </w:r>
          </w:p>
          <w:p w:rsidR="00887848" w:rsidRPr="0047304A" w:rsidRDefault="00887848">
            <w:r w:rsidRPr="0047304A">
              <w:t>[</w:t>
            </w:r>
            <w:r w:rsidRPr="0047304A">
              <w:rPr>
                <w:lang w:eastAsia="zh-CN"/>
              </w:rPr>
              <w:t>0.82</w:t>
            </w:r>
            <w:r w:rsidRPr="0047304A">
              <w:t>]</w:t>
            </w:r>
          </w:p>
        </w:tc>
      </w:tr>
      <w:tr w:rsidR="00887848" w:rsidRPr="0047304A">
        <w:trPr>
          <w:trHeight w:val="20"/>
        </w:trPr>
        <w:tc>
          <w:tcPr>
            <w:tcW w:w="1901" w:type="pct"/>
            <w:tcBorders>
              <w:bottom w:val="single" w:sz="8" w:space="0" w:color="000000"/>
            </w:tcBorders>
          </w:tcPr>
          <w:p w:rsidR="00887848" w:rsidRPr="0047304A" w:rsidRDefault="00887848">
            <w:r w:rsidRPr="0047304A">
              <w:t>Industry Dummies</w:t>
            </w:r>
          </w:p>
        </w:tc>
        <w:tc>
          <w:tcPr>
            <w:tcW w:w="772" w:type="pct"/>
            <w:tcBorders>
              <w:bottom w:val="single" w:sz="8" w:space="0" w:color="000000"/>
            </w:tcBorders>
          </w:tcPr>
          <w:p w:rsidR="00887848" w:rsidRPr="0047304A" w:rsidRDefault="00887848">
            <w:r w:rsidRPr="0047304A">
              <w:t>Yes</w:t>
            </w:r>
          </w:p>
        </w:tc>
        <w:tc>
          <w:tcPr>
            <w:tcW w:w="774" w:type="pct"/>
            <w:tcBorders>
              <w:bottom w:val="single" w:sz="8" w:space="0" w:color="000000"/>
            </w:tcBorders>
          </w:tcPr>
          <w:p w:rsidR="00887848" w:rsidRPr="0047304A" w:rsidRDefault="00887848">
            <w:pPr>
              <w:rPr>
                <w:lang w:eastAsia="zh-CN"/>
              </w:rPr>
            </w:pPr>
            <w:r w:rsidRPr="0047304A">
              <w:rPr>
                <w:lang w:eastAsia="zh-CN"/>
              </w:rPr>
              <w:t>Yes</w:t>
            </w:r>
          </w:p>
        </w:tc>
        <w:tc>
          <w:tcPr>
            <w:tcW w:w="776" w:type="pct"/>
            <w:tcBorders>
              <w:bottom w:val="single" w:sz="8" w:space="0" w:color="000000"/>
            </w:tcBorders>
          </w:tcPr>
          <w:p w:rsidR="00887848" w:rsidRPr="0047304A" w:rsidRDefault="00887848">
            <w:pPr>
              <w:rPr>
                <w:lang w:eastAsia="zh-CN"/>
              </w:rPr>
            </w:pPr>
            <w:r w:rsidRPr="0047304A">
              <w:rPr>
                <w:lang w:eastAsia="zh-CN"/>
              </w:rPr>
              <w:t>Yes</w:t>
            </w:r>
          </w:p>
        </w:tc>
        <w:tc>
          <w:tcPr>
            <w:tcW w:w="777" w:type="pct"/>
            <w:tcBorders>
              <w:bottom w:val="single" w:sz="8" w:space="0" w:color="000000"/>
            </w:tcBorders>
          </w:tcPr>
          <w:p w:rsidR="00887848" w:rsidRPr="0047304A" w:rsidRDefault="00887848">
            <w:r w:rsidRPr="0047304A">
              <w:t>Yes</w:t>
            </w:r>
          </w:p>
        </w:tc>
      </w:tr>
      <w:tr w:rsidR="00887848" w:rsidRPr="0047304A">
        <w:trPr>
          <w:trHeight w:val="20"/>
        </w:trPr>
        <w:tc>
          <w:tcPr>
            <w:tcW w:w="1901" w:type="pct"/>
            <w:tcBorders>
              <w:top w:val="single" w:sz="8" w:space="0" w:color="000000"/>
            </w:tcBorders>
          </w:tcPr>
          <w:p w:rsidR="00887848" w:rsidRPr="0047304A" w:rsidRDefault="00887848">
            <w:r w:rsidRPr="0047304A">
              <w:t>N</w:t>
            </w:r>
          </w:p>
        </w:tc>
        <w:tc>
          <w:tcPr>
            <w:tcW w:w="772" w:type="pct"/>
            <w:tcBorders>
              <w:top w:val="single" w:sz="8" w:space="0" w:color="000000"/>
            </w:tcBorders>
          </w:tcPr>
          <w:p w:rsidR="00887848" w:rsidRPr="0047304A" w:rsidRDefault="00887848">
            <w:r w:rsidRPr="0047304A">
              <w:t>447</w:t>
            </w:r>
          </w:p>
        </w:tc>
        <w:tc>
          <w:tcPr>
            <w:tcW w:w="774" w:type="pct"/>
            <w:tcBorders>
              <w:top w:val="single" w:sz="8" w:space="0" w:color="000000"/>
            </w:tcBorders>
          </w:tcPr>
          <w:p w:rsidR="00887848" w:rsidRPr="0047304A" w:rsidRDefault="00887848">
            <w:pPr>
              <w:rPr>
                <w:lang w:eastAsia="zh-CN"/>
              </w:rPr>
            </w:pPr>
            <w:r w:rsidRPr="0047304A">
              <w:rPr>
                <w:lang w:eastAsia="zh-CN"/>
              </w:rPr>
              <w:t>447</w:t>
            </w:r>
          </w:p>
        </w:tc>
        <w:tc>
          <w:tcPr>
            <w:tcW w:w="776" w:type="pct"/>
            <w:tcBorders>
              <w:top w:val="single" w:sz="8" w:space="0" w:color="000000"/>
            </w:tcBorders>
          </w:tcPr>
          <w:p w:rsidR="00887848" w:rsidRPr="0047304A" w:rsidRDefault="00887848">
            <w:pPr>
              <w:rPr>
                <w:lang w:eastAsia="zh-CN"/>
              </w:rPr>
            </w:pPr>
            <w:r w:rsidRPr="0047304A">
              <w:rPr>
                <w:lang w:eastAsia="zh-CN"/>
              </w:rPr>
              <w:t>447</w:t>
            </w:r>
          </w:p>
        </w:tc>
        <w:tc>
          <w:tcPr>
            <w:tcW w:w="777" w:type="pct"/>
            <w:tcBorders>
              <w:top w:val="single" w:sz="8" w:space="0" w:color="000000"/>
            </w:tcBorders>
          </w:tcPr>
          <w:p w:rsidR="00887848" w:rsidRPr="0047304A" w:rsidRDefault="00887848">
            <w:r w:rsidRPr="0047304A">
              <w:t>447</w:t>
            </w:r>
          </w:p>
        </w:tc>
      </w:tr>
      <w:tr w:rsidR="00887848" w:rsidRPr="0047304A">
        <w:trPr>
          <w:trHeight w:val="20"/>
        </w:trPr>
        <w:tc>
          <w:tcPr>
            <w:tcW w:w="1901" w:type="pct"/>
            <w:tcBorders>
              <w:bottom w:val="single" w:sz="4" w:space="0" w:color="auto"/>
            </w:tcBorders>
          </w:tcPr>
          <w:p w:rsidR="00887848" w:rsidRPr="0047304A" w:rsidRDefault="00887848">
            <w:r w:rsidRPr="0047304A">
              <w:t>Adj R-squared</w:t>
            </w:r>
          </w:p>
        </w:tc>
        <w:tc>
          <w:tcPr>
            <w:tcW w:w="772" w:type="pct"/>
            <w:tcBorders>
              <w:bottom w:val="single" w:sz="4" w:space="0" w:color="auto"/>
            </w:tcBorders>
          </w:tcPr>
          <w:p w:rsidR="00887848" w:rsidRPr="0047304A" w:rsidRDefault="00887848">
            <w:pPr>
              <w:rPr>
                <w:lang w:eastAsia="zh-CN"/>
              </w:rPr>
            </w:pPr>
            <w:r w:rsidRPr="0047304A">
              <w:t>0.37</w:t>
            </w:r>
            <w:r w:rsidRPr="0047304A">
              <w:rPr>
                <w:lang w:eastAsia="zh-CN"/>
              </w:rPr>
              <w:t>6</w:t>
            </w:r>
          </w:p>
        </w:tc>
        <w:tc>
          <w:tcPr>
            <w:tcW w:w="774" w:type="pct"/>
            <w:tcBorders>
              <w:bottom w:val="single" w:sz="4" w:space="0" w:color="auto"/>
            </w:tcBorders>
          </w:tcPr>
          <w:p w:rsidR="00887848" w:rsidRPr="0047304A" w:rsidRDefault="00887848">
            <w:pPr>
              <w:rPr>
                <w:lang w:eastAsia="zh-CN"/>
              </w:rPr>
            </w:pPr>
            <w:r w:rsidRPr="0047304A">
              <w:rPr>
                <w:lang w:eastAsia="zh-CN"/>
              </w:rPr>
              <w:t>0.355</w:t>
            </w:r>
          </w:p>
        </w:tc>
        <w:tc>
          <w:tcPr>
            <w:tcW w:w="776" w:type="pct"/>
            <w:tcBorders>
              <w:bottom w:val="single" w:sz="4" w:space="0" w:color="auto"/>
            </w:tcBorders>
          </w:tcPr>
          <w:p w:rsidR="00887848" w:rsidRPr="0047304A" w:rsidRDefault="00887848">
            <w:r w:rsidRPr="0047304A">
              <w:t>0.3</w:t>
            </w:r>
            <w:r w:rsidRPr="0047304A">
              <w:rPr>
                <w:lang w:eastAsia="zh-CN"/>
              </w:rPr>
              <w:t>90</w:t>
            </w:r>
          </w:p>
        </w:tc>
        <w:tc>
          <w:tcPr>
            <w:tcW w:w="777" w:type="pct"/>
            <w:tcBorders>
              <w:bottom w:val="single" w:sz="4" w:space="0" w:color="auto"/>
            </w:tcBorders>
          </w:tcPr>
          <w:p w:rsidR="00887848" w:rsidRPr="0047304A" w:rsidRDefault="00887848">
            <w:pPr>
              <w:rPr>
                <w:lang w:eastAsia="zh-CN"/>
              </w:rPr>
            </w:pPr>
            <w:r w:rsidRPr="0047304A">
              <w:t>0</w:t>
            </w:r>
            <w:r w:rsidRPr="0047304A">
              <w:rPr>
                <w:lang w:eastAsia="zh-CN"/>
              </w:rPr>
              <w:t>.128</w:t>
            </w:r>
          </w:p>
        </w:tc>
      </w:tr>
    </w:tbl>
    <w:p w:rsidR="00887848" w:rsidRDefault="00887848" w:rsidP="00700EEF">
      <w:pPr>
        <w:pStyle w:val="ListParagraph"/>
        <w:spacing w:line="240" w:lineRule="auto"/>
        <w:ind w:left="0"/>
        <w:rPr>
          <w:rFonts w:ascii="Times New Roman" w:hAnsi="Times New Roman"/>
          <w:sz w:val="18"/>
          <w:szCs w:val="18"/>
        </w:rPr>
      </w:pPr>
      <w:r>
        <w:rPr>
          <w:rFonts w:ascii="Times New Roman" w:hAnsi="Times New Roman"/>
          <w:sz w:val="18"/>
          <w:szCs w:val="18"/>
        </w:rPr>
        <w:t xml:space="preserve">Note: </w:t>
      </w:r>
      <w:r>
        <w:rPr>
          <w:rFonts w:ascii="Times New Roman" w:hAnsi="Times New Roman"/>
          <w:sz w:val="18"/>
          <w:szCs w:val="18"/>
          <w:lang w:eastAsia="zh-CN"/>
        </w:rPr>
        <w:t>Table 2</w:t>
      </w:r>
      <w:r>
        <w:rPr>
          <w:rFonts w:ascii="Times New Roman" w:hAnsi="Times New Roman"/>
          <w:sz w:val="18"/>
          <w:szCs w:val="18"/>
        </w:rPr>
        <w:t xml:space="preserve"> shows the results of the OLS regression on institutional block-holders and family </w:t>
      </w:r>
      <w:r>
        <w:rPr>
          <w:rFonts w:ascii="Times New Roman" w:hAnsi="Times New Roman"/>
          <w:sz w:val="18"/>
          <w:szCs w:val="18"/>
          <w:lang w:eastAsia="zh-CN"/>
        </w:rPr>
        <w:t xml:space="preserve">ownership </w:t>
      </w:r>
      <w:r>
        <w:rPr>
          <w:rFonts w:ascii="Times New Roman" w:hAnsi="Times New Roman"/>
          <w:sz w:val="18"/>
          <w:szCs w:val="18"/>
        </w:rPr>
        <w:t xml:space="preserve">in </w:t>
      </w:r>
      <w:r>
        <w:rPr>
          <w:rFonts w:ascii="Times New Roman" w:hAnsi="Times New Roman"/>
          <w:sz w:val="18"/>
          <w:szCs w:val="18"/>
          <w:lang w:eastAsia="zh-CN"/>
        </w:rPr>
        <w:t>the level and the structure of informed trading</w:t>
      </w:r>
      <w:r>
        <w:rPr>
          <w:rFonts w:ascii="Times New Roman" w:hAnsi="Times New Roman"/>
          <w:sz w:val="18"/>
          <w:szCs w:val="18"/>
        </w:rPr>
        <w:t xml:space="preserve">. Dependent variable in </w:t>
      </w:r>
      <w:r>
        <w:rPr>
          <w:rFonts w:ascii="Times New Roman" w:hAnsi="Times New Roman"/>
          <w:sz w:val="18"/>
          <w:szCs w:val="18"/>
          <w:lang w:eastAsia="zh-CN"/>
        </w:rPr>
        <w:t xml:space="preserve">Model 1, 2 and 3 </w:t>
      </w:r>
      <w:r>
        <w:rPr>
          <w:rFonts w:ascii="Times New Roman" w:hAnsi="Times New Roman"/>
          <w:sz w:val="18"/>
          <w:szCs w:val="18"/>
        </w:rPr>
        <w:t xml:space="preserve">is firm informed trading level (PIN). Dependent variable in </w:t>
      </w:r>
      <w:r>
        <w:rPr>
          <w:rFonts w:ascii="Times New Roman" w:hAnsi="Times New Roman"/>
          <w:sz w:val="18"/>
          <w:szCs w:val="18"/>
          <w:lang w:eastAsia="zh-CN"/>
        </w:rPr>
        <w:t xml:space="preserve">model 4 </w:t>
      </w:r>
      <w:r>
        <w:rPr>
          <w:rFonts w:ascii="Times New Roman" w:hAnsi="Times New Roman"/>
          <w:sz w:val="18"/>
          <w:szCs w:val="18"/>
        </w:rPr>
        <w:t>is the structure of informed trading (DF). Variable definitions are given in Table 1. All coefficients are standardized; *p≤0.10; **p≤0.05; ***p≤0.01; t-statistics in parentheses.</w:t>
      </w:r>
    </w:p>
    <w:p w:rsidR="00887848" w:rsidRDefault="00887848">
      <w:pPr>
        <w:pStyle w:val="ListParagraph"/>
        <w:rPr>
          <w:rFonts w:ascii="Times New Roman" w:hAnsi="Times New Roman"/>
          <w:sz w:val="18"/>
          <w:szCs w:val="18"/>
        </w:rPr>
      </w:pPr>
    </w:p>
    <w:p w:rsidR="00887848" w:rsidRPr="00E73006" w:rsidRDefault="00887848">
      <w:pPr>
        <w:rPr>
          <w:b/>
        </w:rPr>
      </w:pPr>
      <w:r>
        <w:rPr>
          <w:sz w:val="18"/>
          <w:szCs w:val="18"/>
        </w:rPr>
        <w:br w:type="page"/>
      </w:r>
      <w:r w:rsidRPr="00E73006">
        <w:rPr>
          <w:b/>
        </w:rPr>
        <w:lastRenderedPageBreak/>
        <w:t xml:space="preserve">Table </w:t>
      </w:r>
      <w:r w:rsidRPr="00E73006">
        <w:rPr>
          <w:b/>
          <w:lang w:eastAsia="zh-CN"/>
        </w:rPr>
        <w:t>3</w:t>
      </w:r>
      <w:r w:rsidRPr="00E73006">
        <w:rPr>
          <w:b/>
        </w:rPr>
        <w:t>. Different Type of Institutional Block-holders in Informed Trading and Its Structure</w:t>
      </w:r>
    </w:p>
    <w:tbl>
      <w:tblPr>
        <w:tblpPr w:leftFromText="180" w:rightFromText="180" w:vertAnchor="text" w:tblpXSpec="center" w:tblpY="1"/>
        <w:tblOverlap w:val="never"/>
        <w:tblW w:w="5000" w:type="pct"/>
        <w:tblLook w:val="00A0" w:firstRow="1" w:lastRow="0" w:firstColumn="1" w:lastColumn="0" w:noHBand="0" w:noVBand="0"/>
      </w:tblPr>
      <w:tblGrid>
        <w:gridCol w:w="3236"/>
        <w:gridCol w:w="1321"/>
        <w:gridCol w:w="1321"/>
        <w:gridCol w:w="1323"/>
        <w:gridCol w:w="1321"/>
      </w:tblGrid>
      <w:tr w:rsidR="00887848" w:rsidRPr="0047304A">
        <w:trPr>
          <w:trHeight w:val="551"/>
        </w:trPr>
        <w:tc>
          <w:tcPr>
            <w:tcW w:w="1899" w:type="pct"/>
            <w:tcBorders>
              <w:top w:val="single" w:sz="8" w:space="0" w:color="000000"/>
            </w:tcBorders>
          </w:tcPr>
          <w:p w:rsidR="008011D1" w:rsidRPr="0047304A" w:rsidRDefault="008011D1"/>
          <w:p w:rsidR="008011D1" w:rsidRPr="0047304A" w:rsidRDefault="008011D1"/>
          <w:p w:rsidR="00887848" w:rsidRPr="0047304A" w:rsidRDefault="008011D1">
            <w:r w:rsidRPr="0047304A">
              <w:t>Dependent variable</w:t>
            </w:r>
          </w:p>
        </w:tc>
        <w:tc>
          <w:tcPr>
            <w:tcW w:w="775" w:type="pct"/>
            <w:tcBorders>
              <w:top w:val="single" w:sz="8" w:space="0" w:color="000000"/>
            </w:tcBorders>
          </w:tcPr>
          <w:p w:rsidR="00887848" w:rsidRPr="0047304A" w:rsidRDefault="00887848">
            <w:pPr>
              <w:rPr>
                <w:lang w:eastAsia="zh-CN"/>
              </w:rPr>
            </w:pPr>
            <w:r w:rsidRPr="0047304A">
              <w:rPr>
                <w:lang w:eastAsia="zh-CN"/>
              </w:rPr>
              <w:t>Model 5</w:t>
            </w:r>
          </w:p>
          <w:p w:rsidR="00887848" w:rsidRPr="0047304A" w:rsidRDefault="00887848">
            <w:pPr>
              <w:rPr>
                <w:lang w:eastAsia="zh-CN"/>
              </w:rPr>
            </w:pPr>
            <w:r w:rsidRPr="0047304A">
              <w:rPr>
                <w:lang w:eastAsia="zh-CN"/>
              </w:rPr>
              <w:t>PIN</w:t>
            </w:r>
          </w:p>
        </w:tc>
        <w:tc>
          <w:tcPr>
            <w:tcW w:w="775" w:type="pct"/>
            <w:tcBorders>
              <w:top w:val="single" w:sz="8" w:space="0" w:color="000000"/>
              <w:right w:val="nil"/>
            </w:tcBorders>
          </w:tcPr>
          <w:p w:rsidR="00887848" w:rsidRPr="0047304A" w:rsidRDefault="00887848">
            <w:pPr>
              <w:rPr>
                <w:lang w:eastAsia="zh-CN"/>
              </w:rPr>
            </w:pPr>
            <w:r w:rsidRPr="0047304A">
              <w:t xml:space="preserve">Model </w:t>
            </w:r>
            <w:r w:rsidRPr="0047304A">
              <w:rPr>
                <w:lang w:eastAsia="zh-CN"/>
              </w:rPr>
              <w:t>6</w:t>
            </w:r>
          </w:p>
          <w:p w:rsidR="00887848" w:rsidRPr="0047304A" w:rsidRDefault="00887848">
            <w:pPr>
              <w:rPr>
                <w:lang w:eastAsia="zh-CN"/>
              </w:rPr>
            </w:pPr>
            <w:r w:rsidRPr="0047304A">
              <w:rPr>
                <w:lang w:eastAsia="zh-CN"/>
              </w:rPr>
              <w:t>DF</w:t>
            </w:r>
          </w:p>
        </w:tc>
        <w:tc>
          <w:tcPr>
            <w:tcW w:w="776" w:type="pct"/>
            <w:tcBorders>
              <w:top w:val="single" w:sz="8" w:space="0" w:color="000000"/>
            </w:tcBorders>
          </w:tcPr>
          <w:p w:rsidR="00887848" w:rsidRPr="0047304A" w:rsidRDefault="00887848">
            <w:pPr>
              <w:rPr>
                <w:lang w:eastAsia="zh-CN"/>
              </w:rPr>
            </w:pPr>
            <w:r w:rsidRPr="0047304A">
              <w:rPr>
                <w:lang w:eastAsia="zh-CN"/>
              </w:rPr>
              <w:t>Model 7</w:t>
            </w:r>
          </w:p>
          <w:p w:rsidR="00887848" w:rsidRPr="0047304A" w:rsidRDefault="00887848">
            <w:r w:rsidRPr="0047304A">
              <w:rPr>
                <w:lang w:eastAsia="zh-CN"/>
              </w:rPr>
              <w:t>PIN (PSM Matched sample)</w:t>
            </w:r>
          </w:p>
        </w:tc>
        <w:tc>
          <w:tcPr>
            <w:tcW w:w="775" w:type="pct"/>
            <w:tcBorders>
              <w:top w:val="single" w:sz="8" w:space="0" w:color="000000"/>
            </w:tcBorders>
          </w:tcPr>
          <w:p w:rsidR="00887848" w:rsidRPr="0047304A" w:rsidRDefault="00887848">
            <w:pPr>
              <w:rPr>
                <w:lang w:eastAsia="zh-CN"/>
              </w:rPr>
            </w:pPr>
            <w:r w:rsidRPr="0047304A">
              <w:rPr>
                <w:lang w:eastAsia="zh-CN"/>
              </w:rPr>
              <w:t>Model 8</w:t>
            </w:r>
          </w:p>
          <w:p w:rsidR="00887848" w:rsidRPr="0047304A" w:rsidRDefault="00887848">
            <w:pPr>
              <w:rPr>
                <w:lang w:eastAsia="zh-CN"/>
              </w:rPr>
            </w:pPr>
            <w:r w:rsidRPr="0047304A">
              <w:rPr>
                <w:lang w:eastAsia="zh-CN"/>
              </w:rPr>
              <w:t>DF(PSM Matched sample)</w:t>
            </w:r>
          </w:p>
        </w:tc>
      </w:tr>
      <w:tr w:rsidR="00887848" w:rsidRPr="0047304A">
        <w:trPr>
          <w:trHeight w:val="20"/>
        </w:trPr>
        <w:tc>
          <w:tcPr>
            <w:tcW w:w="1899" w:type="pct"/>
            <w:tcBorders>
              <w:top w:val="single" w:sz="8" w:space="0" w:color="000000"/>
            </w:tcBorders>
          </w:tcPr>
          <w:p w:rsidR="00887848" w:rsidRPr="0047304A" w:rsidRDefault="00887848">
            <w:r w:rsidRPr="0047304A">
              <w:t>Family’s Ownership</w:t>
            </w:r>
          </w:p>
        </w:tc>
        <w:tc>
          <w:tcPr>
            <w:tcW w:w="775" w:type="pct"/>
            <w:tcBorders>
              <w:top w:val="single" w:sz="8" w:space="0" w:color="000000"/>
            </w:tcBorders>
          </w:tcPr>
          <w:p w:rsidR="00887848" w:rsidRPr="0047304A" w:rsidRDefault="00887848">
            <w:r w:rsidRPr="0047304A">
              <w:t>0.04**</w:t>
            </w:r>
          </w:p>
          <w:p w:rsidR="00887848" w:rsidRPr="0047304A" w:rsidRDefault="00887848">
            <w:r w:rsidRPr="0047304A">
              <w:t>[2.40]</w:t>
            </w:r>
          </w:p>
        </w:tc>
        <w:tc>
          <w:tcPr>
            <w:tcW w:w="775" w:type="pct"/>
            <w:tcBorders>
              <w:top w:val="single" w:sz="8" w:space="0" w:color="000000"/>
            </w:tcBorders>
          </w:tcPr>
          <w:p w:rsidR="00887848" w:rsidRPr="0047304A" w:rsidRDefault="00887848">
            <w:r w:rsidRPr="0047304A">
              <w:t>-0.01</w:t>
            </w:r>
          </w:p>
          <w:p w:rsidR="00887848" w:rsidRPr="0047304A" w:rsidRDefault="00887848">
            <w:r w:rsidRPr="0047304A">
              <w:t>[-0.77]</w:t>
            </w:r>
          </w:p>
        </w:tc>
        <w:tc>
          <w:tcPr>
            <w:tcW w:w="776" w:type="pct"/>
            <w:tcBorders>
              <w:top w:val="single" w:sz="8" w:space="0" w:color="000000"/>
            </w:tcBorders>
          </w:tcPr>
          <w:p w:rsidR="00887848" w:rsidRPr="0047304A" w:rsidRDefault="00887848">
            <w:pPr>
              <w:rPr>
                <w:lang w:eastAsia="zh-CN"/>
              </w:rPr>
            </w:pPr>
            <w:r w:rsidRPr="0047304A">
              <w:rPr>
                <w:lang w:eastAsia="zh-CN"/>
              </w:rPr>
              <w:t>0.06***</w:t>
            </w:r>
          </w:p>
          <w:p w:rsidR="00887848" w:rsidRPr="0047304A" w:rsidRDefault="00887848">
            <w:r w:rsidRPr="0047304A">
              <w:rPr>
                <w:lang w:eastAsia="zh-CN"/>
              </w:rPr>
              <w:t>[3.20]</w:t>
            </w:r>
          </w:p>
        </w:tc>
        <w:tc>
          <w:tcPr>
            <w:tcW w:w="775" w:type="pct"/>
            <w:tcBorders>
              <w:top w:val="single" w:sz="8" w:space="0" w:color="000000"/>
            </w:tcBorders>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[-1.22]</w:t>
            </w:r>
          </w:p>
        </w:tc>
      </w:tr>
      <w:tr w:rsidR="00887848" w:rsidRPr="0047304A">
        <w:trPr>
          <w:trHeight w:val="20"/>
        </w:trPr>
        <w:tc>
          <w:tcPr>
            <w:tcW w:w="1899" w:type="pct"/>
          </w:tcPr>
          <w:p w:rsidR="00887848" w:rsidRPr="0047304A" w:rsidRDefault="00887848">
            <w:r w:rsidRPr="0047304A">
              <w:t>Pressure-Resistant Institutional Block-holders’ Ownership</w:t>
            </w:r>
          </w:p>
        </w:tc>
        <w:tc>
          <w:tcPr>
            <w:tcW w:w="775" w:type="pct"/>
          </w:tcPr>
          <w:p w:rsidR="00887848" w:rsidRPr="0047304A" w:rsidRDefault="00887848">
            <w:r w:rsidRPr="0047304A">
              <w:t>0.04</w:t>
            </w:r>
          </w:p>
          <w:p w:rsidR="00887848" w:rsidRPr="0047304A" w:rsidRDefault="00887848">
            <w:r w:rsidRPr="0047304A">
              <w:t>[1.23]</w:t>
            </w:r>
          </w:p>
        </w:tc>
        <w:tc>
          <w:tcPr>
            <w:tcW w:w="775" w:type="pct"/>
          </w:tcPr>
          <w:p w:rsidR="00887848" w:rsidRPr="0047304A" w:rsidRDefault="00887848">
            <w:r w:rsidRPr="0047304A">
              <w:t>0.02***</w:t>
            </w:r>
          </w:p>
          <w:p w:rsidR="00887848" w:rsidRPr="0047304A" w:rsidRDefault="00887848">
            <w:r w:rsidRPr="0047304A">
              <w:t>[3.36]</w:t>
            </w:r>
          </w:p>
        </w:tc>
        <w:tc>
          <w:tcPr>
            <w:tcW w:w="776" w:type="pct"/>
          </w:tcPr>
          <w:p w:rsidR="00887848" w:rsidRPr="0047304A" w:rsidRDefault="00887848">
            <w:pPr>
              <w:rPr>
                <w:lang w:eastAsia="zh-CN"/>
              </w:rPr>
            </w:pPr>
            <w:r w:rsidRPr="0047304A">
              <w:rPr>
                <w:lang w:eastAsia="zh-CN"/>
              </w:rPr>
              <w:t>0.05</w:t>
            </w:r>
          </w:p>
          <w:p w:rsidR="00887848" w:rsidRPr="0047304A" w:rsidRDefault="00887848">
            <w:r w:rsidRPr="0047304A">
              <w:rPr>
                <w:lang w:eastAsia="zh-CN"/>
              </w:rPr>
              <w:t>[1.15]</w:t>
            </w:r>
          </w:p>
        </w:tc>
        <w:tc>
          <w:tcPr>
            <w:tcW w:w="775" w:type="pct"/>
          </w:tcPr>
          <w:p w:rsidR="00887848" w:rsidRPr="0047304A" w:rsidRDefault="00887848">
            <w:pPr>
              <w:rPr>
                <w:lang w:eastAsia="zh-CN"/>
              </w:rPr>
            </w:pPr>
            <w:r w:rsidRPr="0047304A">
              <w:rPr>
                <w:lang w:eastAsia="zh-CN"/>
              </w:rPr>
              <w:t>0.02***</w:t>
            </w:r>
          </w:p>
          <w:p w:rsidR="00887848" w:rsidRPr="0047304A" w:rsidRDefault="00887848">
            <w:r w:rsidRPr="0047304A">
              <w:rPr>
                <w:lang w:eastAsia="zh-CN"/>
              </w:rPr>
              <w:t>[5.47]</w:t>
            </w:r>
          </w:p>
        </w:tc>
      </w:tr>
      <w:tr w:rsidR="00887848" w:rsidRPr="0047304A">
        <w:trPr>
          <w:trHeight w:val="20"/>
        </w:trPr>
        <w:tc>
          <w:tcPr>
            <w:tcW w:w="1899" w:type="pct"/>
          </w:tcPr>
          <w:p w:rsidR="00887848" w:rsidRPr="0047304A" w:rsidRDefault="00887848">
            <w:r w:rsidRPr="0047304A">
              <w:t>Pressure-Sensitive Institutional Block-holders’ Ownership</w:t>
            </w:r>
          </w:p>
        </w:tc>
        <w:tc>
          <w:tcPr>
            <w:tcW w:w="775" w:type="pct"/>
          </w:tcPr>
          <w:p w:rsidR="00887848" w:rsidRPr="0047304A" w:rsidRDefault="00887848">
            <w:r w:rsidRPr="0047304A">
              <w:t>-0.01</w:t>
            </w:r>
          </w:p>
          <w:p w:rsidR="00887848" w:rsidRPr="0047304A" w:rsidRDefault="00887848">
            <w:r w:rsidRPr="0047304A">
              <w:t>[-0.50]</w:t>
            </w:r>
          </w:p>
        </w:tc>
        <w:tc>
          <w:tcPr>
            <w:tcW w:w="775" w:type="pct"/>
          </w:tcPr>
          <w:p w:rsidR="00887848" w:rsidRPr="0047304A" w:rsidRDefault="00887848">
            <w:r w:rsidRPr="0047304A">
              <w:t>-0.001</w:t>
            </w:r>
          </w:p>
          <w:p w:rsidR="00887848" w:rsidRPr="0047304A" w:rsidRDefault="00887848">
            <w:r w:rsidRPr="0047304A">
              <w:t>[-0.08]</w:t>
            </w:r>
          </w:p>
        </w:tc>
        <w:tc>
          <w:tcPr>
            <w:tcW w:w="776" w:type="pct"/>
          </w:tcPr>
          <w:p w:rsidR="00887848" w:rsidRPr="0047304A" w:rsidRDefault="00887848">
            <w:pPr>
              <w:rPr>
                <w:lang w:eastAsia="zh-CN"/>
              </w:rPr>
            </w:pPr>
            <w:r w:rsidRPr="0047304A">
              <w:rPr>
                <w:lang w:eastAsia="zh-CN"/>
              </w:rPr>
              <w:t>0.03</w:t>
            </w:r>
          </w:p>
          <w:p w:rsidR="00887848" w:rsidRPr="0047304A" w:rsidRDefault="00887848">
            <w:r w:rsidRPr="0047304A">
              <w:rPr>
                <w:lang w:eastAsia="zh-CN"/>
              </w:rPr>
              <w:t>[0.58]</w:t>
            </w:r>
          </w:p>
        </w:tc>
        <w:tc>
          <w:tcPr>
            <w:tcW w:w="775" w:type="pct"/>
          </w:tcPr>
          <w:p w:rsidR="00887848" w:rsidRPr="0047304A" w:rsidRDefault="00887848">
            <w:pPr>
              <w:rPr>
                <w:lang w:eastAsia="zh-CN"/>
              </w:rPr>
            </w:pPr>
            <w:r w:rsidRPr="0047304A">
              <w:rPr>
                <w:lang w:eastAsia="zh-CN"/>
              </w:rPr>
              <w:t>-0.001</w:t>
            </w:r>
          </w:p>
          <w:p w:rsidR="00887848" w:rsidRPr="0047304A" w:rsidRDefault="00887848">
            <w:r w:rsidRPr="0047304A">
              <w:rPr>
                <w:lang w:eastAsia="zh-CN"/>
              </w:rPr>
              <w:t>[-0.28]</w:t>
            </w:r>
          </w:p>
        </w:tc>
      </w:tr>
      <w:tr w:rsidR="00887848" w:rsidRPr="0047304A">
        <w:trPr>
          <w:trHeight w:val="20"/>
        </w:trPr>
        <w:tc>
          <w:tcPr>
            <w:tcW w:w="1899" w:type="pct"/>
          </w:tcPr>
          <w:p w:rsidR="00887848" w:rsidRPr="0047304A" w:rsidRDefault="00887848">
            <w:r w:rsidRPr="0047304A">
              <w:t>Pressure-Uncertain Institutional Block-holders’ Ownership</w:t>
            </w:r>
          </w:p>
        </w:tc>
        <w:tc>
          <w:tcPr>
            <w:tcW w:w="775" w:type="pct"/>
          </w:tcPr>
          <w:p w:rsidR="00887848" w:rsidRPr="0047304A" w:rsidRDefault="00887848">
            <w:r w:rsidRPr="0047304A">
              <w:t>0.01</w:t>
            </w:r>
          </w:p>
          <w:p w:rsidR="00887848" w:rsidRPr="0047304A" w:rsidRDefault="00887848">
            <w:r w:rsidRPr="0047304A">
              <w:t>[0.30]</w:t>
            </w:r>
          </w:p>
        </w:tc>
        <w:tc>
          <w:tcPr>
            <w:tcW w:w="775" w:type="pct"/>
          </w:tcPr>
          <w:p w:rsidR="00887848" w:rsidRPr="0047304A" w:rsidRDefault="00887848">
            <w:r w:rsidRPr="0047304A">
              <w:t>-0.001</w:t>
            </w:r>
          </w:p>
          <w:p w:rsidR="00887848" w:rsidRPr="0047304A" w:rsidRDefault="00887848">
            <w:r w:rsidRPr="0047304A">
              <w:t>[-0.14]</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[-0.12]</w:t>
            </w:r>
          </w:p>
        </w:tc>
        <w:tc>
          <w:tcPr>
            <w:tcW w:w="775" w:type="pct"/>
          </w:tcPr>
          <w:p w:rsidR="00887848" w:rsidRPr="0047304A" w:rsidRDefault="00887848">
            <w:pPr>
              <w:rPr>
                <w:lang w:eastAsia="zh-CN"/>
              </w:rPr>
            </w:pPr>
            <w:r w:rsidRPr="0047304A">
              <w:rPr>
                <w:lang w:eastAsia="zh-CN"/>
              </w:rPr>
              <w:t>0.001</w:t>
            </w:r>
          </w:p>
          <w:p w:rsidR="00887848" w:rsidRPr="0047304A" w:rsidRDefault="00887848">
            <w:r w:rsidRPr="0047304A">
              <w:rPr>
                <w:lang w:eastAsia="zh-CN"/>
              </w:rPr>
              <w:t>[0.54]</w:t>
            </w:r>
          </w:p>
        </w:tc>
      </w:tr>
      <w:tr w:rsidR="00887848" w:rsidRPr="0047304A">
        <w:trPr>
          <w:trHeight w:val="20"/>
        </w:trPr>
        <w:tc>
          <w:tcPr>
            <w:tcW w:w="1899" w:type="pct"/>
          </w:tcPr>
          <w:p w:rsidR="00887848" w:rsidRPr="0047304A" w:rsidRDefault="00887848">
            <w:r w:rsidRPr="0047304A">
              <w:t>Pressure-Resistant Institutional Block-holders’ Ownership/Family’s Ownership</w:t>
            </w:r>
          </w:p>
        </w:tc>
        <w:tc>
          <w:tcPr>
            <w:tcW w:w="775" w:type="pct"/>
          </w:tcPr>
          <w:p w:rsidR="00887848" w:rsidRPr="0047304A" w:rsidRDefault="00887848">
            <w:r w:rsidRPr="0047304A">
              <w:t>-0.05**</w:t>
            </w:r>
          </w:p>
          <w:p w:rsidR="00887848" w:rsidRPr="0047304A" w:rsidRDefault="00887848">
            <w:r w:rsidRPr="0047304A">
              <w:t>[-1.96]</w:t>
            </w:r>
          </w:p>
        </w:tc>
        <w:tc>
          <w:tcPr>
            <w:tcW w:w="775" w:type="pct"/>
          </w:tcPr>
          <w:p w:rsidR="00887848" w:rsidRPr="0047304A" w:rsidRDefault="00887848">
            <w:pPr>
              <w:rPr>
                <w:lang w:eastAsia="zh-CN"/>
              </w:rPr>
            </w:pPr>
            <w:r w:rsidRPr="0047304A">
              <w:rPr>
                <w:lang w:eastAsia="zh-CN"/>
              </w:rPr>
              <w:t>-0.06</w:t>
            </w:r>
          </w:p>
          <w:p w:rsidR="00887848" w:rsidRPr="0047304A" w:rsidRDefault="00887848">
            <w:pPr>
              <w:rPr>
                <w:lang w:eastAsia="zh-CN"/>
              </w:rPr>
            </w:pPr>
            <w:r w:rsidRPr="0047304A">
              <w:rPr>
                <w:lang w:eastAsia="zh-CN"/>
              </w:rPr>
              <w:t>[-0.73]</w:t>
            </w:r>
          </w:p>
        </w:tc>
        <w:tc>
          <w:tcPr>
            <w:tcW w:w="776" w:type="pct"/>
          </w:tcPr>
          <w:p w:rsidR="00887848" w:rsidRPr="0047304A" w:rsidRDefault="00887848">
            <w:pPr>
              <w:rPr>
                <w:lang w:eastAsia="zh-CN"/>
              </w:rPr>
            </w:pPr>
            <w:r w:rsidRPr="0047304A">
              <w:rPr>
                <w:lang w:eastAsia="zh-CN"/>
              </w:rPr>
              <w:t>-0.08**</w:t>
            </w:r>
          </w:p>
          <w:p w:rsidR="00887848" w:rsidRPr="0047304A" w:rsidRDefault="00887848">
            <w:r w:rsidRPr="0047304A">
              <w:rPr>
                <w:lang w:eastAsia="zh-CN"/>
              </w:rPr>
              <w:t>[-1.98]</w:t>
            </w:r>
          </w:p>
        </w:tc>
        <w:tc>
          <w:tcPr>
            <w:tcW w:w="775" w:type="pct"/>
          </w:tcPr>
          <w:p w:rsidR="00887848" w:rsidRPr="0047304A" w:rsidRDefault="00887848">
            <w:pPr>
              <w:rPr>
                <w:lang w:eastAsia="zh-CN"/>
              </w:rPr>
            </w:pPr>
            <w:r w:rsidRPr="0047304A">
              <w:rPr>
                <w:lang w:eastAsia="zh-CN"/>
              </w:rPr>
              <w:t>-0.07</w:t>
            </w:r>
          </w:p>
          <w:p w:rsidR="00887848" w:rsidRPr="0047304A" w:rsidRDefault="00887848">
            <w:pPr>
              <w:rPr>
                <w:lang w:eastAsia="zh-CN"/>
              </w:rPr>
            </w:pPr>
            <w:r w:rsidRPr="0047304A">
              <w:rPr>
                <w:lang w:eastAsia="zh-CN"/>
              </w:rPr>
              <w:t>[-0.88]</w:t>
            </w:r>
          </w:p>
        </w:tc>
      </w:tr>
      <w:tr w:rsidR="00887848" w:rsidRPr="0047304A">
        <w:trPr>
          <w:trHeight w:val="20"/>
        </w:trPr>
        <w:tc>
          <w:tcPr>
            <w:tcW w:w="1899" w:type="pct"/>
          </w:tcPr>
          <w:p w:rsidR="00887848" w:rsidRPr="0047304A" w:rsidRDefault="00887848">
            <w:r w:rsidRPr="0047304A">
              <w:t>Pressure-Sensitive Institutional Block-holders’ Ownership/Family’s Ownership</w:t>
            </w:r>
          </w:p>
        </w:tc>
        <w:tc>
          <w:tcPr>
            <w:tcW w:w="775" w:type="pct"/>
          </w:tcPr>
          <w:p w:rsidR="00887848" w:rsidRPr="0047304A" w:rsidRDefault="00887848">
            <w:r w:rsidRPr="0047304A">
              <w:t>0.004</w:t>
            </w:r>
          </w:p>
          <w:p w:rsidR="00887848" w:rsidRPr="0047304A" w:rsidRDefault="00887848">
            <w:r w:rsidRPr="0047304A">
              <w:t>[0.19]</w:t>
            </w:r>
          </w:p>
        </w:tc>
        <w:tc>
          <w:tcPr>
            <w:tcW w:w="775" w:type="pct"/>
          </w:tcPr>
          <w:p w:rsidR="00887848" w:rsidRPr="0047304A" w:rsidRDefault="00887848">
            <w:pPr>
              <w:rPr>
                <w:lang w:eastAsia="zh-CN"/>
              </w:rPr>
            </w:pPr>
            <w:r w:rsidRPr="0047304A">
              <w:rPr>
                <w:lang w:eastAsia="zh-CN"/>
              </w:rPr>
              <w:t>0.09</w:t>
            </w:r>
          </w:p>
          <w:p w:rsidR="00887848" w:rsidRPr="0047304A" w:rsidRDefault="00887848">
            <w:pPr>
              <w:rPr>
                <w:lang w:eastAsia="zh-CN"/>
              </w:rPr>
            </w:pPr>
            <w:r w:rsidRPr="0047304A">
              <w:rPr>
                <w:lang w:eastAsia="zh-CN"/>
              </w:rPr>
              <w:t>[1.16]</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[-0.28]</w:t>
            </w:r>
          </w:p>
        </w:tc>
        <w:tc>
          <w:tcPr>
            <w:tcW w:w="775" w:type="pct"/>
          </w:tcPr>
          <w:p w:rsidR="00887848" w:rsidRPr="0047304A" w:rsidRDefault="00887848">
            <w:pPr>
              <w:rPr>
                <w:lang w:eastAsia="zh-CN"/>
              </w:rPr>
            </w:pPr>
            <w:r w:rsidRPr="0047304A">
              <w:rPr>
                <w:lang w:eastAsia="zh-CN"/>
              </w:rPr>
              <w:t>0.07</w:t>
            </w:r>
          </w:p>
          <w:p w:rsidR="00887848" w:rsidRPr="0047304A" w:rsidRDefault="00887848">
            <w:pPr>
              <w:rPr>
                <w:lang w:eastAsia="zh-CN"/>
              </w:rPr>
            </w:pPr>
            <w:r w:rsidRPr="0047304A">
              <w:rPr>
                <w:lang w:eastAsia="zh-CN"/>
              </w:rPr>
              <w:t>[1.16]</w:t>
            </w:r>
          </w:p>
        </w:tc>
      </w:tr>
      <w:tr w:rsidR="00887848" w:rsidRPr="0047304A">
        <w:trPr>
          <w:trHeight w:val="20"/>
        </w:trPr>
        <w:tc>
          <w:tcPr>
            <w:tcW w:w="1899" w:type="pct"/>
          </w:tcPr>
          <w:p w:rsidR="00887848" w:rsidRPr="0047304A" w:rsidRDefault="00887848">
            <w:r w:rsidRPr="0047304A">
              <w:t>Pressure-Uncertain Institutional Block-holders’ Ownership/Family’s Ownership</w:t>
            </w:r>
          </w:p>
        </w:tc>
        <w:tc>
          <w:tcPr>
            <w:tcW w:w="775" w:type="pct"/>
          </w:tcPr>
          <w:p w:rsidR="00887848" w:rsidRPr="0047304A" w:rsidRDefault="00887848">
            <w:r w:rsidRPr="0047304A">
              <w:t>-0.02</w:t>
            </w:r>
          </w:p>
          <w:p w:rsidR="00887848" w:rsidRPr="0047304A" w:rsidRDefault="00887848">
            <w:r w:rsidRPr="0047304A">
              <w:t>[-1.02]</w:t>
            </w:r>
          </w:p>
        </w:tc>
        <w:tc>
          <w:tcPr>
            <w:tcW w:w="775"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[-0.08]</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[-0.22]</w:t>
            </w:r>
          </w:p>
        </w:tc>
        <w:tc>
          <w:tcPr>
            <w:tcW w:w="775"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[-0.20]</w:t>
            </w:r>
          </w:p>
        </w:tc>
      </w:tr>
      <w:tr w:rsidR="00887848" w:rsidRPr="0047304A">
        <w:trPr>
          <w:trHeight w:val="20"/>
        </w:trPr>
        <w:tc>
          <w:tcPr>
            <w:tcW w:w="1899" w:type="pct"/>
          </w:tcPr>
          <w:p w:rsidR="00887848" w:rsidRPr="0047304A" w:rsidRDefault="00887848">
            <w:pPr>
              <w:rPr>
                <w:lang w:eastAsia="zh-CN"/>
              </w:rPr>
            </w:pPr>
            <w:r w:rsidRPr="0047304A">
              <w:t>Ln Market Capitalization</w:t>
            </w:r>
            <w:r w:rsidRPr="0047304A">
              <w:rPr>
                <w:lang w:eastAsia="zh-CN"/>
              </w:rPr>
              <w:t xml:space="preserve"> of Common Equity</w:t>
            </w:r>
          </w:p>
        </w:tc>
        <w:tc>
          <w:tcPr>
            <w:tcW w:w="775" w:type="pct"/>
          </w:tcPr>
          <w:p w:rsidR="00887848" w:rsidRPr="0047304A" w:rsidRDefault="00887848">
            <w:r w:rsidRPr="0047304A">
              <w:t>-0.04**</w:t>
            </w:r>
          </w:p>
          <w:p w:rsidR="00887848" w:rsidRPr="0047304A" w:rsidRDefault="00887848">
            <w:r w:rsidRPr="0047304A">
              <w:t>[-2.05]</w:t>
            </w:r>
          </w:p>
        </w:tc>
        <w:tc>
          <w:tcPr>
            <w:tcW w:w="775" w:type="pct"/>
          </w:tcPr>
          <w:p w:rsidR="00887848" w:rsidRPr="0047304A" w:rsidRDefault="00887848">
            <w:r w:rsidRPr="0047304A">
              <w:t>0.02**</w:t>
            </w:r>
          </w:p>
          <w:p w:rsidR="00887848" w:rsidRPr="0047304A" w:rsidRDefault="00887848">
            <w:r w:rsidRPr="0047304A">
              <w:t>[2.50]</w:t>
            </w:r>
          </w:p>
        </w:tc>
        <w:tc>
          <w:tcPr>
            <w:tcW w:w="776" w:type="pct"/>
          </w:tcPr>
          <w:p w:rsidR="00887848" w:rsidRPr="0047304A" w:rsidRDefault="00887848">
            <w:pPr>
              <w:rPr>
                <w:lang w:eastAsia="zh-CN"/>
              </w:rPr>
            </w:pPr>
            <w:r w:rsidRPr="0047304A">
              <w:rPr>
                <w:lang w:eastAsia="zh-CN"/>
              </w:rPr>
              <w:t>-0.09***</w:t>
            </w:r>
          </w:p>
          <w:p w:rsidR="00887848" w:rsidRPr="0047304A" w:rsidRDefault="00887848">
            <w:r w:rsidRPr="0047304A">
              <w:rPr>
                <w:lang w:eastAsia="zh-CN"/>
              </w:rPr>
              <w:t>[-8.78]</w:t>
            </w:r>
          </w:p>
        </w:tc>
        <w:tc>
          <w:tcPr>
            <w:tcW w:w="775" w:type="pct"/>
          </w:tcPr>
          <w:p w:rsidR="00887848" w:rsidRPr="0047304A" w:rsidRDefault="00887848">
            <w:pPr>
              <w:rPr>
                <w:lang w:eastAsia="zh-CN"/>
              </w:rPr>
            </w:pPr>
            <w:r w:rsidRPr="0047304A">
              <w:rPr>
                <w:lang w:eastAsia="zh-CN"/>
              </w:rPr>
              <w:t>0.06***</w:t>
            </w:r>
          </w:p>
          <w:p w:rsidR="00887848" w:rsidRPr="0047304A" w:rsidRDefault="00887848">
            <w:r w:rsidRPr="0047304A">
              <w:rPr>
                <w:lang w:eastAsia="zh-CN"/>
              </w:rPr>
              <w:t>[8.54]</w:t>
            </w:r>
          </w:p>
        </w:tc>
      </w:tr>
      <w:tr w:rsidR="00887848" w:rsidRPr="0047304A">
        <w:trPr>
          <w:trHeight w:val="20"/>
        </w:trPr>
        <w:tc>
          <w:tcPr>
            <w:tcW w:w="1899" w:type="pct"/>
          </w:tcPr>
          <w:p w:rsidR="00887848" w:rsidRPr="0047304A" w:rsidRDefault="00887848">
            <w:r w:rsidRPr="0047304A">
              <w:t>Ln Share Liquidity</w:t>
            </w:r>
          </w:p>
        </w:tc>
        <w:tc>
          <w:tcPr>
            <w:tcW w:w="775" w:type="pct"/>
          </w:tcPr>
          <w:p w:rsidR="00887848" w:rsidRPr="0047304A" w:rsidRDefault="00887848">
            <w:r w:rsidRPr="0047304A">
              <w:t>-0.10***</w:t>
            </w:r>
          </w:p>
          <w:p w:rsidR="00887848" w:rsidRPr="0047304A" w:rsidRDefault="00887848">
            <w:r w:rsidRPr="0047304A">
              <w:t>[-5.77]</w:t>
            </w:r>
          </w:p>
        </w:tc>
        <w:tc>
          <w:tcPr>
            <w:tcW w:w="775" w:type="pct"/>
          </w:tcPr>
          <w:p w:rsidR="00887848" w:rsidRPr="0047304A" w:rsidRDefault="00887848">
            <w:r w:rsidRPr="0047304A">
              <w:t>0.02**</w:t>
            </w:r>
          </w:p>
          <w:p w:rsidR="00887848" w:rsidRPr="0047304A" w:rsidRDefault="00887848">
            <w:r w:rsidRPr="0047304A">
              <w:t>[2.48]</w:t>
            </w:r>
          </w:p>
        </w:tc>
        <w:tc>
          <w:tcPr>
            <w:tcW w:w="776" w:type="pct"/>
          </w:tcPr>
          <w:p w:rsidR="00887848" w:rsidRPr="0047304A" w:rsidRDefault="00887848">
            <w:pPr>
              <w:rPr>
                <w:lang w:eastAsia="zh-CN"/>
              </w:rPr>
            </w:pPr>
            <w:r w:rsidRPr="0047304A">
              <w:rPr>
                <w:lang w:eastAsia="zh-CN"/>
              </w:rPr>
              <w:t>-0.04***</w:t>
            </w:r>
          </w:p>
          <w:p w:rsidR="00887848" w:rsidRPr="0047304A" w:rsidRDefault="00887848">
            <w:r w:rsidRPr="0047304A">
              <w:rPr>
                <w:lang w:eastAsia="zh-CN"/>
              </w:rPr>
              <w:t>[-6.36]</w:t>
            </w:r>
          </w:p>
        </w:tc>
        <w:tc>
          <w:tcPr>
            <w:tcW w:w="775" w:type="pct"/>
          </w:tcPr>
          <w:p w:rsidR="00887848" w:rsidRPr="0047304A" w:rsidRDefault="00887848">
            <w:pPr>
              <w:rPr>
                <w:lang w:eastAsia="zh-CN"/>
              </w:rPr>
            </w:pPr>
            <w:r w:rsidRPr="0047304A">
              <w:rPr>
                <w:lang w:eastAsia="zh-CN"/>
              </w:rPr>
              <w:t>-0.002</w:t>
            </w:r>
          </w:p>
          <w:p w:rsidR="00887848" w:rsidRPr="0047304A" w:rsidRDefault="00887848">
            <w:r w:rsidRPr="0047304A">
              <w:rPr>
                <w:lang w:eastAsia="zh-CN"/>
              </w:rPr>
              <w:t>[-0.61]</w:t>
            </w:r>
          </w:p>
        </w:tc>
      </w:tr>
      <w:tr w:rsidR="00887848" w:rsidRPr="0047304A">
        <w:trPr>
          <w:trHeight w:val="20"/>
        </w:trPr>
        <w:tc>
          <w:tcPr>
            <w:tcW w:w="1899" w:type="pct"/>
          </w:tcPr>
          <w:p w:rsidR="00887848" w:rsidRPr="0047304A" w:rsidRDefault="00887848">
            <w:r w:rsidRPr="0047304A">
              <w:t>Daily Return Volatility</w:t>
            </w:r>
          </w:p>
        </w:tc>
        <w:tc>
          <w:tcPr>
            <w:tcW w:w="775" w:type="pct"/>
          </w:tcPr>
          <w:p w:rsidR="00887848" w:rsidRPr="0047304A" w:rsidRDefault="00887848">
            <w:r w:rsidRPr="0047304A">
              <w:t>-0.03</w:t>
            </w:r>
          </w:p>
          <w:p w:rsidR="00887848" w:rsidRPr="0047304A" w:rsidRDefault="00887848">
            <w:r w:rsidRPr="0047304A">
              <w:t>[-1.53]</w:t>
            </w:r>
          </w:p>
        </w:tc>
        <w:tc>
          <w:tcPr>
            <w:tcW w:w="775" w:type="pct"/>
          </w:tcPr>
          <w:p w:rsidR="00887848" w:rsidRPr="0047304A" w:rsidRDefault="00887848">
            <w:r w:rsidRPr="0047304A">
              <w:t>0.03***</w:t>
            </w:r>
          </w:p>
          <w:p w:rsidR="00887848" w:rsidRPr="0047304A" w:rsidRDefault="00887848">
            <w:r w:rsidRPr="0047304A">
              <w:t>[3.11]</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[-4.00]</w:t>
            </w:r>
          </w:p>
        </w:tc>
        <w:tc>
          <w:tcPr>
            <w:tcW w:w="775" w:type="pct"/>
          </w:tcPr>
          <w:p w:rsidR="00887848" w:rsidRPr="0047304A" w:rsidRDefault="00887848">
            <w:pPr>
              <w:rPr>
                <w:lang w:eastAsia="zh-CN"/>
              </w:rPr>
            </w:pPr>
            <w:r w:rsidRPr="0047304A">
              <w:rPr>
                <w:lang w:eastAsia="zh-CN"/>
              </w:rPr>
              <w:t>0.005***</w:t>
            </w:r>
          </w:p>
          <w:p w:rsidR="00887848" w:rsidRPr="0047304A" w:rsidRDefault="00887848">
            <w:r w:rsidRPr="0047304A">
              <w:rPr>
                <w:lang w:eastAsia="zh-CN"/>
              </w:rPr>
              <w:t>[5.92]</w:t>
            </w:r>
          </w:p>
        </w:tc>
      </w:tr>
      <w:tr w:rsidR="00887848" w:rsidRPr="0047304A">
        <w:trPr>
          <w:trHeight w:val="20"/>
        </w:trPr>
        <w:tc>
          <w:tcPr>
            <w:tcW w:w="1899" w:type="pct"/>
          </w:tcPr>
          <w:p w:rsidR="00887848" w:rsidRPr="0047304A" w:rsidRDefault="00887848">
            <w:r w:rsidRPr="0047304A">
              <w:t>Growth</w:t>
            </w:r>
          </w:p>
        </w:tc>
        <w:tc>
          <w:tcPr>
            <w:tcW w:w="775" w:type="pct"/>
          </w:tcPr>
          <w:p w:rsidR="00887848" w:rsidRPr="0047304A" w:rsidRDefault="00887848">
            <w:r w:rsidRPr="0047304A">
              <w:t>0.003</w:t>
            </w:r>
          </w:p>
          <w:p w:rsidR="00887848" w:rsidRPr="0047304A" w:rsidRDefault="00887848">
            <w:r w:rsidRPr="0047304A">
              <w:t>[0.76]</w:t>
            </w:r>
          </w:p>
        </w:tc>
        <w:tc>
          <w:tcPr>
            <w:tcW w:w="775" w:type="pct"/>
          </w:tcPr>
          <w:p w:rsidR="00887848" w:rsidRPr="0047304A" w:rsidRDefault="00887848">
            <w:r w:rsidRPr="0047304A">
              <w:t>-0.01***</w:t>
            </w:r>
          </w:p>
          <w:p w:rsidR="00887848" w:rsidRPr="0047304A" w:rsidRDefault="00887848">
            <w:r w:rsidRPr="0047304A">
              <w:t>[-5.86]</w:t>
            </w:r>
          </w:p>
        </w:tc>
        <w:tc>
          <w:tcPr>
            <w:tcW w:w="776" w:type="pct"/>
          </w:tcPr>
          <w:p w:rsidR="00887848" w:rsidRPr="0047304A" w:rsidRDefault="00887848">
            <w:pPr>
              <w:rPr>
                <w:lang w:eastAsia="zh-CN"/>
              </w:rPr>
            </w:pPr>
            <w:r w:rsidRPr="0047304A">
              <w:rPr>
                <w:lang w:eastAsia="zh-CN"/>
              </w:rPr>
              <w:t>-0.02***</w:t>
            </w:r>
          </w:p>
          <w:p w:rsidR="00887848" w:rsidRPr="0047304A" w:rsidRDefault="00887848">
            <w:r w:rsidRPr="0047304A">
              <w:rPr>
                <w:lang w:eastAsia="zh-CN"/>
              </w:rPr>
              <w:t>[-2.74]</w:t>
            </w:r>
          </w:p>
        </w:tc>
        <w:tc>
          <w:tcPr>
            <w:tcW w:w="775"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[2.05]</w:t>
            </w:r>
          </w:p>
        </w:tc>
      </w:tr>
      <w:tr w:rsidR="00887848" w:rsidRPr="0047304A">
        <w:trPr>
          <w:trHeight w:val="20"/>
        </w:trPr>
        <w:tc>
          <w:tcPr>
            <w:tcW w:w="1899" w:type="pct"/>
          </w:tcPr>
          <w:p w:rsidR="00887848" w:rsidRPr="0047304A" w:rsidRDefault="00887848">
            <w:r w:rsidRPr="0047304A">
              <w:t>Ln Firm Age</w:t>
            </w:r>
          </w:p>
        </w:tc>
        <w:tc>
          <w:tcPr>
            <w:tcW w:w="775" w:type="pct"/>
          </w:tcPr>
          <w:p w:rsidR="00887848" w:rsidRPr="0047304A" w:rsidRDefault="00887848">
            <w:r w:rsidRPr="0047304A">
              <w:t>-0.03</w:t>
            </w:r>
          </w:p>
          <w:p w:rsidR="00887848" w:rsidRPr="0047304A" w:rsidRDefault="00887848">
            <w:r w:rsidRPr="0047304A">
              <w:t>[-1.60]</w:t>
            </w:r>
          </w:p>
        </w:tc>
        <w:tc>
          <w:tcPr>
            <w:tcW w:w="775" w:type="pct"/>
          </w:tcPr>
          <w:p w:rsidR="00887848" w:rsidRPr="0047304A" w:rsidRDefault="00887848">
            <w:r w:rsidRPr="0047304A">
              <w:t>-0.000</w:t>
            </w:r>
          </w:p>
          <w:p w:rsidR="00887848" w:rsidRPr="0047304A" w:rsidRDefault="00887848">
            <w:r w:rsidRPr="0047304A">
              <w:t>[-0.01]</w:t>
            </w:r>
          </w:p>
        </w:tc>
        <w:tc>
          <w:tcPr>
            <w:tcW w:w="776" w:type="pct"/>
          </w:tcPr>
          <w:p w:rsidR="00887848" w:rsidRPr="0047304A" w:rsidRDefault="00887848">
            <w:pPr>
              <w:rPr>
                <w:lang w:eastAsia="zh-CN"/>
              </w:rPr>
            </w:pPr>
            <w:r w:rsidRPr="0047304A">
              <w:rPr>
                <w:lang w:eastAsia="zh-CN"/>
              </w:rPr>
              <w:t>0.02</w:t>
            </w:r>
          </w:p>
          <w:p w:rsidR="00887848" w:rsidRPr="0047304A" w:rsidRDefault="00887848">
            <w:r w:rsidRPr="0047304A">
              <w:rPr>
                <w:lang w:eastAsia="zh-CN"/>
              </w:rPr>
              <w:t>[0.86]</w:t>
            </w:r>
          </w:p>
        </w:tc>
        <w:tc>
          <w:tcPr>
            <w:tcW w:w="775" w:type="pct"/>
          </w:tcPr>
          <w:p w:rsidR="00887848" w:rsidRPr="0047304A" w:rsidRDefault="00887848">
            <w:pPr>
              <w:rPr>
                <w:lang w:eastAsia="zh-CN"/>
              </w:rPr>
            </w:pPr>
            <w:r w:rsidRPr="0047304A">
              <w:rPr>
                <w:lang w:eastAsia="zh-CN"/>
              </w:rPr>
              <w:t>-0.05***</w:t>
            </w:r>
          </w:p>
          <w:p w:rsidR="00887848" w:rsidRPr="0047304A" w:rsidRDefault="00887848">
            <w:r w:rsidRPr="0047304A">
              <w:rPr>
                <w:lang w:eastAsia="zh-CN"/>
              </w:rPr>
              <w:t>[-5.14]</w:t>
            </w:r>
          </w:p>
        </w:tc>
      </w:tr>
      <w:tr w:rsidR="00887848" w:rsidRPr="0047304A">
        <w:trPr>
          <w:trHeight w:val="20"/>
        </w:trPr>
        <w:tc>
          <w:tcPr>
            <w:tcW w:w="1899" w:type="pct"/>
          </w:tcPr>
          <w:p w:rsidR="00887848" w:rsidRPr="0047304A" w:rsidRDefault="00887848">
            <w:r w:rsidRPr="0047304A">
              <w:t>Ln Analyst Coverage</w:t>
            </w:r>
          </w:p>
        </w:tc>
        <w:tc>
          <w:tcPr>
            <w:tcW w:w="775" w:type="pct"/>
          </w:tcPr>
          <w:p w:rsidR="00887848" w:rsidRPr="0047304A" w:rsidRDefault="00887848">
            <w:r w:rsidRPr="0047304A">
              <w:t>-0.13***</w:t>
            </w:r>
          </w:p>
          <w:p w:rsidR="00887848" w:rsidRPr="0047304A" w:rsidRDefault="00887848">
            <w:r w:rsidRPr="0047304A">
              <w:t>[-6.34]</w:t>
            </w:r>
          </w:p>
        </w:tc>
        <w:tc>
          <w:tcPr>
            <w:tcW w:w="775" w:type="pct"/>
          </w:tcPr>
          <w:p w:rsidR="00887848" w:rsidRPr="0047304A" w:rsidRDefault="00887848">
            <w:r w:rsidRPr="0047304A">
              <w:t>0.0001</w:t>
            </w:r>
          </w:p>
          <w:p w:rsidR="00887848" w:rsidRPr="0047304A" w:rsidRDefault="00887848">
            <w:r w:rsidRPr="0047304A">
              <w:t>[0.06]</w:t>
            </w:r>
          </w:p>
        </w:tc>
        <w:tc>
          <w:tcPr>
            <w:tcW w:w="776" w:type="pct"/>
          </w:tcPr>
          <w:p w:rsidR="00887848" w:rsidRPr="0047304A" w:rsidRDefault="00887848">
            <w:pPr>
              <w:rPr>
                <w:lang w:eastAsia="zh-CN"/>
              </w:rPr>
            </w:pPr>
            <w:r w:rsidRPr="0047304A">
              <w:rPr>
                <w:lang w:eastAsia="zh-CN"/>
              </w:rPr>
              <w:t>-0.11**</w:t>
            </w:r>
          </w:p>
          <w:p w:rsidR="00887848" w:rsidRPr="0047304A" w:rsidRDefault="00887848">
            <w:r w:rsidRPr="0047304A">
              <w:rPr>
                <w:lang w:eastAsia="zh-CN"/>
              </w:rPr>
              <w:t>[-2.27]</w:t>
            </w:r>
          </w:p>
        </w:tc>
        <w:tc>
          <w:tcPr>
            <w:tcW w:w="775" w:type="pct"/>
          </w:tcPr>
          <w:p w:rsidR="00887848" w:rsidRPr="0047304A" w:rsidRDefault="00887848">
            <w:pPr>
              <w:rPr>
                <w:lang w:eastAsia="zh-CN"/>
              </w:rPr>
            </w:pPr>
            <w:r w:rsidRPr="0047304A">
              <w:rPr>
                <w:lang w:eastAsia="zh-CN"/>
              </w:rPr>
              <w:t>-0.04***</w:t>
            </w:r>
          </w:p>
          <w:p w:rsidR="00887848" w:rsidRPr="0047304A" w:rsidRDefault="00887848">
            <w:r w:rsidRPr="0047304A">
              <w:rPr>
                <w:lang w:eastAsia="zh-CN"/>
              </w:rPr>
              <w:t>[-3.70]</w:t>
            </w:r>
          </w:p>
        </w:tc>
      </w:tr>
      <w:tr w:rsidR="00887848" w:rsidRPr="0047304A">
        <w:trPr>
          <w:trHeight w:val="20"/>
        </w:trPr>
        <w:tc>
          <w:tcPr>
            <w:tcW w:w="1899" w:type="pct"/>
          </w:tcPr>
          <w:p w:rsidR="00887848" w:rsidRPr="0047304A" w:rsidRDefault="00887848">
            <w:r w:rsidRPr="0047304A">
              <w:t>ROE</w:t>
            </w:r>
          </w:p>
        </w:tc>
        <w:tc>
          <w:tcPr>
            <w:tcW w:w="775" w:type="pct"/>
          </w:tcPr>
          <w:p w:rsidR="00887848" w:rsidRPr="0047304A" w:rsidRDefault="00887848">
            <w:r w:rsidRPr="0047304A">
              <w:t>-0.02</w:t>
            </w:r>
          </w:p>
          <w:p w:rsidR="00887848" w:rsidRPr="0047304A" w:rsidRDefault="00887848">
            <w:r w:rsidRPr="0047304A">
              <w:t>[-1.02]</w:t>
            </w:r>
          </w:p>
        </w:tc>
        <w:tc>
          <w:tcPr>
            <w:tcW w:w="775" w:type="pct"/>
          </w:tcPr>
          <w:p w:rsidR="00887848" w:rsidRPr="0047304A" w:rsidRDefault="00887848">
            <w:r w:rsidRPr="0047304A">
              <w:t>0.02</w:t>
            </w:r>
          </w:p>
          <w:p w:rsidR="00887848" w:rsidRPr="0047304A" w:rsidRDefault="00887848">
            <w:r w:rsidRPr="0047304A">
              <w:t>[0.82]</w:t>
            </w:r>
          </w:p>
        </w:tc>
        <w:tc>
          <w:tcPr>
            <w:tcW w:w="776"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[0.63]</w:t>
            </w:r>
          </w:p>
        </w:tc>
        <w:tc>
          <w:tcPr>
            <w:tcW w:w="775" w:type="pct"/>
          </w:tcPr>
          <w:p w:rsidR="00887848" w:rsidRPr="0047304A" w:rsidRDefault="00887848">
            <w:pPr>
              <w:rPr>
                <w:lang w:eastAsia="zh-CN"/>
              </w:rPr>
            </w:pPr>
            <w:r w:rsidRPr="0047304A">
              <w:rPr>
                <w:lang w:eastAsia="zh-CN"/>
              </w:rPr>
              <w:t>0.01*</w:t>
            </w:r>
          </w:p>
          <w:p w:rsidR="00887848" w:rsidRPr="0047304A" w:rsidRDefault="00887848">
            <w:r w:rsidRPr="0047304A">
              <w:rPr>
                <w:lang w:eastAsia="zh-CN"/>
              </w:rPr>
              <w:t>[1.89]</w:t>
            </w:r>
          </w:p>
        </w:tc>
      </w:tr>
      <w:tr w:rsidR="00887848" w:rsidRPr="0047304A">
        <w:trPr>
          <w:trHeight w:val="20"/>
        </w:trPr>
        <w:tc>
          <w:tcPr>
            <w:tcW w:w="1899" w:type="pct"/>
            <w:tcBorders>
              <w:bottom w:val="single" w:sz="8" w:space="0" w:color="000000"/>
            </w:tcBorders>
          </w:tcPr>
          <w:p w:rsidR="00887848" w:rsidRPr="0047304A" w:rsidRDefault="00887848">
            <w:r w:rsidRPr="0047304A">
              <w:t>Industry Dummies</w:t>
            </w:r>
          </w:p>
        </w:tc>
        <w:tc>
          <w:tcPr>
            <w:tcW w:w="775" w:type="pct"/>
            <w:tcBorders>
              <w:bottom w:val="single" w:sz="8" w:space="0" w:color="000000"/>
            </w:tcBorders>
          </w:tcPr>
          <w:p w:rsidR="00887848" w:rsidRPr="0047304A" w:rsidRDefault="00887848">
            <w:r w:rsidRPr="0047304A">
              <w:t>Yes</w:t>
            </w:r>
          </w:p>
        </w:tc>
        <w:tc>
          <w:tcPr>
            <w:tcW w:w="775" w:type="pct"/>
            <w:tcBorders>
              <w:bottom w:val="single" w:sz="8" w:space="0" w:color="000000"/>
            </w:tcBorders>
          </w:tcPr>
          <w:p w:rsidR="00887848" w:rsidRPr="0047304A" w:rsidRDefault="00887848">
            <w:r w:rsidRPr="0047304A">
              <w:t>Yes</w:t>
            </w:r>
          </w:p>
        </w:tc>
        <w:tc>
          <w:tcPr>
            <w:tcW w:w="776" w:type="pct"/>
            <w:tcBorders>
              <w:bottom w:val="single" w:sz="8" w:space="0" w:color="000000"/>
            </w:tcBorders>
          </w:tcPr>
          <w:p w:rsidR="00887848" w:rsidRPr="0047304A" w:rsidRDefault="00887848">
            <w:r w:rsidRPr="0047304A">
              <w:rPr>
                <w:lang w:eastAsia="zh-CN"/>
              </w:rPr>
              <w:t>Yes</w:t>
            </w:r>
          </w:p>
        </w:tc>
        <w:tc>
          <w:tcPr>
            <w:tcW w:w="775" w:type="pct"/>
            <w:tcBorders>
              <w:bottom w:val="single" w:sz="8" w:space="0" w:color="000000"/>
            </w:tcBorders>
          </w:tcPr>
          <w:p w:rsidR="00887848" w:rsidRPr="0047304A" w:rsidRDefault="00887848">
            <w:r w:rsidRPr="0047304A">
              <w:rPr>
                <w:lang w:eastAsia="zh-CN"/>
              </w:rPr>
              <w:t>Yes</w:t>
            </w:r>
          </w:p>
        </w:tc>
      </w:tr>
      <w:tr w:rsidR="00887848" w:rsidRPr="0047304A">
        <w:trPr>
          <w:trHeight w:val="20"/>
        </w:trPr>
        <w:tc>
          <w:tcPr>
            <w:tcW w:w="1899" w:type="pct"/>
            <w:tcBorders>
              <w:top w:val="single" w:sz="8" w:space="0" w:color="000000"/>
            </w:tcBorders>
          </w:tcPr>
          <w:p w:rsidR="00887848" w:rsidRPr="0047304A" w:rsidRDefault="00887848">
            <w:r w:rsidRPr="0047304A">
              <w:t>N</w:t>
            </w:r>
          </w:p>
        </w:tc>
        <w:tc>
          <w:tcPr>
            <w:tcW w:w="775" w:type="pct"/>
            <w:tcBorders>
              <w:top w:val="single" w:sz="8" w:space="0" w:color="000000"/>
            </w:tcBorders>
          </w:tcPr>
          <w:p w:rsidR="00887848" w:rsidRPr="0047304A" w:rsidRDefault="00887848">
            <w:r w:rsidRPr="0047304A">
              <w:t>447</w:t>
            </w:r>
          </w:p>
        </w:tc>
        <w:tc>
          <w:tcPr>
            <w:tcW w:w="775" w:type="pct"/>
            <w:tcBorders>
              <w:top w:val="single" w:sz="8" w:space="0" w:color="000000"/>
            </w:tcBorders>
          </w:tcPr>
          <w:p w:rsidR="00887848" w:rsidRPr="0047304A" w:rsidRDefault="00887848">
            <w:r w:rsidRPr="0047304A">
              <w:t>447</w:t>
            </w:r>
          </w:p>
        </w:tc>
        <w:tc>
          <w:tcPr>
            <w:tcW w:w="776" w:type="pct"/>
            <w:tcBorders>
              <w:top w:val="single" w:sz="8" w:space="0" w:color="000000"/>
            </w:tcBorders>
          </w:tcPr>
          <w:p w:rsidR="00887848" w:rsidRPr="0047304A" w:rsidRDefault="00887848">
            <w:r w:rsidRPr="0047304A">
              <w:rPr>
                <w:lang w:eastAsia="zh-CN"/>
              </w:rPr>
              <w:t>722</w:t>
            </w:r>
          </w:p>
        </w:tc>
        <w:tc>
          <w:tcPr>
            <w:tcW w:w="775" w:type="pct"/>
            <w:tcBorders>
              <w:top w:val="single" w:sz="8" w:space="0" w:color="000000"/>
            </w:tcBorders>
          </w:tcPr>
          <w:p w:rsidR="00887848" w:rsidRPr="0047304A" w:rsidRDefault="00887848">
            <w:r w:rsidRPr="0047304A">
              <w:rPr>
                <w:lang w:eastAsia="zh-CN"/>
              </w:rPr>
              <w:t>722</w:t>
            </w:r>
          </w:p>
        </w:tc>
      </w:tr>
      <w:tr w:rsidR="00887848" w:rsidRPr="0047304A">
        <w:trPr>
          <w:trHeight w:val="20"/>
        </w:trPr>
        <w:tc>
          <w:tcPr>
            <w:tcW w:w="1899" w:type="pct"/>
            <w:tcBorders>
              <w:bottom w:val="single" w:sz="4" w:space="0" w:color="auto"/>
            </w:tcBorders>
          </w:tcPr>
          <w:p w:rsidR="00887848" w:rsidRPr="0047304A" w:rsidRDefault="00887848">
            <w:r w:rsidRPr="0047304A">
              <w:t>Adj R-squared</w:t>
            </w:r>
          </w:p>
        </w:tc>
        <w:tc>
          <w:tcPr>
            <w:tcW w:w="775" w:type="pct"/>
            <w:tcBorders>
              <w:bottom w:val="single" w:sz="4" w:space="0" w:color="auto"/>
            </w:tcBorders>
          </w:tcPr>
          <w:p w:rsidR="00887848" w:rsidRPr="0047304A" w:rsidRDefault="00887848">
            <w:r w:rsidRPr="0047304A">
              <w:t>0.392</w:t>
            </w:r>
          </w:p>
        </w:tc>
        <w:tc>
          <w:tcPr>
            <w:tcW w:w="775" w:type="pct"/>
            <w:tcBorders>
              <w:bottom w:val="single" w:sz="4" w:space="0" w:color="auto"/>
            </w:tcBorders>
          </w:tcPr>
          <w:p w:rsidR="00887848" w:rsidRPr="0047304A" w:rsidRDefault="00887848">
            <w:r w:rsidRPr="0047304A">
              <w:t>0.1</w:t>
            </w:r>
            <w:r w:rsidRPr="0047304A">
              <w:rPr>
                <w:lang w:eastAsia="zh-CN"/>
              </w:rPr>
              <w:t>16</w:t>
            </w:r>
          </w:p>
        </w:tc>
        <w:tc>
          <w:tcPr>
            <w:tcW w:w="776" w:type="pct"/>
            <w:tcBorders>
              <w:bottom w:val="single" w:sz="4" w:space="0" w:color="auto"/>
            </w:tcBorders>
          </w:tcPr>
          <w:p w:rsidR="00887848" w:rsidRPr="0047304A" w:rsidRDefault="00887848">
            <w:r w:rsidRPr="0047304A">
              <w:rPr>
                <w:lang w:eastAsia="zh-CN"/>
              </w:rPr>
              <w:t>0.420</w:t>
            </w:r>
          </w:p>
        </w:tc>
        <w:tc>
          <w:tcPr>
            <w:tcW w:w="775" w:type="pct"/>
            <w:tcBorders>
              <w:bottom w:val="single" w:sz="4" w:space="0" w:color="auto"/>
            </w:tcBorders>
          </w:tcPr>
          <w:p w:rsidR="00887848" w:rsidRPr="0047304A" w:rsidRDefault="00887848">
            <w:r w:rsidRPr="0047304A">
              <w:rPr>
                <w:lang w:eastAsia="zh-CN"/>
              </w:rPr>
              <w:t>0.148</w:t>
            </w:r>
          </w:p>
        </w:tc>
      </w:tr>
    </w:tbl>
    <w:p w:rsidR="00887848" w:rsidRDefault="00887848">
      <w:pPr>
        <w:rPr>
          <w:sz w:val="18"/>
          <w:szCs w:val="18"/>
          <w:lang w:val="en-US"/>
        </w:rPr>
      </w:pPr>
      <w:r>
        <w:rPr>
          <w:sz w:val="18"/>
          <w:szCs w:val="18"/>
          <w:lang w:val="en-US"/>
        </w:rPr>
        <w:t xml:space="preserve">Note: This table shows the results of the OLS regression on </w:t>
      </w:r>
      <w:r>
        <w:rPr>
          <w:sz w:val="18"/>
          <w:szCs w:val="18"/>
          <w:lang w:val="en-US" w:eastAsia="zh-CN"/>
        </w:rPr>
        <w:t xml:space="preserve">family owners and </w:t>
      </w:r>
      <w:r>
        <w:rPr>
          <w:sz w:val="18"/>
          <w:szCs w:val="18"/>
          <w:lang w:val="en-US"/>
        </w:rPr>
        <w:t>different type of institutional block-holders in informed trading and its structure</w:t>
      </w:r>
      <w:r>
        <w:rPr>
          <w:sz w:val="18"/>
          <w:szCs w:val="18"/>
          <w:lang w:val="en-US" w:eastAsia="zh-CN"/>
        </w:rPr>
        <w:t xml:space="preserve">. </w:t>
      </w:r>
      <w:r w:rsidR="00293691">
        <w:rPr>
          <w:sz w:val="18"/>
          <w:szCs w:val="18"/>
        </w:rPr>
        <w:t xml:space="preserve">Variable definitions are given in Table 1. </w:t>
      </w:r>
      <w:r>
        <w:rPr>
          <w:sz w:val="18"/>
          <w:szCs w:val="18"/>
          <w:lang w:val="en-US" w:eastAsia="zh-CN"/>
        </w:rPr>
        <w:t>Model 5 and 6 use original 447 sample while</w:t>
      </w:r>
      <w:r>
        <w:rPr>
          <w:sz w:val="18"/>
          <w:szCs w:val="18"/>
          <w:lang w:val="en-US"/>
        </w:rPr>
        <w:t xml:space="preserve"> </w:t>
      </w:r>
      <w:r>
        <w:rPr>
          <w:sz w:val="18"/>
          <w:szCs w:val="18"/>
          <w:lang w:val="en-US" w:eastAsia="zh-CN"/>
        </w:rPr>
        <w:t xml:space="preserve">Model 7 and 8 use the propensity score matched sample in which we </w:t>
      </w:r>
      <w:r>
        <w:rPr>
          <w:sz w:val="18"/>
          <w:szCs w:val="18"/>
          <w:lang w:val="en-US"/>
        </w:rPr>
        <w:t xml:space="preserve">match </w:t>
      </w:r>
      <w:r>
        <w:rPr>
          <w:sz w:val="18"/>
          <w:szCs w:val="18"/>
          <w:lang w:val="en-US" w:eastAsia="zh-CN"/>
        </w:rPr>
        <w:t xml:space="preserve">361 </w:t>
      </w:r>
      <w:r>
        <w:rPr>
          <w:sz w:val="18"/>
          <w:szCs w:val="18"/>
          <w:lang w:val="en-US"/>
        </w:rPr>
        <w:t xml:space="preserve">family to </w:t>
      </w:r>
      <w:r>
        <w:rPr>
          <w:sz w:val="18"/>
          <w:szCs w:val="18"/>
          <w:lang w:val="en-US" w:eastAsia="zh-CN"/>
        </w:rPr>
        <w:t xml:space="preserve">361 </w:t>
      </w:r>
      <w:r>
        <w:rPr>
          <w:sz w:val="18"/>
          <w:szCs w:val="18"/>
          <w:lang w:val="en-US"/>
        </w:rPr>
        <w:t>nonfamily firms based on pressure-resistant institutional block-holders ownership, pressure-sensitive institutional block-holders ownership, pressure-uncertain institutional block-holders ownership, market capitalization, liquidity, daily return risk, return on equity, growth, analyst coverage, and firm age. Dependent variable in Model</w:t>
      </w:r>
      <w:r>
        <w:rPr>
          <w:sz w:val="18"/>
          <w:szCs w:val="18"/>
          <w:lang w:val="en-US" w:eastAsia="zh-CN"/>
        </w:rPr>
        <w:t xml:space="preserve"> 5 and</w:t>
      </w:r>
      <w:r>
        <w:rPr>
          <w:sz w:val="18"/>
          <w:szCs w:val="18"/>
          <w:lang w:val="en-US"/>
        </w:rPr>
        <w:t xml:space="preserve"> </w:t>
      </w:r>
      <w:r>
        <w:rPr>
          <w:sz w:val="18"/>
          <w:szCs w:val="18"/>
          <w:lang w:val="en-US" w:eastAsia="zh-CN"/>
        </w:rPr>
        <w:t>7</w:t>
      </w:r>
      <w:r>
        <w:rPr>
          <w:sz w:val="18"/>
          <w:szCs w:val="18"/>
          <w:lang w:val="en-US"/>
        </w:rPr>
        <w:t xml:space="preserve"> is firm informed trading level (PIN). Dependent variable in Model </w:t>
      </w:r>
      <w:r>
        <w:rPr>
          <w:sz w:val="18"/>
          <w:szCs w:val="18"/>
          <w:lang w:val="en-US" w:eastAsia="zh-CN"/>
        </w:rPr>
        <w:t>6 and 8</w:t>
      </w:r>
      <w:r>
        <w:rPr>
          <w:sz w:val="18"/>
          <w:szCs w:val="18"/>
          <w:lang w:val="en-US"/>
        </w:rPr>
        <w:t xml:space="preserve"> is the structure of informed trading (DF). All coefficients are standardized; *p≤0.10; **p≤0.05; ***p≤0.01; t-statistics in parentheses.</w:t>
      </w:r>
    </w:p>
    <w:p w:rsidR="00887848" w:rsidRPr="00E73006" w:rsidRDefault="00887848">
      <w:pPr>
        <w:rPr>
          <w:b/>
          <w:lang w:eastAsia="zh-CN"/>
        </w:rPr>
      </w:pPr>
      <w:r>
        <w:rPr>
          <w:sz w:val="18"/>
          <w:szCs w:val="18"/>
          <w:lang w:val="en-US"/>
        </w:rPr>
        <w:br w:type="page"/>
      </w:r>
      <w:r w:rsidRPr="00E73006">
        <w:rPr>
          <w:b/>
          <w:lang w:eastAsia="zh-CN"/>
        </w:rPr>
        <w:lastRenderedPageBreak/>
        <w:t>Table 4 Informed trading, its structure, and c</w:t>
      </w:r>
      <w:r w:rsidRPr="00E73006">
        <w:rPr>
          <w:b/>
        </w:rPr>
        <w:t xml:space="preserve">ompany </w:t>
      </w:r>
      <w:r w:rsidRPr="00E73006">
        <w:rPr>
          <w:b/>
          <w:lang w:eastAsia="zh-CN"/>
        </w:rPr>
        <w:t>v</w:t>
      </w:r>
      <w:r w:rsidRPr="00E73006">
        <w:rPr>
          <w:b/>
        </w:rPr>
        <w:t>aluation</w:t>
      </w:r>
    </w:p>
    <w:tbl>
      <w:tblPr>
        <w:tblpPr w:leftFromText="180" w:rightFromText="180" w:vertAnchor="text" w:tblpXSpec="center" w:tblpY="1"/>
        <w:tblW w:w="5000" w:type="pct"/>
        <w:tblLook w:val="00A0" w:firstRow="1" w:lastRow="0" w:firstColumn="1" w:lastColumn="0" w:noHBand="0" w:noVBand="0"/>
      </w:tblPr>
      <w:tblGrid>
        <w:gridCol w:w="2329"/>
        <w:gridCol w:w="1550"/>
        <w:gridCol w:w="1550"/>
        <w:gridCol w:w="1549"/>
        <w:gridCol w:w="1544"/>
      </w:tblGrid>
      <w:tr w:rsidR="00887848" w:rsidRPr="0047304A" w:rsidTr="00E73006">
        <w:trPr>
          <w:trHeight w:val="20"/>
        </w:trPr>
        <w:tc>
          <w:tcPr>
            <w:tcW w:w="1366" w:type="pct"/>
            <w:tcBorders>
              <w:top w:val="single" w:sz="4" w:space="0" w:color="auto"/>
            </w:tcBorders>
          </w:tcPr>
          <w:p w:rsidR="00887848" w:rsidRPr="0047304A" w:rsidRDefault="00887848"/>
        </w:tc>
        <w:tc>
          <w:tcPr>
            <w:tcW w:w="909" w:type="pct"/>
            <w:tcBorders>
              <w:top w:val="single" w:sz="4" w:space="0" w:color="auto"/>
            </w:tcBorders>
          </w:tcPr>
          <w:p w:rsidR="00887848" w:rsidRPr="0047304A" w:rsidRDefault="00887848">
            <w:pPr>
              <w:adjustRightInd w:val="0"/>
              <w:snapToGrid w:val="0"/>
              <w:rPr>
                <w:lang w:eastAsia="zh-CN"/>
              </w:rPr>
            </w:pPr>
            <w:r w:rsidRPr="0047304A">
              <w:t xml:space="preserve">Model </w:t>
            </w:r>
            <w:r w:rsidRPr="0047304A">
              <w:rPr>
                <w:lang w:eastAsia="zh-CN"/>
              </w:rPr>
              <w:t>9</w:t>
            </w:r>
          </w:p>
        </w:tc>
        <w:tc>
          <w:tcPr>
            <w:tcW w:w="909" w:type="pct"/>
            <w:tcBorders>
              <w:top w:val="single" w:sz="4" w:space="0" w:color="auto"/>
            </w:tcBorders>
          </w:tcPr>
          <w:p w:rsidR="00887848" w:rsidRPr="0047304A" w:rsidRDefault="00887848">
            <w:pPr>
              <w:adjustRightInd w:val="0"/>
              <w:snapToGrid w:val="0"/>
              <w:rPr>
                <w:lang w:eastAsia="zh-CN"/>
              </w:rPr>
            </w:pPr>
            <w:r w:rsidRPr="0047304A">
              <w:rPr>
                <w:lang w:eastAsia="zh-CN"/>
              </w:rPr>
              <w:t>Model 10</w:t>
            </w:r>
          </w:p>
        </w:tc>
        <w:tc>
          <w:tcPr>
            <w:tcW w:w="909" w:type="pct"/>
            <w:tcBorders>
              <w:top w:val="single" w:sz="4" w:space="0" w:color="auto"/>
            </w:tcBorders>
          </w:tcPr>
          <w:p w:rsidR="00887848" w:rsidRPr="0047304A" w:rsidRDefault="00887848">
            <w:pPr>
              <w:adjustRightInd w:val="0"/>
              <w:snapToGrid w:val="0"/>
              <w:rPr>
                <w:lang w:eastAsia="zh-CN"/>
              </w:rPr>
            </w:pPr>
            <w:r w:rsidRPr="0047304A">
              <w:rPr>
                <w:lang w:eastAsia="zh-CN"/>
              </w:rPr>
              <w:t>Model 11</w:t>
            </w:r>
          </w:p>
        </w:tc>
        <w:tc>
          <w:tcPr>
            <w:tcW w:w="906" w:type="pct"/>
            <w:tcBorders>
              <w:top w:val="single" w:sz="4" w:space="0" w:color="auto"/>
            </w:tcBorders>
          </w:tcPr>
          <w:p w:rsidR="00887848" w:rsidRPr="0047304A" w:rsidRDefault="00887848">
            <w:pPr>
              <w:adjustRightInd w:val="0"/>
              <w:snapToGrid w:val="0"/>
              <w:rPr>
                <w:lang w:eastAsia="zh-CN"/>
              </w:rPr>
            </w:pPr>
            <w:r w:rsidRPr="0047304A">
              <w:rPr>
                <w:lang w:eastAsia="zh-CN"/>
              </w:rPr>
              <w:t>Model 12</w:t>
            </w:r>
          </w:p>
        </w:tc>
      </w:tr>
      <w:tr w:rsidR="00887848" w:rsidRPr="0047304A" w:rsidTr="00E73006">
        <w:trPr>
          <w:trHeight w:val="20"/>
        </w:trPr>
        <w:tc>
          <w:tcPr>
            <w:tcW w:w="1366" w:type="pct"/>
            <w:tcBorders>
              <w:bottom w:val="single" w:sz="4" w:space="0" w:color="auto"/>
            </w:tcBorders>
          </w:tcPr>
          <w:p w:rsidR="00887848" w:rsidRPr="0047304A" w:rsidRDefault="008011D1">
            <w:r w:rsidRPr="0047304A">
              <w:t>Dependent variable</w:t>
            </w:r>
          </w:p>
        </w:tc>
        <w:tc>
          <w:tcPr>
            <w:tcW w:w="909" w:type="pct"/>
            <w:tcBorders>
              <w:bottom w:val="single" w:sz="4" w:space="0" w:color="auto"/>
            </w:tcBorders>
          </w:tcPr>
          <w:p w:rsidR="00887848" w:rsidRPr="0047304A" w:rsidRDefault="00887848">
            <w:pPr>
              <w:adjustRightInd w:val="0"/>
              <w:snapToGrid w:val="0"/>
            </w:pPr>
            <w:r w:rsidRPr="0047304A">
              <w:t>Tobin’s Q</w:t>
            </w:r>
          </w:p>
        </w:tc>
        <w:tc>
          <w:tcPr>
            <w:tcW w:w="909" w:type="pct"/>
            <w:tcBorders>
              <w:bottom w:val="single" w:sz="4" w:space="0" w:color="auto"/>
            </w:tcBorders>
          </w:tcPr>
          <w:p w:rsidR="00887848" w:rsidRPr="0047304A" w:rsidRDefault="00887848">
            <w:pPr>
              <w:adjustRightInd w:val="0"/>
              <w:snapToGrid w:val="0"/>
              <w:rPr>
                <w:lang w:eastAsia="zh-CN"/>
              </w:rPr>
            </w:pPr>
            <w:r w:rsidRPr="0047304A">
              <w:rPr>
                <w:lang w:eastAsia="zh-CN"/>
              </w:rPr>
              <w:t>Tobin’s Q</w:t>
            </w:r>
          </w:p>
        </w:tc>
        <w:tc>
          <w:tcPr>
            <w:tcW w:w="909" w:type="pct"/>
            <w:tcBorders>
              <w:bottom w:val="single" w:sz="4" w:space="0" w:color="auto"/>
            </w:tcBorders>
          </w:tcPr>
          <w:p w:rsidR="00887848" w:rsidRPr="0047304A" w:rsidRDefault="00887848">
            <w:pPr>
              <w:adjustRightInd w:val="0"/>
              <w:snapToGrid w:val="0"/>
              <w:rPr>
                <w:lang w:eastAsia="zh-CN"/>
              </w:rPr>
            </w:pPr>
            <w:r w:rsidRPr="0047304A">
              <w:rPr>
                <w:lang w:eastAsia="zh-CN"/>
              </w:rPr>
              <w:t>Tobin’s Q</w:t>
            </w:r>
          </w:p>
        </w:tc>
        <w:tc>
          <w:tcPr>
            <w:tcW w:w="906" w:type="pct"/>
            <w:tcBorders>
              <w:bottom w:val="single" w:sz="4" w:space="0" w:color="auto"/>
            </w:tcBorders>
          </w:tcPr>
          <w:p w:rsidR="00887848" w:rsidRPr="0047304A" w:rsidRDefault="00887848">
            <w:pPr>
              <w:adjustRightInd w:val="0"/>
              <w:snapToGrid w:val="0"/>
              <w:rPr>
                <w:lang w:eastAsia="zh-CN"/>
              </w:rPr>
            </w:pPr>
            <w:r w:rsidRPr="0047304A">
              <w:rPr>
                <w:lang w:eastAsia="zh-CN"/>
              </w:rPr>
              <w:t>Tobin’s Q</w:t>
            </w:r>
          </w:p>
        </w:tc>
      </w:tr>
      <w:tr w:rsidR="00887848" w:rsidRPr="0047304A" w:rsidTr="00E73006">
        <w:trPr>
          <w:trHeight w:val="20"/>
        </w:trPr>
        <w:tc>
          <w:tcPr>
            <w:tcW w:w="1366" w:type="pct"/>
            <w:tcBorders>
              <w:top w:val="single" w:sz="4" w:space="0" w:color="auto"/>
            </w:tcBorders>
          </w:tcPr>
          <w:p w:rsidR="00887848" w:rsidRPr="0047304A" w:rsidRDefault="00887848">
            <w:r w:rsidRPr="0047304A">
              <w:t>Largest Family Ownership</w:t>
            </w:r>
          </w:p>
        </w:tc>
        <w:tc>
          <w:tcPr>
            <w:tcW w:w="909" w:type="pct"/>
            <w:tcBorders>
              <w:top w:val="single" w:sz="4" w:space="0" w:color="auto"/>
            </w:tcBorders>
          </w:tcPr>
          <w:p w:rsidR="00887848" w:rsidRPr="0047304A" w:rsidRDefault="00887848">
            <w:pPr>
              <w:rPr>
                <w:lang w:eastAsia="zh-CN"/>
              </w:rPr>
            </w:pPr>
            <w:r w:rsidRPr="0047304A">
              <w:rPr>
                <w:lang w:eastAsia="zh-CN"/>
              </w:rPr>
              <w:t>---</w:t>
            </w:r>
          </w:p>
        </w:tc>
        <w:tc>
          <w:tcPr>
            <w:tcW w:w="909" w:type="pct"/>
            <w:tcBorders>
              <w:top w:val="single" w:sz="4" w:space="0" w:color="auto"/>
            </w:tcBorders>
          </w:tcPr>
          <w:p w:rsidR="00887848" w:rsidRPr="0047304A" w:rsidRDefault="00887848">
            <w:r w:rsidRPr="0047304A">
              <w:t>---</w:t>
            </w:r>
          </w:p>
        </w:tc>
        <w:tc>
          <w:tcPr>
            <w:tcW w:w="909" w:type="pct"/>
            <w:tcBorders>
              <w:top w:val="single" w:sz="4" w:space="0" w:color="auto"/>
            </w:tcBorders>
          </w:tcPr>
          <w:p w:rsidR="00887848" w:rsidRPr="0047304A" w:rsidRDefault="00887848">
            <w:pPr>
              <w:rPr>
                <w:lang w:eastAsia="zh-CN"/>
              </w:rPr>
            </w:pPr>
            <w:r w:rsidRPr="0047304A">
              <w:rPr>
                <w:lang w:eastAsia="zh-CN"/>
              </w:rPr>
              <w:t>---</w:t>
            </w:r>
          </w:p>
        </w:tc>
        <w:tc>
          <w:tcPr>
            <w:tcW w:w="906" w:type="pct"/>
            <w:tcBorders>
              <w:top w:val="single" w:sz="4" w:space="0" w:color="auto"/>
            </w:tcBorders>
          </w:tcPr>
          <w:p w:rsidR="00887848" w:rsidRPr="0047304A" w:rsidRDefault="00887848">
            <w:pPr>
              <w:rPr>
                <w:lang w:eastAsia="zh-CN"/>
              </w:rPr>
            </w:pPr>
            <w:r w:rsidRPr="0047304A">
              <w:rPr>
                <w:lang w:eastAsia="zh-CN"/>
              </w:rPr>
              <w:t>0.12**</w:t>
            </w:r>
          </w:p>
          <w:p w:rsidR="00887848" w:rsidRPr="0047304A" w:rsidRDefault="00887848">
            <w:pPr>
              <w:rPr>
                <w:lang w:eastAsia="zh-CN"/>
              </w:rPr>
            </w:pPr>
            <w:r w:rsidRPr="0047304A">
              <w:rPr>
                <w:lang w:eastAsia="zh-CN"/>
              </w:rPr>
              <w:t>[2.27]</w:t>
            </w:r>
          </w:p>
        </w:tc>
      </w:tr>
      <w:tr w:rsidR="00887848" w:rsidRPr="0047304A">
        <w:trPr>
          <w:trHeight w:val="20"/>
        </w:trPr>
        <w:tc>
          <w:tcPr>
            <w:tcW w:w="1366" w:type="pct"/>
          </w:tcPr>
          <w:p w:rsidR="00887848" w:rsidRPr="0047304A" w:rsidRDefault="00887848">
            <w:r w:rsidRPr="0047304A">
              <w:t>Pressure-Resistant Institutional Block-holders’ Ownership</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r w:rsidRPr="0047304A">
              <w:t>---</w:t>
            </w:r>
          </w:p>
        </w:tc>
        <w:tc>
          <w:tcPr>
            <w:tcW w:w="909" w:type="pct"/>
          </w:tcPr>
          <w:p w:rsidR="00887848" w:rsidRPr="0047304A" w:rsidRDefault="00887848">
            <w:pPr>
              <w:rPr>
                <w:lang w:eastAsia="zh-CN"/>
              </w:rPr>
            </w:pPr>
            <w:r w:rsidRPr="0047304A">
              <w:rPr>
                <w:lang w:eastAsia="zh-CN"/>
              </w:rPr>
              <w:t>---</w:t>
            </w:r>
          </w:p>
        </w:tc>
        <w:tc>
          <w:tcPr>
            <w:tcW w:w="906" w:type="pct"/>
          </w:tcPr>
          <w:p w:rsidR="00887848" w:rsidRPr="0047304A" w:rsidRDefault="00887848">
            <w:pPr>
              <w:rPr>
                <w:lang w:eastAsia="zh-CN"/>
              </w:rPr>
            </w:pPr>
            <w:r w:rsidRPr="0047304A">
              <w:rPr>
                <w:lang w:eastAsia="zh-CN"/>
              </w:rPr>
              <w:t>-0.14**</w:t>
            </w:r>
          </w:p>
          <w:p w:rsidR="00887848" w:rsidRPr="0047304A" w:rsidRDefault="00887848">
            <w:pPr>
              <w:rPr>
                <w:lang w:eastAsia="zh-CN"/>
              </w:rPr>
            </w:pPr>
            <w:r w:rsidRPr="0047304A">
              <w:rPr>
                <w:lang w:eastAsia="zh-CN"/>
              </w:rPr>
              <w:t>[-1.96]</w:t>
            </w:r>
          </w:p>
        </w:tc>
      </w:tr>
      <w:tr w:rsidR="00887848" w:rsidRPr="0047304A">
        <w:trPr>
          <w:trHeight w:val="20"/>
        </w:trPr>
        <w:tc>
          <w:tcPr>
            <w:tcW w:w="1366" w:type="pct"/>
          </w:tcPr>
          <w:p w:rsidR="00887848" w:rsidRPr="0047304A" w:rsidRDefault="00887848">
            <w:r w:rsidRPr="0047304A">
              <w:t>Pressure-Resistant Institutional Block-holders’ Ownership/Family’s Ownership</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r w:rsidRPr="0047304A">
              <w:t>---</w:t>
            </w:r>
          </w:p>
        </w:tc>
        <w:tc>
          <w:tcPr>
            <w:tcW w:w="909" w:type="pct"/>
          </w:tcPr>
          <w:p w:rsidR="00887848" w:rsidRPr="0047304A" w:rsidRDefault="00887848">
            <w:pPr>
              <w:rPr>
                <w:lang w:eastAsia="zh-CN"/>
              </w:rPr>
            </w:pPr>
            <w:r w:rsidRPr="0047304A">
              <w:rPr>
                <w:lang w:eastAsia="zh-CN"/>
              </w:rPr>
              <w:t>---</w:t>
            </w:r>
          </w:p>
        </w:tc>
        <w:tc>
          <w:tcPr>
            <w:tcW w:w="906" w:type="pct"/>
          </w:tcPr>
          <w:p w:rsidR="00887848" w:rsidRPr="0047304A" w:rsidRDefault="00887848">
            <w:pPr>
              <w:rPr>
                <w:lang w:eastAsia="zh-CN"/>
              </w:rPr>
            </w:pPr>
            <w:r w:rsidRPr="0047304A">
              <w:rPr>
                <w:lang w:eastAsia="zh-CN"/>
              </w:rPr>
              <w:t>0.08</w:t>
            </w:r>
          </w:p>
          <w:p w:rsidR="00887848" w:rsidRPr="0047304A" w:rsidRDefault="00887848">
            <w:pPr>
              <w:rPr>
                <w:lang w:eastAsia="zh-CN"/>
              </w:rPr>
            </w:pPr>
            <w:r w:rsidRPr="0047304A">
              <w:rPr>
                <w:lang w:eastAsia="zh-CN"/>
              </w:rPr>
              <w:t>[1.27]</w:t>
            </w:r>
          </w:p>
        </w:tc>
      </w:tr>
      <w:tr w:rsidR="00887848" w:rsidRPr="0047304A">
        <w:trPr>
          <w:trHeight w:val="20"/>
        </w:trPr>
        <w:tc>
          <w:tcPr>
            <w:tcW w:w="1366" w:type="pct"/>
          </w:tcPr>
          <w:p w:rsidR="00887848" w:rsidRPr="0047304A" w:rsidRDefault="00887848">
            <w:pPr>
              <w:rPr>
                <w:lang w:eastAsia="zh-CN"/>
              </w:rPr>
            </w:pPr>
            <w:r w:rsidRPr="0047304A">
              <w:rPr>
                <w:lang w:eastAsia="zh-CN"/>
              </w:rPr>
              <w:t>PIN</w:t>
            </w:r>
          </w:p>
        </w:tc>
        <w:tc>
          <w:tcPr>
            <w:tcW w:w="909" w:type="pct"/>
          </w:tcPr>
          <w:p w:rsidR="00887848" w:rsidRPr="0047304A" w:rsidRDefault="00887848">
            <w:pPr>
              <w:rPr>
                <w:lang w:eastAsia="zh-CN"/>
              </w:rPr>
            </w:pPr>
            <w:r w:rsidRPr="0047304A">
              <w:rPr>
                <w:lang w:eastAsia="zh-CN"/>
              </w:rPr>
              <w:t>-0.03</w:t>
            </w:r>
          </w:p>
          <w:p w:rsidR="00887848" w:rsidRPr="0047304A" w:rsidRDefault="00887848">
            <w:r w:rsidRPr="0047304A">
              <w:rPr>
                <w:lang w:eastAsia="zh-CN"/>
              </w:rPr>
              <w:t>[-0.62]</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pPr>
              <w:rPr>
                <w:lang w:eastAsia="zh-CN"/>
              </w:rPr>
            </w:pPr>
            <w:r w:rsidRPr="0047304A">
              <w:rPr>
                <w:lang w:eastAsia="zh-CN"/>
              </w:rPr>
              <w:t>---</w:t>
            </w:r>
          </w:p>
        </w:tc>
        <w:tc>
          <w:tcPr>
            <w:tcW w:w="906" w:type="pct"/>
          </w:tcPr>
          <w:p w:rsidR="00887848" w:rsidRPr="0047304A" w:rsidRDefault="00887848">
            <w:pPr>
              <w:rPr>
                <w:lang w:eastAsia="zh-CN"/>
              </w:rPr>
            </w:pPr>
            <w:r w:rsidRPr="0047304A">
              <w:rPr>
                <w:lang w:eastAsia="zh-CN"/>
              </w:rPr>
              <w:t>---</w:t>
            </w:r>
          </w:p>
        </w:tc>
      </w:tr>
      <w:tr w:rsidR="00887848" w:rsidRPr="0047304A">
        <w:trPr>
          <w:trHeight w:val="20"/>
        </w:trPr>
        <w:tc>
          <w:tcPr>
            <w:tcW w:w="1366" w:type="pct"/>
          </w:tcPr>
          <w:p w:rsidR="00887848" w:rsidRPr="0047304A" w:rsidRDefault="00887848">
            <w:pPr>
              <w:rPr>
                <w:lang w:eastAsia="zh-CN"/>
              </w:rPr>
            </w:pPr>
            <w:r w:rsidRPr="0047304A">
              <w:rPr>
                <w:lang w:eastAsia="zh-CN"/>
              </w:rPr>
              <w:t>DF</w:t>
            </w:r>
          </w:p>
        </w:tc>
        <w:tc>
          <w:tcPr>
            <w:tcW w:w="909" w:type="pct"/>
          </w:tcPr>
          <w:p w:rsidR="00887848" w:rsidRPr="0047304A" w:rsidRDefault="00887848">
            <w:pPr>
              <w:rPr>
                <w:lang w:eastAsia="zh-CN"/>
              </w:rPr>
            </w:pPr>
            <w:r w:rsidRPr="0047304A">
              <w:rPr>
                <w:lang w:eastAsia="zh-CN"/>
              </w:rPr>
              <w:t>0.11***</w:t>
            </w:r>
          </w:p>
          <w:p w:rsidR="00887848" w:rsidRPr="0047304A" w:rsidRDefault="00887848">
            <w:r w:rsidRPr="0047304A">
              <w:rPr>
                <w:lang w:eastAsia="zh-CN"/>
              </w:rPr>
              <w:t>[2.58]</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pPr>
              <w:rPr>
                <w:lang w:eastAsia="zh-CN"/>
              </w:rPr>
            </w:pPr>
            <w:r w:rsidRPr="0047304A">
              <w:rPr>
                <w:lang w:eastAsia="zh-CN"/>
              </w:rPr>
              <w:t>---</w:t>
            </w:r>
          </w:p>
        </w:tc>
        <w:tc>
          <w:tcPr>
            <w:tcW w:w="906" w:type="pct"/>
          </w:tcPr>
          <w:p w:rsidR="00887848" w:rsidRPr="0047304A" w:rsidRDefault="00887848">
            <w:pPr>
              <w:rPr>
                <w:lang w:eastAsia="zh-CN"/>
              </w:rPr>
            </w:pPr>
            <w:r w:rsidRPr="0047304A">
              <w:rPr>
                <w:lang w:eastAsia="zh-CN"/>
              </w:rPr>
              <w:t>---</w:t>
            </w:r>
          </w:p>
        </w:tc>
      </w:tr>
      <w:tr w:rsidR="00887848" w:rsidRPr="0047304A">
        <w:trPr>
          <w:trHeight w:val="20"/>
        </w:trPr>
        <w:tc>
          <w:tcPr>
            <w:tcW w:w="1366" w:type="pct"/>
          </w:tcPr>
          <w:p w:rsidR="00887848" w:rsidRPr="0047304A" w:rsidRDefault="00887848">
            <w:pPr>
              <w:rPr>
                <w:lang w:eastAsia="zh-CN"/>
              </w:rPr>
            </w:pPr>
            <w:r w:rsidRPr="0047304A">
              <w:rPr>
                <w:lang w:eastAsia="zh-CN"/>
              </w:rPr>
              <w:t>E[PIN]</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r w:rsidRPr="0047304A">
              <w:t>-0.</w:t>
            </w:r>
            <w:r w:rsidRPr="0047304A">
              <w:rPr>
                <w:lang w:eastAsia="zh-CN"/>
              </w:rPr>
              <w:t>40</w:t>
            </w:r>
            <w:r w:rsidRPr="0047304A">
              <w:t>***</w:t>
            </w:r>
          </w:p>
          <w:p w:rsidR="00887848" w:rsidRPr="0047304A" w:rsidRDefault="00887848">
            <w:r w:rsidRPr="0047304A">
              <w:t>[-</w:t>
            </w:r>
            <w:r w:rsidRPr="0047304A">
              <w:rPr>
                <w:lang w:eastAsia="zh-CN"/>
              </w:rPr>
              <w:t>4.83</w:t>
            </w:r>
            <w:r w:rsidRPr="0047304A">
              <w:t>]</w:t>
            </w:r>
          </w:p>
        </w:tc>
        <w:tc>
          <w:tcPr>
            <w:tcW w:w="909" w:type="pct"/>
          </w:tcPr>
          <w:p w:rsidR="00887848" w:rsidRPr="0047304A" w:rsidRDefault="00887848">
            <w:pPr>
              <w:rPr>
                <w:lang w:eastAsia="zh-CN"/>
              </w:rPr>
            </w:pPr>
            <w:r w:rsidRPr="0047304A">
              <w:rPr>
                <w:lang w:eastAsia="zh-CN"/>
              </w:rPr>
              <w:t>---</w:t>
            </w:r>
          </w:p>
        </w:tc>
        <w:tc>
          <w:tcPr>
            <w:tcW w:w="906" w:type="pct"/>
          </w:tcPr>
          <w:p w:rsidR="00887848" w:rsidRPr="0047304A" w:rsidRDefault="00887848">
            <w:pPr>
              <w:rPr>
                <w:lang w:eastAsia="zh-CN"/>
              </w:rPr>
            </w:pPr>
            <w:r w:rsidRPr="0047304A">
              <w:rPr>
                <w:lang w:eastAsia="zh-CN"/>
              </w:rPr>
              <w:t>-0.36***</w:t>
            </w:r>
          </w:p>
          <w:p w:rsidR="00887848" w:rsidRPr="0047304A" w:rsidRDefault="00887848">
            <w:pPr>
              <w:rPr>
                <w:lang w:eastAsia="zh-CN"/>
              </w:rPr>
            </w:pPr>
            <w:r w:rsidRPr="0047304A">
              <w:rPr>
                <w:lang w:eastAsia="zh-CN"/>
              </w:rPr>
              <w:t>[-3.02]</w:t>
            </w:r>
          </w:p>
        </w:tc>
      </w:tr>
      <w:tr w:rsidR="00887848" w:rsidRPr="0047304A">
        <w:trPr>
          <w:trHeight w:val="20"/>
        </w:trPr>
        <w:tc>
          <w:tcPr>
            <w:tcW w:w="1366" w:type="pct"/>
          </w:tcPr>
          <w:p w:rsidR="00887848" w:rsidRPr="0047304A" w:rsidRDefault="00887848">
            <w:pPr>
              <w:rPr>
                <w:lang w:eastAsia="zh-CN"/>
              </w:rPr>
            </w:pPr>
            <w:r w:rsidRPr="0047304A">
              <w:rPr>
                <w:lang w:eastAsia="zh-CN"/>
              </w:rPr>
              <w:t>E[DF]</w:t>
            </w:r>
          </w:p>
        </w:tc>
        <w:tc>
          <w:tcPr>
            <w:tcW w:w="909" w:type="pct"/>
          </w:tcPr>
          <w:p w:rsidR="00887848" w:rsidRPr="0047304A" w:rsidRDefault="00887848">
            <w:pPr>
              <w:rPr>
                <w:lang w:eastAsia="zh-CN"/>
              </w:rPr>
            </w:pPr>
            <w:r w:rsidRPr="0047304A">
              <w:rPr>
                <w:lang w:eastAsia="zh-CN"/>
              </w:rPr>
              <w:t>---</w:t>
            </w:r>
          </w:p>
        </w:tc>
        <w:tc>
          <w:tcPr>
            <w:tcW w:w="909" w:type="pct"/>
          </w:tcPr>
          <w:p w:rsidR="00887848" w:rsidRPr="0047304A" w:rsidRDefault="00887848">
            <w:r w:rsidRPr="0047304A">
              <w:t>---</w:t>
            </w:r>
          </w:p>
        </w:tc>
        <w:tc>
          <w:tcPr>
            <w:tcW w:w="909" w:type="pct"/>
          </w:tcPr>
          <w:p w:rsidR="00887848" w:rsidRPr="0047304A" w:rsidRDefault="00887848">
            <w:pPr>
              <w:rPr>
                <w:lang w:eastAsia="zh-CN"/>
              </w:rPr>
            </w:pPr>
            <w:r w:rsidRPr="0047304A">
              <w:rPr>
                <w:lang w:eastAsia="zh-CN"/>
              </w:rPr>
              <w:t>0.21***</w:t>
            </w:r>
          </w:p>
          <w:p w:rsidR="00887848" w:rsidRPr="0047304A" w:rsidRDefault="00887848">
            <w:pPr>
              <w:rPr>
                <w:lang w:eastAsia="zh-CN"/>
              </w:rPr>
            </w:pPr>
            <w:r w:rsidRPr="0047304A">
              <w:rPr>
                <w:lang w:eastAsia="zh-CN"/>
              </w:rPr>
              <w:t>[3.96]</w:t>
            </w:r>
          </w:p>
        </w:tc>
        <w:tc>
          <w:tcPr>
            <w:tcW w:w="906" w:type="pct"/>
          </w:tcPr>
          <w:p w:rsidR="00887848" w:rsidRPr="0047304A" w:rsidRDefault="00887848">
            <w:pPr>
              <w:rPr>
                <w:lang w:eastAsia="zh-CN"/>
              </w:rPr>
            </w:pPr>
            <w:r w:rsidRPr="0047304A">
              <w:rPr>
                <w:lang w:eastAsia="zh-CN"/>
              </w:rPr>
              <w:t>0.16**</w:t>
            </w:r>
          </w:p>
          <w:p w:rsidR="00887848" w:rsidRPr="0047304A" w:rsidRDefault="00887848">
            <w:pPr>
              <w:rPr>
                <w:lang w:eastAsia="zh-CN"/>
              </w:rPr>
            </w:pPr>
            <w:r w:rsidRPr="0047304A">
              <w:rPr>
                <w:lang w:eastAsia="zh-CN"/>
              </w:rPr>
              <w:t>[2.20]</w:t>
            </w:r>
          </w:p>
        </w:tc>
      </w:tr>
      <w:tr w:rsidR="00887848" w:rsidRPr="0047304A">
        <w:trPr>
          <w:trHeight w:val="20"/>
        </w:trPr>
        <w:tc>
          <w:tcPr>
            <w:tcW w:w="1366" w:type="pct"/>
          </w:tcPr>
          <w:p w:rsidR="00887848" w:rsidRPr="0047304A" w:rsidRDefault="00887848">
            <w:pPr>
              <w:rPr>
                <w:lang w:eastAsia="zh-CN"/>
              </w:rPr>
            </w:pPr>
            <w:r w:rsidRPr="0047304A">
              <w:t>Ln   market capitalisation</w:t>
            </w:r>
            <w:r w:rsidRPr="0047304A">
              <w:rPr>
                <w:lang w:eastAsia="zh-CN"/>
              </w:rPr>
              <w:t xml:space="preserve"> of common equities </w:t>
            </w:r>
          </w:p>
        </w:tc>
        <w:tc>
          <w:tcPr>
            <w:tcW w:w="909" w:type="pct"/>
          </w:tcPr>
          <w:p w:rsidR="00887848" w:rsidRPr="0047304A" w:rsidRDefault="00887848">
            <w:pPr>
              <w:rPr>
                <w:lang w:eastAsia="zh-CN"/>
              </w:rPr>
            </w:pPr>
            <w:r w:rsidRPr="0047304A">
              <w:rPr>
                <w:lang w:eastAsia="zh-CN"/>
              </w:rPr>
              <w:t>0.28***</w:t>
            </w:r>
          </w:p>
          <w:p w:rsidR="00887848" w:rsidRPr="0047304A" w:rsidRDefault="00887848">
            <w:r w:rsidRPr="0047304A">
              <w:rPr>
                <w:lang w:eastAsia="zh-CN"/>
              </w:rPr>
              <w:t>[5.27]</w:t>
            </w:r>
          </w:p>
        </w:tc>
        <w:tc>
          <w:tcPr>
            <w:tcW w:w="909" w:type="pct"/>
          </w:tcPr>
          <w:p w:rsidR="00887848" w:rsidRPr="0047304A" w:rsidRDefault="00887848">
            <w:pPr>
              <w:rPr>
                <w:lang w:eastAsia="zh-CN"/>
              </w:rPr>
            </w:pPr>
            <w:r w:rsidRPr="0047304A">
              <w:rPr>
                <w:lang w:eastAsia="zh-CN"/>
              </w:rPr>
              <w:t>0.00</w:t>
            </w:r>
          </w:p>
          <w:p w:rsidR="00887848" w:rsidRPr="0047304A" w:rsidRDefault="00887848">
            <w:pPr>
              <w:rPr>
                <w:lang w:eastAsia="zh-CN"/>
              </w:rPr>
            </w:pPr>
            <w:r w:rsidRPr="0047304A">
              <w:rPr>
                <w:lang w:eastAsia="zh-CN"/>
              </w:rPr>
              <w:t>[0.00]</w:t>
            </w:r>
          </w:p>
        </w:tc>
        <w:tc>
          <w:tcPr>
            <w:tcW w:w="909" w:type="pct"/>
          </w:tcPr>
          <w:p w:rsidR="00887848" w:rsidRPr="0047304A" w:rsidRDefault="00887848">
            <w:pPr>
              <w:rPr>
                <w:lang w:eastAsia="zh-CN"/>
              </w:rPr>
            </w:pPr>
            <w:r w:rsidRPr="0047304A">
              <w:rPr>
                <w:lang w:eastAsia="zh-CN"/>
              </w:rPr>
              <w:t>0.25***</w:t>
            </w:r>
          </w:p>
          <w:p w:rsidR="00887848" w:rsidRPr="0047304A" w:rsidRDefault="00887848">
            <w:pPr>
              <w:rPr>
                <w:lang w:eastAsia="zh-CN"/>
              </w:rPr>
            </w:pPr>
            <w:r w:rsidRPr="0047304A">
              <w:rPr>
                <w:lang w:eastAsia="zh-CN"/>
              </w:rPr>
              <w:t>[5.15]</w:t>
            </w:r>
          </w:p>
        </w:tc>
        <w:tc>
          <w:tcPr>
            <w:tcW w:w="906" w:type="pct"/>
          </w:tcPr>
          <w:p w:rsidR="00887848" w:rsidRPr="0047304A" w:rsidRDefault="00887848">
            <w:pPr>
              <w:rPr>
                <w:lang w:eastAsia="zh-CN"/>
              </w:rPr>
            </w:pPr>
            <w:r w:rsidRPr="0047304A">
              <w:rPr>
                <w:lang w:eastAsia="zh-CN"/>
              </w:rPr>
              <w:t>0.01</w:t>
            </w:r>
          </w:p>
          <w:p w:rsidR="00887848" w:rsidRPr="0047304A" w:rsidRDefault="00887848">
            <w:pPr>
              <w:rPr>
                <w:lang w:eastAsia="zh-CN"/>
              </w:rPr>
            </w:pPr>
            <w:r w:rsidRPr="0047304A">
              <w:rPr>
                <w:lang w:eastAsia="zh-CN"/>
              </w:rPr>
              <w:t>[0.13]</w:t>
            </w:r>
          </w:p>
        </w:tc>
      </w:tr>
      <w:tr w:rsidR="00887848" w:rsidRPr="0047304A">
        <w:trPr>
          <w:trHeight w:val="20"/>
        </w:trPr>
        <w:tc>
          <w:tcPr>
            <w:tcW w:w="1366" w:type="pct"/>
          </w:tcPr>
          <w:p w:rsidR="00887848" w:rsidRPr="0047304A" w:rsidRDefault="00887848">
            <w:r w:rsidRPr="0047304A">
              <w:t>ROE</w:t>
            </w:r>
          </w:p>
        </w:tc>
        <w:tc>
          <w:tcPr>
            <w:tcW w:w="909" w:type="pct"/>
          </w:tcPr>
          <w:p w:rsidR="00887848" w:rsidRPr="0047304A" w:rsidRDefault="00887848">
            <w:pPr>
              <w:rPr>
                <w:lang w:eastAsia="zh-CN"/>
              </w:rPr>
            </w:pPr>
            <w:r w:rsidRPr="0047304A">
              <w:rPr>
                <w:lang w:eastAsia="zh-CN"/>
              </w:rPr>
              <w:t>-0.12***</w:t>
            </w:r>
          </w:p>
          <w:p w:rsidR="00887848" w:rsidRPr="0047304A" w:rsidRDefault="00887848">
            <w:r w:rsidRPr="0047304A">
              <w:rPr>
                <w:lang w:eastAsia="zh-CN"/>
              </w:rPr>
              <w:t>[-2.71]</w:t>
            </w:r>
          </w:p>
        </w:tc>
        <w:tc>
          <w:tcPr>
            <w:tcW w:w="909" w:type="pct"/>
          </w:tcPr>
          <w:p w:rsidR="00887848" w:rsidRPr="0047304A" w:rsidRDefault="00887848">
            <w:pPr>
              <w:rPr>
                <w:lang w:eastAsia="zh-CN"/>
              </w:rPr>
            </w:pPr>
            <w:r w:rsidRPr="0047304A">
              <w:t>-</w:t>
            </w:r>
            <w:r w:rsidRPr="0047304A">
              <w:rPr>
                <w:lang w:eastAsia="zh-CN"/>
              </w:rPr>
              <w:t>0.12***</w:t>
            </w:r>
          </w:p>
          <w:p w:rsidR="00887848" w:rsidRPr="0047304A" w:rsidRDefault="00887848">
            <w:r w:rsidRPr="0047304A">
              <w:t>[-</w:t>
            </w:r>
            <w:r w:rsidRPr="0047304A">
              <w:rPr>
                <w:lang w:eastAsia="zh-CN"/>
              </w:rPr>
              <w:t>2.80</w:t>
            </w:r>
            <w:r w:rsidRPr="0047304A">
              <w:t>]</w:t>
            </w:r>
          </w:p>
        </w:tc>
        <w:tc>
          <w:tcPr>
            <w:tcW w:w="909" w:type="pct"/>
          </w:tcPr>
          <w:p w:rsidR="00887848" w:rsidRPr="0047304A" w:rsidRDefault="00887848">
            <w:pPr>
              <w:rPr>
                <w:lang w:eastAsia="zh-CN"/>
              </w:rPr>
            </w:pPr>
            <w:r w:rsidRPr="0047304A">
              <w:rPr>
                <w:lang w:eastAsia="zh-CN"/>
              </w:rPr>
              <w:t>-0.15***</w:t>
            </w:r>
          </w:p>
          <w:p w:rsidR="00887848" w:rsidRPr="0047304A" w:rsidRDefault="00887848">
            <w:pPr>
              <w:rPr>
                <w:lang w:eastAsia="zh-CN"/>
              </w:rPr>
            </w:pPr>
            <w:r w:rsidRPr="0047304A">
              <w:rPr>
                <w:lang w:eastAsia="zh-CN"/>
              </w:rPr>
              <w:t>[-3.29]</w:t>
            </w:r>
          </w:p>
        </w:tc>
        <w:tc>
          <w:tcPr>
            <w:tcW w:w="906" w:type="pct"/>
          </w:tcPr>
          <w:p w:rsidR="00887848" w:rsidRPr="0047304A" w:rsidRDefault="00887848">
            <w:pPr>
              <w:rPr>
                <w:lang w:eastAsia="zh-CN"/>
              </w:rPr>
            </w:pPr>
            <w:r w:rsidRPr="0047304A">
              <w:rPr>
                <w:lang w:eastAsia="zh-CN"/>
              </w:rPr>
              <w:t>-0.15***</w:t>
            </w:r>
          </w:p>
          <w:p w:rsidR="00887848" w:rsidRPr="0047304A" w:rsidRDefault="00887848">
            <w:pPr>
              <w:rPr>
                <w:lang w:eastAsia="zh-CN"/>
              </w:rPr>
            </w:pPr>
            <w:r w:rsidRPr="0047304A">
              <w:rPr>
                <w:lang w:eastAsia="zh-CN"/>
              </w:rPr>
              <w:t>[-3.40]</w:t>
            </w:r>
          </w:p>
        </w:tc>
      </w:tr>
      <w:tr w:rsidR="00887848" w:rsidRPr="0047304A">
        <w:trPr>
          <w:trHeight w:val="20"/>
        </w:trPr>
        <w:tc>
          <w:tcPr>
            <w:tcW w:w="1366" w:type="pct"/>
          </w:tcPr>
          <w:p w:rsidR="00887848" w:rsidRPr="0047304A" w:rsidRDefault="00887848">
            <w:r w:rsidRPr="0047304A">
              <w:rPr>
                <w:lang w:eastAsia="zh-CN"/>
              </w:rPr>
              <w:t xml:space="preserve">Sale </w:t>
            </w:r>
            <w:r w:rsidRPr="0047304A">
              <w:t>Growth</w:t>
            </w:r>
          </w:p>
        </w:tc>
        <w:tc>
          <w:tcPr>
            <w:tcW w:w="909" w:type="pct"/>
          </w:tcPr>
          <w:p w:rsidR="00887848" w:rsidRPr="0047304A" w:rsidRDefault="00887848">
            <w:pPr>
              <w:rPr>
                <w:lang w:eastAsia="zh-CN"/>
              </w:rPr>
            </w:pPr>
            <w:r w:rsidRPr="0047304A">
              <w:rPr>
                <w:lang w:eastAsia="zh-CN"/>
              </w:rPr>
              <w:t>0.25***</w:t>
            </w:r>
          </w:p>
          <w:p w:rsidR="00887848" w:rsidRPr="0047304A" w:rsidRDefault="00887848">
            <w:pPr>
              <w:rPr>
                <w:lang w:eastAsia="zh-CN"/>
              </w:rPr>
            </w:pPr>
            <w:r w:rsidRPr="0047304A">
              <w:rPr>
                <w:lang w:eastAsia="zh-CN"/>
              </w:rPr>
              <w:t>[3.66]</w:t>
            </w:r>
          </w:p>
        </w:tc>
        <w:tc>
          <w:tcPr>
            <w:tcW w:w="909" w:type="pct"/>
          </w:tcPr>
          <w:p w:rsidR="00887848" w:rsidRPr="0047304A" w:rsidRDefault="00887848">
            <w:r w:rsidRPr="0047304A">
              <w:rPr>
                <w:lang w:eastAsia="zh-CN"/>
              </w:rPr>
              <w:t>0.21***</w:t>
            </w:r>
          </w:p>
          <w:p w:rsidR="00887848" w:rsidRPr="0047304A" w:rsidRDefault="00887848">
            <w:r w:rsidRPr="0047304A">
              <w:t>[</w:t>
            </w:r>
            <w:r w:rsidRPr="0047304A">
              <w:rPr>
                <w:lang w:eastAsia="zh-CN"/>
              </w:rPr>
              <w:t>3.09</w:t>
            </w:r>
            <w:r w:rsidRPr="0047304A">
              <w:t>]</w:t>
            </w:r>
          </w:p>
        </w:tc>
        <w:tc>
          <w:tcPr>
            <w:tcW w:w="909" w:type="pct"/>
          </w:tcPr>
          <w:p w:rsidR="00887848" w:rsidRPr="0047304A" w:rsidRDefault="00887848">
            <w:pPr>
              <w:rPr>
                <w:lang w:eastAsia="zh-CN"/>
              </w:rPr>
            </w:pPr>
            <w:r w:rsidRPr="0047304A">
              <w:rPr>
                <w:lang w:eastAsia="zh-CN"/>
              </w:rPr>
              <w:t>0.19***</w:t>
            </w:r>
          </w:p>
          <w:p w:rsidR="00887848" w:rsidRPr="0047304A" w:rsidRDefault="00887848">
            <w:pPr>
              <w:rPr>
                <w:lang w:eastAsia="zh-CN"/>
              </w:rPr>
            </w:pPr>
            <w:r w:rsidRPr="0047304A">
              <w:rPr>
                <w:lang w:eastAsia="zh-CN"/>
              </w:rPr>
              <w:t>[2.84]</w:t>
            </w:r>
          </w:p>
        </w:tc>
        <w:tc>
          <w:tcPr>
            <w:tcW w:w="906" w:type="pct"/>
          </w:tcPr>
          <w:p w:rsidR="00887848" w:rsidRPr="0047304A" w:rsidRDefault="00887848">
            <w:pPr>
              <w:rPr>
                <w:lang w:eastAsia="zh-CN"/>
              </w:rPr>
            </w:pPr>
            <w:r w:rsidRPr="0047304A">
              <w:rPr>
                <w:lang w:eastAsia="zh-CN"/>
              </w:rPr>
              <w:t>0.15**</w:t>
            </w:r>
          </w:p>
          <w:p w:rsidR="00887848" w:rsidRPr="0047304A" w:rsidRDefault="00887848">
            <w:pPr>
              <w:rPr>
                <w:lang w:eastAsia="zh-CN"/>
              </w:rPr>
            </w:pPr>
            <w:r w:rsidRPr="0047304A">
              <w:rPr>
                <w:lang w:eastAsia="zh-CN"/>
              </w:rPr>
              <w:t>[2.13]</w:t>
            </w:r>
          </w:p>
        </w:tc>
      </w:tr>
      <w:tr w:rsidR="00887848" w:rsidRPr="0047304A">
        <w:trPr>
          <w:trHeight w:val="20"/>
        </w:trPr>
        <w:tc>
          <w:tcPr>
            <w:tcW w:w="1366" w:type="pct"/>
          </w:tcPr>
          <w:p w:rsidR="00887848" w:rsidRPr="0047304A" w:rsidRDefault="00887848">
            <w:r w:rsidRPr="0047304A">
              <w:t>Leverage</w:t>
            </w:r>
          </w:p>
        </w:tc>
        <w:tc>
          <w:tcPr>
            <w:tcW w:w="909" w:type="pct"/>
          </w:tcPr>
          <w:p w:rsidR="00887848" w:rsidRPr="0047304A" w:rsidRDefault="00887848">
            <w:pPr>
              <w:rPr>
                <w:lang w:eastAsia="zh-CN"/>
              </w:rPr>
            </w:pPr>
            <w:r w:rsidRPr="0047304A">
              <w:rPr>
                <w:lang w:eastAsia="zh-CN"/>
              </w:rPr>
              <w:t>0.06</w:t>
            </w:r>
          </w:p>
          <w:p w:rsidR="00887848" w:rsidRPr="0047304A" w:rsidRDefault="00887848">
            <w:r w:rsidRPr="0047304A">
              <w:rPr>
                <w:lang w:eastAsia="zh-CN"/>
              </w:rPr>
              <w:t>[1.38]</w:t>
            </w:r>
          </w:p>
        </w:tc>
        <w:tc>
          <w:tcPr>
            <w:tcW w:w="909" w:type="pct"/>
          </w:tcPr>
          <w:p w:rsidR="00887848" w:rsidRPr="0047304A" w:rsidRDefault="00887848">
            <w:r w:rsidRPr="0047304A">
              <w:t>0.0</w:t>
            </w:r>
            <w:r w:rsidRPr="0047304A">
              <w:rPr>
                <w:lang w:eastAsia="zh-CN"/>
              </w:rPr>
              <w:t>5</w:t>
            </w:r>
          </w:p>
          <w:p w:rsidR="00887848" w:rsidRPr="0047304A" w:rsidRDefault="00887848">
            <w:r w:rsidRPr="0047304A">
              <w:t>[</w:t>
            </w:r>
            <w:r w:rsidRPr="0047304A">
              <w:rPr>
                <w:lang w:eastAsia="zh-CN"/>
              </w:rPr>
              <w:t>1.09</w:t>
            </w:r>
            <w:r w:rsidRPr="0047304A">
              <w:t>]</w:t>
            </w:r>
          </w:p>
        </w:tc>
        <w:tc>
          <w:tcPr>
            <w:tcW w:w="909" w:type="pct"/>
          </w:tcPr>
          <w:p w:rsidR="00887848" w:rsidRPr="0047304A" w:rsidRDefault="00887848">
            <w:pPr>
              <w:rPr>
                <w:lang w:eastAsia="zh-CN"/>
              </w:rPr>
            </w:pPr>
            <w:r w:rsidRPr="0047304A">
              <w:rPr>
                <w:lang w:eastAsia="zh-CN"/>
              </w:rPr>
              <w:t>0.06</w:t>
            </w:r>
          </w:p>
          <w:p w:rsidR="00887848" w:rsidRPr="0047304A" w:rsidRDefault="00887848">
            <w:pPr>
              <w:rPr>
                <w:lang w:eastAsia="zh-CN"/>
              </w:rPr>
            </w:pPr>
            <w:r w:rsidRPr="0047304A">
              <w:rPr>
                <w:lang w:eastAsia="zh-CN"/>
              </w:rPr>
              <w:t>[1.28]</w:t>
            </w:r>
          </w:p>
        </w:tc>
        <w:tc>
          <w:tcPr>
            <w:tcW w:w="906" w:type="pct"/>
          </w:tcPr>
          <w:p w:rsidR="00887848" w:rsidRPr="0047304A" w:rsidRDefault="00887848">
            <w:pPr>
              <w:rPr>
                <w:lang w:eastAsia="zh-CN"/>
              </w:rPr>
            </w:pPr>
            <w:r w:rsidRPr="0047304A">
              <w:rPr>
                <w:lang w:eastAsia="zh-CN"/>
              </w:rPr>
              <w:t>0.04</w:t>
            </w:r>
          </w:p>
          <w:p w:rsidR="00887848" w:rsidRPr="0047304A" w:rsidRDefault="00887848">
            <w:pPr>
              <w:rPr>
                <w:lang w:eastAsia="zh-CN"/>
              </w:rPr>
            </w:pPr>
            <w:r w:rsidRPr="0047304A">
              <w:rPr>
                <w:lang w:eastAsia="zh-CN"/>
              </w:rPr>
              <w:t>[0.79]</w:t>
            </w:r>
          </w:p>
        </w:tc>
      </w:tr>
      <w:tr w:rsidR="00887848" w:rsidRPr="0047304A">
        <w:trPr>
          <w:trHeight w:val="20"/>
        </w:trPr>
        <w:tc>
          <w:tcPr>
            <w:tcW w:w="1366" w:type="pct"/>
          </w:tcPr>
          <w:p w:rsidR="00887848" w:rsidRPr="0047304A" w:rsidRDefault="00887848">
            <w:r w:rsidRPr="0047304A">
              <w:t>Ln Firm Age</w:t>
            </w:r>
          </w:p>
        </w:tc>
        <w:tc>
          <w:tcPr>
            <w:tcW w:w="909" w:type="pct"/>
          </w:tcPr>
          <w:p w:rsidR="00887848" w:rsidRPr="0047304A" w:rsidRDefault="00887848">
            <w:pPr>
              <w:rPr>
                <w:lang w:eastAsia="zh-CN"/>
              </w:rPr>
            </w:pPr>
            <w:r w:rsidRPr="0047304A">
              <w:rPr>
                <w:lang w:eastAsia="zh-CN"/>
              </w:rPr>
              <w:t>-0.15***</w:t>
            </w:r>
          </w:p>
          <w:p w:rsidR="00887848" w:rsidRPr="0047304A" w:rsidRDefault="00887848">
            <w:r w:rsidRPr="0047304A">
              <w:rPr>
                <w:lang w:eastAsia="zh-CN"/>
              </w:rPr>
              <w:t>[-3.33]</w:t>
            </w:r>
          </w:p>
        </w:tc>
        <w:tc>
          <w:tcPr>
            <w:tcW w:w="909" w:type="pct"/>
          </w:tcPr>
          <w:p w:rsidR="00887848" w:rsidRPr="0047304A" w:rsidRDefault="00887848">
            <w:r w:rsidRPr="0047304A">
              <w:t>-0.1</w:t>
            </w:r>
            <w:r w:rsidRPr="0047304A">
              <w:rPr>
                <w:lang w:eastAsia="zh-CN"/>
              </w:rPr>
              <w:t>4</w:t>
            </w:r>
            <w:r w:rsidRPr="0047304A">
              <w:t>***</w:t>
            </w:r>
          </w:p>
          <w:p w:rsidR="00887848" w:rsidRPr="0047304A" w:rsidRDefault="00887848">
            <w:r w:rsidRPr="0047304A">
              <w:t>[-</w:t>
            </w:r>
            <w:r w:rsidRPr="0047304A">
              <w:rPr>
                <w:lang w:eastAsia="zh-CN"/>
              </w:rPr>
              <w:t>3.16</w:t>
            </w:r>
            <w:r w:rsidRPr="0047304A">
              <w:t>]</w:t>
            </w:r>
          </w:p>
        </w:tc>
        <w:tc>
          <w:tcPr>
            <w:tcW w:w="909" w:type="pct"/>
          </w:tcPr>
          <w:p w:rsidR="00887848" w:rsidRPr="0047304A" w:rsidRDefault="00887848">
            <w:pPr>
              <w:rPr>
                <w:lang w:eastAsia="zh-CN"/>
              </w:rPr>
            </w:pPr>
            <w:r w:rsidRPr="0047304A">
              <w:rPr>
                <w:lang w:eastAsia="zh-CN"/>
              </w:rPr>
              <w:t>-0.13***</w:t>
            </w:r>
          </w:p>
          <w:p w:rsidR="00887848" w:rsidRPr="0047304A" w:rsidRDefault="00887848">
            <w:pPr>
              <w:rPr>
                <w:lang w:eastAsia="zh-CN"/>
              </w:rPr>
            </w:pPr>
            <w:r w:rsidRPr="0047304A">
              <w:rPr>
                <w:lang w:eastAsia="zh-CN"/>
              </w:rPr>
              <w:t>[-2.88]</w:t>
            </w:r>
          </w:p>
        </w:tc>
        <w:tc>
          <w:tcPr>
            <w:tcW w:w="906" w:type="pct"/>
          </w:tcPr>
          <w:p w:rsidR="00887848" w:rsidRPr="0047304A" w:rsidRDefault="00887848">
            <w:pPr>
              <w:rPr>
                <w:lang w:eastAsia="zh-CN"/>
              </w:rPr>
            </w:pPr>
            <w:r w:rsidRPr="0047304A">
              <w:rPr>
                <w:lang w:eastAsia="zh-CN"/>
              </w:rPr>
              <w:t>-0.13***</w:t>
            </w:r>
          </w:p>
          <w:p w:rsidR="00887848" w:rsidRPr="0047304A" w:rsidRDefault="00887848">
            <w:pPr>
              <w:rPr>
                <w:lang w:eastAsia="zh-CN"/>
              </w:rPr>
            </w:pPr>
            <w:r w:rsidRPr="0047304A">
              <w:rPr>
                <w:lang w:eastAsia="zh-CN"/>
              </w:rPr>
              <w:t>[-2.88]</w:t>
            </w:r>
          </w:p>
        </w:tc>
      </w:tr>
      <w:tr w:rsidR="00887848" w:rsidRPr="0047304A" w:rsidTr="00E73006">
        <w:trPr>
          <w:trHeight w:val="20"/>
        </w:trPr>
        <w:tc>
          <w:tcPr>
            <w:tcW w:w="1366" w:type="pct"/>
            <w:tcBorders>
              <w:bottom w:val="single" w:sz="4" w:space="0" w:color="auto"/>
            </w:tcBorders>
          </w:tcPr>
          <w:p w:rsidR="00887848" w:rsidRPr="0047304A" w:rsidRDefault="00887848">
            <w:r w:rsidRPr="0047304A">
              <w:t>Industry Dummies</w:t>
            </w:r>
          </w:p>
        </w:tc>
        <w:tc>
          <w:tcPr>
            <w:tcW w:w="909" w:type="pct"/>
            <w:tcBorders>
              <w:bottom w:val="single" w:sz="4" w:space="0" w:color="auto"/>
            </w:tcBorders>
          </w:tcPr>
          <w:p w:rsidR="00887848" w:rsidRPr="0047304A" w:rsidRDefault="00887848">
            <w:r w:rsidRPr="0047304A">
              <w:rPr>
                <w:lang w:eastAsia="zh-CN"/>
              </w:rPr>
              <w:t>Yes</w:t>
            </w:r>
          </w:p>
        </w:tc>
        <w:tc>
          <w:tcPr>
            <w:tcW w:w="909" w:type="pct"/>
            <w:tcBorders>
              <w:bottom w:val="single" w:sz="4" w:space="0" w:color="auto"/>
            </w:tcBorders>
          </w:tcPr>
          <w:p w:rsidR="00887848" w:rsidRPr="0047304A" w:rsidRDefault="00887848">
            <w:r w:rsidRPr="0047304A">
              <w:t>Yes</w:t>
            </w:r>
          </w:p>
        </w:tc>
        <w:tc>
          <w:tcPr>
            <w:tcW w:w="909" w:type="pct"/>
            <w:tcBorders>
              <w:bottom w:val="single" w:sz="4" w:space="0" w:color="auto"/>
            </w:tcBorders>
          </w:tcPr>
          <w:p w:rsidR="00887848" w:rsidRPr="0047304A" w:rsidRDefault="00887848">
            <w:pPr>
              <w:rPr>
                <w:lang w:eastAsia="zh-CN"/>
              </w:rPr>
            </w:pPr>
            <w:r w:rsidRPr="0047304A">
              <w:rPr>
                <w:lang w:eastAsia="zh-CN"/>
              </w:rPr>
              <w:t>Yes</w:t>
            </w:r>
          </w:p>
        </w:tc>
        <w:tc>
          <w:tcPr>
            <w:tcW w:w="906" w:type="pct"/>
            <w:tcBorders>
              <w:bottom w:val="single" w:sz="4" w:space="0" w:color="auto"/>
            </w:tcBorders>
          </w:tcPr>
          <w:p w:rsidR="00887848" w:rsidRPr="0047304A" w:rsidRDefault="00887848">
            <w:pPr>
              <w:rPr>
                <w:lang w:eastAsia="zh-CN"/>
              </w:rPr>
            </w:pPr>
            <w:r w:rsidRPr="0047304A">
              <w:rPr>
                <w:lang w:eastAsia="zh-CN"/>
              </w:rPr>
              <w:t>Yes</w:t>
            </w:r>
          </w:p>
        </w:tc>
      </w:tr>
      <w:tr w:rsidR="00887848" w:rsidRPr="0047304A" w:rsidTr="00E73006">
        <w:trPr>
          <w:trHeight w:val="20"/>
        </w:trPr>
        <w:tc>
          <w:tcPr>
            <w:tcW w:w="1366" w:type="pct"/>
            <w:tcBorders>
              <w:top w:val="single" w:sz="4" w:space="0" w:color="auto"/>
            </w:tcBorders>
          </w:tcPr>
          <w:p w:rsidR="00887848" w:rsidRPr="0047304A" w:rsidRDefault="00887848">
            <w:pPr>
              <w:rPr>
                <w:lang w:eastAsia="zh-CN"/>
              </w:rPr>
            </w:pPr>
            <w:r w:rsidRPr="0047304A">
              <w:rPr>
                <w:lang w:eastAsia="zh-CN"/>
              </w:rPr>
              <w:t>N</w:t>
            </w:r>
          </w:p>
        </w:tc>
        <w:tc>
          <w:tcPr>
            <w:tcW w:w="909" w:type="pct"/>
            <w:tcBorders>
              <w:top w:val="single" w:sz="4" w:space="0" w:color="auto"/>
            </w:tcBorders>
          </w:tcPr>
          <w:p w:rsidR="00887848" w:rsidRPr="0047304A" w:rsidRDefault="00887848">
            <w:pPr>
              <w:rPr>
                <w:lang w:eastAsia="zh-CN"/>
              </w:rPr>
            </w:pPr>
            <w:r w:rsidRPr="0047304A">
              <w:rPr>
                <w:lang w:eastAsia="zh-CN"/>
              </w:rPr>
              <w:t>447</w:t>
            </w:r>
          </w:p>
        </w:tc>
        <w:tc>
          <w:tcPr>
            <w:tcW w:w="909" w:type="pct"/>
            <w:tcBorders>
              <w:top w:val="single" w:sz="4" w:space="0" w:color="auto"/>
            </w:tcBorders>
          </w:tcPr>
          <w:p w:rsidR="00887848" w:rsidRPr="0047304A" w:rsidRDefault="00887848">
            <w:pPr>
              <w:rPr>
                <w:lang w:eastAsia="zh-CN"/>
              </w:rPr>
            </w:pPr>
            <w:r w:rsidRPr="0047304A">
              <w:rPr>
                <w:lang w:eastAsia="zh-CN"/>
              </w:rPr>
              <w:t>447</w:t>
            </w:r>
          </w:p>
        </w:tc>
        <w:tc>
          <w:tcPr>
            <w:tcW w:w="909" w:type="pct"/>
            <w:tcBorders>
              <w:top w:val="single" w:sz="4" w:space="0" w:color="auto"/>
            </w:tcBorders>
          </w:tcPr>
          <w:p w:rsidR="00887848" w:rsidRPr="0047304A" w:rsidRDefault="00887848">
            <w:pPr>
              <w:rPr>
                <w:lang w:eastAsia="zh-CN"/>
              </w:rPr>
            </w:pPr>
            <w:r w:rsidRPr="0047304A">
              <w:rPr>
                <w:lang w:eastAsia="zh-CN"/>
              </w:rPr>
              <w:t>447</w:t>
            </w:r>
          </w:p>
        </w:tc>
        <w:tc>
          <w:tcPr>
            <w:tcW w:w="906" w:type="pct"/>
            <w:tcBorders>
              <w:top w:val="single" w:sz="4" w:space="0" w:color="auto"/>
            </w:tcBorders>
          </w:tcPr>
          <w:p w:rsidR="00887848" w:rsidRPr="0047304A" w:rsidRDefault="00887848">
            <w:pPr>
              <w:rPr>
                <w:lang w:eastAsia="zh-CN"/>
              </w:rPr>
            </w:pPr>
            <w:r w:rsidRPr="0047304A">
              <w:rPr>
                <w:lang w:eastAsia="zh-CN"/>
              </w:rPr>
              <w:t>447</w:t>
            </w:r>
          </w:p>
        </w:tc>
      </w:tr>
      <w:tr w:rsidR="00887848" w:rsidRPr="0047304A" w:rsidTr="00E73006">
        <w:trPr>
          <w:trHeight w:val="20"/>
        </w:trPr>
        <w:tc>
          <w:tcPr>
            <w:tcW w:w="1366" w:type="pct"/>
            <w:tcBorders>
              <w:bottom w:val="single" w:sz="4" w:space="0" w:color="auto"/>
            </w:tcBorders>
          </w:tcPr>
          <w:p w:rsidR="00887848" w:rsidRPr="0047304A" w:rsidRDefault="00887848">
            <w:r w:rsidRPr="0047304A">
              <w:t>Adj R-squared</w:t>
            </w:r>
          </w:p>
        </w:tc>
        <w:tc>
          <w:tcPr>
            <w:tcW w:w="909" w:type="pct"/>
            <w:tcBorders>
              <w:bottom w:val="single" w:sz="4" w:space="0" w:color="auto"/>
            </w:tcBorders>
          </w:tcPr>
          <w:p w:rsidR="00887848" w:rsidRPr="0047304A" w:rsidRDefault="00887848">
            <w:pPr>
              <w:rPr>
                <w:lang w:eastAsia="zh-CN"/>
              </w:rPr>
            </w:pPr>
            <w:r w:rsidRPr="0047304A">
              <w:rPr>
                <w:lang w:eastAsia="zh-CN"/>
              </w:rPr>
              <w:t>18.77</w:t>
            </w:r>
          </w:p>
        </w:tc>
        <w:tc>
          <w:tcPr>
            <w:tcW w:w="909" w:type="pct"/>
            <w:tcBorders>
              <w:bottom w:val="single" w:sz="4" w:space="0" w:color="auto"/>
            </w:tcBorders>
          </w:tcPr>
          <w:p w:rsidR="00887848" w:rsidRPr="0047304A" w:rsidRDefault="00887848">
            <w:pPr>
              <w:rPr>
                <w:lang w:eastAsia="zh-CN"/>
              </w:rPr>
            </w:pPr>
            <w:r w:rsidRPr="0047304A">
              <w:rPr>
                <w:lang w:eastAsia="zh-CN"/>
              </w:rPr>
              <w:t>21.68</w:t>
            </w:r>
          </w:p>
        </w:tc>
        <w:tc>
          <w:tcPr>
            <w:tcW w:w="909" w:type="pct"/>
            <w:tcBorders>
              <w:bottom w:val="single" w:sz="4" w:space="0" w:color="auto"/>
            </w:tcBorders>
          </w:tcPr>
          <w:p w:rsidR="00887848" w:rsidRPr="0047304A" w:rsidRDefault="00887848">
            <w:pPr>
              <w:rPr>
                <w:lang w:eastAsia="zh-CN"/>
              </w:rPr>
            </w:pPr>
            <w:r w:rsidRPr="0047304A">
              <w:rPr>
                <w:lang w:eastAsia="zh-CN"/>
              </w:rPr>
              <w:t>20.33</w:t>
            </w:r>
          </w:p>
        </w:tc>
        <w:tc>
          <w:tcPr>
            <w:tcW w:w="906" w:type="pct"/>
            <w:tcBorders>
              <w:bottom w:val="single" w:sz="4" w:space="0" w:color="auto"/>
            </w:tcBorders>
          </w:tcPr>
          <w:p w:rsidR="00887848" w:rsidRPr="0047304A" w:rsidRDefault="00887848">
            <w:pPr>
              <w:rPr>
                <w:lang w:eastAsia="zh-CN"/>
              </w:rPr>
            </w:pPr>
            <w:r w:rsidRPr="0047304A">
              <w:rPr>
                <w:lang w:eastAsia="zh-CN"/>
              </w:rPr>
              <w:t>24.12</w:t>
            </w:r>
          </w:p>
        </w:tc>
      </w:tr>
    </w:tbl>
    <w:p w:rsidR="00887848" w:rsidRDefault="00887848">
      <w:pPr>
        <w:jc w:val="both"/>
        <w:rPr>
          <w:sz w:val="18"/>
          <w:szCs w:val="18"/>
        </w:rPr>
      </w:pPr>
      <w:r>
        <w:rPr>
          <w:sz w:val="18"/>
          <w:szCs w:val="18"/>
        </w:rPr>
        <w:t xml:space="preserve">Note: </w:t>
      </w:r>
      <w:r>
        <w:rPr>
          <w:sz w:val="18"/>
          <w:szCs w:val="18"/>
          <w:lang w:val="en-US"/>
        </w:rPr>
        <w:t xml:space="preserve">This table shows the results of the informed trading </w:t>
      </w:r>
      <w:r>
        <w:rPr>
          <w:sz w:val="18"/>
          <w:szCs w:val="18"/>
          <w:lang w:val="en-US" w:eastAsia="zh-CN"/>
        </w:rPr>
        <w:t xml:space="preserve">and its structure </w:t>
      </w:r>
      <w:r>
        <w:rPr>
          <w:sz w:val="18"/>
          <w:szCs w:val="18"/>
          <w:lang w:val="en-US"/>
        </w:rPr>
        <w:t xml:space="preserve">in company valuation. Dependent variable is Tobin’s Q. </w:t>
      </w:r>
      <w:r>
        <w:rPr>
          <w:sz w:val="18"/>
          <w:szCs w:val="18"/>
          <w:lang w:eastAsia="zh-CN"/>
        </w:rPr>
        <w:t>E[PIN] is the f</w:t>
      </w:r>
      <w:r>
        <w:rPr>
          <w:sz w:val="18"/>
          <w:szCs w:val="18"/>
        </w:rPr>
        <w:t xml:space="preserve">irm-level private information estimated based on Model </w:t>
      </w:r>
      <w:r>
        <w:rPr>
          <w:sz w:val="18"/>
          <w:szCs w:val="18"/>
          <w:lang w:eastAsia="zh-CN"/>
        </w:rPr>
        <w:t>5 in Table 3</w:t>
      </w:r>
      <w:r>
        <w:rPr>
          <w:sz w:val="18"/>
          <w:szCs w:val="18"/>
        </w:rPr>
        <w:t xml:space="preserve">. </w:t>
      </w:r>
      <w:r>
        <w:rPr>
          <w:sz w:val="18"/>
          <w:szCs w:val="18"/>
          <w:lang w:eastAsia="zh-CN"/>
        </w:rPr>
        <w:t>E[DF] is the e</w:t>
      </w:r>
      <w:r>
        <w:rPr>
          <w:sz w:val="18"/>
          <w:szCs w:val="18"/>
        </w:rPr>
        <w:t xml:space="preserve">xplainable structure of informed trading to investors estimated based on Model </w:t>
      </w:r>
      <w:r>
        <w:rPr>
          <w:sz w:val="18"/>
          <w:szCs w:val="18"/>
          <w:lang w:eastAsia="zh-CN"/>
        </w:rPr>
        <w:t>6 in Table 3</w:t>
      </w:r>
      <w:r>
        <w:rPr>
          <w:sz w:val="18"/>
          <w:szCs w:val="18"/>
        </w:rPr>
        <w:t xml:space="preserve">. Variable definitions are given in Table 1. All coefficients are standardized; *p≤0.10; **p≤0.05; ***p≤0.01; t-statistics in parentheses. </w:t>
      </w:r>
    </w:p>
    <w:sectPr w:rsidR="00887848" w:rsidSect="005252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A0C" w:rsidRDefault="009C0A0C">
      <w:r>
        <w:separator/>
      </w:r>
    </w:p>
  </w:endnote>
  <w:endnote w:type="continuationSeparator" w:id="0">
    <w:p w:rsidR="009C0A0C" w:rsidRDefault="009C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9060101010101"/>
    <w:charset w:val="86"/>
    <w:family w:val="modern"/>
    <w:notTrueType/>
    <w:pitch w:val="fixed"/>
    <w:sig w:usb0="00000001" w:usb1="080E0000" w:usb2="00000010" w:usb3="00000000" w:csb0="00040000" w:csb1="00000000"/>
  </w:font>
  <w:font w:name="TimesNewRomanPSMT">
    <w:altName w:val="宋体"/>
    <w:panose1 w:val="00000000000000000000"/>
    <w:charset w:val="86"/>
    <w:family w:val="roman"/>
    <w:notTrueType/>
    <w:pitch w:val="default"/>
    <w:sig w:usb0="00000003" w:usb1="080E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9AF" w:rsidRDefault="00C659AF">
    <w:pPr>
      <w:pStyle w:val="Footer"/>
      <w:jc w:val="center"/>
    </w:pPr>
    <w:r>
      <w:fldChar w:fldCharType="begin"/>
    </w:r>
    <w:r>
      <w:instrText xml:space="preserve"> PAGE   \* MERGEFORMAT </w:instrText>
    </w:r>
    <w:r>
      <w:fldChar w:fldCharType="separate"/>
    </w:r>
    <w:r w:rsidR="00511ABD">
      <w:rPr>
        <w:noProof/>
      </w:rPr>
      <w:t>22</w:t>
    </w:r>
    <w:r>
      <w:rPr>
        <w:noProof/>
      </w:rPr>
      <w:fldChar w:fldCharType="end"/>
    </w:r>
  </w:p>
  <w:p w:rsidR="00C659AF" w:rsidRDefault="00C65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A0C" w:rsidRDefault="009C0A0C">
      <w:r>
        <w:separator/>
      </w:r>
    </w:p>
  </w:footnote>
  <w:footnote w:type="continuationSeparator" w:id="0">
    <w:p w:rsidR="009C0A0C" w:rsidRDefault="009C0A0C">
      <w:r>
        <w:continuationSeparator/>
      </w:r>
    </w:p>
  </w:footnote>
  <w:footnote w:id="1">
    <w:p w:rsidR="00C659AF" w:rsidRDefault="00C659AF">
      <w:pPr>
        <w:pStyle w:val="FootnoteText"/>
      </w:pPr>
      <w:r>
        <w:rPr>
          <w:rStyle w:val="FootnoteReference"/>
        </w:rPr>
        <w:footnoteRef/>
      </w:r>
      <w:r>
        <w:t xml:space="preserve"> </w:t>
      </w:r>
      <w:r>
        <w:rPr>
          <w:rFonts w:ascii="Times New Roman" w:hAnsi="Times New Roman"/>
        </w:rPr>
        <w:t xml:space="preserve">See Cap 485 Mandatory Provident Fund Schemes Ordinance Ord. No. 4 of 1998 and </w:t>
      </w:r>
      <w:r>
        <w:rPr>
          <w:rFonts w:ascii="Times New Roman" w:hAnsi="Times New Roman"/>
          <w:lang w:eastAsia="zh-CN"/>
        </w:rPr>
        <w:t xml:space="preserve">Mandatory provident fund schemes authority website </w:t>
      </w:r>
      <w:r>
        <w:rPr>
          <w:rFonts w:ascii="Times New Roman" w:hAnsi="Times New Roman"/>
        </w:rPr>
        <w:t>http://www.mpfa.org.hk for more information about the Mandatory Provident Fund Schemes</w:t>
      </w:r>
      <w:r>
        <w:rPr>
          <w:rFonts w:ascii="Times New Roman" w:hAnsi="Times New Roman"/>
          <w:lang w:eastAsia="zh-CN"/>
        </w:rPr>
        <w:t xml:space="preserve"> in Hong Kong,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B6C2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07A85B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F5AEE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F72A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52F0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ACB8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74A4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97857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00E2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7269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00C2"/>
    <w:multiLevelType w:val="hybridMultilevel"/>
    <w:tmpl w:val="700CF526"/>
    <w:lvl w:ilvl="0" w:tplc="EBC0B8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0AAA5FBD"/>
    <w:multiLevelType w:val="hybridMultilevel"/>
    <w:tmpl w:val="A8682AF0"/>
    <w:lvl w:ilvl="0" w:tplc="640EFF8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15:restartNumberingAfterBreak="0">
    <w:nsid w:val="105547B0"/>
    <w:multiLevelType w:val="hybridMultilevel"/>
    <w:tmpl w:val="1B444FAA"/>
    <w:lvl w:ilvl="0" w:tplc="4AD42D3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15:restartNumberingAfterBreak="0">
    <w:nsid w:val="1B066307"/>
    <w:multiLevelType w:val="hybridMultilevel"/>
    <w:tmpl w:val="458431E8"/>
    <w:lvl w:ilvl="0" w:tplc="532892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15:restartNumberingAfterBreak="0">
    <w:nsid w:val="1D2F596C"/>
    <w:multiLevelType w:val="hybridMultilevel"/>
    <w:tmpl w:val="F73EBD74"/>
    <w:lvl w:ilvl="0" w:tplc="1C8C7B8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1DE46F3B"/>
    <w:multiLevelType w:val="hybridMultilevel"/>
    <w:tmpl w:val="50040FA4"/>
    <w:lvl w:ilvl="0" w:tplc="9E26BB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1FCB69E2"/>
    <w:multiLevelType w:val="hybridMultilevel"/>
    <w:tmpl w:val="8B0E150E"/>
    <w:lvl w:ilvl="0" w:tplc="778E024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7" w15:restartNumberingAfterBreak="0">
    <w:nsid w:val="20023656"/>
    <w:multiLevelType w:val="multilevel"/>
    <w:tmpl w:val="76B2FBC4"/>
    <w:lvl w:ilvl="0">
      <w:start w:val="7"/>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59C7F5F"/>
    <w:multiLevelType w:val="multilevel"/>
    <w:tmpl w:val="59B26D60"/>
    <w:lvl w:ilvl="0">
      <w:start w:val="7"/>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CA2715C"/>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1" w15:restartNumberingAfterBreak="0">
    <w:nsid w:val="347238DC"/>
    <w:multiLevelType w:val="hybridMultilevel"/>
    <w:tmpl w:val="21029464"/>
    <w:lvl w:ilvl="0" w:tplc="3E5CC66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15:restartNumberingAfterBreak="0">
    <w:nsid w:val="3C5D0C07"/>
    <w:multiLevelType w:val="hybridMultilevel"/>
    <w:tmpl w:val="1B88B870"/>
    <w:lvl w:ilvl="0" w:tplc="C63A4442">
      <w:start w:val="1"/>
      <w:numFmt w:val="decimal"/>
      <w:pStyle w:val="Numberedlists"/>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F7D539A"/>
    <w:multiLevelType w:val="hybridMultilevel"/>
    <w:tmpl w:val="568A59F4"/>
    <w:lvl w:ilvl="0" w:tplc="95EAA92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15:restartNumberingAfterBreak="0">
    <w:nsid w:val="42EC1234"/>
    <w:multiLevelType w:val="hybridMultilevel"/>
    <w:tmpl w:val="243A13F4"/>
    <w:lvl w:ilvl="0" w:tplc="538EF95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5" w15:restartNumberingAfterBreak="0">
    <w:nsid w:val="4BC32E12"/>
    <w:multiLevelType w:val="hybridMultilevel"/>
    <w:tmpl w:val="2FCCF382"/>
    <w:lvl w:ilvl="0" w:tplc="0409000F">
      <w:start w:val="1"/>
      <w:numFmt w:val="decimal"/>
      <w:lvlText w:val="%1."/>
      <w:lvlJc w:val="left"/>
      <w:pPr>
        <w:tabs>
          <w:tab w:val="num" w:pos="720"/>
        </w:tabs>
        <w:ind w:left="720" w:hanging="360"/>
      </w:pPr>
      <w:rPr>
        <w:rFonts w:cs="Times New Roman"/>
      </w:rPr>
    </w:lvl>
    <w:lvl w:ilvl="1" w:tplc="582881EA">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58685B"/>
    <w:multiLevelType w:val="multilevel"/>
    <w:tmpl w:val="5964C31E"/>
    <w:lvl w:ilvl="0">
      <w:start w:val="7"/>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504D4"/>
    <w:multiLevelType w:val="hybridMultilevel"/>
    <w:tmpl w:val="D6DC4A3E"/>
    <w:lvl w:ilvl="0" w:tplc="6842356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15:restartNumberingAfterBreak="0">
    <w:nsid w:val="5BD96BF8"/>
    <w:multiLevelType w:val="hybridMultilevel"/>
    <w:tmpl w:val="B7CA4C02"/>
    <w:lvl w:ilvl="0" w:tplc="F5D45DE6">
      <w:start w:val="1"/>
      <w:numFmt w:val="bullet"/>
      <w:pStyle w:val="Bulletedlis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684610"/>
    <w:multiLevelType w:val="hybridMultilevel"/>
    <w:tmpl w:val="35C42DAA"/>
    <w:lvl w:ilvl="0" w:tplc="2530FA0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1" w15:restartNumberingAfterBreak="0">
    <w:nsid w:val="65E12593"/>
    <w:multiLevelType w:val="multilevel"/>
    <w:tmpl w:val="5FDCD366"/>
    <w:lvl w:ilvl="0">
      <w:start w:val="6"/>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65F374C5"/>
    <w:multiLevelType w:val="multilevel"/>
    <w:tmpl w:val="D10C3948"/>
    <w:lvl w:ilvl="0">
      <w:start w:val="6"/>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15:restartNumberingAfterBreak="0">
    <w:nsid w:val="6675541D"/>
    <w:multiLevelType w:val="multilevel"/>
    <w:tmpl w:val="662073F0"/>
    <w:lvl w:ilvl="0">
      <w:start w:val="6"/>
      <w:numFmt w:val="decimal"/>
      <w:lvlText w:val="%1"/>
      <w:lvlJc w:val="left"/>
      <w:pPr>
        <w:ind w:left="480" w:hanging="480"/>
      </w:pPr>
      <w:rPr>
        <w:rFonts w:cs="Times New Roman" w:hint="default"/>
      </w:rPr>
    </w:lvl>
    <w:lvl w:ilvl="1">
      <w:start w:val="4"/>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66E52C33"/>
    <w:multiLevelType w:val="hybridMultilevel"/>
    <w:tmpl w:val="48A8BC6C"/>
    <w:lvl w:ilvl="0" w:tplc="690A42A0">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5" w15:restartNumberingAfterBreak="0">
    <w:nsid w:val="6CDC7FE5"/>
    <w:multiLevelType w:val="hybridMultilevel"/>
    <w:tmpl w:val="BE58BF34"/>
    <w:lvl w:ilvl="0" w:tplc="6080A76E">
      <w:start w:val="1"/>
      <w:numFmt w:val="lowerLetter"/>
      <w:lvlText w:val="(%1)"/>
      <w:lvlJc w:val="left"/>
      <w:pPr>
        <w:ind w:left="375" w:hanging="375"/>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6" w15:restartNumberingAfterBreak="0">
    <w:nsid w:val="72EE6B0C"/>
    <w:multiLevelType w:val="hybridMultilevel"/>
    <w:tmpl w:val="0B2ABAEE"/>
    <w:lvl w:ilvl="0" w:tplc="504838F2">
      <w:start w:val="3"/>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7" w15:restartNumberingAfterBreak="0">
    <w:nsid w:val="7D4D3C95"/>
    <w:multiLevelType w:val="multilevel"/>
    <w:tmpl w:val="5B1C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7"/>
  </w:num>
  <w:num w:numId="3">
    <w:abstractNumId w:val="0"/>
  </w:num>
  <w:num w:numId="4">
    <w:abstractNumId w:val="1"/>
  </w:num>
  <w:num w:numId="5">
    <w:abstractNumId w:val="2"/>
  </w:num>
  <w:num w:numId="6">
    <w:abstractNumId w:val="3"/>
  </w:num>
  <w:num w:numId="7">
    <w:abstractNumId w:val="8"/>
  </w:num>
  <w:num w:numId="8">
    <w:abstractNumId w:val="4"/>
  </w:num>
  <w:num w:numId="9">
    <w:abstractNumId w:val="6"/>
  </w:num>
  <w:num w:numId="10">
    <w:abstractNumId w:val="5"/>
  </w:num>
  <w:num w:numId="11">
    <w:abstractNumId w:val="9"/>
  </w:num>
  <w:num w:numId="12">
    <w:abstractNumId w:val="7"/>
  </w:num>
  <w:num w:numId="13">
    <w:abstractNumId w:val="22"/>
  </w:num>
  <w:num w:numId="14">
    <w:abstractNumId w:val="29"/>
  </w:num>
  <w:num w:numId="15">
    <w:abstractNumId w:val="25"/>
  </w:num>
  <w:num w:numId="16">
    <w:abstractNumId w:val="16"/>
  </w:num>
  <w:num w:numId="17">
    <w:abstractNumId w:val="14"/>
  </w:num>
  <w:num w:numId="18">
    <w:abstractNumId w:val="37"/>
  </w:num>
  <w:num w:numId="19">
    <w:abstractNumId w:val="10"/>
  </w:num>
  <w:num w:numId="20">
    <w:abstractNumId w:val="12"/>
  </w:num>
  <w:num w:numId="21">
    <w:abstractNumId w:val="21"/>
  </w:num>
  <w:num w:numId="22">
    <w:abstractNumId w:val="24"/>
  </w:num>
  <w:num w:numId="23">
    <w:abstractNumId w:val="13"/>
  </w:num>
  <w:num w:numId="24">
    <w:abstractNumId w:val="11"/>
  </w:num>
  <w:num w:numId="25">
    <w:abstractNumId w:val="34"/>
  </w:num>
  <w:num w:numId="26">
    <w:abstractNumId w:val="35"/>
  </w:num>
  <w:num w:numId="27">
    <w:abstractNumId w:val="36"/>
  </w:num>
  <w:num w:numId="28">
    <w:abstractNumId w:val="28"/>
  </w:num>
  <w:num w:numId="29">
    <w:abstractNumId w:val="23"/>
  </w:num>
  <w:num w:numId="30">
    <w:abstractNumId w:val="15"/>
  </w:num>
  <w:num w:numId="31">
    <w:abstractNumId w:val="32"/>
  </w:num>
  <w:num w:numId="32">
    <w:abstractNumId w:val="30"/>
  </w:num>
  <w:num w:numId="33">
    <w:abstractNumId w:val="26"/>
  </w:num>
  <w:num w:numId="34">
    <w:abstractNumId w:val="33"/>
  </w:num>
  <w:num w:numId="35">
    <w:abstractNumId w:val="17"/>
  </w:num>
  <w:num w:numId="36">
    <w:abstractNumId w:val="18"/>
  </w:num>
  <w:num w:numId="37">
    <w:abstractNumId w:val="31"/>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848"/>
    <w:rsid w:val="00014D36"/>
    <w:rsid w:val="0006320A"/>
    <w:rsid w:val="00063A85"/>
    <w:rsid w:val="0007504D"/>
    <w:rsid w:val="00081194"/>
    <w:rsid w:val="00090153"/>
    <w:rsid w:val="00093D78"/>
    <w:rsid w:val="000956A8"/>
    <w:rsid w:val="000A1D7F"/>
    <w:rsid w:val="000B5C1F"/>
    <w:rsid w:val="000D3DB4"/>
    <w:rsid w:val="000D77DB"/>
    <w:rsid w:val="00134E33"/>
    <w:rsid w:val="001437A7"/>
    <w:rsid w:val="00165987"/>
    <w:rsid w:val="00176150"/>
    <w:rsid w:val="001770D2"/>
    <w:rsid w:val="0019152D"/>
    <w:rsid w:val="001A16E6"/>
    <w:rsid w:val="001C7ABD"/>
    <w:rsid w:val="001D64D3"/>
    <w:rsid w:val="001F2F99"/>
    <w:rsid w:val="00204A98"/>
    <w:rsid w:val="00206FFA"/>
    <w:rsid w:val="002147A3"/>
    <w:rsid w:val="002220D8"/>
    <w:rsid w:val="0023321A"/>
    <w:rsid w:val="00246986"/>
    <w:rsid w:val="00272543"/>
    <w:rsid w:val="002761B3"/>
    <w:rsid w:val="00293604"/>
    <w:rsid w:val="00293691"/>
    <w:rsid w:val="00295878"/>
    <w:rsid w:val="002A2583"/>
    <w:rsid w:val="002A6E1F"/>
    <w:rsid w:val="002C3084"/>
    <w:rsid w:val="002F4BD7"/>
    <w:rsid w:val="003008BD"/>
    <w:rsid w:val="00323A58"/>
    <w:rsid w:val="0033378E"/>
    <w:rsid w:val="00361EFF"/>
    <w:rsid w:val="00380093"/>
    <w:rsid w:val="003A1088"/>
    <w:rsid w:val="003A3F7A"/>
    <w:rsid w:val="003C102C"/>
    <w:rsid w:val="003C26B2"/>
    <w:rsid w:val="003E13E9"/>
    <w:rsid w:val="003E41AD"/>
    <w:rsid w:val="00407332"/>
    <w:rsid w:val="004139A8"/>
    <w:rsid w:val="00416B2F"/>
    <w:rsid w:val="00430F29"/>
    <w:rsid w:val="00437811"/>
    <w:rsid w:val="00460654"/>
    <w:rsid w:val="0047304A"/>
    <w:rsid w:val="004848AE"/>
    <w:rsid w:val="004A4D33"/>
    <w:rsid w:val="004D0C7A"/>
    <w:rsid w:val="004E7BB2"/>
    <w:rsid w:val="00500113"/>
    <w:rsid w:val="00511ABD"/>
    <w:rsid w:val="0051350D"/>
    <w:rsid w:val="0052529F"/>
    <w:rsid w:val="00530910"/>
    <w:rsid w:val="00540431"/>
    <w:rsid w:val="005447D9"/>
    <w:rsid w:val="00544AD2"/>
    <w:rsid w:val="005523C9"/>
    <w:rsid w:val="00560B86"/>
    <w:rsid w:val="0059008F"/>
    <w:rsid w:val="00591B3F"/>
    <w:rsid w:val="005A452A"/>
    <w:rsid w:val="005B160C"/>
    <w:rsid w:val="005B696A"/>
    <w:rsid w:val="005E03FC"/>
    <w:rsid w:val="005E67D2"/>
    <w:rsid w:val="005F18A3"/>
    <w:rsid w:val="00621482"/>
    <w:rsid w:val="006320DF"/>
    <w:rsid w:val="00651A1C"/>
    <w:rsid w:val="0066413A"/>
    <w:rsid w:val="0068069F"/>
    <w:rsid w:val="0068165C"/>
    <w:rsid w:val="006832C9"/>
    <w:rsid w:val="00695FCD"/>
    <w:rsid w:val="006B221C"/>
    <w:rsid w:val="006C5F98"/>
    <w:rsid w:val="006E56D5"/>
    <w:rsid w:val="00700EEF"/>
    <w:rsid w:val="00703034"/>
    <w:rsid w:val="007150CA"/>
    <w:rsid w:val="007335E3"/>
    <w:rsid w:val="007454CB"/>
    <w:rsid w:val="0075681A"/>
    <w:rsid w:val="007742A5"/>
    <w:rsid w:val="00780F9D"/>
    <w:rsid w:val="007C32FF"/>
    <w:rsid w:val="007E24EC"/>
    <w:rsid w:val="007E5B9A"/>
    <w:rsid w:val="007F19E8"/>
    <w:rsid w:val="008011D1"/>
    <w:rsid w:val="00801273"/>
    <w:rsid w:val="00802B48"/>
    <w:rsid w:val="008035C8"/>
    <w:rsid w:val="008223CF"/>
    <w:rsid w:val="00826AC6"/>
    <w:rsid w:val="008470D5"/>
    <w:rsid w:val="00871888"/>
    <w:rsid w:val="0087492D"/>
    <w:rsid w:val="00887848"/>
    <w:rsid w:val="008D3B08"/>
    <w:rsid w:val="008E25CD"/>
    <w:rsid w:val="008F2DEE"/>
    <w:rsid w:val="00900FFC"/>
    <w:rsid w:val="009054E4"/>
    <w:rsid w:val="00907239"/>
    <w:rsid w:val="009330F6"/>
    <w:rsid w:val="00935383"/>
    <w:rsid w:val="009477BA"/>
    <w:rsid w:val="00953559"/>
    <w:rsid w:val="009541FB"/>
    <w:rsid w:val="00957102"/>
    <w:rsid w:val="00963BFC"/>
    <w:rsid w:val="00983E53"/>
    <w:rsid w:val="009C0A0C"/>
    <w:rsid w:val="009D0475"/>
    <w:rsid w:val="009D6E9C"/>
    <w:rsid w:val="009E3F30"/>
    <w:rsid w:val="009F1108"/>
    <w:rsid w:val="00A05341"/>
    <w:rsid w:val="00A35A7E"/>
    <w:rsid w:val="00A40393"/>
    <w:rsid w:val="00A42E2A"/>
    <w:rsid w:val="00AA1EF2"/>
    <w:rsid w:val="00AC683D"/>
    <w:rsid w:val="00AF142B"/>
    <w:rsid w:val="00B15F8C"/>
    <w:rsid w:val="00B178AA"/>
    <w:rsid w:val="00B20C97"/>
    <w:rsid w:val="00B40074"/>
    <w:rsid w:val="00B424F9"/>
    <w:rsid w:val="00B8155B"/>
    <w:rsid w:val="00B85735"/>
    <w:rsid w:val="00BB11E3"/>
    <w:rsid w:val="00BD49EF"/>
    <w:rsid w:val="00C06F9C"/>
    <w:rsid w:val="00C171C7"/>
    <w:rsid w:val="00C504BE"/>
    <w:rsid w:val="00C5331B"/>
    <w:rsid w:val="00C659AF"/>
    <w:rsid w:val="00C87C2D"/>
    <w:rsid w:val="00C91857"/>
    <w:rsid w:val="00CA4DA6"/>
    <w:rsid w:val="00CF636F"/>
    <w:rsid w:val="00CF79CF"/>
    <w:rsid w:val="00D36065"/>
    <w:rsid w:val="00D64EF4"/>
    <w:rsid w:val="00D92B50"/>
    <w:rsid w:val="00DA5EE1"/>
    <w:rsid w:val="00DB3622"/>
    <w:rsid w:val="00DB4107"/>
    <w:rsid w:val="00DE76FB"/>
    <w:rsid w:val="00E00A0E"/>
    <w:rsid w:val="00E016BC"/>
    <w:rsid w:val="00E3324A"/>
    <w:rsid w:val="00E73006"/>
    <w:rsid w:val="00E862B4"/>
    <w:rsid w:val="00E92ABE"/>
    <w:rsid w:val="00E951E8"/>
    <w:rsid w:val="00EA051E"/>
    <w:rsid w:val="00EA7EFD"/>
    <w:rsid w:val="00EC67E1"/>
    <w:rsid w:val="00ED66A8"/>
    <w:rsid w:val="00EF3D65"/>
    <w:rsid w:val="00F129F3"/>
    <w:rsid w:val="00F15283"/>
    <w:rsid w:val="00F26EDA"/>
    <w:rsid w:val="00F33D80"/>
    <w:rsid w:val="00F52638"/>
    <w:rsid w:val="00F665F8"/>
    <w:rsid w:val="00F75230"/>
    <w:rsid w:val="00F83F70"/>
    <w:rsid w:val="00F87010"/>
    <w:rsid w:val="00FA3FFD"/>
    <w:rsid w:val="00FD6C84"/>
    <w:rsid w:val="00FE1F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7D2"/>
    <w:rPr>
      <w:sz w:val="24"/>
      <w:szCs w:val="24"/>
    </w:rPr>
  </w:style>
  <w:style w:type="paragraph" w:styleId="Heading1">
    <w:name w:val="heading 1"/>
    <w:basedOn w:val="Normal"/>
    <w:next w:val="Normal"/>
    <w:link w:val="Heading1Char"/>
    <w:uiPriority w:val="99"/>
    <w:qFormat/>
    <w:rsid w:val="005E67D2"/>
    <w:pPr>
      <w:keepNext/>
      <w:spacing w:before="240" w:after="60"/>
      <w:outlineLvl w:val="0"/>
    </w:pPr>
    <w:rPr>
      <w:rFonts w:cs="Arial"/>
      <w:b/>
      <w:bCs/>
      <w:kern w:val="32"/>
      <w:szCs w:val="32"/>
    </w:rPr>
  </w:style>
  <w:style w:type="paragraph" w:styleId="Heading2">
    <w:name w:val="heading 2"/>
    <w:basedOn w:val="Normal"/>
    <w:next w:val="Normal"/>
    <w:link w:val="Heading2Char"/>
    <w:uiPriority w:val="99"/>
    <w:qFormat/>
    <w:rsid w:val="005E67D2"/>
    <w:pPr>
      <w:keepNext/>
      <w:spacing w:before="240" w:after="60"/>
      <w:outlineLvl w:val="1"/>
    </w:pPr>
    <w:rPr>
      <w:rFonts w:cs="Arial"/>
      <w:b/>
      <w:bCs/>
      <w:i/>
      <w:iCs/>
      <w:szCs w:val="28"/>
    </w:rPr>
  </w:style>
  <w:style w:type="paragraph" w:styleId="Heading3">
    <w:name w:val="heading 3"/>
    <w:basedOn w:val="Normal"/>
    <w:next w:val="Normal"/>
    <w:link w:val="Heading3Char"/>
    <w:uiPriority w:val="99"/>
    <w:qFormat/>
    <w:rsid w:val="005E67D2"/>
    <w:pPr>
      <w:keepNext/>
      <w:spacing w:before="240" w:after="60"/>
      <w:outlineLvl w:val="2"/>
    </w:pPr>
    <w:rPr>
      <w:rFonts w:cs="Arial"/>
      <w:bCs/>
      <w:i/>
      <w:szCs w:val="26"/>
    </w:rPr>
  </w:style>
  <w:style w:type="paragraph" w:styleId="Heading4">
    <w:name w:val="heading 4"/>
    <w:basedOn w:val="Normal"/>
    <w:next w:val="Normal"/>
    <w:link w:val="Heading4Char"/>
    <w:uiPriority w:val="99"/>
    <w:qFormat/>
    <w:rsid w:val="005E67D2"/>
    <w:pPr>
      <w:keepNext/>
      <w:spacing w:before="240" w:after="60"/>
      <w:outlineLvl w:val="3"/>
    </w:pPr>
    <w:rPr>
      <w:bCs/>
      <w:i/>
      <w:szCs w:val="28"/>
    </w:rPr>
  </w:style>
  <w:style w:type="paragraph" w:styleId="Heading5">
    <w:name w:val="heading 5"/>
    <w:basedOn w:val="Normal"/>
    <w:next w:val="Normal"/>
    <w:link w:val="Heading5Char"/>
    <w:uiPriority w:val="99"/>
    <w:qFormat/>
    <w:rsid w:val="005E67D2"/>
    <w:pPr>
      <w:spacing w:before="240" w:after="60"/>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rsid w:val="005E67D2"/>
    <w:pPr>
      <w:spacing w:before="240" w:after="60"/>
      <w:outlineLvl w:val="5"/>
    </w:pPr>
    <w:rPr>
      <w:rFonts w:ascii="Calibri" w:hAnsi="Calibri"/>
      <w:b/>
      <w:bCs/>
      <w:sz w:val="22"/>
      <w:szCs w:val="22"/>
      <w:lang w:eastAsia="en-US"/>
    </w:rPr>
  </w:style>
  <w:style w:type="paragraph" w:styleId="Heading7">
    <w:name w:val="heading 7"/>
    <w:basedOn w:val="Normal"/>
    <w:next w:val="Normal"/>
    <w:link w:val="Heading7Char"/>
    <w:uiPriority w:val="99"/>
    <w:qFormat/>
    <w:rsid w:val="005E67D2"/>
    <w:pPr>
      <w:spacing w:before="240" w:after="60"/>
      <w:outlineLvl w:val="6"/>
    </w:pPr>
    <w:rPr>
      <w:rFonts w:ascii="Calibri" w:hAnsi="Calibri"/>
      <w:lang w:eastAsia="en-US"/>
    </w:rPr>
  </w:style>
  <w:style w:type="paragraph" w:styleId="Heading8">
    <w:name w:val="heading 8"/>
    <w:basedOn w:val="Normal"/>
    <w:next w:val="Normal"/>
    <w:link w:val="Heading8Char"/>
    <w:uiPriority w:val="99"/>
    <w:qFormat/>
    <w:rsid w:val="005E67D2"/>
    <w:pPr>
      <w:spacing w:before="240" w:after="60"/>
      <w:outlineLvl w:val="7"/>
    </w:pPr>
    <w:rPr>
      <w:rFonts w:ascii="Calibri" w:hAnsi="Calibri"/>
      <w:i/>
      <w:iCs/>
      <w:lang w:eastAsia="en-US"/>
    </w:rPr>
  </w:style>
  <w:style w:type="paragraph" w:styleId="Heading9">
    <w:name w:val="heading 9"/>
    <w:basedOn w:val="Normal"/>
    <w:next w:val="Normal"/>
    <w:link w:val="Heading9Char"/>
    <w:uiPriority w:val="99"/>
    <w:qFormat/>
    <w:rsid w:val="005E67D2"/>
    <w:pPr>
      <w:spacing w:before="240" w:after="6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67D2"/>
    <w:rPr>
      <w:rFonts w:cs="Arial"/>
      <w:b/>
      <w:bCs/>
      <w:kern w:val="32"/>
      <w:sz w:val="32"/>
      <w:szCs w:val="32"/>
    </w:rPr>
  </w:style>
  <w:style w:type="character" w:customStyle="1" w:styleId="Heading2Char">
    <w:name w:val="Heading 2 Char"/>
    <w:basedOn w:val="DefaultParagraphFont"/>
    <w:link w:val="Heading2"/>
    <w:uiPriority w:val="99"/>
    <w:locked/>
    <w:rsid w:val="005E67D2"/>
    <w:rPr>
      <w:rFonts w:cs="Arial"/>
      <w:b/>
      <w:bCs/>
      <w:i/>
      <w:iCs/>
      <w:sz w:val="28"/>
      <w:szCs w:val="28"/>
    </w:rPr>
  </w:style>
  <w:style w:type="character" w:customStyle="1" w:styleId="Heading3Char">
    <w:name w:val="Heading 3 Char"/>
    <w:basedOn w:val="DefaultParagraphFont"/>
    <w:link w:val="Heading3"/>
    <w:uiPriority w:val="99"/>
    <w:locked/>
    <w:rsid w:val="005E67D2"/>
    <w:rPr>
      <w:rFonts w:cs="Arial"/>
      <w:bCs/>
      <w:i/>
      <w:sz w:val="26"/>
      <w:szCs w:val="26"/>
    </w:rPr>
  </w:style>
  <w:style w:type="character" w:customStyle="1" w:styleId="Heading4Char">
    <w:name w:val="Heading 4 Char"/>
    <w:basedOn w:val="DefaultParagraphFont"/>
    <w:link w:val="Heading4"/>
    <w:uiPriority w:val="99"/>
    <w:locked/>
    <w:rsid w:val="005E67D2"/>
    <w:rPr>
      <w:rFonts w:cs="Times New Roman"/>
      <w:bCs/>
      <w:i/>
      <w:sz w:val="28"/>
      <w:szCs w:val="28"/>
    </w:rPr>
  </w:style>
  <w:style w:type="character" w:customStyle="1" w:styleId="Heading5Char">
    <w:name w:val="Heading 5 Char"/>
    <w:basedOn w:val="DefaultParagraphFont"/>
    <w:link w:val="Heading5"/>
    <w:uiPriority w:val="99"/>
    <w:locked/>
    <w:rsid w:val="005E67D2"/>
    <w:rPr>
      <w:rFonts w:ascii="Calibri" w:eastAsia="SimSun" w:hAnsi="Calibri" w:cs="Times New Roman"/>
      <w:b/>
      <w:bCs/>
      <w:i/>
      <w:iCs/>
      <w:sz w:val="26"/>
      <w:szCs w:val="26"/>
      <w:lang w:eastAsia="en-US"/>
    </w:rPr>
  </w:style>
  <w:style w:type="character" w:customStyle="1" w:styleId="Heading6Char">
    <w:name w:val="Heading 6 Char"/>
    <w:basedOn w:val="DefaultParagraphFont"/>
    <w:link w:val="Heading6"/>
    <w:uiPriority w:val="99"/>
    <w:locked/>
    <w:rsid w:val="005E67D2"/>
    <w:rPr>
      <w:rFonts w:ascii="Calibri" w:eastAsia="SimSun" w:hAnsi="Calibri" w:cs="Times New Roman"/>
      <w:b/>
      <w:bCs/>
      <w:sz w:val="22"/>
      <w:szCs w:val="22"/>
      <w:lang w:eastAsia="en-US"/>
    </w:rPr>
  </w:style>
  <w:style w:type="character" w:customStyle="1" w:styleId="Heading7Char">
    <w:name w:val="Heading 7 Char"/>
    <w:basedOn w:val="DefaultParagraphFont"/>
    <w:link w:val="Heading7"/>
    <w:uiPriority w:val="99"/>
    <w:locked/>
    <w:rsid w:val="005E67D2"/>
    <w:rPr>
      <w:rFonts w:ascii="Calibri" w:eastAsia="SimSun" w:hAnsi="Calibri" w:cs="Times New Roman"/>
      <w:sz w:val="24"/>
      <w:szCs w:val="24"/>
      <w:lang w:eastAsia="en-US"/>
    </w:rPr>
  </w:style>
  <w:style w:type="character" w:customStyle="1" w:styleId="Heading8Char">
    <w:name w:val="Heading 8 Char"/>
    <w:basedOn w:val="DefaultParagraphFont"/>
    <w:link w:val="Heading8"/>
    <w:uiPriority w:val="99"/>
    <w:locked/>
    <w:rsid w:val="005E67D2"/>
    <w:rPr>
      <w:rFonts w:ascii="Calibri" w:eastAsia="SimSun" w:hAnsi="Calibri" w:cs="Times New Roman"/>
      <w:i/>
      <w:iCs/>
      <w:sz w:val="24"/>
      <w:szCs w:val="24"/>
      <w:lang w:eastAsia="en-US"/>
    </w:rPr>
  </w:style>
  <w:style w:type="character" w:customStyle="1" w:styleId="Heading9Char">
    <w:name w:val="Heading 9 Char"/>
    <w:basedOn w:val="DefaultParagraphFont"/>
    <w:link w:val="Heading9"/>
    <w:uiPriority w:val="99"/>
    <w:locked/>
    <w:rsid w:val="005E67D2"/>
    <w:rPr>
      <w:rFonts w:ascii="Cambria" w:eastAsia="SimSun" w:hAnsi="Cambria" w:cs="Times New Roman"/>
      <w:sz w:val="22"/>
      <w:szCs w:val="22"/>
      <w:lang w:eastAsia="en-US"/>
    </w:rPr>
  </w:style>
  <w:style w:type="paragraph" w:customStyle="1" w:styleId="Articletitle">
    <w:name w:val="Article title"/>
    <w:basedOn w:val="Normal"/>
    <w:next w:val="Normal"/>
    <w:uiPriority w:val="99"/>
    <w:rsid w:val="005E67D2"/>
    <w:rPr>
      <w:b/>
      <w:sz w:val="28"/>
    </w:rPr>
  </w:style>
  <w:style w:type="paragraph" w:customStyle="1" w:styleId="Authornames">
    <w:name w:val="Author names"/>
    <w:basedOn w:val="Normal"/>
    <w:next w:val="Normal"/>
    <w:uiPriority w:val="99"/>
    <w:rsid w:val="005E67D2"/>
    <w:rPr>
      <w:sz w:val="28"/>
    </w:rPr>
  </w:style>
  <w:style w:type="paragraph" w:customStyle="1" w:styleId="Affiliation">
    <w:name w:val="Affiliation"/>
    <w:basedOn w:val="Normal"/>
    <w:next w:val="Normal"/>
    <w:uiPriority w:val="99"/>
    <w:rsid w:val="005E67D2"/>
    <w:rPr>
      <w:i/>
    </w:rPr>
  </w:style>
  <w:style w:type="paragraph" w:customStyle="1" w:styleId="Receiveddates">
    <w:name w:val="Received dates"/>
    <w:basedOn w:val="Normal"/>
    <w:next w:val="Normal"/>
    <w:uiPriority w:val="99"/>
    <w:rsid w:val="005E67D2"/>
    <w:rPr>
      <w:i/>
    </w:rPr>
  </w:style>
  <w:style w:type="paragraph" w:customStyle="1" w:styleId="Abstract">
    <w:name w:val="Abstract"/>
    <w:basedOn w:val="Normal"/>
    <w:next w:val="Normal"/>
    <w:uiPriority w:val="99"/>
    <w:rsid w:val="005E67D2"/>
    <w:pPr>
      <w:ind w:left="720" w:right="567"/>
    </w:pPr>
    <w:rPr>
      <w:sz w:val="22"/>
    </w:rPr>
  </w:style>
  <w:style w:type="paragraph" w:customStyle="1" w:styleId="Keywords">
    <w:name w:val="Keywords"/>
    <w:basedOn w:val="Normal"/>
    <w:next w:val="Normal"/>
    <w:uiPriority w:val="99"/>
    <w:rsid w:val="005E67D2"/>
    <w:pPr>
      <w:ind w:left="720" w:right="567"/>
    </w:pPr>
    <w:rPr>
      <w:sz w:val="22"/>
    </w:rPr>
  </w:style>
  <w:style w:type="paragraph" w:customStyle="1" w:styleId="Correspondencedetails">
    <w:name w:val="Correspondence details"/>
    <w:basedOn w:val="Normal"/>
    <w:next w:val="Normal"/>
    <w:uiPriority w:val="99"/>
    <w:rsid w:val="005E67D2"/>
  </w:style>
  <w:style w:type="paragraph" w:customStyle="1" w:styleId="Displayedquotations">
    <w:name w:val="Displayed quotations"/>
    <w:basedOn w:val="Normal"/>
    <w:next w:val="Normal"/>
    <w:uiPriority w:val="99"/>
    <w:rsid w:val="005E67D2"/>
    <w:pPr>
      <w:tabs>
        <w:tab w:val="left" w:pos="1077"/>
        <w:tab w:val="left" w:pos="1440"/>
      </w:tabs>
      <w:ind w:left="720" w:right="567"/>
    </w:pPr>
    <w:rPr>
      <w:sz w:val="22"/>
    </w:rPr>
  </w:style>
  <w:style w:type="paragraph" w:customStyle="1" w:styleId="Numberedlists">
    <w:name w:val="Numbered lists"/>
    <w:basedOn w:val="Normal"/>
    <w:next w:val="Normal"/>
    <w:uiPriority w:val="99"/>
    <w:rsid w:val="005E67D2"/>
    <w:pPr>
      <w:numPr>
        <w:numId w:val="13"/>
      </w:numPr>
    </w:pPr>
  </w:style>
  <w:style w:type="paragraph" w:customStyle="1" w:styleId="Bulletedlists">
    <w:name w:val="Bulleted lists"/>
    <w:basedOn w:val="Normal"/>
    <w:next w:val="Normal"/>
    <w:uiPriority w:val="99"/>
    <w:rsid w:val="005E67D2"/>
    <w:pPr>
      <w:numPr>
        <w:numId w:val="14"/>
      </w:numPr>
    </w:pPr>
  </w:style>
  <w:style w:type="paragraph" w:customStyle="1" w:styleId="Equations">
    <w:name w:val="Equations"/>
    <w:basedOn w:val="Normal"/>
    <w:next w:val="Normal"/>
    <w:uiPriority w:val="99"/>
    <w:rsid w:val="005E67D2"/>
    <w:pPr>
      <w:jc w:val="center"/>
    </w:pPr>
  </w:style>
  <w:style w:type="paragraph" w:customStyle="1" w:styleId="Acknowledgements">
    <w:name w:val="Acknowledgements"/>
    <w:basedOn w:val="Normal"/>
    <w:next w:val="Normal"/>
    <w:uiPriority w:val="99"/>
    <w:rsid w:val="005E67D2"/>
    <w:rPr>
      <w:sz w:val="22"/>
    </w:rPr>
  </w:style>
  <w:style w:type="paragraph" w:customStyle="1" w:styleId="Tabletitle">
    <w:name w:val="Table title"/>
    <w:basedOn w:val="Normal"/>
    <w:next w:val="Normal"/>
    <w:uiPriority w:val="99"/>
    <w:rsid w:val="005E67D2"/>
  </w:style>
  <w:style w:type="paragraph" w:customStyle="1" w:styleId="Figurelegend">
    <w:name w:val="Figure legend"/>
    <w:basedOn w:val="Normal"/>
    <w:next w:val="Normal"/>
    <w:uiPriority w:val="99"/>
    <w:rsid w:val="005E67D2"/>
  </w:style>
  <w:style w:type="paragraph" w:customStyle="1" w:styleId="Footnotes">
    <w:name w:val="Footnotes"/>
    <w:basedOn w:val="Normal"/>
    <w:next w:val="Normal"/>
    <w:uiPriority w:val="99"/>
    <w:rsid w:val="005E67D2"/>
    <w:pPr>
      <w:ind w:left="720" w:hanging="720"/>
    </w:pPr>
    <w:rPr>
      <w:sz w:val="22"/>
    </w:rPr>
  </w:style>
  <w:style w:type="paragraph" w:customStyle="1" w:styleId="Notesoncontributors">
    <w:name w:val="Notes on contributors"/>
    <w:basedOn w:val="Normal"/>
    <w:next w:val="Normal"/>
    <w:uiPriority w:val="99"/>
    <w:rsid w:val="005E67D2"/>
    <w:rPr>
      <w:sz w:val="22"/>
    </w:rPr>
  </w:style>
  <w:style w:type="paragraph" w:customStyle="1" w:styleId="Normalparagraphstyle">
    <w:name w:val="Normal paragraph style"/>
    <w:basedOn w:val="Normal"/>
    <w:next w:val="Normal"/>
    <w:uiPriority w:val="99"/>
    <w:rsid w:val="005E67D2"/>
    <w:pPr>
      <w:spacing w:line="480" w:lineRule="auto"/>
    </w:pPr>
  </w:style>
  <w:style w:type="paragraph" w:customStyle="1" w:styleId="Firstparagraphstyle">
    <w:name w:val="First paragraph style"/>
    <w:basedOn w:val="Normal"/>
    <w:next w:val="Normal"/>
    <w:uiPriority w:val="99"/>
    <w:rsid w:val="005E67D2"/>
    <w:pPr>
      <w:spacing w:line="480" w:lineRule="auto"/>
    </w:pPr>
  </w:style>
  <w:style w:type="paragraph" w:customStyle="1" w:styleId="Follow-onparagraphstyle">
    <w:name w:val="Follow-on paragraph style"/>
    <w:basedOn w:val="Normal"/>
    <w:next w:val="Normal"/>
    <w:uiPriority w:val="99"/>
    <w:rsid w:val="005E67D2"/>
    <w:pPr>
      <w:spacing w:line="480" w:lineRule="auto"/>
      <w:ind w:firstLine="720"/>
    </w:pPr>
  </w:style>
  <w:style w:type="paragraph" w:styleId="NormalIndent">
    <w:name w:val="Normal Indent"/>
    <w:basedOn w:val="Normal"/>
    <w:uiPriority w:val="99"/>
    <w:rsid w:val="005E67D2"/>
    <w:pPr>
      <w:ind w:left="720"/>
    </w:pPr>
  </w:style>
  <w:style w:type="paragraph" w:customStyle="1" w:styleId="References">
    <w:name w:val="References"/>
    <w:basedOn w:val="Normal"/>
    <w:next w:val="Normal"/>
    <w:uiPriority w:val="99"/>
    <w:rsid w:val="005E67D2"/>
    <w:pPr>
      <w:ind w:left="720" w:hanging="720"/>
    </w:pPr>
  </w:style>
  <w:style w:type="character" w:styleId="Hyperlink">
    <w:name w:val="Hyperlink"/>
    <w:basedOn w:val="DefaultParagraphFont"/>
    <w:uiPriority w:val="99"/>
    <w:rsid w:val="005E67D2"/>
    <w:rPr>
      <w:rFonts w:cs="Times New Roman"/>
      <w:color w:val="D62226"/>
      <w:u w:val="single"/>
    </w:rPr>
  </w:style>
  <w:style w:type="paragraph" w:styleId="BalloonText">
    <w:name w:val="Balloon Text"/>
    <w:basedOn w:val="Normal"/>
    <w:link w:val="BalloonTextChar"/>
    <w:uiPriority w:val="99"/>
    <w:rsid w:val="005E67D2"/>
    <w:rPr>
      <w:rFonts w:ascii="Tahoma" w:hAnsi="Tahoma" w:cs="Tahoma"/>
      <w:sz w:val="16"/>
      <w:szCs w:val="16"/>
    </w:rPr>
  </w:style>
  <w:style w:type="character" w:customStyle="1" w:styleId="BalloonTextChar">
    <w:name w:val="Balloon Text Char"/>
    <w:basedOn w:val="DefaultParagraphFont"/>
    <w:link w:val="BalloonText"/>
    <w:uiPriority w:val="99"/>
    <w:locked/>
    <w:rsid w:val="005E67D2"/>
    <w:rPr>
      <w:rFonts w:ascii="Tahoma" w:hAnsi="Tahoma" w:cs="Tahoma"/>
      <w:sz w:val="16"/>
      <w:szCs w:val="16"/>
    </w:rPr>
  </w:style>
  <w:style w:type="paragraph" w:styleId="FootnoteText">
    <w:name w:val="footnote text"/>
    <w:basedOn w:val="Normal"/>
    <w:link w:val="FootnoteTextChar"/>
    <w:uiPriority w:val="99"/>
    <w:rsid w:val="005E67D2"/>
    <w:pPr>
      <w:snapToGrid w:val="0"/>
    </w:pPr>
    <w:rPr>
      <w:rFonts w:ascii="Calibri" w:hAnsi="Calibri"/>
      <w:sz w:val="18"/>
      <w:szCs w:val="18"/>
      <w:lang w:eastAsia="en-US"/>
    </w:rPr>
  </w:style>
  <w:style w:type="character" w:customStyle="1" w:styleId="FootnoteTextChar">
    <w:name w:val="Footnote Text Char"/>
    <w:basedOn w:val="DefaultParagraphFont"/>
    <w:link w:val="FootnoteText"/>
    <w:uiPriority w:val="99"/>
    <w:locked/>
    <w:rsid w:val="005E67D2"/>
    <w:rPr>
      <w:rFonts w:ascii="Calibri" w:eastAsia="SimSun" w:hAnsi="Calibri" w:cs="Times New Roman"/>
      <w:sz w:val="18"/>
      <w:szCs w:val="18"/>
      <w:lang w:eastAsia="en-US"/>
    </w:rPr>
  </w:style>
  <w:style w:type="character" w:styleId="FootnoteReference">
    <w:name w:val="footnote reference"/>
    <w:basedOn w:val="DefaultParagraphFont"/>
    <w:uiPriority w:val="99"/>
    <w:rsid w:val="005E67D2"/>
    <w:rPr>
      <w:rFonts w:cs="Times New Roman"/>
      <w:vertAlign w:val="superscript"/>
    </w:rPr>
  </w:style>
  <w:style w:type="paragraph" w:styleId="Header">
    <w:name w:val="header"/>
    <w:basedOn w:val="Normal"/>
    <w:link w:val="HeaderChar"/>
    <w:uiPriority w:val="99"/>
    <w:rsid w:val="005E67D2"/>
    <w:pPr>
      <w:pBdr>
        <w:bottom w:val="single" w:sz="6" w:space="1" w:color="auto"/>
      </w:pBdr>
      <w:tabs>
        <w:tab w:val="center" w:pos="4153"/>
        <w:tab w:val="right" w:pos="8306"/>
      </w:tabs>
      <w:snapToGrid w:val="0"/>
      <w:jc w:val="center"/>
    </w:pPr>
    <w:rPr>
      <w:rFonts w:ascii="Calibri" w:hAnsi="Calibri"/>
      <w:sz w:val="18"/>
      <w:szCs w:val="18"/>
      <w:lang w:eastAsia="zh-CN"/>
    </w:rPr>
  </w:style>
  <w:style w:type="character" w:customStyle="1" w:styleId="HeaderChar">
    <w:name w:val="Header Char"/>
    <w:basedOn w:val="DefaultParagraphFont"/>
    <w:link w:val="Header"/>
    <w:uiPriority w:val="99"/>
    <w:locked/>
    <w:rsid w:val="005E67D2"/>
    <w:rPr>
      <w:rFonts w:ascii="Calibri" w:eastAsia="SimSun" w:hAnsi="Calibri" w:cs="Times New Roman"/>
      <w:sz w:val="18"/>
      <w:szCs w:val="18"/>
      <w:lang w:eastAsia="zh-CN"/>
    </w:rPr>
  </w:style>
  <w:style w:type="paragraph" w:styleId="Footer">
    <w:name w:val="footer"/>
    <w:basedOn w:val="Normal"/>
    <w:link w:val="FooterChar"/>
    <w:uiPriority w:val="99"/>
    <w:rsid w:val="005E67D2"/>
    <w:pPr>
      <w:tabs>
        <w:tab w:val="center" w:pos="4153"/>
        <w:tab w:val="right" w:pos="8306"/>
      </w:tabs>
      <w:snapToGrid w:val="0"/>
    </w:pPr>
    <w:rPr>
      <w:rFonts w:ascii="Calibri" w:hAnsi="Calibri"/>
      <w:sz w:val="18"/>
      <w:szCs w:val="18"/>
      <w:lang w:eastAsia="en-US"/>
    </w:rPr>
  </w:style>
  <w:style w:type="character" w:customStyle="1" w:styleId="FooterChar">
    <w:name w:val="Footer Char"/>
    <w:basedOn w:val="DefaultParagraphFont"/>
    <w:link w:val="Footer"/>
    <w:uiPriority w:val="99"/>
    <w:locked/>
    <w:rsid w:val="005E67D2"/>
    <w:rPr>
      <w:rFonts w:ascii="Calibri" w:eastAsia="SimSun" w:hAnsi="Calibri" w:cs="Times New Roman"/>
      <w:sz w:val="18"/>
      <w:szCs w:val="18"/>
      <w:lang w:eastAsia="en-US"/>
    </w:rPr>
  </w:style>
  <w:style w:type="paragraph" w:styleId="Date">
    <w:name w:val="Date"/>
    <w:basedOn w:val="Normal"/>
    <w:next w:val="Normal"/>
    <w:link w:val="DateChar"/>
    <w:uiPriority w:val="99"/>
    <w:rsid w:val="005E67D2"/>
    <w:pPr>
      <w:ind w:leftChars="2500" w:left="100"/>
    </w:pPr>
    <w:rPr>
      <w:rFonts w:ascii="Calibri" w:hAnsi="Calibri"/>
      <w:lang w:eastAsia="en-US"/>
    </w:rPr>
  </w:style>
  <w:style w:type="character" w:customStyle="1" w:styleId="DateChar">
    <w:name w:val="Date Char"/>
    <w:basedOn w:val="DefaultParagraphFont"/>
    <w:link w:val="Date"/>
    <w:uiPriority w:val="99"/>
    <w:locked/>
    <w:rsid w:val="005E67D2"/>
    <w:rPr>
      <w:rFonts w:ascii="Calibri" w:eastAsia="SimSun" w:hAnsi="Calibri" w:cs="Times New Roman"/>
      <w:sz w:val="24"/>
      <w:szCs w:val="24"/>
      <w:lang w:eastAsia="en-US"/>
    </w:rPr>
  </w:style>
  <w:style w:type="paragraph" w:customStyle="1" w:styleId="issuedetails">
    <w:name w:val="issue_details"/>
    <w:basedOn w:val="Normal"/>
    <w:uiPriority w:val="99"/>
    <w:rsid w:val="005E67D2"/>
    <w:pPr>
      <w:spacing w:before="180" w:line="336" w:lineRule="atLeast"/>
    </w:pPr>
    <w:rPr>
      <w:rFonts w:ascii="SimSun" w:hAnsi="SimSun" w:cs="SimSun"/>
      <w:sz w:val="26"/>
      <w:szCs w:val="26"/>
      <w:lang w:eastAsia="en-US"/>
    </w:rPr>
  </w:style>
  <w:style w:type="paragraph" w:customStyle="1" w:styleId="last">
    <w:name w:val="last"/>
    <w:basedOn w:val="Normal"/>
    <w:uiPriority w:val="99"/>
    <w:rsid w:val="005E67D2"/>
    <w:pPr>
      <w:spacing w:before="180" w:line="336" w:lineRule="atLeast"/>
    </w:pPr>
    <w:rPr>
      <w:rFonts w:ascii="SimSun" w:hAnsi="SimSun" w:cs="SimSun"/>
      <w:sz w:val="26"/>
      <w:szCs w:val="26"/>
      <w:lang w:eastAsia="en-US"/>
    </w:rPr>
  </w:style>
  <w:style w:type="paragraph" w:styleId="NormalWeb">
    <w:name w:val="Normal (Web)"/>
    <w:basedOn w:val="Normal"/>
    <w:uiPriority w:val="99"/>
    <w:rsid w:val="005E67D2"/>
    <w:pPr>
      <w:spacing w:before="100" w:beforeAutospacing="1" w:after="100" w:afterAutospacing="1" w:line="360" w:lineRule="auto"/>
    </w:pPr>
    <w:rPr>
      <w:rFonts w:ascii="SimSun" w:hAnsi="SimSun" w:cs="SimSun"/>
      <w:color w:val="000000"/>
      <w:lang w:eastAsia="en-US"/>
    </w:rPr>
  </w:style>
  <w:style w:type="character" w:customStyle="1" w:styleId="h3">
    <w:name w:val="h3"/>
    <w:basedOn w:val="DefaultParagraphFont"/>
    <w:uiPriority w:val="99"/>
    <w:rsid w:val="005E67D2"/>
    <w:rPr>
      <w:rFonts w:cs="Times New Roman"/>
    </w:rPr>
  </w:style>
  <w:style w:type="character" w:styleId="Strong">
    <w:name w:val="Strong"/>
    <w:basedOn w:val="DefaultParagraphFont"/>
    <w:uiPriority w:val="99"/>
    <w:qFormat/>
    <w:rsid w:val="005E67D2"/>
    <w:rPr>
      <w:rFonts w:cs="Times New Roman"/>
      <w:b/>
      <w:bCs/>
    </w:rPr>
  </w:style>
  <w:style w:type="character" w:customStyle="1" w:styleId="lqqtgroup">
    <w:name w:val="lqqtgroup"/>
    <w:basedOn w:val="DefaultParagraphFont"/>
    <w:uiPriority w:val="99"/>
    <w:rsid w:val="005E67D2"/>
    <w:rPr>
      <w:rFonts w:cs="Times New Roman"/>
    </w:rPr>
  </w:style>
  <w:style w:type="character" w:customStyle="1" w:styleId="quotedtooltip">
    <w:name w:val="quotedtooltip"/>
    <w:basedOn w:val="DefaultParagraphFont"/>
    <w:uiPriority w:val="99"/>
    <w:rsid w:val="005E67D2"/>
    <w:rPr>
      <w:rFonts w:cs="Times New Roman"/>
    </w:rPr>
  </w:style>
  <w:style w:type="character" w:customStyle="1" w:styleId="lastlabel1">
    <w:name w:val="lastlabel1"/>
    <w:basedOn w:val="DefaultParagraphFont"/>
    <w:uiPriority w:val="99"/>
    <w:rsid w:val="005E67D2"/>
    <w:rPr>
      <w:rFonts w:cs="Times New Roman"/>
      <w:sz w:val="22"/>
      <w:szCs w:val="22"/>
    </w:rPr>
  </w:style>
  <w:style w:type="character" w:customStyle="1" w:styleId="quotedtooltipbox2">
    <w:name w:val="quotedtooltipbox2"/>
    <w:basedOn w:val="DefaultParagraphFont"/>
    <w:uiPriority w:val="99"/>
    <w:rsid w:val="005E67D2"/>
    <w:rPr>
      <w:rFonts w:cs="Times New Roman"/>
    </w:rPr>
  </w:style>
  <w:style w:type="character" w:customStyle="1" w:styleId="mwlivequotesunchangeddelayed">
    <w:name w:val="mwlivequotes unchanged delayed"/>
    <w:basedOn w:val="DefaultParagraphFont"/>
    <w:uiPriority w:val="99"/>
    <w:rsid w:val="005E67D2"/>
    <w:rPr>
      <w:rFonts w:cs="Times New Roman"/>
    </w:rPr>
  </w:style>
  <w:style w:type="character" w:customStyle="1" w:styleId="marketicon">
    <w:name w:val="marketicon"/>
    <w:basedOn w:val="DefaultParagraphFont"/>
    <w:uiPriority w:val="99"/>
    <w:rsid w:val="005E67D2"/>
    <w:rPr>
      <w:rFonts w:cs="Times New Roman"/>
    </w:rPr>
  </w:style>
  <w:style w:type="character" w:customStyle="1" w:styleId="mwlivequotesupdelayed">
    <w:name w:val="mwlivequotes up delayed"/>
    <w:basedOn w:val="DefaultParagraphFont"/>
    <w:uiPriority w:val="99"/>
    <w:rsid w:val="005E67D2"/>
    <w:rPr>
      <w:rFonts w:cs="Times New Roman"/>
    </w:rPr>
  </w:style>
  <w:style w:type="character" w:customStyle="1" w:styleId="lb07">
    <w:name w:val="lb07"/>
    <w:basedOn w:val="DefaultParagraphFont"/>
    <w:uiPriority w:val="99"/>
    <w:rsid w:val="005E67D2"/>
    <w:rPr>
      <w:rFonts w:cs="Times New Roman"/>
    </w:rPr>
  </w:style>
  <w:style w:type="character" w:customStyle="1" w:styleId="qtedsymbol">
    <w:name w:val="qted symbol"/>
    <w:basedOn w:val="DefaultParagraphFont"/>
    <w:uiPriority w:val="99"/>
    <w:rsid w:val="005E67D2"/>
    <w:rPr>
      <w:rFonts w:cs="Times New Roman"/>
    </w:rPr>
  </w:style>
  <w:style w:type="paragraph" w:customStyle="1" w:styleId="Default">
    <w:name w:val="Default"/>
    <w:uiPriority w:val="99"/>
    <w:rsid w:val="005E67D2"/>
    <w:pPr>
      <w:widowControl w:val="0"/>
      <w:autoSpaceDE w:val="0"/>
      <w:autoSpaceDN w:val="0"/>
      <w:adjustRightInd w:val="0"/>
      <w:spacing w:after="200" w:line="276" w:lineRule="auto"/>
    </w:pPr>
    <w:rPr>
      <w:rFonts w:ascii="TimesNewRoman" w:hAnsi="TimesNewRoman" w:cs="TimesNewRoman"/>
      <w:sz w:val="22"/>
      <w:szCs w:val="22"/>
      <w:lang w:val="en-US" w:eastAsia="en-US"/>
    </w:rPr>
  </w:style>
  <w:style w:type="character" w:styleId="FollowedHyperlink">
    <w:name w:val="FollowedHyperlink"/>
    <w:basedOn w:val="DefaultParagraphFont"/>
    <w:uiPriority w:val="99"/>
    <w:rsid w:val="005E67D2"/>
    <w:rPr>
      <w:rFonts w:cs="Times New Roman"/>
      <w:color w:val="800080"/>
      <w:u w:val="single"/>
    </w:rPr>
  </w:style>
  <w:style w:type="character" w:styleId="PageNumber">
    <w:name w:val="page number"/>
    <w:basedOn w:val="DefaultParagraphFont"/>
    <w:uiPriority w:val="99"/>
    <w:rsid w:val="005E67D2"/>
    <w:rPr>
      <w:rFonts w:cs="Times New Roman"/>
    </w:rPr>
  </w:style>
  <w:style w:type="paragraph" w:styleId="TOC1">
    <w:name w:val="toc 1"/>
    <w:basedOn w:val="Normal"/>
    <w:next w:val="Normal"/>
    <w:autoRedefine/>
    <w:uiPriority w:val="99"/>
    <w:rsid w:val="005E67D2"/>
    <w:pPr>
      <w:spacing w:before="120" w:after="120"/>
    </w:pPr>
    <w:rPr>
      <w:rFonts w:ascii="Calibri" w:hAnsi="Calibri"/>
      <w:b/>
      <w:bCs/>
      <w:caps/>
      <w:sz w:val="20"/>
      <w:szCs w:val="20"/>
      <w:lang w:eastAsia="en-US"/>
    </w:rPr>
  </w:style>
  <w:style w:type="paragraph" w:styleId="TOC2">
    <w:name w:val="toc 2"/>
    <w:basedOn w:val="Normal"/>
    <w:next w:val="Normal"/>
    <w:autoRedefine/>
    <w:uiPriority w:val="99"/>
    <w:rsid w:val="005E67D2"/>
    <w:pPr>
      <w:ind w:left="240"/>
    </w:pPr>
    <w:rPr>
      <w:rFonts w:ascii="Calibri" w:hAnsi="Calibri"/>
      <w:smallCaps/>
      <w:sz w:val="20"/>
      <w:szCs w:val="20"/>
      <w:lang w:eastAsia="en-US"/>
    </w:rPr>
  </w:style>
  <w:style w:type="paragraph" w:styleId="TOC3">
    <w:name w:val="toc 3"/>
    <w:basedOn w:val="Normal"/>
    <w:next w:val="Normal"/>
    <w:autoRedefine/>
    <w:uiPriority w:val="99"/>
    <w:rsid w:val="005E67D2"/>
    <w:pPr>
      <w:ind w:left="480"/>
    </w:pPr>
    <w:rPr>
      <w:rFonts w:ascii="Calibri" w:hAnsi="Calibri"/>
      <w:i/>
      <w:iCs/>
      <w:sz w:val="20"/>
      <w:szCs w:val="20"/>
      <w:lang w:eastAsia="en-US"/>
    </w:rPr>
  </w:style>
  <w:style w:type="character" w:customStyle="1" w:styleId="medium-normal">
    <w:name w:val="medium-normal"/>
    <w:basedOn w:val="DefaultParagraphFont"/>
    <w:uiPriority w:val="99"/>
    <w:rsid w:val="005E67D2"/>
    <w:rPr>
      <w:rFonts w:cs="Times New Roman"/>
    </w:rPr>
  </w:style>
  <w:style w:type="character" w:styleId="CommentReference">
    <w:name w:val="annotation reference"/>
    <w:basedOn w:val="DefaultParagraphFont"/>
    <w:uiPriority w:val="99"/>
    <w:rsid w:val="005E67D2"/>
    <w:rPr>
      <w:rFonts w:cs="Times New Roman"/>
      <w:sz w:val="16"/>
      <w:szCs w:val="16"/>
    </w:rPr>
  </w:style>
  <w:style w:type="paragraph" w:styleId="BodyText2">
    <w:name w:val="Body Text 2"/>
    <w:basedOn w:val="Normal"/>
    <w:link w:val="BodyText2Char"/>
    <w:uiPriority w:val="99"/>
    <w:rsid w:val="005E67D2"/>
    <w:pPr>
      <w:spacing w:line="480" w:lineRule="auto"/>
    </w:pPr>
    <w:rPr>
      <w:rFonts w:ascii="Calibri" w:hAnsi="Calibri"/>
      <w:lang w:eastAsia="en-US"/>
    </w:rPr>
  </w:style>
  <w:style w:type="character" w:customStyle="1" w:styleId="BodyText2Char">
    <w:name w:val="Body Text 2 Char"/>
    <w:basedOn w:val="DefaultParagraphFont"/>
    <w:link w:val="BodyText2"/>
    <w:uiPriority w:val="99"/>
    <w:locked/>
    <w:rsid w:val="005E67D2"/>
    <w:rPr>
      <w:rFonts w:ascii="Calibri" w:eastAsia="SimSun" w:hAnsi="Calibri" w:cs="Times New Roman"/>
      <w:sz w:val="24"/>
      <w:szCs w:val="24"/>
      <w:lang w:eastAsia="en-US"/>
    </w:rPr>
  </w:style>
  <w:style w:type="paragraph" w:styleId="EndnoteText">
    <w:name w:val="endnote text"/>
    <w:basedOn w:val="Normal"/>
    <w:link w:val="EndnoteTextChar"/>
    <w:uiPriority w:val="99"/>
    <w:rsid w:val="005E67D2"/>
    <w:pPr>
      <w:snapToGrid w:val="0"/>
    </w:pPr>
    <w:rPr>
      <w:rFonts w:ascii="Calibri" w:hAnsi="Calibri"/>
      <w:lang w:eastAsia="en-US"/>
    </w:rPr>
  </w:style>
  <w:style w:type="character" w:customStyle="1" w:styleId="EndnoteTextChar">
    <w:name w:val="Endnote Text Char"/>
    <w:basedOn w:val="DefaultParagraphFont"/>
    <w:link w:val="EndnoteText"/>
    <w:uiPriority w:val="99"/>
    <w:locked/>
    <w:rsid w:val="005E67D2"/>
    <w:rPr>
      <w:rFonts w:ascii="Calibri" w:eastAsia="SimSun" w:hAnsi="Calibri" w:cs="Times New Roman"/>
      <w:sz w:val="24"/>
      <w:szCs w:val="24"/>
      <w:lang w:eastAsia="en-US"/>
    </w:rPr>
  </w:style>
  <w:style w:type="character" w:styleId="EndnoteReference">
    <w:name w:val="endnote reference"/>
    <w:basedOn w:val="DefaultParagraphFont"/>
    <w:uiPriority w:val="99"/>
    <w:rsid w:val="005E67D2"/>
    <w:rPr>
      <w:rFonts w:cs="Times New Roman"/>
      <w:vertAlign w:val="superscript"/>
    </w:rPr>
  </w:style>
  <w:style w:type="paragraph" w:styleId="CommentText">
    <w:name w:val="annotation text"/>
    <w:basedOn w:val="Normal"/>
    <w:link w:val="CommentTextChar"/>
    <w:uiPriority w:val="99"/>
    <w:rsid w:val="005E67D2"/>
    <w:rPr>
      <w:rFonts w:ascii="Calibri" w:hAnsi="Calibri"/>
      <w:sz w:val="20"/>
      <w:szCs w:val="20"/>
      <w:lang w:eastAsia="en-US"/>
    </w:rPr>
  </w:style>
  <w:style w:type="character" w:customStyle="1" w:styleId="CommentTextChar">
    <w:name w:val="Comment Text Char"/>
    <w:basedOn w:val="DefaultParagraphFont"/>
    <w:link w:val="CommentText"/>
    <w:uiPriority w:val="99"/>
    <w:locked/>
    <w:rsid w:val="005E67D2"/>
    <w:rPr>
      <w:rFonts w:ascii="Calibri" w:eastAsia="SimSun" w:hAnsi="Calibri" w:cs="Times New Roman"/>
      <w:lang w:eastAsia="en-US"/>
    </w:rPr>
  </w:style>
  <w:style w:type="paragraph" w:styleId="CommentSubject">
    <w:name w:val="annotation subject"/>
    <w:basedOn w:val="CommentText"/>
    <w:next w:val="CommentText"/>
    <w:link w:val="CommentSubjectChar"/>
    <w:uiPriority w:val="99"/>
    <w:rsid w:val="005E67D2"/>
    <w:rPr>
      <w:b/>
      <w:bCs/>
    </w:rPr>
  </w:style>
  <w:style w:type="character" w:customStyle="1" w:styleId="CommentSubjectChar">
    <w:name w:val="Comment Subject Char"/>
    <w:basedOn w:val="CommentTextChar"/>
    <w:link w:val="CommentSubject"/>
    <w:uiPriority w:val="99"/>
    <w:locked/>
    <w:rsid w:val="005E67D2"/>
    <w:rPr>
      <w:rFonts w:ascii="Calibri" w:eastAsia="SimSun" w:hAnsi="Calibri" w:cs="Times New Roman"/>
      <w:b/>
      <w:bCs/>
      <w:lang w:eastAsia="en-US"/>
    </w:rPr>
  </w:style>
  <w:style w:type="paragraph" w:customStyle="1" w:styleId="1">
    <w:name w:val="列出段落1"/>
    <w:basedOn w:val="Normal"/>
    <w:uiPriority w:val="99"/>
    <w:rsid w:val="005E67D2"/>
    <w:pPr>
      <w:ind w:left="720"/>
      <w:contextualSpacing/>
    </w:pPr>
    <w:rPr>
      <w:rFonts w:ascii="Calibri" w:hAnsi="Calibri"/>
      <w:lang w:eastAsia="en-US"/>
    </w:rPr>
  </w:style>
  <w:style w:type="paragraph" w:customStyle="1" w:styleId="TOC10">
    <w:name w:val="TOC 标题1"/>
    <w:basedOn w:val="Heading1"/>
    <w:next w:val="Normal"/>
    <w:uiPriority w:val="99"/>
    <w:rsid w:val="005E67D2"/>
    <w:pPr>
      <w:outlineLvl w:val="9"/>
    </w:pPr>
    <w:rPr>
      <w:rFonts w:ascii="Cambria" w:hAnsi="Cambria" w:cs="Times New Roman"/>
      <w:sz w:val="32"/>
      <w:lang w:eastAsia="en-US"/>
    </w:rPr>
  </w:style>
  <w:style w:type="paragraph" w:styleId="Title">
    <w:name w:val="Title"/>
    <w:basedOn w:val="Normal"/>
    <w:next w:val="Normal"/>
    <w:link w:val="TitleChar"/>
    <w:uiPriority w:val="99"/>
    <w:qFormat/>
    <w:rsid w:val="005E67D2"/>
    <w:pPr>
      <w:spacing w:before="240" w:after="60"/>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99"/>
    <w:locked/>
    <w:rsid w:val="005E67D2"/>
    <w:rPr>
      <w:rFonts w:ascii="Cambria" w:eastAsia="SimSun" w:hAnsi="Cambria" w:cs="Times New Roman"/>
      <w:b/>
      <w:bCs/>
      <w:kern w:val="28"/>
      <w:sz w:val="32"/>
      <w:szCs w:val="32"/>
      <w:lang w:eastAsia="en-US"/>
    </w:rPr>
  </w:style>
  <w:style w:type="paragraph" w:styleId="Subtitle">
    <w:name w:val="Subtitle"/>
    <w:basedOn w:val="Normal"/>
    <w:next w:val="Normal"/>
    <w:link w:val="SubtitleChar"/>
    <w:uiPriority w:val="99"/>
    <w:qFormat/>
    <w:rsid w:val="005E67D2"/>
    <w:pPr>
      <w:spacing w:after="60"/>
      <w:jc w:val="center"/>
      <w:outlineLvl w:val="1"/>
    </w:pPr>
    <w:rPr>
      <w:rFonts w:ascii="Cambria" w:hAnsi="Cambria"/>
      <w:lang w:eastAsia="en-US"/>
    </w:rPr>
  </w:style>
  <w:style w:type="character" w:customStyle="1" w:styleId="SubtitleChar">
    <w:name w:val="Subtitle Char"/>
    <w:basedOn w:val="DefaultParagraphFont"/>
    <w:link w:val="Subtitle"/>
    <w:uiPriority w:val="99"/>
    <w:locked/>
    <w:rsid w:val="005E67D2"/>
    <w:rPr>
      <w:rFonts w:ascii="Cambria" w:eastAsia="SimSun" w:hAnsi="Cambria" w:cs="Times New Roman"/>
      <w:sz w:val="24"/>
      <w:szCs w:val="24"/>
      <w:lang w:eastAsia="en-US"/>
    </w:rPr>
  </w:style>
  <w:style w:type="character" w:styleId="Emphasis">
    <w:name w:val="Emphasis"/>
    <w:basedOn w:val="DefaultParagraphFont"/>
    <w:uiPriority w:val="99"/>
    <w:qFormat/>
    <w:rsid w:val="005E67D2"/>
    <w:rPr>
      <w:rFonts w:ascii="Calibri" w:hAnsi="Calibri" w:cs="Times New Roman"/>
      <w:b/>
      <w:i/>
      <w:iCs/>
    </w:rPr>
  </w:style>
  <w:style w:type="paragraph" w:customStyle="1" w:styleId="10">
    <w:name w:val="无间隔1"/>
    <w:basedOn w:val="Normal"/>
    <w:uiPriority w:val="99"/>
    <w:rsid w:val="005E67D2"/>
    <w:rPr>
      <w:rFonts w:ascii="Calibri" w:hAnsi="Calibri"/>
      <w:szCs w:val="32"/>
      <w:lang w:eastAsia="en-US"/>
    </w:rPr>
  </w:style>
  <w:style w:type="paragraph" w:customStyle="1" w:styleId="11">
    <w:name w:val="引用1"/>
    <w:basedOn w:val="Normal"/>
    <w:next w:val="Normal"/>
    <w:link w:val="Char"/>
    <w:uiPriority w:val="99"/>
    <w:rsid w:val="005E67D2"/>
    <w:rPr>
      <w:rFonts w:ascii="Calibri" w:hAnsi="Calibri"/>
      <w:i/>
      <w:lang w:eastAsia="en-US"/>
    </w:rPr>
  </w:style>
  <w:style w:type="character" w:customStyle="1" w:styleId="Char">
    <w:name w:val="引用 Char"/>
    <w:basedOn w:val="DefaultParagraphFont"/>
    <w:link w:val="11"/>
    <w:uiPriority w:val="99"/>
    <w:locked/>
    <w:rsid w:val="005E67D2"/>
    <w:rPr>
      <w:rFonts w:ascii="Calibri" w:eastAsia="SimSun" w:hAnsi="Calibri" w:cs="Times New Roman"/>
      <w:i/>
      <w:sz w:val="24"/>
      <w:szCs w:val="24"/>
      <w:lang w:eastAsia="en-US"/>
    </w:rPr>
  </w:style>
  <w:style w:type="paragraph" w:customStyle="1" w:styleId="12">
    <w:name w:val="明显引用1"/>
    <w:basedOn w:val="Normal"/>
    <w:next w:val="Normal"/>
    <w:link w:val="Char0"/>
    <w:uiPriority w:val="99"/>
    <w:rsid w:val="005E67D2"/>
    <w:pPr>
      <w:ind w:left="720" w:right="720"/>
    </w:pPr>
    <w:rPr>
      <w:rFonts w:ascii="Calibri" w:hAnsi="Calibri"/>
      <w:b/>
      <w:i/>
      <w:szCs w:val="22"/>
      <w:lang w:eastAsia="en-US"/>
    </w:rPr>
  </w:style>
  <w:style w:type="character" w:customStyle="1" w:styleId="Char0">
    <w:name w:val="明显引用 Char"/>
    <w:basedOn w:val="DefaultParagraphFont"/>
    <w:link w:val="12"/>
    <w:uiPriority w:val="99"/>
    <w:locked/>
    <w:rsid w:val="005E67D2"/>
    <w:rPr>
      <w:rFonts w:ascii="Calibri" w:eastAsia="SimSun" w:hAnsi="Calibri" w:cs="Times New Roman"/>
      <w:b/>
      <w:i/>
      <w:sz w:val="22"/>
      <w:szCs w:val="22"/>
      <w:lang w:eastAsia="en-US"/>
    </w:rPr>
  </w:style>
  <w:style w:type="character" w:customStyle="1" w:styleId="13">
    <w:name w:val="不明显强调1"/>
    <w:uiPriority w:val="99"/>
    <w:rsid w:val="005E67D2"/>
    <w:rPr>
      <w:i/>
      <w:color w:val="5A5A5A"/>
    </w:rPr>
  </w:style>
  <w:style w:type="character" w:customStyle="1" w:styleId="14">
    <w:name w:val="明显强调1"/>
    <w:basedOn w:val="DefaultParagraphFont"/>
    <w:uiPriority w:val="99"/>
    <w:rsid w:val="005E67D2"/>
    <w:rPr>
      <w:rFonts w:cs="Times New Roman"/>
      <w:b/>
      <w:i/>
      <w:sz w:val="24"/>
      <w:szCs w:val="24"/>
      <w:u w:val="single"/>
    </w:rPr>
  </w:style>
  <w:style w:type="character" w:customStyle="1" w:styleId="15">
    <w:name w:val="不明显参考1"/>
    <w:basedOn w:val="DefaultParagraphFont"/>
    <w:uiPriority w:val="99"/>
    <w:rsid w:val="005E67D2"/>
    <w:rPr>
      <w:rFonts w:cs="Times New Roman"/>
      <w:sz w:val="24"/>
      <w:szCs w:val="24"/>
      <w:u w:val="single"/>
    </w:rPr>
  </w:style>
  <w:style w:type="character" w:customStyle="1" w:styleId="16">
    <w:name w:val="明显参考1"/>
    <w:basedOn w:val="DefaultParagraphFont"/>
    <w:uiPriority w:val="99"/>
    <w:rsid w:val="005E67D2"/>
    <w:rPr>
      <w:rFonts w:cs="Times New Roman"/>
      <w:b/>
      <w:sz w:val="24"/>
      <w:u w:val="single"/>
    </w:rPr>
  </w:style>
  <w:style w:type="character" w:customStyle="1" w:styleId="17">
    <w:name w:val="书籍标题1"/>
    <w:basedOn w:val="DefaultParagraphFont"/>
    <w:uiPriority w:val="99"/>
    <w:rsid w:val="005E67D2"/>
    <w:rPr>
      <w:rFonts w:ascii="Cambria" w:eastAsia="SimSun" w:hAnsi="Cambria" w:cs="Times New Roman"/>
      <w:b/>
      <w:i/>
      <w:sz w:val="24"/>
      <w:szCs w:val="24"/>
    </w:rPr>
  </w:style>
  <w:style w:type="table" w:styleId="TableGrid">
    <w:name w:val="Table Grid"/>
    <w:basedOn w:val="TableNormal"/>
    <w:uiPriority w:val="99"/>
    <w:rsid w:val="005E67D2"/>
    <w:rPr>
      <w:rFonts w:ascii="Calibri" w:hAnsi="Calibri"/>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99"/>
    <w:rsid w:val="005E67D2"/>
    <w:pPr>
      <w:ind w:left="720"/>
    </w:pPr>
    <w:rPr>
      <w:rFonts w:ascii="Calibri" w:hAnsi="Calibri"/>
      <w:sz w:val="18"/>
      <w:szCs w:val="18"/>
      <w:lang w:eastAsia="en-US"/>
    </w:rPr>
  </w:style>
  <w:style w:type="paragraph" w:styleId="TOC5">
    <w:name w:val="toc 5"/>
    <w:basedOn w:val="Normal"/>
    <w:next w:val="Normal"/>
    <w:autoRedefine/>
    <w:uiPriority w:val="99"/>
    <w:rsid w:val="005E67D2"/>
    <w:pPr>
      <w:ind w:left="960"/>
    </w:pPr>
    <w:rPr>
      <w:rFonts w:ascii="Calibri" w:hAnsi="Calibri"/>
      <w:sz w:val="18"/>
      <w:szCs w:val="18"/>
      <w:lang w:eastAsia="en-US"/>
    </w:rPr>
  </w:style>
  <w:style w:type="paragraph" w:styleId="TOC6">
    <w:name w:val="toc 6"/>
    <w:basedOn w:val="Normal"/>
    <w:next w:val="Normal"/>
    <w:autoRedefine/>
    <w:uiPriority w:val="99"/>
    <w:rsid w:val="005E67D2"/>
    <w:pPr>
      <w:ind w:left="1200"/>
    </w:pPr>
    <w:rPr>
      <w:rFonts w:ascii="Calibri" w:hAnsi="Calibri"/>
      <w:sz w:val="18"/>
      <w:szCs w:val="18"/>
      <w:lang w:eastAsia="en-US"/>
    </w:rPr>
  </w:style>
  <w:style w:type="paragraph" w:styleId="TOC7">
    <w:name w:val="toc 7"/>
    <w:basedOn w:val="Normal"/>
    <w:next w:val="Normal"/>
    <w:autoRedefine/>
    <w:uiPriority w:val="99"/>
    <w:rsid w:val="005E67D2"/>
    <w:pPr>
      <w:ind w:left="1440"/>
    </w:pPr>
    <w:rPr>
      <w:rFonts w:ascii="Calibri" w:hAnsi="Calibri"/>
      <w:sz w:val="18"/>
      <w:szCs w:val="18"/>
      <w:lang w:eastAsia="en-US"/>
    </w:rPr>
  </w:style>
  <w:style w:type="paragraph" w:styleId="TOC8">
    <w:name w:val="toc 8"/>
    <w:basedOn w:val="Normal"/>
    <w:next w:val="Normal"/>
    <w:autoRedefine/>
    <w:uiPriority w:val="99"/>
    <w:rsid w:val="005E67D2"/>
    <w:pPr>
      <w:ind w:left="1680"/>
    </w:pPr>
    <w:rPr>
      <w:rFonts w:ascii="Calibri" w:hAnsi="Calibri"/>
      <w:sz w:val="18"/>
      <w:szCs w:val="18"/>
      <w:lang w:eastAsia="en-US"/>
    </w:rPr>
  </w:style>
  <w:style w:type="paragraph" w:styleId="TOC9">
    <w:name w:val="toc 9"/>
    <w:basedOn w:val="Normal"/>
    <w:next w:val="Normal"/>
    <w:autoRedefine/>
    <w:uiPriority w:val="99"/>
    <w:rsid w:val="005E67D2"/>
    <w:pPr>
      <w:ind w:left="1920"/>
    </w:pPr>
    <w:rPr>
      <w:rFonts w:ascii="Calibri" w:hAnsi="Calibri"/>
      <w:sz w:val="18"/>
      <w:szCs w:val="18"/>
      <w:lang w:eastAsia="en-US"/>
    </w:rPr>
  </w:style>
  <w:style w:type="paragraph" w:styleId="Caption">
    <w:name w:val="caption"/>
    <w:basedOn w:val="Normal"/>
    <w:next w:val="Normal"/>
    <w:uiPriority w:val="99"/>
    <w:qFormat/>
    <w:rsid w:val="005E67D2"/>
    <w:rPr>
      <w:rFonts w:ascii="Cambria" w:eastAsia="SimHei" w:hAnsi="Cambria"/>
      <w:sz w:val="20"/>
      <w:szCs w:val="20"/>
      <w:lang w:eastAsia="en-US"/>
    </w:rPr>
  </w:style>
  <w:style w:type="paragraph" w:styleId="TableofFigures">
    <w:name w:val="table of figures"/>
    <w:basedOn w:val="Normal"/>
    <w:next w:val="Normal"/>
    <w:uiPriority w:val="99"/>
    <w:rsid w:val="005E67D2"/>
    <w:pPr>
      <w:ind w:left="480" w:hanging="480"/>
    </w:pPr>
    <w:rPr>
      <w:rFonts w:ascii="Calibri" w:hAnsi="Calibri"/>
      <w:smallCaps/>
      <w:sz w:val="20"/>
      <w:szCs w:val="20"/>
      <w:lang w:eastAsia="en-US"/>
    </w:rPr>
  </w:style>
  <w:style w:type="paragraph" w:styleId="ListParagraph">
    <w:name w:val="List Paragraph"/>
    <w:basedOn w:val="Normal"/>
    <w:uiPriority w:val="99"/>
    <w:qFormat/>
    <w:rsid w:val="005E67D2"/>
    <w:pPr>
      <w:spacing w:after="200" w:line="276" w:lineRule="auto"/>
      <w:ind w:left="720"/>
      <w:contextualSpacing/>
    </w:pPr>
    <w:rPr>
      <w:rFonts w:ascii="Calibri" w:hAnsi="Calibri"/>
      <w:sz w:val="22"/>
      <w:szCs w:val="22"/>
      <w:lang w:eastAsia="zh-TW"/>
    </w:rPr>
  </w:style>
  <w:style w:type="paragraph" w:styleId="Revision">
    <w:name w:val="Revision"/>
    <w:hidden/>
    <w:uiPriority w:val="99"/>
    <w:semiHidden/>
    <w:rsid w:val="005E67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11816">
      <w:bodyDiv w:val="1"/>
      <w:marLeft w:val="0"/>
      <w:marRight w:val="0"/>
      <w:marTop w:val="0"/>
      <w:marBottom w:val="0"/>
      <w:divBdr>
        <w:top w:val="none" w:sz="0" w:space="0" w:color="auto"/>
        <w:left w:val="none" w:sz="0" w:space="0" w:color="auto"/>
        <w:bottom w:val="none" w:sz="0" w:space="0" w:color="auto"/>
        <w:right w:val="none" w:sz="0" w:space="0" w:color="auto"/>
      </w:divBdr>
      <w:divsChild>
        <w:div w:id="983121375">
          <w:marLeft w:val="0"/>
          <w:marRight w:val="0"/>
          <w:marTop w:val="0"/>
          <w:marBottom w:val="0"/>
          <w:divBdr>
            <w:top w:val="none" w:sz="0" w:space="0" w:color="auto"/>
            <w:left w:val="none" w:sz="0" w:space="0" w:color="auto"/>
            <w:bottom w:val="none" w:sz="0" w:space="0" w:color="auto"/>
            <w:right w:val="none" w:sz="0" w:space="0" w:color="auto"/>
          </w:divBdr>
          <w:divsChild>
            <w:div w:id="864638343">
              <w:marLeft w:val="0"/>
              <w:marRight w:val="0"/>
              <w:marTop w:val="0"/>
              <w:marBottom w:val="0"/>
              <w:divBdr>
                <w:top w:val="none" w:sz="0" w:space="0" w:color="auto"/>
                <w:left w:val="none" w:sz="0" w:space="0" w:color="auto"/>
                <w:bottom w:val="none" w:sz="0" w:space="0" w:color="auto"/>
                <w:right w:val="none" w:sz="0" w:space="0" w:color="auto"/>
              </w:divBdr>
              <w:divsChild>
                <w:div w:id="387996149">
                  <w:marLeft w:val="0"/>
                  <w:marRight w:val="0"/>
                  <w:marTop w:val="0"/>
                  <w:marBottom w:val="0"/>
                  <w:divBdr>
                    <w:top w:val="none" w:sz="0" w:space="0" w:color="auto"/>
                    <w:left w:val="none" w:sz="0" w:space="0" w:color="auto"/>
                    <w:bottom w:val="none" w:sz="0" w:space="0" w:color="auto"/>
                    <w:right w:val="none" w:sz="0" w:space="0" w:color="auto"/>
                  </w:divBdr>
                  <w:divsChild>
                    <w:div w:id="1797138962">
                      <w:marLeft w:val="0"/>
                      <w:marRight w:val="0"/>
                      <w:marTop w:val="0"/>
                      <w:marBottom w:val="0"/>
                      <w:divBdr>
                        <w:top w:val="none" w:sz="0" w:space="0" w:color="auto"/>
                        <w:left w:val="none" w:sz="0" w:space="0" w:color="auto"/>
                        <w:bottom w:val="none" w:sz="0" w:space="0" w:color="auto"/>
                        <w:right w:val="none" w:sz="0" w:space="0" w:color="auto"/>
                      </w:divBdr>
                      <w:divsChild>
                        <w:div w:id="677539694">
                          <w:marLeft w:val="0"/>
                          <w:marRight w:val="0"/>
                          <w:marTop w:val="0"/>
                          <w:marBottom w:val="0"/>
                          <w:divBdr>
                            <w:top w:val="none" w:sz="0" w:space="0" w:color="auto"/>
                            <w:left w:val="none" w:sz="0" w:space="0" w:color="auto"/>
                            <w:bottom w:val="none" w:sz="0" w:space="0" w:color="auto"/>
                            <w:right w:val="none" w:sz="0" w:space="0" w:color="auto"/>
                          </w:divBdr>
                          <w:divsChild>
                            <w:div w:id="1127359778">
                              <w:marLeft w:val="0"/>
                              <w:marRight w:val="0"/>
                              <w:marTop w:val="0"/>
                              <w:marBottom w:val="0"/>
                              <w:divBdr>
                                <w:top w:val="none" w:sz="0" w:space="0" w:color="auto"/>
                                <w:left w:val="none" w:sz="0" w:space="0" w:color="auto"/>
                                <w:bottom w:val="none" w:sz="0" w:space="0" w:color="auto"/>
                                <w:right w:val="none" w:sz="0" w:space="0" w:color="auto"/>
                              </w:divBdr>
                              <w:divsChild>
                                <w:div w:id="193469540">
                                  <w:marLeft w:val="0"/>
                                  <w:marRight w:val="0"/>
                                  <w:marTop w:val="0"/>
                                  <w:marBottom w:val="0"/>
                                  <w:divBdr>
                                    <w:top w:val="none" w:sz="0" w:space="0" w:color="auto"/>
                                    <w:left w:val="none" w:sz="0" w:space="0" w:color="auto"/>
                                    <w:bottom w:val="none" w:sz="0" w:space="0" w:color="auto"/>
                                    <w:right w:val="none" w:sz="0" w:space="0" w:color="auto"/>
                                  </w:divBdr>
                                  <w:divsChild>
                                    <w:div w:id="1118182979">
                                      <w:marLeft w:val="0"/>
                                      <w:marRight w:val="0"/>
                                      <w:marTop w:val="0"/>
                                      <w:marBottom w:val="0"/>
                                      <w:divBdr>
                                        <w:top w:val="none" w:sz="0" w:space="0" w:color="auto"/>
                                        <w:left w:val="none" w:sz="0" w:space="0" w:color="auto"/>
                                        <w:bottom w:val="none" w:sz="0" w:space="0" w:color="auto"/>
                                        <w:right w:val="none" w:sz="0" w:space="0" w:color="auto"/>
                                      </w:divBdr>
                                      <w:divsChild>
                                        <w:div w:id="19887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775544">
      <w:marLeft w:val="0"/>
      <w:marRight w:val="0"/>
      <w:marTop w:val="0"/>
      <w:marBottom w:val="0"/>
      <w:divBdr>
        <w:top w:val="none" w:sz="0" w:space="0" w:color="auto"/>
        <w:left w:val="none" w:sz="0" w:space="0" w:color="auto"/>
        <w:bottom w:val="none" w:sz="0" w:space="0" w:color="auto"/>
        <w:right w:val="none" w:sz="0" w:space="0" w:color="auto"/>
      </w:divBdr>
      <w:divsChild>
        <w:div w:id="983775541">
          <w:marLeft w:val="0"/>
          <w:marRight w:val="0"/>
          <w:marTop w:val="0"/>
          <w:marBottom w:val="0"/>
          <w:divBdr>
            <w:top w:val="none" w:sz="0" w:space="0" w:color="auto"/>
            <w:left w:val="single" w:sz="2" w:space="3" w:color="D3E1F9"/>
            <w:bottom w:val="none" w:sz="0" w:space="0" w:color="auto"/>
            <w:right w:val="none" w:sz="0" w:space="0" w:color="auto"/>
          </w:divBdr>
          <w:divsChild>
            <w:div w:id="983775568">
              <w:marLeft w:val="0"/>
              <w:marRight w:val="0"/>
              <w:marTop w:val="0"/>
              <w:marBottom w:val="0"/>
              <w:divBdr>
                <w:top w:val="none" w:sz="0" w:space="0" w:color="auto"/>
                <w:left w:val="none" w:sz="0" w:space="0" w:color="auto"/>
                <w:bottom w:val="none" w:sz="0" w:space="0" w:color="auto"/>
                <w:right w:val="none" w:sz="0" w:space="0" w:color="auto"/>
              </w:divBdr>
              <w:divsChild>
                <w:div w:id="9837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549">
      <w:marLeft w:val="0"/>
      <w:marRight w:val="0"/>
      <w:marTop w:val="0"/>
      <w:marBottom w:val="0"/>
      <w:divBdr>
        <w:top w:val="none" w:sz="0" w:space="0" w:color="auto"/>
        <w:left w:val="none" w:sz="0" w:space="0" w:color="auto"/>
        <w:bottom w:val="none" w:sz="0" w:space="0" w:color="auto"/>
        <w:right w:val="none" w:sz="0" w:space="0" w:color="auto"/>
      </w:divBdr>
      <w:divsChild>
        <w:div w:id="983775531">
          <w:marLeft w:val="0"/>
          <w:marRight w:val="0"/>
          <w:marTop w:val="0"/>
          <w:marBottom w:val="0"/>
          <w:divBdr>
            <w:top w:val="none" w:sz="0" w:space="0" w:color="auto"/>
            <w:left w:val="none" w:sz="0" w:space="0" w:color="auto"/>
            <w:bottom w:val="none" w:sz="0" w:space="0" w:color="auto"/>
            <w:right w:val="none" w:sz="0" w:space="0" w:color="auto"/>
          </w:divBdr>
          <w:divsChild>
            <w:div w:id="983775557">
              <w:marLeft w:val="0"/>
              <w:marRight w:val="0"/>
              <w:marTop w:val="0"/>
              <w:marBottom w:val="0"/>
              <w:divBdr>
                <w:top w:val="none" w:sz="0" w:space="0" w:color="auto"/>
                <w:left w:val="none" w:sz="0" w:space="0" w:color="auto"/>
                <w:bottom w:val="none" w:sz="0" w:space="0" w:color="auto"/>
                <w:right w:val="none" w:sz="0" w:space="0" w:color="auto"/>
              </w:divBdr>
              <w:divsChild>
                <w:div w:id="983775540">
                  <w:marLeft w:val="0"/>
                  <w:marRight w:val="0"/>
                  <w:marTop w:val="0"/>
                  <w:marBottom w:val="0"/>
                  <w:divBdr>
                    <w:top w:val="none" w:sz="0" w:space="0" w:color="auto"/>
                    <w:left w:val="none" w:sz="0" w:space="0" w:color="auto"/>
                    <w:bottom w:val="none" w:sz="0" w:space="0" w:color="auto"/>
                    <w:right w:val="none" w:sz="0" w:space="0" w:color="auto"/>
                  </w:divBdr>
                  <w:divsChild>
                    <w:div w:id="983775534">
                      <w:marLeft w:val="0"/>
                      <w:marRight w:val="0"/>
                      <w:marTop w:val="0"/>
                      <w:marBottom w:val="0"/>
                      <w:divBdr>
                        <w:top w:val="single" w:sz="18" w:space="0" w:color="E8E8E8"/>
                        <w:left w:val="none" w:sz="0" w:space="0" w:color="auto"/>
                        <w:bottom w:val="none" w:sz="0" w:space="0" w:color="auto"/>
                        <w:right w:val="none" w:sz="0" w:space="0" w:color="auto"/>
                      </w:divBdr>
                      <w:divsChild>
                        <w:div w:id="983775539">
                          <w:marLeft w:val="0"/>
                          <w:marRight w:val="3610"/>
                          <w:marTop w:val="0"/>
                          <w:marBottom w:val="0"/>
                          <w:divBdr>
                            <w:top w:val="none" w:sz="0" w:space="0" w:color="auto"/>
                            <w:left w:val="none" w:sz="0" w:space="0" w:color="auto"/>
                            <w:bottom w:val="none" w:sz="0" w:space="0" w:color="auto"/>
                            <w:right w:val="none" w:sz="0" w:space="0" w:color="auto"/>
                          </w:divBdr>
                          <w:divsChild>
                            <w:div w:id="983775532">
                              <w:marLeft w:val="0"/>
                              <w:marRight w:val="0"/>
                              <w:marTop w:val="0"/>
                              <w:marBottom w:val="0"/>
                              <w:divBdr>
                                <w:top w:val="none" w:sz="0" w:space="0" w:color="auto"/>
                                <w:left w:val="none" w:sz="0" w:space="0" w:color="auto"/>
                                <w:bottom w:val="none" w:sz="0" w:space="0" w:color="auto"/>
                                <w:right w:val="none" w:sz="0" w:space="0" w:color="auto"/>
                              </w:divBdr>
                              <w:divsChild>
                                <w:div w:id="983775566">
                                  <w:marLeft w:val="0"/>
                                  <w:marRight w:val="0"/>
                                  <w:marTop w:val="0"/>
                                  <w:marBottom w:val="0"/>
                                  <w:divBdr>
                                    <w:top w:val="single" w:sz="4" w:space="0" w:color="FFFFFF"/>
                                    <w:left w:val="none" w:sz="0" w:space="0" w:color="auto"/>
                                    <w:bottom w:val="none" w:sz="0" w:space="0" w:color="auto"/>
                                    <w:right w:val="none" w:sz="0" w:space="0" w:color="auto"/>
                                  </w:divBdr>
                                  <w:divsChild>
                                    <w:div w:id="983775543">
                                      <w:marLeft w:val="0"/>
                                      <w:marRight w:val="0"/>
                                      <w:marTop w:val="0"/>
                                      <w:marBottom w:val="0"/>
                                      <w:divBdr>
                                        <w:top w:val="none" w:sz="0" w:space="0" w:color="auto"/>
                                        <w:left w:val="none" w:sz="0" w:space="0" w:color="auto"/>
                                        <w:bottom w:val="none" w:sz="0" w:space="0" w:color="auto"/>
                                        <w:right w:val="none" w:sz="0" w:space="0" w:color="auto"/>
                                      </w:divBdr>
                                      <w:divsChild>
                                        <w:div w:id="983775550">
                                          <w:marLeft w:val="0"/>
                                          <w:marRight w:val="0"/>
                                          <w:marTop w:val="0"/>
                                          <w:marBottom w:val="0"/>
                                          <w:divBdr>
                                            <w:top w:val="none" w:sz="0" w:space="0" w:color="auto"/>
                                            <w:left w:val="none" w:sz="0" w:space="0" w:color="auto"/>
                                            <w:bottom w:val="none" w:sz="0" w:space="0" w:color="auto"/>
                                            <w:right w:val="none" w:sz="0" w:space="0" w:color="auto"/>
                                          </w:divBdr>
                                          <w:divsChild>
                                            <w:div w:id="983775555">
                                              <w:marLeft w:val="0"/>
                                              <w:marRight w:val="0"/>
                                              <w:marTop w:val="0"/>
                                              <w:marBottom w:val="0"/>
                                              <w:divBdr>
                                                <w:top w:val="none" w:sz="0" w:space="0" w:color="auto"/>
                                                <w:left w:val="none" w:sz="0" w:space="0" w:color="auto"/>
                                                <w:bottom w:val="none" w:sz="0" w:space="0" w:color="auto"/>
                                                <w:right w:val="none" w:sz="0" w:space="0" w:color="auto"/>
                                              </w:divBdr>
                                              <w:divsChild>
                                                <w:div w:id="983775562">
                                                  <w:marLeft w:val="30"/>
                                                  <w:marRight w:val="50"/>
                                                  <w:marTop w:val="0"/>
                                                  <w:marBottom w:val="0"/>
                                                  <w:divBdr>
                                                    <w:top w:val="none" w:sz="0" w:space="0" w:color="auto"/>
                                                    <w:left w:val="none" w:sz="0" w:space="0" w:color="auto"/>
                                                    <w:bottom w:val="none" w:sz="0" w:space="0" w:color="auto"/>
                                                    <w:right w:val="none" w:sz="0" w:space="0" w:color="auto"/>
                                                  </w:divBdr>
                                                  <w:divsChild>
                                                    <w:div w:id="983775564">
                                                      <w:marLeft w:val="0"/>
                                                      <w:marRight w:val="0"/>
                                                      <w:marTop w:val="0"/>
                                                      <w:marBottom w:val="0"/>
                                                      <w:divBdr>
                                                        <w:top w:val="none" w:sz="0" w:space="0" w:color="auto"/>
                                                        <w:left w:val="none" w:sz="0" w:space="0" w:color="auto"/>
                                                        <w:bottom w:val="none" w:sz="0" w:space="0" w:color="auto"/>
                                                        <w:right w:val="none" w:sz="0" w:space="0" w:color="auto"/>
                                                      </w:divBdr>
                                                      <w:divsChild>
                                                        <w:div w:id="983775547">
                                                          <w:marLeft w:val="0"/>
                                                          <w:marRight w:val="0"/>
                                                          <w:marTop w:val="0"/>
                                                          <w:marBottom w:val="0"/>
                                                          <w:divBdr>
                                                            <w:top w:val="none" w:sz="0" w:space="0" w:color="auto"/>
                                                            <w:left w:val="none" w:sz="0" w:space="0" w:color="auto"/>
                                                            <w:bottom w:val="none" w:sz="0" w:space="0" w:color="auto"/>
                                                            <w:right w:val="none" w:sz="0" w:space="0" w:color="auto"/>
                                                          </w:divBdr>
                                                          <w:divsChild>
                                                            <w:div w:id="983775545">
                                                              <w:marLeft w:val="0"/>
                                                              <w:marRight w:val="0"/>
                                                              <w:marTop w:val="0"/>
                                                              <w:marBottom w:val="0"/>
                                                              <w:divBdr>
                                                                <w:top w:val="none" w:sz="0" w:space="0" w:color="auto"/>
                                                                <w:left w:val="none" w:sz="0" w:space="0" w:color="auto"/>
                                                                <w:bottom w:val="none" w:sz="0" w:space="0" w:color="auto"/>
                                                                <w:right w:val="none" w:sz="0" w:space="0" w:color="auto"/>
                                                              </w:divBdr>
                                                              <w:divsChild>
                                                                <w:div w:id="983775542">
                                                                  <w:marLeft w:val="0"/>
                                                                  <w:marRight w:val="0"/>
                                                                  <w:marTop w:val="0"/>
                                                                  <w:marBottom w:val="0"/>
                                                                  <w:divBdr>
                                                                    <w:top w:val="none" w:sz="0" w:space="0" w:color="auto"/>
                                                                    <w:left w:val="none" w:sz="0" w:space="0" w:color="auto"/>
                                                                    <w:bottom w:val="none" w:sz="0" w:space="0" w:color="auto"/>
                                                                    <w:right w:val="none" w:sz="0" w:space="0" w:color="auto"/>
                                                                  </w:divBdr>
                                                                  <w:divsChild>
                                                                    <w:div w:id="9837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3775551">
      <w:marLeft w:val="0"/>
      <w:marRight w:val="0"/>
      <w:marTop w:val="0"/>
      <w:marBottom w:val="0"/>
      <w:divBdr>
        <w:top w:val="none" w:sz="0" w:space="0" w:color="auto"/>
        <w:left w:val="none" w:sz="0" w:space="0" w:color="auto"/>
        <w:bottom w:val="none" w:sz="0" w:space="0" w:color="auto"/>
        <w:right w:val="none" w:sz="0" w:space="0" w:color="auto"/>
      </w:divBdr>
    </w:div>
    <w:div w:id="983775558">
      <w:marLeft w:val="0"/>
      <w:marRight w:val="0"/>
      <w:marTop w:val="0"/>
      <w:marBottom w:val="0"/>
      <w:divBdr>
        <w:top w:val="none" w:sz="0" w:space="0" w:color="auto"/>
        <w:left w:val="none" w:sz="0" w:space="0" w:color="auto"/>
        <w:bottom w:val="none" w:sz="0" w:space="0" w:color="auto"/>
        <w:right w:val="none" w:sz="0" w:space="0" w:color="auto"/>
      </w:divBdr>
      <w:divsChild>
        <w:div w:id="983775533">
          <w:marLeft w:val="0"/>
          <w:marRight w:val="0"/>
          <w:marTop w:val="0"/>
          <w:marBottom w:val="0"/>
          <w:divBdr>
            <w:top w:val="none" w:sz="0" w:space="0" w:color="auto"/>
            <w:left w:val="single" w:sz="2" w:space="3" w:color="D3E1F9"/>
            <w:bottom w:val="none" w:sz="0" w:space="0" w:color="auto"/>
            <w:right w:val="none" w:sz="0" w:space="0" w:color="auto"/>
          </w:divBdr>
          <w:divsChild>
            <w:div w:id="983775567">
              <w:marLeft w:val="0"/>
              <w:marRight w:val="0"/>
              <w:marTop w:val="0"/>
              <w:marBottom w:val="0"/>
              <w:divBdr>
                <w:top w:val="none" w:sz="0" w:space="0" w:color="auto"/>
                <w:left w:val="none" w:sz="0" w:space="0" w:color="auto"/>
                <w:bottom w:val="none" w:sz="0" w:space="0" w:color="auto"/>
                <w:right w:val="none" w:sz="0" w:space="0" w:color="auto"/>
              </w:divBdr>
              <w:divsChild>
                <w:div w:id="9837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75561">
      <w:marLeft w:val="0"/>
      <w:marRight w:val="0"/>
      <w:marTop w:val="0"/>
      <w:marBottom w:val="0"/>
      <w:divBdr>
        <w:top w:val="none" w:sz="0" w:space="0" w:color="auto"/>
        <w:left w:val="none" w:sz="0" w:space="0" w:color="auto"/>
        <w:bottom w:val="none" w:sz="0" w:space="0" w:color="auto"/>
        <w:right w:val="none" w:sz="0" w:space="0" w:color="auto"/>
      </w:divBdr>
      <w:divsChild>
        <w:div w:id="983775554">
          <w:marLeft w:val="0"/>
          <w:marRight w:val="0"/>
          <w:marTop w:val="0"/>
          <w:marBottom w:val="0"/>
          <w:divBdr>
            <w:top w:val="none" w:sz="0" w:space="0" w:color="auto"/>
            <w:left w:val="none" w:sz="0" w:space="0" w:color="auto"/>
            <w:bottom w:val="none" w:sz="0" w:space="0" w:color="auto"/>
            <w:right w:val="none" w:sz="0" w:space="0" w:color="auto"/>
          </w:divBdr>
          <w:divsChild>
            <w:div w:id="983775536">
              <w:marLeft w:val="0"/>
              <w:marRight w:val="0"/>
              <w:marTop w:val="0"/>
              <w:marBottom w:val="0"/>
              <w:divBdr>
                <w:top w:val="none" w:sz="0" w:space="0" w:color="auto"/>
                <w:left w:val="none" w:sz="0" w:space="0" w:color="auto"/>
                <w:bottom w:val="none" w:sz="0" w:space="0" w:color="auto"/>
                <w:right w:val="none" w:sz="0" w:space="0" w:color="auto"/>
              </w:divBdr>
            </w:div>
            <w:div w:id="983775537">
              <w:marLeft w:val="0"/>
              <w:marRight w:val="0"/>
              <w:marTop w:val="0"/>
              <w:marBottom w:val="0"/>
              <w:divBdr>
                <w:top w:val="none" w:sz="0" w:space="0" w:color="auto"/>
                <w:left w:val="none" w:sz="0" w:space="0" w:color="auto"/>
                <w:bottom w:val="none" w:sz="0" w:space="0" w:color="auto"/>
                <w:right w:val="none" w:sz="0" w:space="0" w:color="auto"/>
              </w:divBdr>
            </w:div>
            <w:div w:id="983775553">
              <w:marLeft w:val="0"/>
              <w:marRight w:val="0"/>
              <w:marTop w:val="0"/>
              <w:marBottom w:val="0"/>
              <w:divBdr>
                <w:top w:val="none" w:sz="0" w:space="0" w:color="auto"/>
                <w:left w:val="none" w:sz="0" w:space="0" w:color="auto"/>
                <w:bottom w:val="none" w:sz="0" w:space="0" w:color="auto"/>
                <w:right w:val="none" w:sz="0" w:space="0" w:color="auto"/>
              </w:divBdr>
            </w:div>
            <w:div w:id="983775560">
              <w:marLeft w:val="0"/>
              <w:marRight w:val="0"/>
              <w:marTop w:val="0"/>
              <w:marBottom w:val="0"/>
              <w:divBdr>
                <w:top w:val="none" w:sz="0" w:space="0" w:color="auto"/>
                <w:left w:val="none" w:sz="0" w:space="0" w:color="auto"/>
                <w:bottom w:val="none" w:sz="0" w:space="0" w:color="auto"/>
                <w:right w:val="none" w:sz="0" w:space="0" w:color="auto"/>
              </w:divBdr>
            </w:div>
            <w:div w:id="9837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5569">
      <w:marLeft w:val="0"/>
      <w:marRight w:val="0"/>
      <w:marTop w:val="0"/>
      <w:marBottom w:val="0"/>
      <w:divBdr>
        <w:top w:val="none" w:sz="0" w:space="0" w:color="auto"/>
        <w:left w:val="none" w:sz="0" w:space="0" w:color="auto"/>
        <w:bottom w:val="none" w:sz="0" w:space="0" w:color="auto"/>
        <w:right w:val="none" w:sz="0" w:space="0" w:color="auto"/>
      </w:divBdr>
      <w:divsChild>
        <w:div w:id="983775570">
          <w:marLeft w:val="0"/>
          <w:marRight w:val="0"/>
          <w:marTop w:val="0"/>
          <w:marBottom w:val="0"/>
          <w:divBdr>
            <w:top w:val="none" w:sz="0" w:space="0" w:color="auto"/>
            <w:left w:val="none" w:sz="0" w:space="0" w:color="auto"/>
            <w:bottom w:val="none" w:sz="0" w:space="0" w:color="auto"/>
            <w:right w:val="none" w:sz="0" w:space="0" w:color="auto"/>
          </w:divBdr>
          <w:divsChild>
            <w:div w:id="983775535">
              <w:marLeft w:val="0"/>
              <w:marRight w:val="0"/>
              <w:marTop w:val="0"/>
              <w:marBottom w:val="0"/>
              <w:divBdr>
                <w:top w:val="none" w:sz="0" w:space="0" w:color="auto"/>
                <w:left w:val="none" w:sz="0" w:space="0" w:color="auto"/>
                <w:bottom w:val="none" w:sz="0" w:space="0" w:color="auto"/>
                <w:right w:val="none" w:sz="0" w:space="0" w:color="auto"/>
              </w:divBdr>
            </w:div>
            <w:div w:id="983775546">
              <w:marLeft w:val="0"/>
              <w:marRight w:val="0"/>
              <w:marTop w:val="0"/>
              <w:marBottom w:val="0"/>
              <w:divBdr>
                <w:top w:val="none" w:sz="0" w:space="0" w:color="auto"/>
                <w:left w:val="none" w:sz="0" w:space="0" w:color="auto"/>
                <w:bottom w:val="none" w:sz="0" w:space="0" w:color="auto"/>
                <w:right w:val="none" w:sz="0" w:space="0" w:color="auto"/>
              </w:divBdr>
            </w:div>
            <w:div w:id="983775548">
              <w:marLeft w:val="0"/>
              <w:marRight w:val="0"/>
              <w:marTop w:val="0"/>
              <w:marBottom w:val="0"/>
              <w:divBdr>
                <w:top w:val="none" w:sz="0" w:space="0" w:color="auto"/>
                <w:left w:val="none" w:sz="0" w:space="0" w:color="auto"/>
                <w:bottom w:val="none" w:sz="0" w:space="0" w:color="auto"/>
                <w:right w:val="none" w:sz="0" w:space="0" w:color="auto"/>
              </w:divBdr>
            </w:div>
            <w:div w:id="983775552">
              <w:marLeft w:val="0"/>
              <w:marRight w:val="0"/>
              <w:marTop w:val="0"/>
              <w:marBottom w:val="0"/>
              <w:divBdr>
                <w:top w:val="none" w:sz="0" w:space="0" w:color="auto"/>
                <w:left w:val="none" w:sz="0" w:space="0" w:color="auto"/>
                <w:bottom w:val="none" w:sz="0" w:space="0" w:color="auto"/>
                <w:right w:val="none" w:sz="0" w:space="0" w:color="auto"/>
              </w:divBdr>
            </w:div>
            <w:div w:id="9837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7DDED-E321-46FA-AACF-BF55F2CF7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12165</Words>
  <Characters>69342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2015-07-18T10:32:00Z</dcterms:created>
  <dcterms:modified xsi:type="dcterms:W3CDTF">2015-07-18T10:32:00Z</dcterms:modified>
</cp:coreProperties>
</file>