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59E" w:rsidRDefault="00B3259E" w:rsidP="007F1088">
      <w:pPr>
        <w:jc w:val="center"/>
        <w:rPr>
          <w:b/>
          <w:caps/>
        </w:rPr>
      </w:pPr>
    </w:p>
    <w:p w:rsidR="005B123E" w:rsidRPr="00C12E0D" w:rsidRDefault="005B123E" w:rsidP="005B123E">
      <w:pPr>
        <w:jc w:val="center"/>
        <w:rPr>
          <w:color w:val="000000"/>
        </w:rPr>
      </w:pPr>
    </w:p>
    <w:p w:rsidR="00B81236" w:rsidRPr="00326461" w:rsidRDefault="00B81236" w:rsidP="00B81236">
      <w:pPr>
        <w:jc w:val="center"/>
        <w:rPr>
          <w:b/>
          <w:caps/>
        </w:rPr>
      </w:pPr>
      <w:r w:rsidRPr="00326461">
        <w:rPr>
          <w:b/>
          <w:caps/>
        </w:rPr>
        <w:t>The Peripheral halo effect: DO academic spinoffs INFLUENCE universities’ research income?</w:t>
      </w:r>
    </w:p>
    <w:p w:rsidR="00B81236" w:rsidRPr="00326461" w:rsidRDefault="00B81236" w:rsidP="00B81236">
      <w:pPr>
        <w:spacing w:line="480" w:lineRule="auto"/>
        <w:jc w:val="center"/>
        <w:rPr>
          <w:b/>
        </w:rPr>
      </w:pPr>
    </w:p>
    <w:p w:rsidR="00B81236" w:rsidRPr="00EE0C6C" w:rsidRDefault="00B81236" w:rsidP="00B81236">
      <w:pPr>
        <w:jc w:val="center"/>
        <w:rPr>
          <w:color w:val="484848"/>
        </w:rPr>
      </w:pPr>
    </w:p>
    <w:p w:rsidR="00B81236" w:rsidRPr="00EE0C6C" w:rsidRDefault="00B81236" w:rsidP="00B81236">
      <w:pPr>
        <w:jc w:val="center"/>
        <w:rPr>
          <w:color w:val="484848"/>
        </w:rPr>
      </w:pPr>
    </w:p>
    <w:p w:rsidR="00B81236" w:rsidRPr="00EE0C6C" w:rsidRDefault="00B81236" w:rsidP="00B81236">
      <w:pPr>
        <w:jc w:val="center"/>
        <w:rPr>
          <w:color w:val="000000" w:themeColor="text1"/>
        </w:rPr>
      </w:pPr>
      <w:r w:rsidRPr="00EE0C6C">
        <w:rPr>
          <w:color w:val="000000" w:themeColor="text1"/>
        </w:rPr>
        <w:t>Konstantinos Pitsakis,</w:t>
      </w:r>
    </w:p>
    <w:p w:rsidR="00B81236" w:rsidRPr="00EE0C6C" w:rsidRDefault="00B81236" w:rsidP="00B81236">
      <w:pPr>
        <w:jc w:val="center"/>
        <w:rPr>
          <w:color w:val="000000" w:themeColor="text1"/>
        </w:rPr>
      </w:pPr>
      <w:r w:rsidRPr="00EE0C6C">
        <w:rPr>
          <w:color w:val="000000" w:themeColor="text1"/>
        </w:rPr>
        <w:t>Kingston Business School,</w:t>
      </w:r>
    </w:p>
    <w:p w:rsidR="00B81236" w:rsidRPr="00EE0C6C" w:rsidRDefault="00B81236" w:rsidP="00B81236">
      <w:pPr>
        <w:jc w:val="center"/>
        <w:rPr>
          <w:color w:val="000000" w:themeColor="text1"/>
        </w:rPr>
      </w:pPr>
      <w:r w:rsidRPr="00EE0C6C">
        <w:rPr>
          <w:color w:val="000000" w:themeColor="text1"/>
        </w:rPr>
        <w:t>Kingston University,</w:t>
      </w:r>
    </w:p>
    <w:p w:rsidR="00B81236" w:rsidRPr="00EE0C6C" w:rsidRDefault="00B81236" w:rsidP="00B81236">
      <w:pPr>
        <w:jc w:val="center"/>
        <w:rPr>
          <w:color w:val="000000" w:themeColor="text1"/>
        </w:rPr>
      </w:pPr>
      <w:r w:rsidRPr="00EE0C6C">
        <w:rPr>
          <w:color w:val="000000" w:themeColor="text1"/>
        </w:rPr>
        <w:t>Kingston upon Thames,</w:t>
      </w:r>
    </w:p>
    <w:p w:rsidR="00B81236" w:rsidRPr="00EE0C6C" w:rsidRDefault="00B81236" w:rsidP="00B81236">
      <w:pPr>
        <w:jc w:val="center"/>
        <w:rPr>
          <w:color w:val="000000" w:themeColor="text1"/>
        </w:rPr>
      </w:pPr>
      <w:proofErr w:type="gramStart"/>
      <w:r w:rsidRPr="00EE0C6C">
        <w:rPr>
          <w:color w:val="000000" w:themeColor="text1"/>
        </w:rPr>
        <w:t>KT2 7LB.</w:t>
      </w:r>
      <w:proofErr w:type="gramEnd"/>
    </w:p>
    <w:p w:rsidR="00B81236" w:rsidRPr="00EE0C6C" w:rsidRDefault="00B81236" w:rsidP="00B81236">
      <w:pPr>
        <w:jc w:val="center"/>
        <w:rPr>
          <w:color w:val="000000" w:themeColor="text1"/>
        </w:rPr>
      </w:pPr>
    </w:p>
    <w:p w:rsidR="00B81236" w:rsidRPr="00EE0C6C" w:rsidRDefault="00B81236" w:rsidP="00B81236">
      <w:pPr>
        <w:jc w:val="center"/>
        <w:rPr>
          <w:color w:val="000000" w:themeColor="text1"/>
        </w:rPr>
      </w:pPr>
    </w:p>
    <w:p w:rsidR="00B81236" w:rsidRPr="00EE0C6C" w:rsidRDefault="00B81236" w:rsidP="00B81236">
      <w:pPr>
        <w:jc w:val="center"/>
        <w:rPr>
          <w:color w:val="000000" w:themeColor="text1"/>
        </w:rPr>
      </w:pPr>
      <w:r w:rsidRPr="00EE0C6C">
        <w:rPr>
          <w:color w:val="000000" w:themeColor="text1"/>
        </w:rPr>
        <w:t>Vangelis Souitaris,</w:t>
      </w:r>
    </w:p>
    <w:p w:rsidR="00B81236" w:rsidRPr="00EE0C6C" w:rsidRDefault="00B81236" w:rsidP="00B81236">
      <w:pPr>
        <w:jc w:val="center"/>
        <w:rPr>
          <w:color w:val="000000" w:themeColor="text1"/>
        </w:rPr>
      </w:pPr>
      <w:r w:rsidRPr="00EE0C6C">
        <w:rPr>
          <w:color w:val="000000" w:themeColor="text1"/>
        </w:rPr>
        <w:t>Cass Business School,</w:t>
      </w:r>
    </w:p>
    <w:p w:rsidR="00B81236" w:rsidRPr="00EE0C6C" w:rsidRDefault="00B81236" w:rsidP="00B81236">
      <w:pPr>
        <w:jc w:val="center"/>
        <w:rPr>
          <w:color w:val="000000" w:themeColor="text1"/>
        </w:rPr>
      </w:pPr>
      <w:r w:rsidRPr="00EE0C6C">
        <w:rPr>
          <w:color w:val="000000" w:themeColor="text1"/>
        </w:rPr>
        <w:t>City University London,</w:t>
      </w:r>
    </w:p>
    <w:p w:rsidR="00B81236" w:rsidRPr="00EE0C6C" w:rsidRDefault="00B81236" w:rsidP="00B81236">
      <w:pPr>
        <w:jc w:val="center"/>
        <w:rPr>
          <w:color w:val="000000" w:themeColor="text1"/>
        </w:rPr>
      </w:pPr>
      <w:proofErr w:type="spellStart"/>
      <w:r w:rsidRPr="00EE0C6C">
        <w:rPr>
          <w:color w:val="000000" w:themeColor="text1"/>
        </w:rPr>
        <w:t>Bunhill</w:t>
      </w:r>
      <w:proofErr w:type="spellEnd"/>
      <w:r w:rsidRPr="00EE0C6C">
        <w:rPr>
          <w:color w:val="000000" w:themeColor="text1"/>
        </w:rPr>
        <w:t xml:space="preserve"> Row,</w:t>
      </w:r>
    </w:p>
    <w:p w:rsidR="00B81236" w:rsidRPr="00EE0C6C" w:rsidRDefault="00B81236" w:rsidP="00B81236">
      <w:pPr>
        <w:jc w:val="center"/>
        <w:rPr>
          <w:color w:val="000000" w:themeColor="text1"/>
        </w:rPr>
      </w:pPr>
      <w:r w:rsidRPr="00EE0C6C">
        <w:rPr>
          <w:color w:val="000000" w:themeColor="text1"/>
        </w:rPr>
        <w:t>London,</w:t>
      </w:r>
    </w:p>
    <w:p w:rsidR="00B81236" w:rsidRPr="00EE0C6C" w:rsidRDefault="00B81236" w:rsidP="00B81236">
      <w:pPr>
        <w:jc w:val="center"/>
        <w:rPr>
          <w:color w:val="000000" w:themeColor="text1"/>
        </w:rPr>
      </w:pPr>
      <w:proofErr w:type="gramStart"/>
      <w:r w:rsidRPr="00EE0C6C">
        <w:rPr>
          <w:color w:val="000000" w:themeColor="text1"/>
        </w:rPr>
        <w:t>EC1Y 8TZ.</w:t>
      </w:r>
      <w:proofErr w:type="gramEnd"/>
    </w:p>
    <w:p w:rsidR="00B81236" w:rsidRPr="00EE0C6C" w:rsidRDefault="00B81236" w:rsidP="00B81236">
      <w:pPr>
        <w:jc w:val="center"/>
        <w:rPr>
          <w:color w:val="000000" w:themeColor="text1"/>
        </w:rPr>
      </w:pPr>
      <w:proofErr w:type="gramStart"/>
      <w:r w:rsidRPr="00EE0C6C">
        <w:rPr>
          <w:color w:val="000000" w:themeColor="text1"/>
        </w:rPr>
        <w:t>and</w:t>
      </w:r>
      <w:proofErr w:type="gramEnd"/>
    </w:p>
    <w:p w:rsidR="00B81236" w:rsidRPr="00EE0C6C" w:rsidRDefault="00B81236" w:rsidP="00B81236">
      <w:pPr>
        <w:jc w:val="center"/>
        <w:rPr>
          <w:color w:val="000000" w:themeColor="text1"/>
        </w:rPr>
      </w:pPr>
      <w:r w:rsidRPr="00EE0C6C">
        <w:rPr>
          <w:color w:val="000000" w:themeColor="text1"/>
        </w:rPr>
        <w:t>LUISS University</w:t>
      </w:r>
    </w:p>
    <w:p w:rsidR="00B81236" w:rsidRPr="00EE0C6C" w:rsidRDefault="00B81236" w:rsidP="00B81236">
      <w:pPr>
        <w:jc w:val="center"/>
        <w:rPr>
          <w:color w:val="222222"/>
        </w:rPr>
      </w:pPr>
      <w:proofErr w:type="spellStart"/>
      <w:r w:rsidRPr="00EE0C6C">
        <w:rPr>
          <w:color w:val="222222"/>
        </w:rPr>
        <w:t>Viale</w:t>
      </w:r>
      <w:proofErr w:type="spellEnd"/>
      <w:r w:rsidRPr="00EE0C6C">
        <w:rPr>
          <w:color w:val="222222"/>
        </w:rPr>
        <w:t xml:space="preserve"> Romania, 32, 00197,</w:t>
      </w:r>
    </w:p>
    <w:p w:rsidR="00B81236" w:rsidRPr="00EE0C6C" w:rsidRDefault="00B81236" w:rsidP="00B81236">
      <w:pPr>
        <w:jc w:val="center"/>
        <w:rPr>
          <w:color w:val="000000" w:themeColor="text1"/>
        </w:rPr>
      </w:pPr>
      <w:r w:rsidRPr="00EE0C6C">
        <w:rPr>
          <w:color w:val="222222"/>
        </w:rPr>
        <w:t>Rome, Italy</w:t>
      </w:r>
      <w:r>
        <w:rPr>
          <w:color w:val="222222"/>
        </w:rPr>
        <w:t>.</w:t>
      </w:r>
    </w:p>
    <w:p w:rsidR="00B81236" w:rsidRPr="00EE0C6C" w:rsidRDefault="00B81236" w:rsidP="00B81236">
      <w:pPr>
        <w:jc w:val="center"/>
        <w:rPr>
          <w:color w:val="000000" w:themeColor="text1"/>
        </w:rPr>
      </w:pPr>
    </w:p>
    <w:p w:rsidR="00B81236" w:rsidRPr="00EE0C6C" w:rsidRDefault="00B81236" w:rsidP="00B81236">
      <w:pPr>
        <w:jc w:val="center"/>
        <w:rPr>
          <w:color w:val="000000" w:themeColor="text1"/>
        </w:rPr>
      </w:pPr>
    </w:p>
    <w:p w:rsidR="00B81236" w:rsidRPr="00EE0C6C" w:rsidRDefault="00B81236" w:rsidP="00B81236">
      <w:pPr>
        <w:jc w:val="center"/>
        <w:rPr>
          <w:color w:val="000000" w:themeColor="text1"/>
        </w:rPr>
      </w:pPr>
      <w:r w:rsidRPr="00EE0C6C">
        <w:rPr>
          <w:color w:val="000000" w:themeColor="text1"/>
        </w:rPr>
        <w:t>Nicos Nicolaou,</w:t>
      </w:r>
    </w:p>
    <w:p w:rsidR="00B81236" w:rsidRPr="00EE0C6C" w:rsidRDefault="00B81236" w:rsidP="00B81236">
      <w:pPr>
        <w:jc w:val="center"/>
        <w:rPr>
          <w:color w:val="000000" w:themeColor="text1"/>
        </w:rPr>
      </w:pPr>
      <w:r w:rsidRPr="00EE0C6C">
        <w:rPr>
          <w:color w:val="000000" w:themeColor="text1"/>
        </w:rPr>
        <w:t>Warwick Business School,</w:t>
      </w:r>
    </w:p>
    <w:p w:rsidR="00B81236" w:rsidRPr="00EE0C6C" w:rsidRDefault="00B81236" w:rsidP="00B81236">
      <w:pPr>
        <w:jc w:val="center"/>
        <w:rPr>
          <w:color w:val="000000" w:themeColor="text1"/>
        </w:rPr>
      </w:pPr>
      <w:r w:rsidRPr="00EE0C6C">
        <w:rPr>
          <w:color w:val="000000" w:themeColor="text1"/>
        </w:rPr>
        <w:t>University of Warwick,</w:t>
      </w:r>
    </w:p>
    <w:p w:rsidR="00B81236" w:rsidRPr="00EE0C6C" w:rsidRDefault="00B81236" w:rsidP="00B81236">
      <w:pPr>
        <w:jc w:val="center"/>
        <w:rPr>
          <w:color w:val="000000" w:themeColor="text1"/>
        </w:rPr>
      </w:pPr>
      <w:r w:rsidRPr="00EE0C6C">
        <w:rPr>
          <w:color w:val="000000" w:themeColor="text1"/>
        </w:rPr>
        <w:t>Coventry,</w:t>
      </w:r>
    </w:p>
    <w:p w:rsidR="00B81236" w:rsidRPr="00EE0C6C" w:rsidRDefault="00B81236" w:rsidP="00B81236">
      <w:pPr>
        <w:jc w:val="center"/>
        <w:rPr>
          <w:color w:val="000000" w:themeColor="text1"/>
        </w:rPr>
      </w:pPr>
      <w:proofErr w:type="gramStart"/>
      <w:r w:rsidRPr="00EE0C6C">
        <w:rPr>
          <w:color w:val="000000" w:themeColor="text1"/>
        </w:rPr>
        <w:t>CV4 7AL.</w:t>
      </w:r>
      <w:proofErr w:type="gramEnd"/>
    </w:p>
    <w:p w:rsidR="00B81236" w:rsidRPr="00EE0C6C" w:rsidRDefault="00B81236" w:rsidP="00B81236">
      <w:pPr>
        <w:jc w:val="center"/>
        <w:rPr>
          <w:color w:val="000000" w:themeColor="text1"/>
        </w:rPr>
      </w:pPr>
    </w:p>
    <w:p w:rsidR="00B81236" w:rsidRPr="00EE0C6C" w:rsidRDefault="00B81236" w:rsidP="00B81236">
      <w:pPr>
        <w:jc w:val="center"/>
        <w:rPr>
          <w:color w:val="000000" w:themeColor="text1"/>
        </w:rPr>
      </w:pPr>
    </w:p>
    <w:p w:rsidR="00B81236" w:rsidRPr="00EE0C6C" w:rsidRDefault="00B81236" w:rsidP="00B81236">
      <w:pPr>
        <w:jc w:val="center"/>
        <w:rPr>
          <w:color w:val="000000" w:themeColor="text1"/>
        </w:rPr>
      </w:pPr>
    </w:p>
    <w:p w:rsidR="00B81236" w:rsidRPr="00EE0C6C" w:rsidRDefault="00B81236" w:rsidP="00B81236">
      <w:pPr>
        <w:jc w:val="center"/>
        <w:rPr>
          <w:color w:val="000000" w:themeColor="text1"/>
        </w:rPr>
      </w:pPr>
      <w:bookmarkStart w:id="0" w:name="_GoBack"/>
      <w:bookmarkEnd w:id="0"/>
    </w:p>
    <w:p w:rsidR="00B81236" w:rsidRPr="00EE0C6C" w:rsidRDefault="00B81236" w:rsidP="00B81236">
      <w:pPr>
        <w:jc w:val="center"/>
        <w:rPr>
          <w:color w:val="000000" w:themeColor="text1"/>
        </w:rPr>
      </w:pPr>
    </w:p>
    <w:p w:rsidR="00B81236" w:rsidRPr="00EE0C6C" w:rsidRDefault="00B81236" w:rsidP="00B81236">
      <w:pPr>
        <w:jc w:val="center"/>
        <w:rPr>
          <w:color w:val="000000" w:themeColor="text1"/>
        </w:rPr>
      </w:pPr>
    </w:p>
    <w:p w:rsidR="00B81236" w:rsidRPr="00745DF7" w:rsidRDefault="00CB2F65" w:rsidP="00B81236">
      <w:pPr>
        <w:jc w:val="center"/>
        <w:rPr>
          <w:b/>
          <w:color w:val="000000" w:themeColor="text1"/>
          <w:sz w:val="28"/>
          <w:szCs w:val="28"/>
        </w:rPr>
      </w:pPr>
      <w:r w:rsidRPr="00745DF7">
        <w:rPr>
          <w:b/>
          <w:color w:val="000000" w:themeColor="text1"/>
          <w:sz w:val="28"/>
          <w:szCs w:val="28"/>
        </w:rPr>
        <w:t>FORTHCOMING IN THE JOURNAL OF MANAGEMENT STUDIES</w:t>
      </w:r>
    </w:p>
    <w:p w:rsidR="00B81236" w:rsidRPr="00EE0C6C" w:rsidRDefault="00B81236" w:rsidP="00B81236">
      <w:pPr>
        <w:jc w:val="center"/>
        <w:rPr>
          <w:color w:val="000000" w:themeColor="text1"/>
        </w:rPr>
      </w:pPr>
    </w:p>
    <w:p w:rsidR="00B81236" w:rsidRPr="00EE0C6C" w:rsidRDefault="00B81236" w:rsidP="00B81236">
      <w:pPr>
        <w:jc w:val="center"/>
        <w:rPr>
          <w:color w:val="000000" w:themeColor="text1"/>
        </w:rPr>
      </w:pPr>
    </w:p>
    <w:p w:rsidR="00B81236" w:rsidRPr="00EE0C6C" w:rsidRDefault="00B81236" w:rsidP="00B81236">
      <w:pPr>
        <w:jc w:val="center"/>
        <w:rPr>
          <w:color w:val="000000" w:themeColor="text1"/>
        </w:rPr>
      </w:pPr>
    </w:p>
    <w:p w:rsidR="00B81236" w:rsidRPr="00EE0C6C" w:rsidRDefault="00B81236" w:rsidP="00B81236">
      <w:pPr>
        <w:jc w:val="center"/>
        <w:rPr>
          <w:color w:val="000000" w:themeColor="text1"/>
        </w:rPr>
      </w:pPr>
    </w:p>
    <w:p w:rsidR="00B81236" w:rsidRPr="00EE0C6C" w:rsidRDefault="00B81236" w:rsidP="00B81236">
      <w:pPr>
        <w:jc w:val="center"/>
        <w:rPr>
          <w:color w:val="000000" w:themeColor="text1"/>
        </w:rPr>
      </w:pPr>
    </w:p>
    <w:p w:rsidR="00B81236" w:rsidRPr="00EE0C6C" w:rsidRDefault="00B81236" w:rsidP="00B81236">
      <w:pPr>
        <w:jc w:val="center"/>
        <w:rPr>
          <w:color w:val="000000" w:themeColor="text1"/>
        </w:rPr>
      </w:pPr>
    </w:p>
    <w:p w:rsidR="00B81236" w:rsidRPr="00EE0C6C" w:rsidRDefault="00B81236" w:rsidP="00B81236">
      <w:pPr>
        <w:jc w:val="center"/>
        <w:rPr>
          <w:color w:val="000000" w:themeColor="text1"/>
        </w:rPr>
      </w:pPr>
    </w:p>
    <w:p w:rsidR="00B81236" w:rsidRPr="00EE0C6C" w:rsidRDefault="00B81236" w:rsidP="00B81236">
      <w:pPr>
        <w:rPr>
          <w:color w:val="000000" w:themeColor="text1"/>
        </w:rPr>
      </w:pPr>
      <w:r w:rsidRPr="00EE0C6C">
        <w:rPr>
          <w:color w:val="000000" w:themeColor="text1"/>
        </w:rPr>
        <w:t xml:space="preserve">Acknowledgements: We are grateful to the editor and the </w:t>
      </w:r>
      <w:r w:rsidR="00CB2F65">
        <w:rPr>
          <w:color w:val="000000" w:themeColor="text1"/>
        </w:rPr>
        <w:t xml:space="preserve">three </w:t>
      </w:r>
      <w:r w:rsidRPr="00EE0C6C">
        <w:rPr>
          <w:color w:val="000000" w:themeColor="text1"/>
        </w:rPr>
        <w:t>anonymous reviewers for their excellent comments and suggestions.</w:t>
      </w:r>
    </w:p>
    <w:p w:rsidR="00B81236" w:rsidRPr="00DC7686" w:rsidRDefault="00B81236" w:rsidP="00B81236">
      <w:pPr>
        <w:rPr>
          <w:rFonts w:ascii="Times" w:hAnsi="Times"/>
          <w:color w:val="000000" w:themeColor="text1"/>
        </w:rPr>
      </w:pPr>
      <w:r w:rsidRPr="00EE0C6C">
        <w:rPr>
          <w:color w:val="000000" w:themeColor="text1"/>
        </w:rPr>
        <w:br w:type="page"/>
      </w:r>
    </w:p>
    <w:p w:rsidR="007F1088" w:rsidRPr="00AD1AEF" w:rsidRDefault="007F1088" w:rsidP="007F1088">
      <w:pPr>
        <w:jc w:val="center"/>
        <w:rPr>
          <w:b/>
          <w:caps/>
        </w:rPr>
      </w:pPr>
      <w:r w:rsidRPr="00AD1AEF">
        <w:rPr>
          <w:b/>
          <w:caps/>
        </w:rPr>
        <w:lastRenderedPageBreak/>
        <w:t xml:space="preserve">The </w:t>
      </w:r>
      <w:r>
        <w:rPr>
          <w:b/>
          <w:caps/>
        </w:rPr>
        <w:t xml:space="preserve">Peripheral </w:t>
      </w:r>
      <w:r w:rsidRPr="00AD1AEF">
        <w:rPr>
          <w:b/>
          <w:caps/>
        </w:rPr>
        <w:t xml:space="preserve">halo effect: </w:t>
      </w:r>
      <w:r w:rsidR="00C61977">
        <w:rPr>
          <w:b/>
          <w:caps/>
        </w:rPr>
        <w:t>DO</w:t>
      </w:r>
      <w:r w:rsidR="009B02F2">
        <w:rPr>
          <w:b/>
          <w:caps/>
        </w:rPr>
        <w:t xml:space="preserve"> academic spinoffs </w:t>
      </w:r>
      <w:r w:rsidR="00A00708">
        <w:rPr>
          <w:b/>
          <w:caps/>
        </w:rPr>
        <w:t>INFLUENCE</w:t>
      </w:r>
      <w:r w:rsidR="009B02F2">
        <w:rPr>
          <w:b/>
          <w:caps/>
        </w:rPr>
        <w:t xml:space="preserve"> universities’ research income?</w:t>
      </w:r>
    </w:p>
    <w:p w:rsidR="007F1088" w:rsidRPr="00AD1AEF" w:rsidRDefault="007F1088" w:rsidP="007F1088">
      <w:pPr>
        <w:spacing w:line="480" w:lineRule="auto"/>
        <w:jc w:val="center"/>
        <w:rPr>
          <w:b/>
        </w:rPr>
      </w:pPr>
    </w:p>
    <w:p w:rsidR="007F1088" w:rsidRPr="00AD1AEF" w:rsidRDefault="007F1088" w:rsidP="007F1088">
      <w:pPr>
        <w:spacing w:line="480" w:lineRule="auto"/>
        <w:jc w:val="center"/>
        <w:rPr>
          <w:b/>
        </w:rPr>
      </w:pPr>
    </w:p>
    <w:p w:rsidR="007F1088" w:rsidRPr="00AD1AEF" w:rsidRDefault="007F1088" w:rsidP="007F1088">
      <w:pPr>
        <w:spacing w:line="480" w:lineRule="auto"/>
        <w:jc w:val="center"/>
        <w:rPr>
          <w:b/>
        </w:rPr>
      </w:pPr>
    </w:p>
    <w:p w:rsidR="007F1088" w:rsidRPr="00AD1AEF" w:rsidRDefault="007F1088" w:rsidP="007F1088">
      <w:pPr>
        <w:spacing w:line="480" w:lineRule="auto"/>
        <w:jc w:val="center"/>
        <w:rPr>
          <w:b/>
        </w:rPr>
      </w:pPr>
    </w:p>
    <w:p w:rsidR="007F1088" w:rsidRPr="00AD1AEF" w:rsidRDefault="007F1088" w:rsidP="007F1088">
      <w:pPr>
        <w:spacing w:line="480" w:lineRule="auto"/>
        <w:jc w:val="center"/>
        <w:rPr>
          <w:b/>
        </w:rPr>
      </w:pPr>
    </w:p>
    <w:p w:rsidR="007F1088" w:rsidRPr="00AD1AEF" w:rsidRDefault="007F1088" w:rsidP="007F1088">
      <w:pPr>
        <w:spacing w:line="480" w:lineRule="auto"/>
        <w:rPr>
          <w:b/>
        </w:rPr>
      </w:pPr>
    </w:p>
    <w:p w:rsidR="007F1088" w:rsidRPr="00AD1AEF" w:rsidRDefault="007F1088" w:rsidP="007F1088">
      <w:pPr>
        <w:spacing w:line="480" w:lineRule="auto"/>
        <w:jc w:val="center"/>
        <w:rPr>
          <w:b/>
        </w:rPr>
      </w:pPr>
    </w:p>
    <w:p w:rsidR="007F1088" w:rsidRPr="00AD1AEF" w:rsidRDefault="007F1088" w:rsidP="007F1088">
      <w:pPr>
        <w:spacing w:line="480" w:lineRule="auto"/>
        <w:jc w:val="center"/>
        <w:outlineLvl w:val="0"/>
        <w:rPr>
          <w:b/>
        </w:rPr>
      </w:pPr>
      <w:r w:rsidRPr="00AD1AEF">
        <w:rPr>
          <w:b/>
        </w:rPr>
        <w:t>ABSTRACT</w:t>
      </w:r>
    </w:p>
    <w:p w:rsidR="007F1088" w:rsidRPr="00AD1AEF" w:rsidRDefault="007F1088" w:rsidP="007F1088">
      <w:pPr>
        <w:spacing w:line="480" w:lineRule="auto"/>
        <w:jc w:val="both"/>
      </w:pPr>
      <w:r>
        <w:rPr>
          <w:rStyle w:val="printonly"/>
        </w:rPr>
        <w:t xml:space="preserve">Extant literature has </w:t>
      </w:r>
      <w:r w:rsidR="00746EA0">
        <w:rPr>
          <w:rStyle w:val="printonly"/>
        </w:rPr>
        <w:t>drawn attention to</w:t>
      </w:r>
      <w:r>
        <w:rPr>
          <w:rStyle w:val="printonly"/>
        </w:rPr>
        <w:t xml:space="preserve"> the</w:t>
      </w:r>
      <w:r w:rsidRPr="004A1968">
        <w:rPr>
          <w:rStyle w:val="printonly"/>
        </w:rPr>
        <w:t xml:space="preserve"> ‘halo effect’ of </w:t>
      </w:r>
      <w:r w:rsidR="006B6967">
        <w:rPr>
          <w:rStyle w:val="printonly"/>
        </w:rPr>
        <w:t>the</w:t>
      </w:r>
      <w:r>
        <w:rPr>
          <w:rStyle w:val="printonly"/>
        </w:rPr>
        <w:t xml:space="preserve"> good </w:t>
      </w:r>
      <w:r w:rsidRPr="004A1968">
        <w:rPr>
          <w:rStyle w:val="printonly"/>
        </w:rPr>
        <w:t xml:space="preserve">reputation </w:t>
      </w:r>
      <w:r w:rsidR="00E805A7">
        <w:rPr>
          <w:rStyle w:val="printonly"/>
        </w:rPr>
        <w:t>of</w:t>
      </w:r>
      <w:r w:rsidR="00E805A7" w:rsidRPr="004A1968">
        <w:rPr>
          <w:rStyle w:val="printonly"/>
        </w:rPr>
        <w:t xml:space="preserve"> </w:t>
      </w:r>
      <w:r w:rsidR="00746EA0">
        <w:rPr>
          <w:rStyle w:val="printonly"/>
        </w:rPr>
        <w:t>a</w:t>
      </w:r>
      <w:r>
        <w:rPr>
          <w:rStyle w:val="printonly"/>
        </w:rPr>
        <w:t xml:space="preserve"> core </w:t>
      </w:r>
      <w:r w:rsidR="00D60884">
        <w:rPr>
          <w:rStyle w:val="printonly"/>
        </w:rPr>
        <w:t>organization</w:t>
      </w:r>
      <w:r>
        <w:rPr>
          <w:rStyle w:val="printonly"/>
        </w:rPr>
        <w:t>al activity on the outcome of a</w:t>
      </w:r>
      <w:r w:rsidR="00746EA0">
        <w:rPr>
          <w:rStyle w:val="printonly"/>
        </w:rPr>
        <w:t xml:space="preserve"> </w:t>
      </w:r>
      <w:r>
        <w:rPr>
          <w:rStyle w:val="printonly"/>
        </w:rPr>
        <w:t xml:space="preserve">peripheral activity. </w:t>
      </w:r>
      <w:r>
        <w:t>We contrib</w:t>
      </w:r>
      <w:r w:rsidR="002F2850">
        <w:t xml:space="preserve">ute to the literature on </w:t>
      </w:r>
      <w:r w:rsidR="00D60884">
        <w:t>organization</w:t>
      </w:r>
      <w:r>
        <w:t>al reputation by illustrating a halo</w:t>
      </w:r>
      <w:r w:rsidR="00321BD0">
        <w:t xml:space="preserve"> </w:t>
      </w:r>
      <w:r>
        <w:t>effect in the opposite direction</w:t>
      </w:r>
      <w:r w:rsidR="00321BD0">
        <w:t xml:space="preserve"> – </w:t>
      </w:r>
      <w:r>
        <w:t>from the periphery to the core. We show that developing a reputa</w:t>
      </w:r>
      <w:r w:rsidR="005C292C">
        <w:t>tion for a</w:t>
      </w:r>
      <w:r w:rsidR="00B3259E">
        <w:t xml:space="preserve"> peripheral</w:t>
      </w:r>
      <w:r w:rsidR="005C292C">
        <w:t xml:space="preserve"> activity</w:t>
      </w:r>
      <w:r>
        <w:t xml:space="preserve"> (in our context</w:t>
      </w:r>
      <w:r w:rsidR="00321BD0">
        <w:t>,</w:t>
      </w:r>
      <w:r>
        <w:t xml:space="preserve"> </w:t>
      </w:r>
      <w:r w:rsidR="009B02F2">
        <w:t xml:space="preserve">universities’ </w:t>
      </w:r>
      <w:r w:rsidR="00466330">
        <w:t xml:space="preserve">social impact via </w:t>
      </w:r>
      <w:r w:rsidR="004533B6">
        <w:t xml:space="preserve">spinoffs) </w:t>
      </w:r>
      <w:r w:rsidR="006B6967">
        <w:t>may have</w:t>
      </w:r>
      <w:r>
        <w:t xml:space="preserve"> positive spillovers for core </w:t>
      </w:r>
      <w:r w:rsidR="00D60884">
        <w:t>organization</w:t>
      </w:r>
      <w:r>
        <w:t>al activities (in our context</w:t>
      </w:r>
      <w:r w:rsidR="00321BD0">
        <w:t>,</w:t>
      </w:r>
      <w:r>
        <w:t xml:space="preserve"> </w:t>
      </w:r>
      <w:r w:rsidR="00B0173E">
        <w:t xml:space="preserve">university </w:t>
      </w:r>
      <w:r>
        <w:t>research)</w:t>
      </w:r>
      <w:r w:rsidR="00690700">
        <w:t>, a</w:t>
      </w:r>
      <w:r>
        <w:t xml:space="preserve"> phenomen</w:t>
      </w:r>
      <w:r w:rsidR="00400D60">
        <w:t xml:space="preserve">on </w:t>
      </w:r>
      <w:r w:rsidR="00902121">
        <w:t>we term</w:t>
      </w:r>
      <w:r w:rsidR="001275FB">
        <w:t xml:space="preserve"> </w:t>
      </w:r>
      <w:r w:rsidR="00400D60">
        <w:t>the ‘peripheral halo effect’</w:t>
      </w:r>
      <w:r w:rsidR="00690700">
        <w:t>. We</w:t>
      </w:r>
      <w:r w:rsidR="00EC12FC">
        <w:t xml:space="preserve"> </w:t>
      </w:r>
      <w:r w:rsidR="006B6967">
        <w:t>also show</w:t>
      </w:r>
      <w:r w:rsidR="00400D60">
        <w:t xml:space="preserve"> that th</w:t>
      </w:r>
      <w:r w:rsidR="00EC12FC">
        <w:t>is</w:t>
      </w:r>
      <w:r w:rsidR="00400D60">
        <w:t xml:space="preserve"> effect is more prominent for high</w:t>
      </w:r>
      <w:r w:rsidR="00746EA0">
        <w:t>-</w:t>
      </w:r>
      <w:r w:rsidR="00400D60">
        <w:t xml:space="preserve">status </w:t>
      </w:r>
      <w:r w:rsidR="00DA7F60">
        <w:t xml:space="preserve">than for low-status </w:t>
      </w:r>
      <w:r w:rsidR="00400D60">
        <w:t xml:space="preserve">organizations. </w:t>
      </w:r>
      <w:r w:rsidR="006B6967">
        <w:t xml:space="preserve">Our research also </w:t>
      </w:r>
      <w:r>
        <w:t>contribute</w:t>
      </w:r>
      <w:r w:rsidR="006B6967">
        <w:t>s</w:t>
      </w:r>
      <w:r>
        <w:t xml:space="preserve"> to the </w:t>
      </w:r>
      <w:r w:rsidR="00156081">
        <w:t>academic-</w:t>
      </w:r>
      <w:r w:rsidRPr="00AD1AEF">
        <w:t xml:space="preserve">entrepreneurship literature </w:t>
      </w:r>
      <w:r>
        <w:t xml:space="preserve">by </w:t>
      </w:r>
      <w:r w:rsidR="00746EA0">
        <w:t>revealing</w:t>
      </w:r>
      <w:r>
        <w:t xml:space="preserve"> that</w:t>
      </w:r>
      <w:r w:rsidRPr="00AD1AEF">
        <w:t xml:space="preserve"> spinoff</w:t>
      </w:r>
      <w:r w:rsidR="004533B6">
        <w:t xml:space="preserve"> portfolios </w:t>
      </w:r>
      <w:r w:rsidR="00D75D3E">
        <w:t>can generate</w:t>
      </w:r>
      <w:r>
        <w:t xml:space="preserve"> income for</w:t>
      </w:r>
      <w:r w:rsidRPr="00AD1AEF">
        <w:t xml:space="preserve"> universities </w:t>
      </w:r>
      <w:r w:rsidR="008F2581">
        <w:t xml:space="preserve">not only </w:t>
      </w:r>
      <w:r w:rsidR="00367857">
        <w:t xml:space="preserve">directly </w:t>
      </w:r>
      <w:r w:rsidR="008F2581">
        <w:t>via equity</w:t>
      </w:r>
      <w:r w:rsidR="00321BD0">
        <w:t xml:space="preserve"> </w:t>
      </w:r>
      <w:r w:rsidR="008F2581">
        <w:t>positions but also</w:t>
      </w:r>
      <w:r w:rsidR="008F2581" w:rsidRPr="00AD1AEF">
        <w:t xml:space="preserve"> </w:t>
      </w:r>
      <w:r w:rsidRPr="00AD1AEF">
        <w:t>indirectly</w:t>
      </w:r>
      <w:r w:rsidR="00641232">
        <w:t xml:space="preserve"> via </w:t>
      </w:r>
      <w:r w:rsidRPr="00AD1AEF">
        <w:t xml:space="preserve">reputational benefits. </w:t>
      </w:r>
    </w:p>
    <w:p w:rsidR="007F1088" w:rsidRPr="00AD1AEF" w:rsidRDefault="007F1088" w:rsidP="007F1088">
      <w:pPr>
        <w:spacing w:line="480" w:lineRule="auto"/>
        <w:rPr>
          <w:i/>
        </w:rPr>
      </w:pPr>
      <w:r w:rsidRPr="00AD1AEF">
        <w:t xml:space="preserve">Keywords: </w:t>
      </w:r>
      <w:r w:rsidR="00D60884">
        <w:rPr>
          <w:i/>
        </w:rPr>
        <w:t>organization</w:t>
      </w:r>
      <w:r>
        <w:rPr>
          <w:i/>
        </w:rPr>
        <w:t xml:space="preserve">al </w:t>
      </w:r>
      <w:r w:rsidRPr="00AD1AEF">
        <w:rPr>
          <w:i/>
        </w:rPr>
        <w:t xml:space="preserve">reputation; </w:t>
      </w:r>
      <w:r>
        <w:rPr>
          <w:i/>
        </w:rPr>
        <w:t>halo effect;</w:t>
      </w:r>
      <w:r w:rsidR="00DB3D97">
        <w:rPr>
          <w:i/>
        </w:rPr>
        <w:t xml:space="preserve"> signaling theory;</w:t>
      </w:r>
      <w:r w:rsidRPr="000C4C59">
        <w:rPr>
          <w:i/>
        </w:rPr>
        <w:t xml:space="preserve"> </w:t>
      </w:r>
      <w:r w:rsidR="00EC12FC">
        <w:rPr>
          <w:i/>
        </w:rPr>
        <w:t xml:space="preserve">status; </w:t>
      </w:r>
      <w:r w:rsidRPr="00AD1AEF">
        <w:rPr>
          <w:i/>
        </w:rPr>
        <w:t>spinoffs; academic entrepreneurship;</w:t>
      </w:r>
      <w:r>
        <w:rPr>
          <w:i/>
        </w:rPr>
        <w:t xml:space="preserve"> </w:t>
      </w:r>
      <w:r w:rsidRPr="00AD1AEF">
        <w:rPr>
          <w:i/>
        </w:rPr>
        <w:t>university funding</w:t>
      </w:r>
    </w:p>
    <w:p w:rsidR="007F1088" w:rsidRPr="00AD1AEF" w:rsidRDefault="007F1088" w:rsidP="007F1088">
      <w:pPr>
        <w:spacing w:line="480" w:lineRule="auto"/>
      </w:pPr>
    </w:p>
    <w:p w:rsidR="007F1088" w:rsidRDefault="007F1088" w:rsidP="007F1088">
      <w:pPr>
        <w:spacing w:line="480" w:lineRule="auto"/>
      </w:pPr>
    </w:p>
    <w:p w:rsidR="007F1088" w:rsidRDefault="007F1088" w:rsidP="007F1088">
      <w:pPr>
        <w:spacing w:line="480" w:lineRule="auto"/>
      </w:pPr>
    </w:p>
    <w:p w:rsidR="0076153A" w:rsidRDefault="0076153A" w:rsidP="007F1088">
      <w:pPr>
        <w:spacing w:line="480" w:lineRule="auto"/>
      </w:pPr>
    </w:p>
    <w:p w:rsidR="007F1088" w:rsidRDefault="007F1088" w:rsidP="007F1088">
      <w:pPr>
        <w:spacing w:line="480" w:lineRule="auto"/>
      </w:pPr>
    </w:p>
    <w:p w:rsidR="00016E19" w:rsidRDefault="00016E19" w:rsidP="007F1088">
      <w:pPr>
        <w:spacing w:line="480" w:lineRule="auto"/>
      </w:pPr>
    </w:p>
    <w:p w:rsidR="007F1088" w:rsidRPr="00AD1AEF" w:rsidRDefault="007F1088" w:rsidP="007F1088">
      <w:pPr>
        <w:spacing w:line="480" w:lineRule="auto"/>
      </w:pPr>
    </w:p>
    <w:p w:rsidR="007F1088" w:rsidRPr="00AD1AEF" w:rsidRDefault="007F1088" w:rsidP="007F1088">
      <w:pPr>
        <w:numPr>
          <w:ilvl w:val="0"/>
          <w:numId w:val="5"/>
        </w:numPr>
        <w:spacing w:line="480" w:lineRule="auto"/>
        <w:ind w:left="426" w:hanging="426"/>
        <w:rPr>
          <w:b/>
        </w:rPr>
      </w:pPr>
      <w:r w:rsidRPr="00AD1AEF">
        <w:rPr>
          <w:b/>
        </w:rPr>
        <w:lastRenderedPageBreak/>
        <w:t>INTRODUCTION</w:t>
      </w:r>
    </w:p>
    <w:p w:rsidR="007F1088" w:rsidRDefault="007F1088" w:rsidP="007F1088">
      <w:pPr>
        <w:spacing w:line="480" w:lineRule="auto"/>
        <w:ind w:firstLine="567"/>
        <w:jc w:val="both"/>
      </w:pPr>
    </w:p>
    <w:p w:rsidR="007F1088" w:rsidRPr="004A1968" w:rsidRDefault="00D60884" w:rsidP="007F1088">
      <w:pPr>
        <w:spacing w:line="480" w:lineRule="auto"/>
        <w:ind w:firstLine="567"/>
        <w:jc w:val="both"/>
      </w:pPr>
      <w:r>
        <w:t>Organization</w:t>
      </w:r>
      <w:r w:rsidR="007F1088">
        <w:t xml:space="preserve">al reputation refers to </w:t>
      </w:r>
      <w:r w:rsidR="007F1088" w:rsidRPr="004A1968">
        <w:rPr>
          <w:lang w:val="en-GB" w:eastAsia="en-GB"/>
        </w:rPr>
        <w:t xml:space="preserve">stakeholders’ perceptions about an </w:t>
      </w:r>
      <w:r>
        <w:rPr>
          <w:lang w:val="en-GB" w:eastAsia="en-GB"/>
        </w:rPr>
        <w:t>organization</w:t>
      </w:r>
      <w:r w:rsidR="007F1088" w:rsidRPr="004A1968">
        <w:rPr>
          <w:lang w:val="en-GB" w:eastAsia="en-GB"/>
        </w:rPr>
        <w:t>’s ability to create value relative to competitors (</w:t>
      </w:r>
      <w:proofErr w:type="spellStart"/>
      <w:r w:rsidR="007F1088" w:rsidRPr="004A1968">
        <w:rPr>
          <w:lang w:val="en-GB" w:eastAsia="en-GB"/>
        </w:rPr>
        <w:t>Rindova</w:t>
      </w:r>
      <w:proofErr w:type="spellEnd"/>
      <w:r w:rsidR="007F1088" w:rsidRPr="004A1968">
        <w:rPr>
          <w:lang w:val="en-GB" w:eastAsia="en-GB"/>
        </w:rPr>
        <w:t xml:space="preserve">, Williamson, </w:t>
      </w:r>
      <w:proofErr w:type="spellStart"/>
      <w:r w:rsidR="007F1088" w:rsidRPr="004A1968">
        <w:rPr>
          <w:lang w:val="en-GB" w:eastAsia="en-GB"/>
        </w:rPr>
        <w:t>Petkova</w:t>
      </w:r>
      <w:proofErr w:type="spellEnd"/>
      <w:r w:rsidR="007F1088" w:rsidRPr="004A1968">
        <w:rPr>
          <w:lang w:val="en-GB" w:eastAsia="en-GB"/>
        </w:rPr>
        <w:t xml:space="preserve"> and </w:t>
      </w:r>
      <w:proofErr w:type="spellStart"/>
      <w:r w:rsidR="007F1088" w:rsidRPr="004A1968">
        <w:rPr>
          <w:lang w:val="en-GB" w:eastAsia="en-GB"/>
        </w:rPr>
        <w:t>Shever</w:t>
      </w:r>
      <w:proofErr w:type="spellEnd"/>
      <w:r w:rsidR="007F1088" w:rsidRPr="004A1968">
        <w:rPr>
          <w:lang w:val="en-GB" w:eastAsia="en-GB"/>
        </w:rPr>
        <w:t>, 2005)</w:t>
      </w:r>
      <w:r w:rsidR="007F1088" w:rsidRPr="004A1968">
        <w:t xml:space="preserve">. </w:t>
      </w:r>
      <w:r>
        <w:t>Organization</w:t>
      </w:r>
      <w:r w:rsidR="007F1088" w:rsidRPr="004A1968">
        <w:t>s build reputation through signals, including patterns of resource deployment</w:t>
      </w:r>
      <w:r w:rsidR="00B73983">
        <w:t xml:space="preserve"> and</w:t>
      </w:r>
      <w:r w:rsidR="007F1088" w:rsidRPr="004A1968">
        <w:t xml:space="preserve"> levels of performance and </w:t>
      </w:r>
      <w:r w:rsidR="00B73983">
        <w:t xml:space="preserve">through </w:t>
      </w:r>
      <w:r w:rsidR="007F1088" w:rsidRPr="004A1968">
        <w:t>endorsements from third parties such as the media (</w:t>
      </w:r>
      <w:r w:rsidR="0060788F">
        <w:t xml:space="preserve">Deephouse, 2000; </w:t>
      </w:r>
      <w:proofErr w:type="spellStart"/>
      <w:r w:rsidR="00B73983">
        <w:t>Dimov</w:t>
      </w:r>
      <w:proofErr w:type="spellEnd"/>
      <w:r w:rsidR="00B73983">
        <w:t xml:space="preserve">, Shepherd and </w:t>
      </w:r>
      <w:proofErr w:type="spellStart"/>
      <w:r w:rsidR="00B73983">
        <w:t>Suttcliffe</w:t>
      </w:r>
      <w:proofErr w:type="spellEnd"/>
      <w:r w:rsidR="00B73983">
        <w:t>, 2007;</w:t>
      </w:r>
      <w:r w:rsidR="007F1088" w:rsidRPr="004A1968">
        <w:t xml:space="preserve"> Greenwood, Li, Prakash and </w:t>
      </w:r>
      <w:proofErr w:type="spellStart"/>
      <w:r w:rsidR="007F1088" w:rsidRPr="004A1968">
        <w:t>Deephouse</w:t>
      </w:r>
      <w:proofErr w:type="spellEnd"/>
      <w:r w:rsidR="007F1088" w:rsidRPr="004A1968">
        <w:t>, 2005;</w:t>
      </w:r>
      <w:r w:rsidR="00325076">
        <w:t xml:space="preserve"> </w:t>
      </w:r>
      <w:proofErr w:type="spellStart"/>
      <w:r w:rsidR="007F1088" w:rsidRPr="004A1968">
        <w:t>Rindova</w:t>
      </w:r>
      <w:proofErr w:type="spellEnd"/>
      <w:r w:rsidR="007F1088" w:rsidRPr="004A1968">
        <w:t xml:space="preserve">, </w:t>
      </w:r>
      <w:proofErr w:type="spellStart"/>
      <w:r w:rsidR="007F1088" w:rsidRPr="004A1968">
        <w:t>Petkova</w:t>
      </w:r>
      <w:proofErr w:type="spellEnd"/>
      <w:r w:rsidR="007F1088" w:rsidRPr="004A1968">
        <w:t xml:space="preserve"> and </w:t>
      </w:r>
      <w:proofErr w:type="spellStart"/>
      <w:r w:rsidR="007F1088" w:rsidRPr="004A1968">
        <w:t>Kotha</w:t>
      </w:r>
      <w:proofErr w:type="spellEnd"/>
      <w:r w:rsidR="007F1088" w:rsidRPr="004A1968">
        <w:t>, 2007).</w:t>
      </w:r>
      <w:r w:rsidR="007F1088" w:rsidRPr="004A1968">
        <w:rPr>
          <w:color w:val="231F20"/>
        </w:rPr>
        <w:t xml:space="preserve"> A</w:t>
      </w:r>
      <w:r w:rsidR="007F1088" w:rsidRPr="004A1968">
        <w:t xml:space="preserve">s </w:t>
      </w:r>
      <w:r>
        <w:t>organization</w:t>
      </w:r>
      <w:r w:rsidR="007F1088" w:rsidRPr="004A1968">
        <w:t>s acquire reputation</w:t>
      </w:r>
      <w:r w:rsidR="004E63B4">
        <w:t>,</w:t>
      </w:r>
      <w:r w:rsidR="007F1088" w:rsidRPr="004A1968">
        <w:t xml:space="preserve"> they can attract more resources from their environment</w:t>
      </w:r>
      <w:r w:rsidR="007F1088">
        <w:t xml:space="preserve"> and </w:t>
      </w:r>
      <w:r w:rsidR="004E63B4">
        <w:t xml:space="preserve">enjoy </w:t>
      </w:r>
      <w:r w:rsidR="007F1088">
        <w:t>better financial performance (</w:t>
      </w:r>
      <w:proofErr w:type="spellStart"/>
      <w:r w:rsidR="007F1088">
        <w:t>Podolny</w:t>
      </w:r>
      <w:proofErr w:type="spellEnd"/>
      <w:r w:rsidR="007F1088">
        <w:t>, 1993</w:t>
      </w:r>
      <w:r w:rsidR="00420258">
        <w:t>; Roberts and Dowling, 2002</w:t>
      </w:r>
      <w:r w:rsidR="007F1088">
        <w:t>).</w:t>
      </w:r>
    </w:p>
    <w:p w:rsidR="00EF78B3" w:rsidRDefault="00EF78B3" w:rsidP="00B07E0A">
      <w:pPr>
        <w:autoSpaceDE w:val="0"/>
        <w:autoSpaceDN w:val="0"/>
        <w:adjustRightInd w:val="0"/>
        <w:spacing w:line="480" w:lineRule="auto"/>
        <w:ind w:firstLine="567"/>
        <w:jc w:val="both"/>
        <w:rPr>
          <w:rStyle w:val="printonly"/>
        </w:rPr>
      </w:pPr>
      <w:r w:rsidRPr="00AD1AEF">
        <w:t xml:space="preserve">Early seminal </w:t>
      </w:r>
      <w:r w:rsidRPr="00AD1AEF">
        <w:rPr>
          <w:rStyle w:val="printonly"/>
        </w:rPr>
        <w:t xml:space="preserve">research </w:t>
      </w:r>
      <w:r w:rsidR="006B6967">
        <w:rPr>
          <w:rStyle w:val="printonly"/>
        </w:rPr>
        <w:t xml:space="preserve">in psychology </w:t>
      </w:r>
      <w:r w:rsidRPr="00AD1AEF">
        <w:rPr>
          <w:rStyle w:val="printonly"/>
        </w:rPr>
        <w:t>has</w:t>
      </w:r>
      <w:r>
        <w:rPr>
          <w:rStyle w:val="printonly"/>
        </w:rPr>
        <w:t xml:space="preserve"> </w:t>
      </w:r>
      <w:r w:rsidR="00263BBD">
        <w:rPr>
          <w:rStyle w:val="printonly"/>
        </w:rPr>
        <w:t xml:space="preserve">also </w:t>
      </w:r>
      <w:r>
        <w:rPr>
          <w:rStyle w:val="printonly"/>
        </w:rPr>
        <w:t>recogniz</w:t>
      </w:r>
      <w:r w:rsidRPr="00AD1AEF">
        <w:rPr>
          <w:rStyle w:val="printonly"/>
        </w:rPr>
        <w:t xml:space="preserve">ed </w:t>
      </w:r>
      <w:r>
        <w:rPr>
          <w:rStyle w:val="printonly"/>
        </w:rPr>
        <w:t xml:space="preserve">that an </w:t>
      </w:r>
      <w:r w:rsidR="006B6967">
        <w:rPr>
          <w:rStyle w:val="printonly"/>
        </w:rPr>
        <w:t xml:space="preserve">individual or an </w:t>
      </w:r>
      <w:r>
        <w:rPr>
          <w:rStyle w:val="printonly"/>
        </w:rPr>
        <w:t xml:space="preserve">organization can gain better evaluations for one activity by being good at another. This phenomenon, termed </w:t>
      </w:r>
      <w:r w:rsidR="004E63B4">
        <w:rPr>
          <w:rStyle w:val="printonly"/>
        </w:rPr>
        <w:t xml:space="preserve">as </w:t>
      </w:r>
      <w:r>
        <w:rPr>
          <w:rStyle w:val="printonly"/>
        </w:rPr>
        <w:t xml:space="preserve">the ‘halo effect’ (Thorndike, 1920: 25), occurs because raters have difficulty treating an individual or an organization “as a compound of </w:t>
      </w:r>
      <w:r w:rsidRPr="00420258">
        <w:rPr>
          <w:rStyle w:val="printonly"/>
        </w:rPr>
        <w:t>separate qualities</w:t>
      </w:r>
      <w:r>
        <w:rPr>
          <w:rStyle w:val="printonly"/>
        </w:rPr>
        <w:t xml:space="preserve"> and to assign a magnitude to each of these in independence of the others” (Thorndike, 1920: 28; see also</w:t>
      </w:r>
      <w:r w:rsidRPr="00EF78B3">
        <w:rPr>
          <w:rStyle w:val="printonly"/>
        </w:rPr>
        <w:t xml:space="preserve"> </w:t>
      </w:r>
      <w:r>
        <w:rPr>
          <w:rStyle w:val="printonly"/>
        </w:rPr>
        <w:t>Cooper, 1981</w:t>
      </w:r>
      <w:r w:rsidR="00662753">
        <w:rPr>
          <w:rStyle w:val="printonly"/>
        </w:rPr>
        <w:t>a and 1981b</w:t>
      </w:r>
      <w:r>
        <w:rPr>
          <w:rStyle w:val="printonly"/>
        </w:rPr>
        <w:t xml:space="preserve">). </w:t>
      </w:r>
      <w:r w:rsidR="00960513">
        <w:rPr>
          <w:rStyle w:val="printonly"/>
        </w:rPr>
        <w:t>The</w:t>
      </w:r>
      <w:r w:rsidR="00A96CF0">
        <w:rPr>
          <w:rStyle w:val="printonly"/>
        </w:rPr>
        <w:t xml:space="preserve"> </w:t>
      </w:r>
      <w:r>
        <w:rPr>
          <w:rStyle w:val="printonly"/>
        </w:rPr>
        <w:t xml:space="preserve">current </w:t>
      </w:r>
      <w:r w:rsidR="00A96CF0">
        <w:rPr>
          <w:rStyle w:val="printonly"/>
        </w:rPr>
        <w:t xml:space="preserve">literature </w:t>
      </w:r>
      <w:r w:rsidR="007F1088">
        <w:rPr>
          <w:rStyle w:val="printonly"/>
        </w:rPr>
        <w:t>ha</w:t>
      </w:r>
      <w:r w:rsidR="00A96CF0">
        <w:rPr>
          <w:rStyle w:val="printonly"/>
        </w:rPr>
        <w:t>s</w:t>
      </w:r>
      <w:r w:rsidR="007F1088">
        <w:rPr>
          <w:rStyle w:val="printonly"/>
        </w:rPr>
        <w:t xml:space="preserve"> </w:t>
      </w:r>
      <w:r w:rsidR="004E63B4">
        <w:rPr>
          <w:rStyle w:val="printonly"/>
        </w:rPr>
        <w:t>examined</w:t>
      </w:r>
      <w:r w:rsidR="007F1088">
        <w:rPr>
          <w:rStyle w:val="printonly"/>
        </w:rPr>
        <w:t xml:space="preserve"> the</w:t>
      </w:r>
      <w:r w:rsidR="007F1088" w:rsidRPr="004A1968">
        <w:rPr>
          <w:rStyle w:val="printonly"/>
        </w:rPr>
        <w:t xml:space="preserve"> halo effect of reputation for </w:t>
      </w:r>
      <w:r w:rsidR="006B6967">
        <w:rPr>
          <w:rStyle w:val="printonly"/>
        </w:rPr>
        <w:t>a</w:t>
      </w:r>
      <w:r w:rsidR="007F1088" w:rsidRPr="004A1968">
        <w:rPr>
          <w:rStyle w:val="printonly"/>
        </w:rPr>
        <w:t xml:space="preserve"> core</w:t>
      </w:r>
      <w:r w:rsidR="00B346BC">
        <w:rPr>
          <w:rStyle w:val="printonly"/>
        </w:rPr>
        <w:t xml:space="preserve"> (i.e. </w:t>
      </w:r>
      <w:r w:rsidR="00A24BB7">
        <w:rPr>
          <w:rStyle w:val="printonly"/>
        </w:rPr>
        <w:t>central</w:t>
      </w:r>
      <w:r w:rsidR="00B346BC">
        <w:rPr>
          <w:rStyle w:val="printonly"/>
        </w:rPr>
        <w:t>)</w:t>
      </w:r>
      <w:r w:rsidR="00F75C78">
        <w:rPr>
          <w:rStyle w:val="printonly"/>
        </w:rPr>
        <w:t xml:space="preserve"> activity </w:t>
      </w:r>
      <w:r w:rsidR="007F1088" w:rsidRPr="004A1968">
        <w:rPr>
          <w:rStyle w:val="printonly"/>
        </w:rPr>
        <w:t>on the outcome of a</w:t>
      </w:r>
      <w:r w:rsidR="00F75C78">
        <w:rPr>
          <w:rStyle w:val="printonly"/>
        </w:rPr>
        <w:t xml:space="preserve"> peripheral </w:t>
      </w:r>
      <w:r w:rsidR="00BB2495">
        <w:rPr>
          <w:rStyle w:val="printonly"/>
        </w:rPr>
        <w:t>(i.e. secondary</w:t>
      </w:r>
      <w:r w:rsidR="00B346BC">
        <w:rPr>
          <w:rStyle w:val="printonly"/>
        </w:rPr>
        <w:t xml:space="preserve">) </w:t>
      </w:r>
      <w:r w:rsidR="00F75C78">
        <w:rPr>
          <w:rStyle w:val="printonly"/>
        </w:rPr>
        <w:t>activity</w:t>
      </w:r>
      <w:r w:rsidR="007F1088">
        <w:rPr>
          <w:rStyle w:val="printonly"/>
        </w:rPr>
        <w:t>.</w:t>
      </w:r>
      <w:r w:rsidR="007F1088" w:rsidRPr="004A1968">
        <w:rPr>
          <w:lang w:val="en-GB" w:eastAsia="en-GB"/>
        </w:rPr>
        <w:t xml:space="preserve"> For example, </w:t>
      </w:r>
      <w:r w:rsidR="00C76FB2">
        <w:rPr>
          <w:lang w:val="en-GB" w:eastAsia="en-GB"/>
        </w:rPr>
        <w:t>i</w:t>
      </w:r>
      <w:r w:rsidR="007F1088" w:rsidRPr="004A1968">
        <w:rPr>
          <w:lang w:val="en-GB" w:eastAsia="en-GB"/>
        </w:rPr>
        <w:t xml:space="preserve">n academic entrepreneurship, </w:t>
      </w:r>
      <w:r w:rsidR="007F1088">
        <w:rPr>
          <w:lang w:val="en-GB" w:eastAsia="en-GB"/>
        </w:rPr>
        <w:t xml:space="preserve">the halo effect </w:t>
      </w:r>
      <w:r w:rsidR="00C76FB2">
        <w:rPr>
          <w:lang w:val="en-GB" w:eastAsia="en-GB"/>
        </w:rPr>
        <w:t xml:space="preserve">enables universities with a strong </w:t>
      </w:r>
      <w:r w:rsidR="004E63B4">
        <w:rPr>
          <w:lang w:val="en-GB" w:eastAsia="en-GB"/>
        </w:rPr>
        <w:t>reputation</w:t>
      </w:r>
      <w:r w:rsidR="004E63B4">
        <w:rPr>
          <w:rStyle w:val="printonly"/>
        </w:rPr>
        <w:t xml:space="preserve"> in </w:t>
      </w:r>
      <w:r w:rsidR="00C76FB2">
        <w:rPr>
          <w:lang w:val="en-GB" w:eastAsia="en-GB"/>
        </w:rPr>
        <w:t>research</w:t>
      </w:r>
      <w:r w:rsidR="004E63B4">
        <w:rPr>
          <w:lang w:val="en-GB" w:eastAsia="en-GB"/>
        </w:rPr>
        <w:t xml:space="preserve"> </w:t>
      </w:r>
      <w:r w:rsidR="007F1088">
        <w:rPr>
          <w:rStyle w:val="printonly"/>
        </w:rPr>
        <w:t xml:space="preserve">to </w:t>
      </w:r>
      <w:r w:rsidR="007F1088" w:rsidRPr="004A1968">
        <w:rPr>
          <w:rStyle w:val="printonly"/>
        </w:rPr>
        <w:t xml:space="preserve">license more than their less </w:t>
      </w:r>
      <w:r w:rsidR="00C76FB2">
        <w:rPr>
          <w:rStyle w:val="printonly"/>
        </w:rPr>
        <w:t>reputable</w:t>
      </w:r>
      <w:r w:rsidR="007F1088" w:rsidRPr="004A1968">
        <w:rPr>
          <w:rStyle w:val="printonly"/>
        </w:rPr>
        <w:t xml:space="preserve"> counterparts</w:t>
      </w:r>
      <w:r w:rsidR="007F1088" w:rsidRPr="004A1968">
        <w:rPr>
          <w:lang w:val="en-GB" w:eastAsia="en-GB"/>
        </w:rPr>
        <w:t xml:space="preserve"> </w:t>
      </w:r>
      <w:r w:rsidR="00445478">
        <w:rPr>
          <w:lang w:val="en-GB" w:eastAsia="en-GB"/>
        </w:rPr>
        <w:t xml:space="preserve">for an equal amount of research </w:t>
      </w:r>
      <w:r w:rsidR="007F1088" w:rsidRPr="004A1968">
        <w:rPr>
          <w:lang w:val="en-GB" w:eastAsia="en-GB"/>
        </w:rPr>
        <w:t xml:space="preserve">(Sine, Shane and </w:t>
      </w:r>
      <w:proofErr w:type="spellStart"/>
      <w:r w:rsidR="007F1088" w:rsidRPr="004A1968">
        <w:rPr>
          <w:lang w:val="en-GB" w:eastAsia="en-GB"/>
        </w:rPr>
        <w:t>DiGregorio</w:t>
      </w:r>
      <w:proofErr w:type="spellEnd"/>
      <w:r w:rsidR="007F1088" w:rsidRPr="004A1968">
        <w:rPr>
          <w:lang w:val="en-GB" w:eastAsia="en-GB"/>
        </w:rPr>
        <w:t>, 2003)</w:t>
      </w:r>
      <w:r w:rsidR="007F1088" w:rsidRPr="004A1968">
        <w:rPr>
          <w:rStyle w:val="printonly"/>
        </w:rPr>
        <w:t xml:space="preserve">. </w:t>
      </w:r>
    </w:p>
    <w:p w:rsidR="00C61977" w:rsidRDefault="00C61977" w:rsidP="00B07E0A">
      <w:pPr>
        <w:autoSpaceDE w:val="0"/>
        <w:autoSpaceDN w:val="0"/>
        <w:adjustRightInd w:val="0"/>
        <w:spacing w:line="480" w:lineRule="auto"/>
        <w:ind w:firstLine="567"/>
        <w:jc w:val="both"/>
      </w:pPr>
      <w:r>
        <w:t>Cognitive psychology research on heuristics (mental shortcuts) (</w:t>
      </w:r>
      <w:proofErr w:type="spellStart"/>
      <w:r>
        <w:t>Tversky</w:t>
      </w:r>
      <w:proofErr w:type="spellEnd"/>
      <w:r>
        <w:t xml:space="preserve"> and </w:t>
      </w:r>
      <w:proofErr w:type="spellStart"/>
      <w:r>
        <w:t>Kahneman</w:t>
      </w:r>
      <w:proofErr w:type="spellEnd"/>
      <w:r>
        <w:t xml:space="preserve">, 1974) </w:t>
      </w:r>
      <w:r w:rsidR="00D227A4">
        <w:t>w</w:t>
      </w:r>
      <w:r>
        <w:t>ould suggest that the halo effect of reputation might</w:t>
      </w:r>
      <w:r w:rsidRPr="004A1968">
        <w:t xml:space="preserve"> not work </w:t>
      </w:r>
      <w:r>
        <w:t xml:space="preserve">only </w:t>
      </w:r>
      <w:r w:rsidRPr="004A1968">
        <w:t xml:space="preserve">in one direction </w:t>
      </w:r>
      <w:r>
        <w:t>–</w:t>
      </w:r>
      <w:r w:rsidRPr="004A1968">
        <w:t xml:space="preserve"> from the c</w:t>
      </w:r>
      <w:r>
        <w:t>ore</w:t>
      </w:r>
      <w:r w:rsidRPr="004A1968">
        <w:t xml:space="preserve"> to the periphery </w:t>
      </w:r>
      <w:r>
        <w:t>– but could</w:t>
      </w:r>
      <w:r w:rsidRPr="004A1968">
        <w:t xml:space="preserve"> also exert the </w:t>
      </w:r>
      <w:r w:rsidR="006B0BCD">
        <w:t>inverse</w:t>
      </w:r>
      <w:r w:rsidRPr="004A1968">
        <w:t xml:space="preserve"> effect working from the periphery to the c</w:t>
      </w:r>
      <w:r>
        <w:t>ore</w:t>
      </w:r>
      <w:r w:rsidRPr="004A1968">
        <w:t>.</w:t>
      </w:r>
      <w:r>
        <w:t xml:space="preserve"> </w:t>
      </w:r>
      <w:r w:rsidR="00FD019A">
        <w:t xml:space="preserve">In essence, evaluators could form impressions of the organization based on a peripheral activity, which might </w:t>
      </w:r>
      <w:r w:rsidR="00D227A4">
        <w:t xml:space="preserve">then </w:t>
      </w:r>
      <w:r w:rsidR="00FD019A">
        <w:t xml:space="preserve">subconsciously transfer to evaluations of the core activity via the enactment of heuristics. </w:t>
      </w:r>
      <w:r w:rsidR="007F1088" w:rsidRPr="004A1968">
        <w:rPr>
          <w:rStyle w:val="printonly"/>
        </w:rPr>
        <w:t xml:space="preserve">However, the reputation literature has not </w:t>
      </w:r>
      <w:r w:rsidR="004533B6">
        <w:rPr>
          <w:rStyle w:val="printonly"/>
        </w:rPr>
        <w:t xml:space="preserve">yet </w:t>
      </w:r>
      <w:r w:rsidR="00284719">
        <w:rPr>
          <w:rStyle w:val="printonly"/>
        </w:rPr>
        <w:t xml:space="preserve">empirically </w:t>
      </w:r>
      <w:r w:rsidR="007F1088" w:rsidRPr="004A1968">
        <w:rPr>
          <w:rStyle w:val="printonly"/>
        </w:rPr>
        <w:t>inv</w:t>
      </w:r>
      <w:r w:rsidR="007F1088">
        <w:rPr>
          <w:rStyle w:val="printonly"/>
        </w:rPr>
        <w:t xml:space="preserve">estigated </w:t>
      </w:r>
      <w:r w:rsidR="00B42EEB">
        <w:rPr>
          <w:rStyle w:val="printonly"/>
        </w:rPr>
        <w:t>such an effect</w:t>
      </w:r>
      <w:r w:rsidR="004E63B4">
        <w:rPr>
          <w:rStyle w:val="printonly"/>
        </w:rPr>
        <w:t>,</w:t>
      </w:r>
      <w:r w:rsidR="00B42EEB">
        <w:rPr>
          <w:rStyle w:val="printonly"/>
        </w:rPr>
        <w:t xml:space="preserve"> even though it </w:t>
      </w:r>
      <w:r w:rsidR="00194DB6">
        <w:t>is important for</w:t>
      </w:r>
      <w:r w:rsidR="00A00708">
        <w:t xml:space="preserve"> various</w:t>
      </w:r>
      <w:r>
        <w:t xml:space="preserve"> </w:t>
      </w:r>
      <w:r w:rsidR="00284719">
        <w:t>aspects of organizational practice</w:t>
      </w:r>
      <w:r>
        <w:t xml:space="preserve">. </w:t>
      </w:r>
      <w:r w:rsidR="00284719" w:rsidRPr="004A1968">
        <w:t xml:space="preserve">For example, if a computer company </w:t>
      </w:r>
      <w:r w:rsidR="00284719">
        <w:t xml:space="preserve">develops a </w:t>
      </w:r>
      <w:r w:rsidR="00284719" w:rsidRPr="004A1968">
        <w:t xml:space="preserve">reputation for </w:t>
      </w:r>
      <w:r w:rsidR="00FD019A">
        <w:t xml:space="preserve">producing </w:t>
      </w:r>
      <w:r w:rsidR="00FD019A" w:rsidRPr="004A1968">
        <w:t>music players or phones</w:t>
      </w:r>
      <w:r w:rsidR="00FD019A">
        <w:t xml:space="preserve"> (a peripheral activity</w:t>
      </w:r>
      <w:r w:rsidR="00284719">
        <w:t>)</w:t>
      </w:r>
      <w:r w:rsidR="00284719" w:rsidRPr="004A1968">
        <w:t xml:space="preserve">, can this positively influence </w:t>
      </w:r>
      <w:r w:rsidR="00FD019A">
        <w:t xml:space="preserve">how </w:t>
      </w:r>
      <w:r w:rsidR="00284719">
        <w:t>customers evaluate</w:t>
      </w:r>
      <w:r w:rsidR="00284719" w:rsidRPr="004A1968">
        <w:t xml:space="preserve"> its c</w:t>
      </w:r>
      <w:r w:rsidR="00284719">
        <w:t>ore computer</w:t>
      </w:r>
      <w:r w:rsidR="004E63B4">
        <w:t xml:space="preserve"> </w:t>
      </w:r>
      <w:r w:rsidR="00284719">
        <w:t xml:space="preserve">business? </w:t>
      </w:r>
      <w:r w:rsidR="00387FFB">
        <w:t>In practice</w:t>
      </w:r>
      <w:r w:rsidR="00A00708">
        <w:t>, o</w:t>
      </w:r>
      <w:r>
        <w:t xml:space="preserve">rganizations </w:t>
      </w:r>
      <w:r w:rsidR="00A00708">
        <w:t>often</w:t>
      </w:r>
      <w:r>
        <w:t xml:space="preserve"> attempt to benefit from such a</w:t>
      </w:r>
      <w:r w:rsidR="0012589D">
        <w:t>n</w:t>
      </w:r>
      <w:r>
        <w:t xml:space="preserve"> effect</w:t>
      </w:r>
      <w:r w:rsidR="00A80480">
        <w:t>. F</w:t>
      </w:r>
      <w:r>
        <w:t xml:space="preserve">or example, mass-production car manufacturers </w:t>
      </w:r>
      <w:r w:rsidR="006B6967">
        <w:t xml:space="preserve">may </w:t>
      </w:r>
      <w:r>
        <w:t xml:space="preserve">launch </w:t>
      </w:r>
      <w:r>
        <w:lastRenderedPageBreak/>
        <w:t>peripheral special-edition model</w:t>
      </w:r>
      <w:r w:rsidR="006B6967">
        <w:t>s</w:t>
      </w:r>
      <w:r>
        <w:t xml:space="preserve"> (a </w:t>
      </w:r>
      <w:r w:rsidR="006B6967">
        <w:t>“</w:t>
      </w:r>
      <w:r>
        <w:t>halo-car</w:t>
      </w:r>
      <w:r w:rsidR="006B6967">
        <w:t>”</w:t>
      </w:r>
      <w:r w:rsidR="001275FB">
        <w:t>,</w:t>
      </w:r>
      <w:r>
        <w:t xml:space="preserve"> as labeled by industry analysts)</w:t>
      </w:r>
      <w:r w:rsidR="004E63B4">
        <w:t>,</w:t>
      </w:r>
      <w:r>
        <w:t xml:space="preserve"> not aiming at profits</w:t>
      </w:r>
      <w:r w:rsidR="006B6967">
        <w:t>,</w:t>
      </w:r>
      <w:r>
        <w:t xml:space="preserve"> but hoping to increase interest in their core models </w:t>
      </w:r>
      <w:r w:rsidRPr="007936B7">
        <w:t>(</w:t>
      </w:r>
      <w:hyperlink r:id="rId9" w:history="1">
        <w:r w:rsidRPr="00F352C8">
          <w:rPr>
            <w:rStyle w:val="Hyperlink"/>
            <w:color w:val="auto"/>
            <w:u w:val="none"/>
          </w:rPr>
          <w:t>http://editorial.autos.msn.com/cadillac-still-has-plans-for-halo-car</w:t>
        </w:r>
      </w:hyperlink>
      <w:r w:rsidR="00A80480">
        <w:t xml:space="preserve">); and </w:t>
      </w:r>
      <w:r w:rsidR="00A1653B">
        <w:t>c</w:t>
      </w:r>
      <w:r>
        <w:t xml:space="preserve">orporations often launch peripheral, corporate social responsibility (CSR) activities to demonstrate ethical behavior </w:t>
      </w:r>
      <w:r w:rsidR="00A1653B">
        <w:t xml:space="preserve">also </w:t>
      </w:r>
      <w:r w:rsidR="00284719">
        <w:t xml:space="preserve">in the hope </w:t>
      </w:r>
      <w:r w:rsidR="004E63B4">
        <w:t xml:space="preserve">of </w:t>
      </w:r>
      <w:r>
        <w:t>benefit</w:t>
      </w:r>
      <w:r w:rsidR="004E63B4">
        <w:t>ing</w:t>
      </w:r>
      <w:r>
        <w:t xml:space="preserve"> financial performance (Brown and Perry, 1994;</w:t>
      </w:r>
      <w:r w:rsidRPr="00263BBD">
        <w:rPr>
          <w:rStyle w:val="printonly"/>
        </w:rPr>
        <w:t xml:space="preserve"> </w:t>
      </w:r>
      <w:proofErr w:type="spellStart"/>
      <w:r>
        <w:rPr>
          <w:rStyle w:val="printonly"/>
        </w:rPr>
        <w:t>Mcguire</w:t>
      </w:r>
      <w:proofErr w:type="spellEnd"/>
      <w:r>
        <w:rPr>
          <w:rStyle w:val="printonly"/>
        </w:rPr>
        <w:t xml:space="preserve">, </w:t>
      </w:r>
      <w:proofErr w:type="spellStart"/>
      <w:r>
        <w:rPr>
          <w:rStyle w:val="printonly"/>
        </w:rPr>
        <w:t>Schneesweis</w:t>
      </w:r>
      <w:proofErr w:type="spellEnd"/>
      <w:r>
        <w:rPr>
          <w:rStyle w:val="printonly"/>
        </w:rPr>
        <w:t xml:space="preserve"> and Branch, 1990</w:t>
      </w:r>
      <w:r>
        <w:t xml:space="preserve">). Some corporate social responsibility initiatives are even considered </w:t>
      </w:r>
      <w:r w:rsidR="004E63B4">
        <w:t>‘</w:t>
      </w:r>
      <w:r>
        <w:t>greenwash</w:t>
      </w:r>
      <w:r w:rsidR="004E63B4">
        <w:t>’</w:t>
      </w:r>
      <w:r>
        <w:t xml:space="preserve">, namely </w:t>
      </w:r>
      <w:r w:rsidR="00C76FB2">
        <w:t xml:space="preserve">peripheral </w:t>
      </w:r>
      <w:r>
        <w:t xml:space="preserve">initiatives for the sole purpose of enhancing the core, profit-making offering of the </w:t>
      </w:r>
      <w:r w:rsidRPr="00BD7D18">
        <w:t>organization (</w:t>
      </w:r>
      <w:r w:rsidRPr="00521B7E">
        <w:rPr>
          <w:lang w:val="en-GB"/>
        </w:rPr>
        <w:t xml:space="preserve">Chen and Chang, 2013; </w:t>
      </w:r>
      <w:proofErr w:type="spellStart"/>
      <w:r w:rsidRPr="00521B7E">
        <w:rPr>
          <w:lang w:val="en-GB"/>
        </w:rPr>
        <w:t>Parguel</w:t>
      </w:r>
      <w:proofErr w:type="spellEnd"/>
      <w:r w:rsidRPr="00521B7E">
        <w:rPr>
          <w:lang w:val="en-GB"/>
        </w:rPr>
        <w:t xml:space="preserve">, </w:t>
      </w:r>
      <w:r w:rsidRPr="00BD7D18">
        <w:rPr>
          <w:lang w:val="en-GB"/>
        </w:rPr>
        <w:t xml:space="preserve">Benoıt-Moreau and </w:t>
      </w:r>
      <w:proofErr w:type="spellStart"/>
      <w:r w:rsidRPr="00BD7D18">
        <w:rPr>
          <w:lang w:val="en-GB"/>
        </w:rPr>
        <w:t>Larceneux</w:t>
      </w:r>
      <w:proofErr w:type="spellEnd"/>
      <w:r w:rsidRPr="00521B7E">
        <w:rPr>
          <w:lang w:val="en-GB"/>
        </w:rPr>
        <w:t xml:space="preserve"> 2011</w:t>
      </w:r>
      <w:r w:rsidRPr="00BD7D18">
        <w:t>).</w:t>
      </w:r>
      <w:r w:rsidR="00284719">
        <w:t xml:space="preserve"> </w:t>
      </w:r>
    </w:p>
    <w:p w:rsidR="00B8265A" w:rsidRDefault="00284719" w:rsidP="00161C5E">
      <w:pPr>
        <w:autoSpaceDE w:val="0"/>
        <w:autoSpaceDN w:val="0"/>
        <w:adjustRightInd w:val="0"/>
        <w:spacing w:line="480" w:lineRule="auto"/>
        <w:ind w:firstLine="567"/>
        <w:jc w:val="both"/>
      </w:pPr>
      <w:r w:rsidRPr="00284719">
        <w:t xml:space="preserve">In this study, we empirically investigate </w:t>
      </w:r>
      <w:r w:rsidRPr="006C7685">
        <w:rPr>
          <w:rFonts w:eastAsia="Times New Roman"/>
        </w:rPr>
        <w:t>whether developing an organizational reputation for a peripheral activity can g</w:t>
      </w:r>
      <w:r w:rsidR="00FD019A" w:rsidRPr="00FD019A">
        <w:rPr>
          <w:rFonts w:eastAsia="Times New Roman"/>
        </w:rPr>
        <w:t>enerate positive spillovers influenc</w:t>
      </w:r>
      <w:r w:rsidR="00FD019A">
        <w:rPr>
          <w:rFonts w:eastAsia="Times New Roman"/>
        </w:rPr>
        <w:t>ing</w:t>
      </w:r>
      <w:r w:rsidRPr="006C7685">
        <w:rPr>
          <w:rFonts w:eastAsia="Times New Roman"/>
        </w:rPr>
        <w:t xml:space="preserve"> </w:t>
      </w:r>
      <w:r w:rsidR="004E63B4">
        <w:rPr>
          <w:rFonts w:eastAsia="Times New Roman"/>
        </w:rPr>
        <w:t xml:space="preserve">the </w:t>
      </w:r>
      <w:r w:rsidRPr="006C7685">
        <w:rPr>
          <w:rFonts w:eastAsia="Times New Roman"/>
        </w:rPr>
        <w:t>evaluations of the organization’s core activities.</w:t>
      </w:r>
      <w:r>
        <w:t xml:space="preserve"> </w:t>
      </w:r>
      <w:r w:rsidR="006C7685">
        <w:t>W</w:t>
      </w:r>
      <w:r w:rsidR="0008432D" w:rsidRPr="00161C5E">
        <w:t xml:space="preserve">e draw on organizational reputation theory (Lange, Lee and Dai, 2011; </w:t>
      </w:r>
      <w:proofErr w:type="spellStart"/>
      <w:r w:rsidR="0008432D" w:rsidRPr="00161C5E">
        <w:t>Rindova</w:t>
      </w:r>
      <w:proofErr w:type="spellEnd"/>
      <w:r w:rsidR="0008432D" w:rsidRPr="00161C5E">
        <w:t xml:space="preserve">, Williamson and </w:t>
      </w:r>
      <w:proofErr w:type="spellStart"/>
      <w:r w:rsidR="0008432D" w:rsidRPr="00161C5E">
        <w:t>Petkova</w:t>
      </w:r>
      <w:proofErr w:type="spellEnd"/>
      <w:r w:rsidR="0008432D" w:rsidRPr="00161C5E">
        <w:t xml:space="preserve">, 2010) to </w:t>
      </w:r>
      <w:r w:rsidR="00ED40FE" w:rsidRPr="00161C5E">
        <w:t xml:space="preserve">test the effect of </w:t>
      </w:r>
      <w:r w:rsidR="0008432D" w:rsidRPr="00161C5E">
        <w:t xml:space="preserve">three </w:t>
      </w:r>
      <w:r w:rsidR="00ED40FE" w:rsidRPr="00161C5E">
        <w:t xml:space="preserve">types of signals for a peripheral activity, namely signals of </w:t>
      </w:r>
      <w:r w:rsidR="00FD019A">
        <w:t xml:space="preserve">effort </w:t>
      </w:r>
      <w:r w:rsidR="00840070">
        <w:t>and</w:t>
      </w:r>
      <w:r w:rsidR="00ED40FE" w:rsidRPr="00161C5E">
        <w:t xml:space="preserve"> performance</w:t>
      </w:r>
      <w:r w:rsidR="00DD3CA8">
        <w:t>,</w:t>
      </w:r>
      <w:r w:rsidR="00161C5E">
        <w:t xml:space="preserve"> </w:t>
      </w:r>
      <w:r w:rsidR="00DD3CA8">
        <w:t xml:space="preserve">projected by the organization </w:t>
      </w:r>
      <w:r w:rsidR="00161C5E">
        <w:t>(</w:t>
      </w:r>
      <w:proofErr w:type="spellStart"/>
      <w:r w:rsidR="00161C5E">
        <w:t>Stiglitz</w:t>
      </w:r>
      <w:proofErr w:type="spellEnd"/>
      <w:r w:rsidR="00161C5E">
        <w:t>, 2000)</w:t>
      </w:r>
      <w:r w:rsidR="00ED40FE" w:rsidRPr="00161C5E">
        <w:t xml:space="preserve"> and </w:t>
      </w:r>
      <w:r w:rsidR="004533B6">
        <w:t>signals</w:t>
      </w:r>
      <w:r w:rsidR="00840070">
        <w:t xml:space="preserve"> refracted </w:t>
      </w:r>
      <w:r w:rsidR="00161C5E" w:rsidRPr="00161C5E">
        <w:t>by the media</w:t>
      </w:r>
      <w:r w:rsidR="00161C5E">
        <w:t xml:space="preserve"> (</w:t>
      </w:r>
      <w:proofErr w:type="spellStart"/>
      <w:r w:rsidR="004A48CC">
        <w:t>Fo</w:t>
      </w:r>
      <w:r w:rsidR="008255A5">
        <w:t>m</w:t>
      </w:r>
      <w:r w:rsidR="004A48CC">
        <w:t>brun</w:t>
      </w:r>
      <w:proofErr w:type="spellEnd"/>
      <w:r w:rsidR="004A48CC">
        <w:t xml:space="preserve"> and Van R</w:t>
      </w:r>
      <w:r w:rsidR="008255A5">
        <w:t>i</w:t>
      </w:r>
      <w:r w:rsidR="004A48CC">
        <w:t>el, 1997</w:t>
      </w:r>
      <w:r w:rsidR="00840070">
        <w:t xml:space="preserve">; </w:t>
      </w:r>
      <w:proofErr w:type="spellStart"/>
      <w:r w:rsidR="00870379">
        <w:t>Rindova</w:t>
      </w:r>
      <w:proofErr w:type="spellEnd"/>
      <w:r w:rsidR="00870379">
        <w:t xml:space="preserve">, 1997; </w:t>
      </w:r>
      <w:proofErr w:type="spellStart"/>
      <w:r w:rsidR="00840070">
        <w:t>Rindova</w:t>
      </w:r>
      <w:proofErr w:type="spellEnd"/>
      <w:r w:rsidR="00840070">
        <w:t xml:space="preserve"> and </w:t>
      </w:r>
      <w:proofErr w:type="spellStart"/>
      <w:r w:rsidR="00840070">
        <w:t>Fombrun</w:t>
      </w:r>
      <w:proofErr w:type="spellEnd"/>
      <w:r w:rsidR="00840070">
        <w:t>, 1999</w:t>
      </w:r>
      <w:r w:rsidR="004A48CC">
        <w:t>)</w:t>
      </w:r>
      <w:r w:rsidR="00161C5E">
        <w:t xml:space="preserve">. We </w:t>
      </w:r>
      <w:r w:rsidR="006D098E">
        <w:t>argue</w:t>
      </w:r>
      <w:r w:rsidR="00161C5E">
        <w:t xml:space="preserve"> that th</w:t>
      </w:r>
      <w:r w:rsidR="00EC12FC">
        <w:t>e</w:t>
      </w:r>
      <w:r w:rsidR="00161C5E">
        <w:t xml:space="preserve">se signals build a reputation for </w:t>
      </w:r>
      <w:r w:rsidR="00EC12FC">
        <w:t>a</w:t>
      </w:r>
      <w:r w:rsidR="00161C5E">
        <w:t xml:space="preserve"> peripheral activity</w:t>
      </w:r>
      <w:r w:rsidR="00521B7E">
        <w:t>,</w:t>
      </w:r>
      <w:r w:rsidR="00161C5E">
        <w:t xml:space="preserve"> whic</w:t>
      </w:r>
      <w:r w:rsidR="004533B6">
        <w:t xml:space="preserve">h </w:t>
      </w:r>
      <w:r w:rsidR="00EE5C83">
        <w:t>raises</w:t>
      </w:r>
      <w:r w:rsidR="00EC12FC">
        <w:t xml:space="preserve"> </w:t>
      </w:r>
      <w:r w:rsidR="008B3240">
        <w:t>evaluations</w:t>
      </w:r>
      <w:r w:rsidR="00EC12FC">
        <w:t xml:space="preserve"> </w:t>
      </w:r>
      <w:r w:rsidR="00161C5E">
        <w:t>for the core activity</w:t>
      </w:r>
      <w:r w:rsidR="00521B7E">
        <w:t xml:space="preserve"> via the </w:t>
      </w:r>
      <w:r w:rsidR="002D72D6">
        <w:t>enactment</w:t>
      </w:r>
      <w:r w:rsidR="00521B7E">
        <w:t xml:space="preserve"> of heuristics</w:t>
      </w:r>
      <w:r w:rsidR="008C68B0">
        <w:t xml:space="preserve"> </w:t>
      </w:r>
      <w:r>
        <w:t>(</w:t>
      </w:r>
      <w:proofErr w:type="spellStart"/>
      <w:r>
        <w:t>Tversky</w:t>
      </w:r>
      <w:proofErr w:type="spellEnd"/>
      <w:r>
        <w:t xml:space="preserve"> and </w:t>
      </w:r>
      <w:proofErr w:type="spellStart"/>
      <w:r>
        <w:t>Kahneman</w:t>
      </w:r>
      <w:proofErr w:type="spellEnd"/>
      <w:r>
        <w:t>, 1974).</w:t>
      </w:r>
      <w:r w:rsidR="00ED40FE" w:rsidRPr="00161C5E">
        <w:t xml:space="preserve"> </w:t>
      </w:r>
    </w:p>
    <w:p w:rsidR="0008432D" w:rsidRPr="004A1968" w:rsidRDefault="00A00708" w:rsidP="00084024">
      <w:pPr>
        <w:autoSpaceDE w:val="0"/>
        <w:autoSpaceDN w:val="0"/>
        <w:adjustRightInd w:val="0"/>
        <w:spacing w:line="480" w:lineRule="auto"/>
        <w:ind w:firstLine="567"/>
        <w:jc w:val="both"/>
      </w:pPr>
      <w:r>
        <w:t xml:space="preserve">Moreover, </w:t>
      </w:r>
      <w:r w:rsidR="008C68B0">
        <w:t>draw</w:t>
      </w:r>
      <w:r>
        <w:t>ing</w:t>
      </w:r>
      <w:r w:rsidR="002D72D6">
        <w:t xml:space="preserve"> on </w:t>
      </w:r>
      <w:r w:rsidR="008C68B0">
        <w:t>social psychology</w:t>
      </w:r>
      <w:r w:rsidR="002D72D6">
        <w:t xml:space="preserve"> </w:t>
      </w:r>
      <w:r w:rsidR="008C68B0">
        <w:t>research</w:t>
      </w:r>
      <w:r w:rsidR="004E63B4">
        <w:t xml:space="preserve"> that</w:t>
      </w:r>
      <w:r w:rsidR="008C68B0">
        <w:t xml:space="preserve"> </w:t>
      </w:r>
      <w:r w:rsidR="004E63B4">
        <w:t xml:space="preserve">suggests </w:t>
      </w:r>
      <w:r w:rsidR="002D72D6">
        <w:t xml:space="preserve">that </w:t>
      </w:r>
      <w:r w:rsidR="008C68B0">
        <w:t xml:space="preserve">the </w:t>
      </w:r>
      <w:r w:rsidR="002D72D6">
        <w:t xml:space="preserve">status </w:t>
      </w:r>
      <w:r w:rsidR="008C68B0">
        <w:t>of the s</w:t>
      </w:r>
      <w:r w:rsidR="0034382A">
        <w:t>ender</w:t>
      </w:r>
      <w:r w:rsidR="008C68B0">
        <w:t xml:space="preserve"> of a message affects its acceptability by receivers (</w:t>
      </w:r>
      <w:proofErr w:type="spellStart"/>
      <w:r w:rsidR="003E1F15">
        <w:t>Halperin</w:t>
      </w:r>
      <w:proofErr w:type="spellEnd"/>
      <w:r w:rsidR="003E1F15">
        <w:t xml:space="preserve">, Snyder, </w:t>
      </w:r>
      <w:proofErr w:type="spellStart"/>
      <w:r w:rsidR="003E1F15">
        <w:t>Shenkel</w:t>
      </w:r>
      <w:proofErr w:type="spellEnd"/>
      <w:r w:rsidR="003E1F15">
        <w:t xml:space="preserve"> and Houston, 1976; </w:t>
      </w:r>
      <w:proofErr w:type="spellStart"/>
      <w:r w:rsidR="008C68B0">
        <w:t>Hovland</w:t>
      </w:r>
      <w:proofErr w:type="spellEnd"/>
      <w:r w:rsidR="008C68B0">
        <w:t xml:space="preserve">, </w:t>
      </w:r>
      <w:r w:rsidR="003E1F15">
        <w:t xml:space="preserve">Janis and Kelly, </w:t>
      </w:r>
      <w:r w:rsidR="008C68B0">
        <w:t xml:space="preserve">1953; </w:t>
      </w:r>
      <w:proofErr w:type="spellStart"/>
      <w:r w:rsidR="008C68B0">
        <w:t>Giffin</w:t>
      </w:r>
      <w:proofErr w:type="spellEnd"/>
      <w:r w:rsidR="008C68B0">
        <w:t>, 1967)</w:t>
      </w:r>
      <w:r>
        <w:t xml:space="preserve">, </w:t>
      </w:r>
      <w:r w:rsidR="008C68B0">
        <w:t>we</w:t>
      </w:r>
      <w:r w:rsidR="00B8265A">
        <w:t xml:space="preserve"> </w:t>
      </w:r>
      <w:r w:rsidR="006D098E">
        <w:t xml:space="preserve">propose status as an important moderator of </w:t>
      </w:r>
      <w:r w:rsidR="005659ED">
        <w:t>the</w:t>
      </w:r>
      <w:r w:rsidR="006875BE">
        <w:t xml:space="preserve"> relationship</w:t>
      </w:r>
      <w:r w:rsidR="005659ED">
        <w:t xml:space="preserve"> between signals </w:t>
      </w:r>
      <w:r w:rsidR="00BD7D18">
        <w:t xml:space="preserve">for </w:t>
      </w:r>
      <w:r w:rsidR="005659ED">
        <w:t>a peripheral</w:t>
      </w:r>
      <w:r w:rsidR="006875BE">
        <w:t xml:space="preserve"> activity and </w:t>
      </w:r>
      <w:r w:rsidR="008B3240">
        <w:t>evaluations</w:t>
      </w:r>
      <w:r w:rsidR="006875BE">
        <w:t xml:space="preserve"> for the core activity. </w:t>
      </w:r>
      <w:r w:rsidR="00B8265A">
        <w:t xml:space="preserve">Status is an intangible asset (Sauder, Lynn and </w:t>
      </w:r>
      <w:proofErr w:type="spellStart"/>
      <w:r w:rsidR="00B8265A">
        <w:t>Podolny</w:t>
      </w:r>
      <w:proofErr w:type="spellEnd"/>
      <w:r w:rsidR="00B8265A">
        <w:t>, 201</w:t>
      </w:r>
      <w:r w:rsidR="0053006E">
        <w:t>2</w:t>
      </w:r>
      <w:r w:rsidR="00B8265A">
        <w:t>; Stuart and Ding, 2006)</w:t>
      </w:r>
      <w:r w:rsidR="008B3240">
        <w:t xml:space="preserve"> that</w:t>
      </w:r>
      <w:r w:rsidR="00B8265A">
        <w:t xml:space="preserve"> is clearly delineated from the concept </w:t>
      </w:r>
      <w:r w:rsidR="00BD7D18">
        <w:t xml:space="preserve">of </w:t>
      </w:r>
      <w:r w:rsidR="00B8265A">
        <w:t>reputation</w:t>
      </w:r>
      <w:r w:rsidR="00905D1D">
        <w:t>; status</w:t>
      </w:r>
      <w:r w:rsidR="00B8265A">
        <w:t xml:space="preserve"> </w:t>
      </w:r>
      <w:r w:rsidR="008B3240">
        <w:t>captures differ</w:t>
      </w:r>
      <w:r w:rsidR="00EF7413">
        <w:t>ences in social rank</w:t>
      </w:r>
      <w:r w:rsidR="004E63B4">
        <w:t>,</w:t>
      </w:r>
      <w:r w:rsidR="00EF7413">
        <w:t xml:space="preserve"> </w:t>
      </w:r>
      <w:r w:rsidR="00EE5C83">
        <w:t xml:space="preserve">whereas reputation captures </w:t>
      </w:r>
      <w:r w:rsidR="008B3240">
        <w:t xml:space="preserve">perceived merit </w:t>
      </w:r>
      <w:r w:rsidR="00B8265A">
        <w:t>(Piazza and Ca</w:t>
      </w:r>
      <w:r w:rsidR="007506A5">
        <w:t>s</w:t>
      </w:r>
      <w:r w:rsidR="00A01B79">
        <w:t xml:space="preserve">tellucci, </w:t>
      </w:r>
      <w:r w:rsidR="007506A5">
        <w:t>2014; Sorenson, 2014; Washingto</w:t>
      </w:r>
      <w:r w:rsidR="00A01B79">
        <w:t xml:space="preserve">n and </w:t>
      </w:r>
      <w:proofErr w:type="spellStart"/>
      <w:r w:rsidR="00A01B79">
        <w:t>Zajac</w:t>
      </w:r>
      <w:proofErr w:type="spellEnd"/>
      <w:r w:rsidR="00A01B79">
        <w:t>, 2005</w:t>
      </w:r>
      <w:r w:rsidR="00B8265A">
        <w:t xml:space="preserve">). </w:t>
      </w:r>
      <w:r w:rsidR="00902121">
        <w:t>W</w:t>
      </w:r>
      <w:r w:rsidR="00C33411">
        <w:t>e argue that</w:t>
      </w:r>
      <w:r w:rsidR="004E63B4">
        <w:t>,</w:t>
      </w:r>
      <w:r w:rsidR="00C33411">
        <w:t xml:space="preserve"> w</w:t>
      </w:r>
      <w:r w:rsidR="00902121">
        <w:t xml:space="preserve">hen status is high, </w:t>
      </w:r>
      <w:r w:rsidR="00326461">
        <w:t>signals</w:t>
      </w:r>
      <w:r w:rsidR="00902121">
        <w:t xml:space="preserve"> for a per</w:t>
      </w:r>
      <w:r w:rsidR="005A0533">
        <w:t>ipheral activity increase favo</w:t>
      </w:r>
      <w:r w:rsidR="00902121">
        <w:t>rable evalu</w:t>
      </w:r>
      <w:r w:rsidR="00B42EEB">
        <w:t>ations for the core to a greater extent than when</w:t>
      </w:r>
      <w:r w:rsidR="00902121">
        <w:t xml:space="preserve"> status is low. This is because</w:t>
      </w:r>
      <w:r w:rsidR="00326461">
        <w:t xml:space="preserve"> </w:t>
      </w:r>
      <w:r w:rsidR="005A2773">
        <w:t xml:space="preserve">signals from </w:t>
      </w:r>
      <w:r w:rsidR="00326461">
        <w:t>high-status</w:t>
      </w:r>
      <w:r w:rsidR="005A2773">
        <w:t xml:space="preserve"> organizations a</w:t>
      </w:r>
      <w:r w:rsidR="00326461">
        <w:t>re more</w:t>
      </w:r>
      <w:r w:rsidR="005A2773">
        <w:t xml:space="preserve"> credible, as h</w:t>
      </w:r>
      <w:r w:rsidR="0034382A">
        <w:t>igh-status organizations</w:t>
      </w:r>
      <w:r w:rsidR="008C68B0">
        <w:t xml:space="preserve"> </w:t>
      </w:r>
      <w:r w:rsidR="005A2773">
        <w:t>are considered</w:t>
      </w:r>
      <w:r w:rsidR="00326461">
        <w:t xml:space="preserve"> </w:t>
      </w:r>
      <w:r w:rsidR="00877AFA">
        <w:t>reliable sources of information</w:t>
      </w:r>
      <w:r w:rsidR="008C68B0">
        <w:t xml:space="preserve"> </w:t>
      </w:r>
      <w:r w:rsidR="0034382A">
        <w:t>(</w:t>
      </w:r>
      <w:proofErr w:type="spellStart"/>
      <w:r w:rsidR="0034382A">
        <w:t>Giffin</w:t>
      </w:r>
      <w:proofErr w:type="spellEnd"/>
      <w:r w:rsidR="0034382A">
        <w:t>, 1967</w:t>
      </w:r>
      <w:r w:rsidR="00B42EEB">
        <w:t>; Sine, Shane and di Gregorio, 2003</w:t>
      </w:r>
      <w:r w:rsidR="0034382A">
        <w:t>)</w:t>
      </w:r>
      <w:r>
        <w:t>.</w:t>
      </w:r>
      <w:r w:rsidR="008B3240">
        <w:t xml:space="preserve"> </w:t>
      </w:r>
    </w:p>
    <w:p w:rsidR="00925F92" w:rsidRDefault="007F1088" w:rsidP="00033D42">
      <w:pPr>
        <w:autoSpaceDE w:val="0"/>
        <w:autoSpaceDN w:val="0"/>
        <w:adjustRightInd w:val="0"/>
        <w:spacing w:line="480" w:lineRule="auto"/>
        <w:ind w:firstLine="567"/>
        <w:jc w:val="both"/>
      </w:pPr>
      <w:r w:rsidRPr="004A1968">
        <w:lastRenderedPageBreak/>
        <w:t>We test these arguments with a novel longitudinal da</w:t>
      </w:r>
      <w:r w:rsidR="00323679">
        <w:t>tabase (1993-2007) of academic</w:t>
      </w:r>
      <w:r w:rsidRPr="004A1968">
        <w:t xml:space="preserve"> spinoffs</w:t>
      </w:r>
      <w:r>
        <w:t xml:space="preserve">, </w:t>
      </w:r>
      <w:r w:rsidRPr="00AD1AEF">
        <w:t>new firms created to commercially exploit knowledge, technology or research results developed within a university</w:t>
      </w:r>
      <w:r>
        <w:t>. Our dataset</w:t>
      </w:r>
      <w:r w:rsidRPr="004A1968">
        <w:t xml:space="preserve"> tracks the population of English and Scottish u</w:t>
      </w:r>
      <w:r>
        <w:t>niversities and their spinoffs</w:t>
      </w:r>
      <w:r w:rsidRPr="004A1968">
        <w:t xml:space="preserve"> since the inception of the </w:t>
      </w:r>
      <w:r w:rsidR="00323679">
        <w:t>phenomenon in the UK. Academic</w:t>
      </w:r>
      <w:r w:rsidRPr="004A1968">
        <w:t xml:space="preserve"> spinoffs are important sources of innovation and </w:t>
      </w:r>
      <w:r>
        <w:t xml:space="preserve">economic </w:t>
      </w:r>
      <w:r w:rsidRPr="004A1968">
        <w:t>growth</w:t>
      </w:r>
      <w:r>
        <w:t xml:space="preserve"> (</w:t>
      </w:r>
      <w:proofErr w:type="spellStart"/>
      <w:r>
        <w:t>Rothermael</w:t>
      </w:r>
      <w:proofErr w:type="spellEnd"/>
      <w:r>
        <w:t xml:space="preserve">, </w:t>
      </w:r>
      <w:proofErr w:type="spellStart"/>
      <w:r>
        <w:t>Agung</w:t>
      </w:r>
      <w:proofErr w:type="spellEnd"/>
      <w:r>
        <w:t xml:space="preserve"> and Jian, 2007)</w:t>
      </w:r>
      <w:r w:rsidRPr="004A1968">
        <w:t xml:space="preserve">. </w:t>
      </w:r>
      <w:r w:rsidR="00EE4E76">
        <w:t>We test our broader thesis in</w:t>
      </w:r>
      <w:r w:rsidR="004533B6">
        <w:t xml:space="preserve"> the university</w:t>
      </w:r>
      <w:r w:rsidR="000845D6">
        <w:t xml:space="preserve"> context </w:t>
      </w:r>
      <w:r w:rsidR="00EE4E76">
        <w:t xml:space="preserve">by measuring </w:t>
      </w:r>
      <w:r w:rsidR="000845D6">
        <w:t>t</w:t>
      </w:r>
      <w:r>
        <w:t xml:space="preserve">he </w:t>
      </w:r>
      <w:r w:rsidR="00FD38D2">
        <w:t xml:space="preserve">size, </w:t>
      </w:r>
      <w:r w:rsidR="00EC12FC">
        <w:t>performance</w:t>
      </w:r>
      <w:r w:rsidR="000845D6">
        <w:t xml:space="preserve"> and media coverage of </w:t>
      </w:r>
      <w:r>
        <w:t>a university’s</w:t>
      </w:r>
      <w:r w:rsidR="00323679">
        <w:t xml:space="preserve"> spinoff portfolio</w:t>
      </w:r>
      <w:r w:rsidR="000C2737">
        <w:t>,</w:t>
      </w:r>
      <w:r w:rsidR="00323679">
        <w:t xml:space="preserve"> which represent</w:t>
      </w:r>
      <w:r w:rsidR="000845D6">
        <w:t xml:space="preserve"> signals of social impact (a peripheral activity</w:t>
      </w:r>
      <w:r w:rsidR="00EE4E76">
        <w:t xml:space="preserve"> for universities). We then</w:t>
      </w:r>
      <w:r w:rsidR="000845D6">
        <w:t xml:space="preserve"> </w:t>
      </w:r>
      <w:r w:rsidR="000E5C14">
        <w:t xml:space="preserve">test </w:t>
      </w:r>
      <w:r w:rsidR="00EE4E76">
        <w:t>whether</w:t>
      </w:r>
      <w:r w:rsidR="000845D6">
        <w:t xml:space="preserve"> </w:t>
      </w:r>
      <w:r w:rsidR="00EE4E76">
        <w:t xml:space="preserve">such </w:t>
      </w:r>
      <w:r w:rsidR="000845D6">
        <w:t xml:space="preserve">signals </w:t>
      </w:r>
      <w:r w:rsidR="00EE4E76">
        <w:t xml:space="preserve">of social impact </w:t>
      </w:r>
      <w:r w:rsidR="004533B6">
        <w:t>are associated with</w:t>
      </w:r>
      <w:r w:rsidR="00323679">
        <w:t xml:space="preserve"> </w:t>
      </w:r>
      <w:r w:rsidR="000845D6">
        <w:t>income for research (a core activity</w:t>
      </w:r>
      <w:r w:rsidR="00323679">
        <w:t xml:space="preserve"> for universities</w:t>
      </w:r>
      <w:r w:rsidR="000845D6">
        <w:t xml:space="preserve">). </w:t>
      </w:r>
    </w:p>
    <w:p w:rsidR="002D72D6" w:rsidRPr="00ED3B6B" w:rsidRDefault="00323679" w:rsidP="002D72D6">
      <w:pPr>
        <w:autoSpaceDE w:val="0"/>
        <w:autoSpaceDN w:val="0"/>
        <w:adjustRightInd w:val="0"/>
        <w:spacing w:line="480" w:lineRule="auto"/>
        <w:ind w:firstLine="567"/>
        <w:jc w:val="both"/>
      </w:pPr>
      <w:r>
        <w:t>From a phenomenon</w:t>
      </w:r>
      <w:r w:rsidR="002D72D6">
        <w:t xml:space="preserve"> perspective, our paper </w:t>
      </w:r>
      <w:r w:rsidR="002D72D6">
        <w:rPr>
          <w:szCs w:val="24"/>
          <w:lang w:val="en-GB"/>
        </w:rPr>
        <w:t xml:space="preserve">investigates for the first time whether spinoffs make money for their universities indirectly by influencing research income. </w:t>
      </w:r>
      <w:r w:rsidR="002D72D6">
        <w:t>Recent</w:t>
      </w:r>
      <w:r w:rsidR="002D72D6" w:rsidRPr="004A1968">
        <w:t xml:space="preserve"> progress in the</w:t>
      </w:r>
      <w:r w:rsidR="0012589D">
        <w:t xml:space="preserve"> booming literature on</w:t>
      </w:r>
      <w:r w:rsidR="002D72D6" w:rsidRPr="004A1968">
        <w:t xml:space="preserve"> acade</w:t>
      </w:r>
      <w:r w:rsidR="0012589D">
        <w:t xml:space="preserve">mic entrepreneurship </w:t>
      </w:r>
      <w:r w:rsidR="002D72D6" w:rsidRPr="004A1968">
        <w:t>has revealed a range of drivers of spinoff emergence (</w:t>
      </w:r>
      <w:proofErr w:type="spellStart"/>
      <w:r w:rsidR="002D72D6" w:rsidRPr="004A1968">
        <w:t>Clarysse</w:t>
      </w:r>
      <w:proofErr w:type="spellEnd"/>
      <w:r w:rsidR="002D72D6" w:rsidRPr="004A1968">
        <w:t xml:space="preserve">, Tartari and Salter, 2011; </w:t>
      </w:r>
      <w:proofErr w:type="spellStart"/>
      <w:r w:rsidR="002D72D6" w:rsidRPr="004A1968">
        <w:t>Colyvas</w:t>
      </w:r>
      <w:proofErr w:type="spellEnd"/>
      <w:r w:rsidR="002D72D6" w:rsidRPr="004A1968">
        <w:t xml:space="preserve">, 2007; </w:t>
      </w:r>
      <w:proofErr w:type="spellStart"/>
      <w:r w:rsidR="002D72D6" w:rsidRPr="004A1968">
        <w:t>DiGregorio</w:t>
      </w:r>
      <w:proofErr w:type="spellEnd"/>
      <w:r w:rsidR="002D72D6" w:rsidRPr="004A1968">
        <w:t xml:space="preserve"> and Shane, 2003; </w:t>
      </w:r>
      <w:r w:rsidR="002D72D6">
        <w:t xml:space="preserve">Fini, </w:t>
      </w:r>
      <w:proofErr w:type="spellStart"/>
      <w:r w:rsidR="0022750E">
        <w:t>Lacatera</w:t>
      </w:r>
      <w:proofErr w:type="spellEnd"/>
      <w:r w:rsidR="0022750E">
        <w:t xml:space="preserve"> and Shane, </w:t>
      </w:r>
      <w:r w:rsidR="002D72D6">
        <w:t>201</w:t>
      </w:r>
      <w:r w:rsidR="00A92435">
        <w:t>0</w:t>
      </w:r>
      <w:r w:rsidR="002D72D6">
        <w:t xml:space="preserve">; </w:t>
      </w:r>
      <w:r w:rsidR="002D72D6" w:rsidRPr="004A1968">
        <w:t>Lockett and Wright, 2005; O’Shea, Allen, Chevalier and Roche, 2005)</w:t>
      </w:r>
      <w:r w:rsidR="002D72D6">
        <w:t>,</w:t>
      </w:r>
      <w:r w:rsidR="002D72D6" w:rsidRPr="004A1968">
        <w:t xml:space="preserve"> growth and performance (Clarysse, Bruneel and Wright, 2011; Zhang, 2009; Zerbinati, Souitaris and Moray, 2012)</w:t>
      </w:r>
      <w:r w:rsidR="002D72D6">
        <w:t>. The literature has also investigated the impact spinoffs have on jobs and the economy (</w:t>
      </w:r>
      <w:proofErr w:type="spellStart"/>
      <w:r w:rsidR="002D72D6">
        <w:t>Grimaldi</w:t>
      </w:r>
      <w:proofErr w:type="spellEnd"/>
      <w:r w:rsidR="002D72D6">
        <w:t>, Kenney, Siegel and Wright, 2011;</w:t>
      </w:r>
      <w:r w:rsidR="002D72D6" w:rsidRPr="00AD1AEF">
        <w:t xml:space="preserve"> </w:t>
      </w:r>
      <w:proofErr w:type="spellStart"/>
      <w:r w:rsidR="002D72D6" w:rsidRPr="00AD1AEF">
        <w:t>Rothaermel</w:t>
      </w:r>
      <w:proofErr w:type="spellEnd"/>
      <w:r w:rsidR="002D72D6" w:rsidRPr="00AD1AEF">
        <w:t xml:space="preserve">, </w:t>
      </w:r>
      <w:proofErr w:type="spellStart"/>
      <w:r w:rsidR="002D72D6" w:rsidRPr="00AD1AEF">
        <w:t>Agung</w:t>
      </w:r>
      <w:proofErr w:type="spellEnd"/>
      <w:r w:rsidR="002D72D6" w:rsidRPr="00AD1AEF">
        <w:t xml:space="preserve"> and Jiang, 2007</w:t>
      </w:r>
      <w:r w:rsidR="002D72D6">
        <w:t xml:space="preserve">). </w:t>
      </w:r>
      <w:r w:rsidR="002D72D6" w:rsidRPr="004A1968">
        <w:t>However, the literature seems preoccupied</w:t>
      </w:r>
      <w:r w:rsidR="002D72D6">
        <w:t xml:space="preserve"> with the spread</w:t>
      </w:r>
      <w:r w:rsidR="002D72D6" w:rsidRPr="004A1968">
        <w:t xml:space="preserve"> of spinoffs and has largely displaced the issue of how spinoffs affect </w:t>
      </w:r>
      <w:r w:rsidR="002D72D6">
        <w:t xml:space="preserve">the </w:t>
      </w:r>
      <w:r w:rsidR="002D72D6" w:rsidRPr="004A1968">
        <w:t>universities that generate them</w:t>
      </w:r>
      <w:r w:rsidR="002D72D6">
        <w:t xml:space="preserve"> (Shane, 2004, p.3)</w:t>
      </w:r>
      <w:r w:rsidR="002D72D6" w:rsidRPr="004A1968">
        <w:t>.</w:t>
      </w:r>
      <w:r w:rsidR="002D72D6" w:rsidRPr="00AD1AEF">
        <w:t xml:space="preserve"> </w:t>
      </w:r>
      <w:r w:rsidR="002D72D6">
        <w:t>Some r</w:t>
      </w:r>
      <w:r w:rsidR="002D72D6" w:rsidRPr="00AD1AEF">
        <w:t xml:space="preserve">ecent studies have examined the impact of academic entrepreneurship on </w:t>
      </w:r>
      <w:r w:rsidR="002D72D6">
        <w:t>academic indicators such as research productivity (</w:t>
      </w:r>
      <w:proofErr w:type="spellStart"/>
      <w:r w:rsidR="002D72D6">
        <w:t>Buenstorf</w:t>
      </w:r>
      <w:proofErr w:type="spellEnd"/>
      <w:r w:rsidR="002D72D6">
        <w:t>, 2009; Lowe and Gonzales-</w:t>
      </w:r>
      <w:proofErr w:type="spellStart"/>
      <w:r w:rsidR="002D72D6">
        <w:t>Brambila</w:t>
      </w:r>
      <w:proofErr w:type="spellEnd"/>
      <w:r w:rsidR="002D72D6">
        <w:t>, 2007;</w:t>
      </w:r>
      <w:r w:rsidR="002D72D6" w:rsidRPr="002A6CEA">
        <w:t xml:space="preserve"> </w:t>
      </w:r>
      <w:r w:rsidR="002D72D6">
        <w:t xml:space="preserve">Toole and </w:t>
      </w:r>
      <w:proofErr w:type="spellStart"/>
      <w:r w:rsidR="002D72D6">
        <w:t>Czarnitzki</w:t>
      </w:r>
      <w:proofErr w:type="spellEnd"/>
      <w:r w:rsidR="002D72D6">
        <w:t xml:space="preserve">, 2010), faculty learning and creativity (Perkmann and Walsh, 2009) and faculty retention (Nicolaou and Souitaris, 2013). Our paper </w:t>
      </w:r>
      <w:r w:rsidR="002D72D6" w:rsidRPr="00AD1AEF">
        <w:t>ex</w:t>
      </w:r>
      <w:r w:rsidR="002D72D6">
        <w:t>tends</w:t>
      </w:r>
      <w:r w:rsidR="002D72D6" w:rsidRPr="00AD1AEF">
        <w:t xml:space="preserve"> this </w:t>
      </w:r>
      <w:r w:rsidR="002D72D6">
        <w:t xml:space="preserve">emerging </w:t>
      </w:r>
      <w:r w:rsidR="002D72D6" w:rsidRPr="00AD1AEF">
        <w:t xml:space="preserve">research stream by </w:t>
      </w:r>
      <w:r w:rsidR="002D72D6">
        <w:t>test</w:t>
      </w:r>
      <w:r w:rsidR="002D72D6" w:rsidRPr="00AD1AEF">
        <w:t xml:space="preserve">ing the </w:t>
      </w:r>
      <w:r w:rsidR="002D72D6">
        <w:t xml:space="preserve">association between </w:t>
      </w:r>
      <w:r w:rsidR="002D72D6" w:rsidRPr="00AD1AEF">
        <w:t xml:space="preserve">spinoff activities </w:t>
      </w:r>
      <w:r w:rsidR="002D72D6">
        <w:t>and a university’s sponsored</w:t>
      </w:r>
      <w:r w:rsidR="002D72D6" w:rsidRPr="00AD1AEF">
        <w:t xml:space="preserve"> research</w:t>
      </w:r>
      <w:r w:rsidR="002D72D6">
        <w:t xml:space="preserve"> </w:t>
      </w:r>
      <w:r w:rsidR="002D72D6" w:rsidRPr="00AD1AEF">
        <w:t>income from public research councils and the industry.</w:t>
      </w:r>
      <w:r w:rsidR="002D72D6">
        <w:rPr>
          <w:snapToGrid w:val="0"/>
        </w:rPr>
        <w:t xml:space="preserve">  </w:t>
      </w:r>
    </w:p>
    <w:p w:rsidR="002D72D6" w:rsidRDefault="007F1088" w:rsidP="007F1088">
      <w:pPr>
        <w:spacing w:line="480" w:lineRule="auto"/>
        <w:ind w:firstLine="567"/>
        <w:jc w:val="both"/>
      </w:pPr>
      <w:r>
        <w:t>The study</w:t>
      </w:r>
      <w:r w:rsidRPr="004A1968">
        <w:t xml:space="preserve"> </w:t>
      </w:r>
      <w:r w:rsidR="00814B51">
        <w:t>makes three major contributions. First, we contribute</w:t>
      </w:r>
      <w:r>
        <w:t xml:space="preserve"> to </w:t>
      </w:r>
      <w:r w:rsidR="004E63B4">
        <w:t xml:space="preserve">the </w:t>
      </w:r>
      <w:r>
        <w:t>theory on</w:t>
      </w:r>
      <w:r w:rsidRPr="004A1968">
        <w:t xml:space="preserve"> </w:t>
      </w:r>
      <w:r w:rsidR="00D60884">
        <w:t>organization</w:t>
      </w:r>
      <w:r w:rsidR="00814B51">
        <w:t>al reputation. We illustrate</w:t>
      </w:r>
      <w:r w:rsidRPr="004A1968">
        <w:t xml:space="preserve"> that </w:t>
      </w:r>
      <w:r w:rsidR="000D58A6">
        <w:t>developing</w:t>
      </w:r>
      <w:r>
        <w:t xml:space="preserve"> a reputation for</w:t>
      </w:r>
      <w:r w:rsidR="000845D6">
        <w:t xml:space="preserve"> a</w:t>
      </w:r>
      <w:r>
        <w:t xml:space="preserve"> peripheral</w:t>
      </w:r>
      <w:r w:rsidRPr="004A1968">
        <w:t xml:space="preserve"> </w:t>
      </w:r>
      <w:r w:rsidR="000571A4">
        <w:t>activity</w:t>
      </w:r>
      <w:r w:rsidR="007F6E00">
        <w:t xml:space="preserve"> (in our</w:t>
      </w:r>
      <w:r w:rsidR="000571A4">
        <w:t xml:space="preserve"> </w:t>
      </w:r>
      <w:r w:rsidRPr="004A1968">
        <w:t>context</w:t>
      </w:r>
      <w:r w:rsidR="00EE4E76">
        <w:t xml:space="preserve">, </w:t>
      </w:r>
      <w:r w:rsidR="0012589D">
        <w:lastRenderedPageBreak/>
        <w:t xml:space="preserve">universities’ </w:t>
      </w:r>
      <w:r w:rsidR="00EE4E76">
        <w:t>social</w:t>
      </w:r>
      <w:r>
        <w:t xml:space="preserve"> </w:t>
      </w:r>
      <w:r w:rsidR="000571A4">
        <w:t xml:space="preserve">impact via </w:t>
      </w:r>
      <w:r>
        <w:t>spinoffs</w:t>
      </w:r>
      <w:r w:rsidRPr="004A1968">
        <w:t xml:space="preserve">) </w:t>
      </w:r>
      <w:r w:rsidR="004533B6">
        <w:t>is associated with</w:t>
      </w:r>
      <w:r w:rsidR="00814B51">
        <w:t xml:space="preserve"> </w:t>
      </w:r>
      <w:r w:rsidR="00DD3CA8">
        <w:t>evaluations</w:t>
      </w:r>
      <w:r w:rsidRPr="004A1968">
        <w:t xml:space="preserve"> for the core </w:t>
      </w:r>
      <w:r w:rsidR="00D60884">
        <w:t>organization</w:t>
      </w:r>
      <w:r w:rsidR="000571A4">
        <w:t>al activity (</w:t>
      </w:r>
      <w:r w:rsidR="00F032C4">
        <w:t xml:space="preserve">in our context, </w:t>
      </w:r>
      <w:r w:rsidR="000571A4">
        <w:t xml:space="preserve">research). We </w:t>
      </w:r>
      <w:r w:rsidR="004E63B4">
        <w:t>refer to</w:t>
      </w:r>
      <w:r w:rsidR="004E63B4" w:rsidRPr="004A1968">
        <w:t xml:space="preserve"> </w:t>
      </w:r>
      <w:r w:rsidRPr="004A1968">
        <w:t>this</w:t>
      </w:r>
      <w:r w:rsidR="00814B51">
        <w:t xml:space="preserve"> phenomenon</w:t>
      </w:r>
      <w:r>
        <w:t xml:space="preserve"> </w:t>
      </w:r>
      <w:r w:rsidR="004E63B4">
        <w:t xml:space="preserve">as </w:t>
      </w:r>
      <w:r>
        <w:t>the peripheral halo effect</w:t>
      </w:r>
      <w:r w:rsidRPr="004A1968">
        <w:t xml:space="preserve">. </w:t>
      </w:r>
    </w:p>
    <w:p w:rsidR="002D72D6" w:rsidRDefault="00814B51" w:rsidP="007F1088">
      <w:pPr>
        <w:spacing w:line="480" w:lineRule="auto"/>
        <w:ind w:firstLine="567"/>
        <w:jc w:val="both"/>
      </w:pPr>
      <w:r>
        <w:t xml:space="preserve">Second, we contribute to </w:t>
      </w:r>
      <w:r w:rsidR="004E63B4">
        <w:t xml:space="preserve">the </w:t>
      </w:r>
      <w:r>
        <w:t xml:space="preserve">research on the </w:t>
      </w:r>
      <w:r w:rsidR="00A30353">
        <w:t xml:space="preserve">interdependency </w:t>
      </w:r>
      <w:r w:rsidR="00687E24">
        <w:t xml:space="preserve">between reputation and status </w:t>
      </w:r>
      <w:r w:rsidR="00DD3CA8">
        <w:t>by revealing</w:t>
      </w:r>
      <w:r w:rsidR="00687E24">
        <w:t xml:space="preserve"> that orga</w:t>
      </w:r>
      <w:r w:rsidR="000D58A6">
        <w:t>nizational signals</w:t>
      </w:r>
      <w:r w:rsidR="00687E24">
        <w:t xml:space="preserve"> are interpreted differently depending on the status of the sender.</w:t>
      </w:r>
      <w:r>
        <w:t xml:space="preserve"> We find</w:t>
      </w:r>
      <w:r w:rsidRPr="004A1968">
        <w:t xml:space="preserve"> that the </w:t>
      </w:r>
      <w:r>
        <w:t xml:space="preserve">peripheral halo </w:t>
      </w:r>
      <w:r w:rsidRPr="004A1968">
        <w:t xml:space="preserve">effect </w:t>
      </w:r>
      <w:r>
        <w:t xml:space="preserve">is more prominent in high-status than in low-status organizations. </w:t>
      </w:r>
    </w:p>
    <w:p w:rsidR="007F1088" w:rsidRPr="004A1968" w:rsidRDefault="00814B51" w:rsidP="007F1088">
      <w:pPr>
        <w:spacing w:line="480" w:lineRule="auto"/>
        <w:ind w:firstLine="567"/>
        <w:jc w:val="both"/>
      </w:pPr>
      <w:r>
        <w:t>Third, we contribute</w:t>
      </w:r>
      <w:r w:rsidR="007F1088" w:rsidRPr="004A1968">
        <w:t xml:space="preserve"> to the literature on academic entrepreneurship by illustrating that </w:t>
      </w:r>
      <w:r w:rsidR="007F1088">
        <w:t xml:space="preserve">the </w:t>
      </w:r>
      <w:r w:rsidR="007F1088" w:rsidRPr="004A1968">
        <w:t xml:space="preserve">characteristics of </w:t>
      </w:r>
      <w:r w:rsidR="007F1088">
        <w:t>a university’s</w:t>
      </w:r>
      <w:r w:rsidR="004533B6">
        <w:t xml:space="preserve"> spinoff portfolio are related </w:t>
      </w:r>
      <w:r w:rsidR="004E63B4">
        <w:t xml:space="preserve">to </w:t>
      </w:r>
      <w:r w:rsidR="007F1088">
        <w:t>research income</w:t>
      </w:r>
      <w:r w:rsidR="007F1088" w:rsidRPr="004A1968">
        <w:t xml:space="preserve"> </w:t>
      </w:r>
      <w:r w:rsidR="007F1088" w:rsidRPr="004A1968">
        <w:rPr>
          <w:rFonts w:eastAsia="Times New Roman"/>
          <w:lang w:val="nl-NL" w:eastAsia="en-GB"/>
        </w:rPr>
        <w:t>over and above the amount expected</w:t>
      </w:r>
      <w:r w:rsidR="004C38FF">
        <w:rPr>
          <w:rFonts w:eastAsia="Times New Roman"/>
          <w:lang w:val="nl-NL" w:eastAsia="en-GB"/>
        </w:rPr>
        <w:t xml:space="preserve"> </w:t>
      </w:r>
      <w:r w:rsidR="003175E6">
        <w:rPr>
          <w:rFonts w:eastAsia="Times New Roman"/>
          <w:lang w:val="nl-NL" w:eastAsia="en-GB"/>
        </w:rPr>
        <w:t>from the university’s research</w:t>
      </w:r>
      <w:r w:rsidR="004C38FF">
        <w:rPr>
          <w:rFonts w:eastAsia="Times New Roman"/>
          <w:lang w:val="nl-NL" w:eastAsia="en-GB"/>
        </w:rPr>
        <w:t xml:space="preserve"> </w:t>
      </w:r>
      <w:r w:rsidR="00DD3CA8">
        <w:rPr>
          <w:rFonts w:eastAsia="Times New Roman"/>
          <w:lang w:val="nl-NL" w:eastAsia="en-GB"/>
        </w:rPr>
        <w:t>performa</w:t>
      </w:r>
      <w:r w:rsidR="00FD1217">
        <w:rPr>
          <w:rFonts w:eastAsia="Times New Roman"/>
          <w:lang w:val="nl-NL" w:eastAsia="en-GB"/>
        </w:rPr>
        <w:t>n</w:t>
      </w:r>
      <w:r w:rsidR="00DD3CA8">
        <w:rPr>
          <w:rFonts w:eastAsia="Times New Roman"/>
          <w:lang w:val="nl-NL" w:eastAsia="en-GB"/>
        </w:rPr>
        <w:t>ce</w:t>
      </w:r>
      <w:r w:rsidR="004C38FF">
        <w:rPr>
          <w:rFonts w:eastAsia="Times New Roman"/>
          <w:lang w:val="nl-NL" w:eastAsia="en-GB"/>
        </w:rPr>
        <w:t xml:space="preserve"> and general reputation</w:t>
      </w:r>
      <w:r w:rsidR="007F1088" w:rsidRPr="004A1968">
        <w:t xml:space="preserve">. Given that </w:t>
      </w:r>
      <w:r w:rsidR="007F1088">
        <w:t xml:space="preserve">the </w:t>
      </w:r>
      <w:r w:rsidR="007F1088" w:rsidRPr="004A1968">
        <w:t>returns from university equity positions in spinoffs have proved negligible (Bok, 2003; Shane, 2004</w:t>
      </w:r>
      <w:r w:rsidR="00F10AE1">
        <w:t>;</w:t>
      </w:r>
      <w:r w:rsidR="00F10AE1" w:rsidRPr="00F10AE1">
        <w:t xml:space="preserve"> </w:t>
      </w:r>
      <w:r w:rsidR="00F10AE1" w:rsidRPr="004A1968">
        <w:t>Slaughter</w:t>
      </w:r>
      <w:r w:rsidR="00F10AE1" w:rsidRPr="00F10AE1">
        <w:t xml:space="preserve"> </w:t>
      </w:r>
      <w:r w:rsidR="00F10AE1" w:rsidRPr="004A1968">
        <w:t>and Leslie, 1997</w:t>
      </w:r>
      <w:r w:rsidR="007F1088" w:rsidRPr="004A1968">
        <w:t xml:space="preserve">), the </w:t>
      </w:r>
      <w:r w:rsidR="007F1088">
        <w:t>reputation</w:t>
      </w:r>
      <w:r w:rsidR="007F1088" w:rsidRPr="004A1968">
        <w:t xml:space="preserve"> perspective focuses, instead, on the indirect effect</w:t>
      </w:r>
      <w:r w:rsidR="007F1088">
        <w:t xml:space="preserve">s of spinoffs on university research income. </w:t>
      </w:r>
    </w:p>
    <w:p w:rsidR="007F1088" w:rsidRPr="00AD1AEF" w:rsidRDefault="007F1088" w:rsidP="00445984">
      <w:pPr>
        <w:spacing w:line="480" w:lineRule="auto"/>
        <w:jc w:val="both"/>
      </w:pPr>
    </w:p>
    <w:p w:rsidR="007F1088" w:rsidRPr="00AD1AEF" w:rsidRDefault="007F1088" w:rsidP="007F1088">
      <w:pPr>
        <w:numPr>
          <w:ilvl w:val="0"/>
          <w:numId w:val="5"/>
        </w:numPr>
        <w:spacing w:line="480" w:lineRule="auto"/>
        <w:ind w:left="426" w:hanging="426"/>
      </w:pPr>
      <w:r w:rsidRPr="00AD1AEF">
        <w:rPr>
          <w:b/>
        </w:rPr>
        <w:t>THEORY</w:t>
      </w:r>
    </w:p>
    <w:p w:rsidR="007F1088" w:rsidRPr="00EE4E76" w:rsidRDefault="00D60884" w:rsidP="00EE4E76">
      <w:pPr>
        <w:spacing w:line="480" w:lineRule="auto"/>
        <w:ind w:firstLine="567"/>
        <w:jc w:val="both"/>
        <w:outlineLvl w:val="0"/>
        <w:rPr>
          <w:b/>
        </w:rPr>
      </w:pPr>
      <w:r>
        <w:rPr>
          <w:b/>
        </w:rPr>
        <w:t>Organization</w:t>
      </w:r>
      <w:r w:rsidR="007F1088" w:rsidRPr="00AD1AEF">
        <w:rPr>
          <w:b/>
        </w:rPr>
        <w:t>al reputation</w:t>
      </w:r>
      <w:r w:rsidR="007F1088">
        <w:rPr>
          <w:b/>
        </w:rPr>
        <w:t xml:space="preserve"> </w:t>
      </w:r>
    </w:p>
    <w:p w:rsidR="007F1088" w:rsidRDefault="007F1088" w:rsidP="007F1088">
      <w:pPr>
        <w:autoSpaceDE w:val="0"/>
        <w:autoSpaceDN w:val="0"/>
        <w:adjustRightInd w:val="0"/>
        <w:spacing w:line="480" w:lineRule="auto"/>
        <w:ind w:firstLine="567"/>
        <w:jc w:val="both"/>
      </w:pPr>
      <w:r>
        <w:t>T</w:t>
      </w:r>
      <w:r w:rsidRPr="00AD1AEF">
        <w:t xml:space="preserve">he management literature on </w:t>
      </w:r>
      <w:r w:rsidR="00D60884">
        <w:t>organization</w:t>
      </w:r>
      <w:r w:rsidRPr="00AD1AEF">
        <w:t xml:space="preserve">al reputation examines how stakeholders perceive </w:t>
      </w:r>
      <w:r w:rsidR="00D60884">
        <w:t>organization</w:t>
      </w:r>
      <w:r w:rsidRPr="00AD1AEF">
        <w:t xml:space="preserve">s in comparison to their competitors (Lange </w:t>
      </w:r>
      <w:r w:rsidRPr="00340F25">
        <w:rPr>
          <w:i/>
        </w:rPr>
        <w:t>et al</w:t>
      </w:r>
      <w:r w:rsidRPr="00AD1AEF">
        <w:t xml:space="preserve">., 2011). </w:t>
      </w:r>
      <w:r w:rsidR="00D60884">
        <w:t>Organization</w:t>
      </w:r>
      <w:r w:rsidRPr="00AD1AEF">
        <w:t>s build reputation through signals sent by their actions and</w:t>
      </w:r>
      <w:r>
        <w:t xml:space="preserve"> also by</w:t>
      </w:r>
      <w:r w:rsidRPr="00AD1AEF">
        <w:t xml:space="preserve"> endorsements from third parties such as the media (</w:t>
      </w:r>
      <w:proofErr w:type="spellStart"/>
      <w:r w:rsidR="00AF7519">
        <w:t>Basdeo</w:t>
      </w:r>
      <w:proofErr w:type="spellEnd"/>
      <w:r w:rsidR="00AF7519">
        <w:t xml:space="preserve"> </w:t>
      </w:r>
      <w:r w:rsidR="00AF7519" w:rsidRPr="00606FE1">
        <w:rPr>
          <w:i/>
        </w:rPr>
        <w:t>et al.</w:t>
      </w:r>
      <w:r w:rsidR="00AF7519">
        <w:t xml:space="preserve">, 2006; </w:t>
      </w:r>
      <w:proofErr w:type="spellStart"/>
      <w:r w:rsidR="00AF7519">
        <w:t>Fombrun</w:t>
      </w:r>
      <w:proofErr w:type="spellEnd"/>
      <w:r w:rsidR="00AF7519">
        <w:t xml:space="preserve"> and </w:t>
      </w:r>
      <w:proofErr w:type="spellStart"/>
      <w:r w:rsidR="00AF7519">
        <w:t>Shanley</w:t>
      </w:r>
      <w:proofErr w:type="spellEnd"/>
      <w:r w:rsidR="00AF7519">
        <w:t xml:space="preserve">, 1990; </w:t>
      </w:r>
      <w:proofErr w:type="spellStart"/>
      <w:r w:rsidRPr="00AD1AEF">
        <w:t>Rindova</w:t>
      </w:r>
      <w:proofErr w:type="spellEnd"/>
      <w:r w:rsidRPr="00AD1AEF">
        <w:t xml:space="preserve"> </w:t>
      </w:r>
      <w:r w:rsidRPr="00340F25">
        <w:rPr>
          <w:i/>
        </w:rPr>
        <w:t>et al</w:t>
      </w:r>
      <w:r w:rsidRPr="00AD1AEF">
        <w:t>.</w:t>
      </w:r>
      <w:r w:rsidR="00E64062">
        <w:t>,</w:t>
      </w:r>
      <w:r w:rsidRPr="00AD1AEF">
        <w:t xml:space="preserve"> 2007).</w:t>
      </w:r>
      <w:r>
        <w:t xml:space="preserve"> </w:t>
      </w:r>
    </w:p>
    <w:p w:rsidR="007F1088" w:rsidRDefault="007F1088" w:rsidP="007F1088">
      <w:pPr>
        <w:autoSpaceDE w:val="0"/>
        <w:autoSpaceDN w:val="0"/>
        <w:adjustRightInd w:val="0"/>
        <w:spacing w:line="480" w:lineRule="auto"/>
        <w:ind w:firstLine="567"/>
        <w:jc w:val="both"/>
      </w:pPr>
      <w:r w:rsidRPr="00AD1AEF">
        <w:t>The literature</w:t>
      </w:r>
      <w:r>
        <w:t xml:space="preserve"> </w:t>
      </w:r>
      <w:r w:rsidRPr="00AD1AEF">
        <w:t>distinguishe</w:t>
      </w:r>
      <w:r>
        <w:t>s</w:t>
      </w:r>
      <w:r w:rsidRPr="00AD1AEF">
        <w:t xml:space="preserve"> between two interrelated but distinct dimensions of reputation</w:t>
      </w:r>
      <w:r>
        <w:t>, namely perceived quality and prominence</w:t>
      </w:r>
      <w:r w:rsidRPr="00AD1AEF">
        <w:t xml:space="preserve"> (</w:t>
      </w:r>
      <w:proofErr w:type="spellStart"/>
      <w:r w:rsidRPr="00AD1AEF">
        <w:t>Rindova</w:t>
      </w:r>
      <w:proofErr w:type="spellEnd"/>
      <w:r w:rsidRPr="00AD1AEF">
        <w:t xml:space="preserve"> </w:t>
      </w:r>
      <w:r w:rsidRPr="00340F25">
        <w:rPr>
          <w:i/>
        </w:rPr>
        <w:t>et al</w:t>
      </w:r>
      <w:r w:rsidRPr="00AD1AEF">
        <w:t xml:space="preserve">., 2005). </w:t>
      </w:r>
      <w:r w:rsidRPr="00837046">
        <w:t>Perceived quality</w:t>
      </w:r>
      <w:r w:rsidRPr="00AD1AEF">
        <w:t xml:space="preserve"> </w:t>
      </w:r>
      <w:r w:rsidR="004E63B4">
        <w:t>refers to</w:t>
      </w:r>
      <w:r w:rsidR="004E63B4" w:rsidRPr="00AD1AEF">
        <w:t xml:space="preserve"> </w:t>
      </w:r>
      <w:r w:rsidRPr="00AD1AEF">
        <w:t xml:space="preserve">how stakeholders evaluate a particular </w:t>
      </w:r>
      <w:r w:rsidR="00D60884">
        <w:t>organization</w:t>
      </w:r>
      <w:r w:rsidRPr="00AD1AEF">
        <w:t>al attribute</w:t>
      </w:r>
      <w:r w:rsidR="006B6967" w:rsidRPr="006B6967">
        <w:t xml:space="preserve"> </w:t>
      </w:r>
      <w:r w:rsidR="006B6967">
        <w:t>and is underpinned by</w:t>
      </w:r>
      <w:r w:rsidR="006B6967" w:rsidRPr="00AD1AEF">
        <w:t xml:space="preserve"> an economic perspectiv</w:t>
      </w:r>
      <w:r w:rsidR="006B6967">
        <w:t>e (i.e. signaling theory).</w:t>
      </w:r>
      <w:r w:rsidRPr="00AD1AEF">
        <w:t xml:space="preserve"> </w:t>
      </w:r>
      <w:r>
        <w:t xml:space="preserve">The perceived quality dimension of reputation is influenced by signals from an </w:t>
      </w:r>
      <w:r w:rsidR="00D60884">
        <w:t>organization</w:t>
      </w:r>
      <w:r>
        <w:t xml:space="preserve">’s past actions and performance </w:t>
      </w:r>
      <w:r w:rsidR="00AF156A">
        <w:t>(</w:t>
      </w:r>
      <w:proofErr w:type="spellStart"/>
      <w:r w:rsidR="00AF156A">
        <w:t>Basdeo</w:t>
      </w:r>
      <w:proofErr w:type="spellEnd"/>
      <w:r w:rsidR="00AF156A">
        <w:t xml:space="preserve"> </w:t>
      </w:r>
      <w:r w:rsidR="00AF156A" w:rsidRPr="00912BE7">
        <w:rPr>
          <w:i/>
        </w:rPr>
        <w:t>et al</w:t>
      </w:r>
      <w:r w:rsidR="00AF156A">
        <w:t xml:space="preserve">., 2006; </w:t>
      </w:r>
      <w:proofErr w:type="spellStart"/>
      <w:r w:rsidR="00AF156A">
        <w:t>Fombrun</w:t>
      </w:r>
      <w:proofErr w:type="spellEnd"/>
      <w:r w:rsidR="00AF156A">
        <w:t xml:space="preserve"> and </w:t>
      </w:r>
      <w:proofErr w:type="spellStart"/>
      <w:r w:rsidR="00AF156A">
        <w:t>Shanley</w:t>
      </w:r>
      <w:proofErr w:type="spellEnd"/>
      <w:r w:rsidR="00AF156A">
        <w:t>, 1990)</w:t>
      </w:r>
      <w:r w:rsidR="006B6967">
        <w:t>.</w:t>
      </w:r>
      <w:r w:rsidR="00AF156A">
        <w:t xml:space="preserve"> </w:t>
      </w:r>
      <w:r w:rsidR="00533E82">
        <w:t>Signaling</w:t>
      </w:r>
      <w:r w:rsidRPr="00AD1AEF">
        <w:t xml:space="preserve"> theory (Spence, 1973) describes </w:t>
      </w:r>
      <w:r w:rsidR="00466330">
        <w:t>behaviors</w:t>
      </w:r>
      <w:r w:rsidRPr="00AD1AEF">
        <w:t xml:space="preserve"> when two parties (a sender and a receiver) possess different information, a phenomenon called information asymmetry (</w:t>
      </w:r>
      <w:proofErr w:type="spellStart"/>
      <w:r w:rsidRPr="00AD1AEF">
        <w:t>Stiglitz</w:t>
      </w:r>
      <w:proofErr w:type="spellEnd"/>
      <w:r w:rsidRPr="00AD1AEF">
        <w:t xml:space="preserve"> 2000). The sender’s actions signal relevant information about an underlying,</w:t>
      </w:r>
      <w:r>
        <w:t xml:space="preserve"> unobservable ability</w:t>
      </w:r>
      <w:r w:rsidRPr="00AD1AEF">
        <w:t xml:space="preserve">. The </w:t>
      </w:r>
      <w:r w:rsidRPr="00AD1AEF">
        <w:lastRenderedPageBreak/>
        <w:t>receiver interprets the signal and adjusts his</w:t>
      </w:r>
      <w:r w:rsidR="00696EC2">
        <w:t>/her</w:t>
      </w:r>
      <w:r w:rsidRPr="00AD1AEF">
        <w:t xml:space="preserve"> </w:t>
      </w:r>
      <w:r w:rsidR="00466330">
        <w:t>behavior</w:t>
      </w:r>
      <w:r w:rsidRPr="00AD1AEF">
        <w:t xml:space="preserve"> accordingly, which can benefit the sender (Connelly, </w:t>
      </w:r>
      <w:r w:rsidRPr="00340F25">
        <w:rPr>
          <w:i/>
        </w:rPr>
        <w:t>et al</w:t>
      </w:r>
      <w:r w:rsidRPr="00AD1AEF">
        <w:t xml:space="preserve">., 2011). </w:t>
      </w:r>
    </w:p>
    <w:p w:rsidR="007F1088" w:rsidRPr="009C6191" w:rsidRDefault="007F1088" w:rsidP="007F1088">
      <w:pPr>
        <w:autoSpaceDE w:val="0"/>
        <w:autoSpaceDN w:val="0"/>
        <w:adjustRightInd w:val="0"/>
        <w:spacing w:line="480" w:lineRule="auto"/>
        <w:ind w:firstLine="567"/>
        <w:jc w:val="both"/>
      </w:pPr>
      <w:r w:rsidRPr="009C6191">
        <w:t xml:space="preserve">Conversely, the </w:t>
      </w:r>
      <w:r w:rsidRPr="00837046">
        <w:t>prominence</w:t>
      </w:r>
      <w:r w:rsidRPr="009C6191">
        <w:rPr>
          <w:i/>
        </w:rPr>
        <w:t xml:space="preserve"> </w:t>
      </w:r>
      <w:r w:rsidRPr="009C6191">
        <w:t xml:space="preserve">dimension of reputation </w:t>
      </w:r>
      <w:r w:rsidR="00AB23EB">
        <w:t xml:space="preserve">is </w:t>
      </w:r>
      <w:r w:rsidR="00AB23EB" w:rsidRPr="009C6191">
        <w:t>derive</w:t>
      </w:r>
      <w:r w:rsidR="00AB23EB">
        <w:t>d</w:t>
      </w:r>
      <w:r w:rsidR="00AB23EB" w:rsidRPr="009C6191">
        <w:t xml:space="preserve"> </w:t>
      </w:r>
      <w:r w:rsidRPr="009C6191">
        <w:t xml:space="preserve">from a sociological perspective and captures the collective awareness and recognition that an </w:t>
      </w:r>
      <w:r w:rsidR="00D60884">
        <w:t>organization</w:t>
      </w:r>
      <w:r w:rsidRPr="009C6191">
        <w:t xml:space="preserve"> has accumulated in its field. Prominence is influenced by the choices that influential third parties such as </w:t>
      </w:r>
      <w:r w:rsidRPr="00837046">
        <w:t>high-status actors and the media make vis-</w:t>
      </w:r>
      <w:r w:rsidRPr="001B0333">
        <w:rPr>
          <w:color w:val="000000"/>
        </w:rPr>
        <w:t>à</w:t>
      </w:r>
      <w:r w:rsidRPr="00837046">
        <w:t xml:space="preserve">-vis the </w:t>
      </w:r>
      <w:r w:rsidR="00D60884">
        <w:t>organization</w:t>
      </w:r>
      <w:r w:rsidRPr="00837046">
        <w:t xml:space="preserve"> (Deephouse, 2000; Pollock and </w:t>
      </w:r>
      <w:proofErr w:type="spellStart"/>
      <w:r w:rsidRPr="00837046">
        <w:t>Rindova</w:t>
      </w:r>
      <w:proofErr w:type="spellEnd"/>
      <w:r w:rsidRPr="00837046">
        <w:t xml:space="preserve">, 2003; Rao, 1994; Stuart, 2000). </w:t>
      </w:r>
      <w:r w:rsidRPr="009C6191">
        <w:rPr>
          <w:lang w:val="en-GB" w:eastAsia="en-GB"/>
        </w:rPr>
        <w:t>Stakeholders closely watch the choices of</w:t>
      </w:r>
      <w:r>
        <w:rPr>
          <w:lang w:val="en-GB" w:eastAsia="en-GB"/>
        </w:rPr>
        <w:t xml:space="preserve"> </w:t>
      </w:r>
      <w:r w:rsidRPr="009C6191">
        <w:rPr>
          <w:lang w:val="en-GB" w:eastAsia="en-GB"/>
        </w:rPr>
        <w:t>such actors because of their perceived superiority</w:t>
      </w:r>
      <w:r>
        <w:rPr>
          <w:lang w:val="en-GB" w:eastAsia="en-GB"/>
        </w:rPr>
        <w:t xml:space="preserve"> </w:t>
      </w:r>
      <w:r w:rsidRPr="009C6191">
        <w:rPr>
          <w:lang w:val="en-GB" w:eastAsia="en-GB"/>
        </w:rPr>
        <w:t>in evaluating firms (Stuart, 2000</w:t>
      </w:r>
      <w:r>
        <w:rPr>
          <w:lang w:val="en-GB" w:eastAsia="en-GB"/>
        </w:rPr>
        <w:t xml:space="preserve">; </w:t>
      </w:r>
      <w:r w:rsidR="00323BA0">
        <w:rPr>
          <w:lang w:val="en-GB" w:eastAsia="en-GB"/>
        </w:rPr>
        <w:t>Rao, 1994</w:t>
      </w:r>
      <w:r w:rsidRPr="009C6191">
        <w:rPr>
          <w:lang w:val="en-GB" w:eastAsia="en-GB"/>
        </w:rPr>
        <w:t xml:space="preserve">). </w:t>
      </w:r>
      <w:r w:rsidRPr="009C6191">
        <w:t>Therefore, the prominence dimension of reputation is socially constructed</w:t>
      </w:r>
      <w:r>
        <w:t xml:space="preserve"> and is based on the concept of endorsement</w:t>
      </w:r>
      <w:r w:rsidRPr="009C6191">
        <w:t>.</w:t>
      </w:r>
    </w:p>
    <w:p w:rsidR="007F1088" w:rsidRDefault="007F1088" w:rsidP="002719AD">
      <w:pPr>
        <w:autoSpaceDE w:val="0"/>
        <w:autoSpaceDN w:val="0"/>
        <w:adjustRightInd w:val="0"/>
        <w:spacing w:line="480" w:lineRule="auto"/>
        <w:ind w:firstLine="567"/>
        <w:jc w:val="both"/>
      </w:pPr>
      <w:r w:rsidRPr="00AD1AEF">
        <w:t xml:space="preserve">In general, we lack studies that disentangle empirically the effects of reputation for different </w:t>
      </w:r>
      <w:r w:rsidR="004102B2">
        <w:t xml:space="preserve">domains </w:t>
      </w:r>
      <w:r>
        <w:t xml:space="preserve">of an </w:t>
      </w:r>
      <w:r w:rsidR="00D60884">
        <w:t>organization</w:t>
      </w:r>
      <w:r>
        <w:t>’s activity</w:t>
      </w:r>
      <w:r w:rsidRPr="00AD1AEF">
        <w:t xml:space="preserve"> (</w:t>
      </w:r>
      <w:proofErr w:type="spellStart"/>
      <w:r w:rsidR="00326461">
        <w:t>Dimov</w:t>
      </w:r>
      <w:proofErr w:type="spellEnd"/>
      <w:r w:rsidR="00326461">
        <w:t xml:space="preserve"> and </w:t>
      </w:r>
      <w:proofErr w:type="spellStart"/>
      <w:r w:rsidR="00326461">
        <w:t>Milanov</w:t>
      </w:r>
      <w:proofErr w:type="spellEnd"/>
      <w:r w:rsidR="00326461">
        <w:t xml:space="preserve">, 2010; </w:t>
      </w:r>
      <w:r w:rsidRPr="00AD1AEF">
        <w:t xml:space="preserve">Lange </w:t>
      </w:r>
      <w:r w:rsidRPr="00340F25">
        <w:rPr>
          <w:i/>
        </w:rPr>
        <w:t>et al</w:t>
      </w:r>
      <w:r w:rsidRPr="00AD1AEF">
        <w:t xml:space="preserve">., 2011). </w:t>
      </w:r>
      <w:r>
        <w:t>I</w:t>
      </w:r>
      <w:r w:rsidRPr="0031707D">
        <w:t xml:space="preserve">n this study, we </w:t>
      </w:r>
      <w:r w:rsidR="00EE4E76">
        <w:t>focus on</w:t>
      </w:r>
      <w:r>
        <w:t xml:space="preserve"> reputation as an assessment for a </w:t>
      </w:r>
      <w:r w:rsidRPr="0031707D">
        <w:t xml:space="preserve">specific </w:t>
      </w:r>
      <w:r w:rsidR="00D60884">
        <w:t>organization</w:t>
      </w:r>
      <w:r w:rsidRPr="0031707D">
        <w:t>al a</w:t>
      </w:r>
      <w:r w:rsidR="008B7F08">
        <w:t>ctivity</w:t>
      </w:r>
      <w:r w:rsidRPr="0031707D">
        <w:t xml:space="preserve"> (what Lange </w:t>
      </w:r>
      <w:r w:rsidRPr="00340F25">
        <w:rPr>
          <w:i/>
        </w:rPr>
        <w:t>et al</w:t>
      </w:r>
      <w:r w:rsidRPr="0031707D">
        <w:t>.</w:t>
      </w:r>
      <w:r w:rsidR="00E64062">
        <w:t>,</w:t>
      </w:r>
      <w:r w:rsidRPr="0031707D">
        <w:t xml:space="preserve"> 2011 called “</w:t>
      </w:r>
      <w:r w:rsidRPr="00726B59">
        <w:t>being known for something”)</w:t>
      </w:r>
      <w:r w:rsidRPr="0031707D">
        <w:t xml:space="preserve"> rather than an overall </w:t>
      </w:r>
      <w:r w:rsidR="00172D2E" w:rsidRPr="0031707D">
        <w:t>generalized</w:t>
      </w:r>
      <w:r w:rsidRPr="0031707D">
        <w:t xml:space="preserve"> assessment of the </w:t>
      </w:r>
      <w:r w:rsidR="00D60884">
        <w:t>organization</w:t>
      </w:r>
      <w:r w:rsidRPr="0031707D">
        <w:t xml:space="preserve">’s </w:t>
      </w:r>
      <w:r w:rsidR="00172D2E" w:rsidRPr="0031707D">
        <w:t>favorability</w:t>
      </w:r>
      <w:r w:rsidRPr="00726B59">
        <w:t>.</w:t>
      </w:r>
      <w:r w:rsidRPr="0031707D">
        <w:t xml:space="preserve"> </w:t>
      </w:r>
      <w:r>
        <w:rPr>
          <w:lang w:val="en-GB" w:eastAsia="en-GB"/>
        </w:rPr>
        <w:t>A</w:t>
      </w:r>
      <w:r w:rsidR="00AB23EB">
        <w:rPr>
          <w:lang w:val="en-GB" w:eastAsia="en-GB"/>
        </w:rPr>
        <w:t>ccording to</w:t>
      </w:r>
      <w:r>
        <w:rPr>
          <w:lang w:val="en-GB" w:eastAsia="en-GB"/>
        </w:rPr>
        <w:t xml:space="preserve"> </w:t>
      </w:r>
      <w:r w:rsidRPr="00837046">
        <w:rPr>
          <w:lang w:val="en-GB" w:eastAsia="en-GB"/>
        </w:rPr>
        <w:t>Deutsch and Ross (2003: 1004), “Firms can develop reputations</w:t>
      </w:r>
      <w:r>
        <w:rPr>
          <w:lang w:val="en-GB" w:eastAsia="en-GB"/>
        </w:rPr>
        <w:t xml:space="preserve"> </w:t>
      </w:r>
      <w:r w:rsidRPr="00837046">
        <w:rPr>
          <w:lang w:val="en-GB" w:eastAsia="en-GB"/>
        </w:rPr>
        <w:t>for many aspects others care about. For example, a firm may be seen as having a reputation</w:t>
      </w:r>
      <w:r>
        <w:rPr>
          <w:lang w:val="en-GB" w:eastAsia="en-GB"/>
        </w:rPr>
        <w:t xml:space="preserve"> </w:t>
      </w:r>
      <w:r w:rsidRPr="00837046">
        <w:rPr>
          <w:lang w:val="en-GB" w:eastAsia="en-GB"/>
        </w:rPr>
        <w:t xml:space="preserve">for high-quality products, poor </w:t>
      </w:r>
      <w:r w:rsidR="00172D2E" w:rsidRPr="00837046">
        <w:rPr>
          <w:lang w:val="en-GB" w:eastAsia="en-GB"/>
        </w:rPr>
        <w:t>labour</w:t>
      </w:r>
      <w:r w:rsidRPr="00837046">
        <w:rPr>
          <w:lang w:val="en-GB" w:eastAsia="en-GB"/>
        </w:rPr>
        <w:t xml:space="preserve"> relations or questionable</w:t>
      </w:r>
      <w:r>
        <w:rPr>
          <w:lang w:val="en-GB" w:eastAsia="en-GB"/>
        </w:rPr>
        <w:t xml:space="preserve"> </w:t>
      </w:r>
      <w:r w:rsidRPr="00837046">
        <w:rPr>
          <w:lang w:val="en-GB" w:eastAsia="en-GB"/>
        </w:rPr>
        <w:t>environmental practices</w:t>
      </w:r>
      <w:r w:rsidR="00AF7519">
        <w:rPr>
          <w:lang w:val="en-GB" w:eastAsia="en-GB"/>
        </w:rPr>
        <w:t>.</w:t>
      </w:r>
      <w:r w:rsidRPr="00837046">
        <w:rPr>
          <w:lang w:val="en-GB" w:eastAsia="en-GB"/>
        </w:rPr>
        <w:t>”</w:t>
      </w:r>
      <w:r>
        <w:rPr>
          <w:lang w:val="en-GB" w:eastAsia="en-GB"/>
        </w:rPr>
        <w:t xml:space="preserve"> </w:t>
      </w:r>
    </w:p>
    <w:p w:rsidR="006B6967" w:rsidRDefault="006B6967" w:rsidP="007F1088">
      <w:pPr>
        <w:autoSpaceDE w:val="0"/>
        <w:autoSpaceDN w:val="0"/>
        <w:adjustRightInd w:val="0"/>
        <w:spacing w:line="480" w:lineRule="auto"/>
        <w:ind w:firstLine="567"/>
        <w:jc w:val="both"/>
      </w:pPr>
      <w:r>
        <w:rPr>
          <w:b/>
        </w:rPr>
        <w:t>The halo effect</w:t>
      </w:r>
    </w:p>
    <w:p w:rsidR="007F1088" w:rsidRDefault="006B6967" w:rsidP="007F1088">
      <w:pPr>
        <w:autoSpaceDE w:val="0"/>
        <w:autoSpaceDN w:val="0"/>
        <w:adjustRightInd w:val="0"/>
        <w:spacing w:line="480" w:lineRule="auto"/>
        <w:ind w:firstLine="567"/>
        <w:jc w:val="both"/>
        <w:rPr>
          <w:rStyle w:val="printonly"/>
        </w:rPr>
      </w:pPr>
      <w:r>
        <w:t xml:space="preserve">By halo effect, </w:t>
      </w:r>
      <w:r w:rsidR="00892E9A">
        <w:t xml:space="preserve">the </w:t>
      </w:r>
      <w:r>
        <w:t>p</w:t>
      </w:r>
      <w:r w:rsidR="00EF78B3">
        <w:t xml:space="preserve">sychology literature </w:t>
      </w:r>
      <w:r>
        <w:rPr>
          <w:lang w:eastAsia="en-GB"/>
        </w:rPr>
        <w:t>refers to</w:t>
      </w:r>
      <w:r w:rsidR="00EF78B3">
        <w:rPr>
          <w:lang w:val="en-GB" w:eastAsia="en-GB"/>
        </w:rPr>
        <w:t xml:space="preserve"> the influence of a core evaluation on evaluations of specific attributes (</w:t>
      </w:r>
      <w:proofErr w:type="spellStart"/>
      <w:r w:rsidR="00EF78B3">
        <w:rPr>
          <w:lang w:val="en-GB" w:eastAsia="en-GB"/>
        </w:rPr>
        <w:t>Nisbett</w:t>
      </w:r>
      <w:proofErr w:type="spellEnd"/>
      <w:r w:rsidR="00EF78B3">
        <w:rPr>
          <w:lang w:val="en-GB" w:eastAsia="en-GB"/>
        </w:rPr>
        <w:t xml:space="preserve"> and Wilson, 1977;</w:t>
      </w:r>
      <w:r w:rsidR="00EF78B3" w:rsidRPr="00960513">
        <w:rPr>
          <w:rStyle w:val="printonly"/>
        </w:rPr>
        <w:t xml:space="preserve"> </w:t>
      </w:r>
      <w:r w:rsidR="00EF78B3">
        <w:rPr>
          <w:rStyle w:val="printonly"/>
        </w:rPr>
        <w:t>Thorndike, 1920</w:t>
      </w:r>
      <w:r w:rsidR="000B1BCA">
        <w:rPr>
          <w:rStyle w:val="printonly"/>
        </w:rPr>
        <w:t xml:space="preserve">; Murphy, </w:t>
      </w:r>
      <w:proofErr w:type="spellStart"/>
      <w:r w:rsidR="000B1BCA">
        <w:rPr>
          <w:rStyle w:val="printonly"/>
        </w:rPr>
        <w:t>Jako</w:t>
      </w:r>
      <w:proofErr w:type="spellEnd"/>
      <w:r w:rsidR="000B1BCA">
        <w:rPr>
          <w:rStyle w:val="printonly"/>
        </w:rPr>
        <w:t xml:space="preserve"> and </w:t>
      </w:r>
      <w:proofErr w:type="spellStart"/>
      <w:r w:rsidR="000B1BCA">
        <w:rPr>
          <w:rStyle w:val="printonly"/>
        </w:rPr>
        <w:t>Anhalt</w:t>
      </w:r>
      <w:proofErr w:type="spellEnd"/>
      <w:r w:rsidR="000B1BCA">
        <w:rPr>
          <w:rStyle w:val="printonly"/>
        </w:rPr>
        <w:t>, 1993</w:t>
      </w:r>
      <w:r w:rsidR="00EF78B3">
        <w:rPr>
          <w:lang w:val="en-GB" w:eastAsia="en-GB"/>
        </w:rPr>
        <w:t>).</w:t>
      </w:r>
      <w:r w:rsidR="00EF78B3" w:rsidRPr="00EF78B3">
        <w:rPr>
          <w:rStyle w:val="printonly"/>
        </w:rPr>
        <w:t xml:space="preserve"> </w:t>
      </w:r>
      <w:r w:rsidR="00EF78B3">
        <w:rPr>
          <w:rStyle w:val="printonly"/>
        </w:rPr>
        <w:t xml:space="preserve">Much of the early research on the halo effect </w:t>
      </w:r>
      <w:r w:rsidR="007F1088">
        <w:rPr>
          <w:rStyle w:val="printonly"/>
        </w:rPr>
        <w:t xml:space="preserve">focused on individuals and more specifically on physical attractiveness and how this </w:t>
      </w:r>
      <w:r>
        <w:rPr>
          <w:rStyle w:val="printonly"/>
        </w:rPr>
        <w:t xml:space="preserve">attribute </w:t>
      </w:r>
      <w:r w:rsidR="007F1088">
        <w:rPr>
          <w:rStyle w:val="printonly"/>
        </w:rPr>
        <w:t xml:space="preserve">affected the judgments of raters on other individual attributes (Dion, </w:t>
      </w:r>
      <w:proofErr w:type="spellStart"/>
      <w:r w:rsidR="003B6256">
        <w:rPr>
          <w:rStyle w:val="printonly"/>
        </w:rPr>
        <w:t>Berscheid</w:t>
      </w:r>
      <w:proofErr w:type="spellEnd"/>
      <w:r w:rsidR="003B6256">
        <w:rPr>
          <w:rStyle w:val="printonly"/>
        </w:rPr>
        <w:t xml:space="preserve"> and </w:t>
      </w:r>
      <w:proofErr w:type="spellStart"/>
      <w:r w:rsidR="003B6256">
        <w:rPr>
          <w:rStyle w:val="printonly"/>
        </w:rPr>
        <w:t>Walster</w:t>
      </w:r>
      <w:proofErr w:type="spellEnd"/>
      <w:r w:rsidR="003B6256">
        <w:rPr>
          <w:rStyle w:val="printonly"/>
        </w:rPr>
        <w:t xml:space="preserve">, </w:t>
      </w:r>
      <w:r w:rsidR="007F1088">
        <w:rPr>
          <w:rStyle w:val="printonly"/>
        </w:rPr>
        <w:t xml:space="preserve">1972). For example, Downs and Lyons (1991) found that the attractiveness of a defendant was associated with judges levying lower sentences in misdemeanor cases. Similarly, in the context of academia, Wilson (1968) found that estimates of an academic’s height were affected by his or her ascribed status (i.e. demonstrator, lecturer, senior lecturer, professor), while Peters and Ceci (1982) </w:t>
      </w:r>
      <w:r w:rsidR="00AB23EB">
        <w:rPr>
          <w:rStyle w:val="printonly"/>
        </w:rPr>
        <w:t>demonstrated that</w:t>
      </w:r>
      <w:r w:rsidR="007F1088">
        <w:rPr>
          <w:rStyle w:val="printonly"/>
        </w:rPr>
        <w:t xml:space="preserve"> the halo effect of institutional affiliation influenced whether an academic’s paper was accepted or rejected by a journal. </w:t>
      </w:r>
    </w:p>
    <w:p w:rsidR="00DB3D97" w:rsidRDefault="007F1088" w:rsidP="00434EDA">
      <w:pPr>
        <w:autoSpaceDE w:val="0"/>
        <w:autoSpaceDN w:val="0"/>
        <w:adjustRightInd w:val="0"/>
        <w:spacing w:line="480" w:lineRule="auto"/>
        <w:jc w:val="both"/>
      </w:pPr>
      <w:r>
        <w:rPr>
          <w:rStyle w:val="printonly"/>
        </w:rPr>
        <w:lastRenderedPageBreak/>
        <w:tab/>
        <w:t xml:space="preserve">Research on the halo effect has also taken place at the </w:t>
      </w:r>
      <w:r w:rsidR="00D60884">
        <w:rPr>
          <w:rStyle w:val="printonly"/>
        </w:rPr>
        <w:t>organization</w:t>
      </w:r>
      <w:r>
        <w:rPr>
          <w:rStyle w:val="printonly"/>
        </w:rPr>
        <w:t xml:space="preserve">al level of analysis. </w:t>
      </w:r>
      <w:r w:rsidRPr="00AD1AEF">
        <w:t xml:space="preserve">Early </w:t>
      </w:r>
      <w:r w:rsidRPr="00AD1AEF">
        <w:rPr>
          <w:rStyle w:val="printonly"/>
        </w:rPr>
        <w:t>research has</w:t>
      </w:r>
      <w:r>
        <w:rPr>
          <w:rStyle w:val="printonly"/>
        </w:rPr>
        <w:t xml:space="preserve"> </w:t>
      </w:r>
      <w:r w:rsidR="00466330">
        <w:rPr>
          <w:rStyle w:val="printonly"/>
        </w:rPr>
        <w:t>recogniz</w:t>
      </w:r>
      <w:r w:rsidR="00466330" w:rsidRPr="00AD1AEF">
        <w:rPr>
          <w:rStyle w:val="printonly"/>
        </w:rPr>
        <w:t>ed</w:t>
      </w:r>
      <w:r w:rsidRPr="00AD1AEF">
        <w:rPr>
          <w:rStyle w:val="printonly"/>
        </w:rPr>
        <w:t xml:space="preserve"> the positive effect of </w:t>
      </w:r>
      <w:r>
        <w:rPr>
          <w:rStyle w:val="printonly"/>
        </w:rPr>
        <w:t xml:space="preserve">reputation </w:t>
      </w:r>
      <w:r w:rsidR="00AB23EB">
        <w:rPr>
          <w:rStyle w:val="printonly"/>
        </w:rPr>
        <w:t xml:space="preserve">of </w:t>
      </w:r>
      <w:r>
        <w:rPr>
          <w:rStyle w:val="printonly"/>
        </w:rPr>
        <w:t xml:space="preserve">the core </w:t>
      </w:r>
      <w:r w:rsidR="00D60884">
        <w:rPr>
          <w:rStyle w:val="printonly"/>
        </w:rPr>
        <w:t>organization</w:t>
      </w:r>
      <w:r>
        <w:rPr>
          <w:rStyle w:val="printonly"/>
        </w:rPr>
        <w:t>al activity</w:t>
      </w:r>
      <w:r w:rsidRPr="00AD1AEF">
        <w:rPr>
          <w:rStyle w:val="printonly"/>
        </w:rPr>
        <w:t xml:space="preserve"> on the outcome of </w:t>
      </w:r>
      <w:r>
        <w:rPr>
          <w:rStyle w:val="printonly"/>
        </w:rPr>
        <w:t xml:space="preserve">a </w:t>
      </w:r>
      <w:r w:rsidR="005B18FF">
        <w:rPr>
          <w:rStyle w:val="printonly"/>
        </w:rPr>
        <w:t xml:space="preserve">peripheral </w:t>
      </w:r>
      <w:r w:rsidR="00C76BE4">
        <w:rPr>
          <w:rStyle w:val="printonly"/>
        </w:rPr>
        <w:t>activity</w:t>
      </w:r>
      <w:r>
        <w:rPr>
          <w:rStyle w:val="printonly"/>
        </w:rPr>
        <w:t xml:space="preserve"> (</w:t>
      </w:r>
      <w:r w:rsidRPr="00AD1AEF">
        <w:rPr>
          <w:rStyle w:val="printonly"/>
        </w:rPr>
        <w:t xml:space="preserve">Crane, 1965; </w:t>
      </w:r>
      <w:proofErr w:type="spellStart"/>
      <w:r w:rsidRPr="00AD1AEF">
        <w:rPr>
          <w:rStyle w:val="printonly"/>
        </w:rPr>
        <w:t>Perrow</w:t>
      </w:r>
      <w:proofErr w:type="spellEnd"/>
      <w:r w:rsidRPr="00AD1AEF">
        <w:rPr>
          <w:rStyle w:val="printonly"/>
        </w:rPr>
        <w:t>, 1961).</w:t>
      </w:r>
      <w:r w:rsidRPr="001359C5">
        <w:rPr>
          <w:rStyle w:val="printonly"/>
        </w:rPr>
        <w:t xml:space="preserve"> </w:t>
      </w:r>
      <w:r>
        <w:rPr>
          <w:rStyle w:val="printonly"/>
        </w:rPr>
        <w:t>For example</w:t>
      </w:r>
      <w:r w:rsidRPr="004A1968">
        <w:rPr>
          <w:lang w:val="en-GB" w:eastAsia="en-GB"/>
        </w:rPr>
        <w:t xml:space="preserve">, </w:t>
      </w:r>
      <w:r>
        <w:rPr>
          <w:lang w:val="en-GB" w:eastAsia="en-GB"/>
        </w:rPr>
        <w:t xml:space="preserve">the halo effect of </w:t>
      </w:r>
      <w:r w:rsidR="00156997">
        <w:rPr>
          <w:rStyle w:val="printonly"/>
        </w:rPr>
        <w:t>reputable</w:t>
      </w:r>
      <w:r w:rsidRPr="004A1968">
        <w:rPr>
          <w:rStyle w:val="printonly"/>
        </w:rPr>
        <w:t xml:space="preserve"> universities </w:t>
      </w:r>
      <w:r>
        <w:rPr>
          <w:rStyle w:val="printonly"/>
        </w:rPr>
        <w:t xml:space="preserve">enables them to </w:t>
      </w:r>
      <w:r w:rsidRPr="004A1968">
        <w:rPr>
          <w:rStyle w:val="printonly"/>
        </w:rPr>
        <w:t>license more than their less prominent counterparts</w:t>
      </w:r>
      <w:r w:rsidRPr="004A1968">
        <w:rPr>
          <w:lang w:val="en-GB" w:eastAsia="en-GB"/>
        </w:rPr>
        <w:t xml:space="preserve"> (Sine, Shane and </w:t>
      </w:r>
      <w:proofErr w:type="spellStart"/>
      <w:r w:rsidRPr="004A1968">
        <w:rPr>
          <w:lang w:val="en-GB" w:eastAsia="en-GB"/>
        </w:rPr>
        <w:t>DiGregorio</w:t>
      </w:r>
      <w:proofErr w:type="spellEnd"/>
      <w:r w:rsidRPr="004A1968">
        <w:rPr>
          <w:lang w:val="en-GB" w:eastAsia="en-GB"/>
        </w:rPr>
        <w:t>, 2003)</w:t>
      </w:r>
      <w:r>
        <w:rPr>
          <w:rStyle w:val="printonly"/>
        </w:rPr>
        <w:t>.</w:t>
      </w:r>
      <w:r w:rsidR="00E42321">
        <w:rPr>
          <w:rStyle w:val="printonly"/>
        </w:rPr>
        <w:t xml:space="preserve"> </w:t>
      </w:r>
      <w:r w:rsidR="000B30CB">
        <w:rPr>
          <w:rStyle w:val="printonly"/>
        </w:rPr>
        <w:t>C</w:t>
      </w:r>
      <w:r w:rsidR="00FB595E">
        <w:rPr>
          <w:rStyle w:val="printonly"/>
        </w:rPr>
        <w:t>ognitive psychology research on heuristics (</w:t>
      </w:r>
      <w:proofErr w:type="spellStart"/>
      <w:r w:rsidR="00FB595E">
        <w:rPr>
          <w:rStyle w:val="printonly"/>
        </w:rPr>
        <w:t>Tversky</w:t>
      </w:r>
      <w:proofErr w:type="spellEnd"/>
      <w:r w:rsidR="00FB595E">
        <w:rPr>
          <w:rStyle w:val="printonly"/>
        </w:rPr>
        <w:t xml:space="preserve"> and </w:t>
      </w:r>
      <w:proofErr w:type="spellStart"/>
      <w:r w:rsidR="00FB595E">
        <w:rPr>
          <w:rStyle w:val="printonly"/>
        </w:rPr>
        <w:t>Kahneman</w:t>
      </w:r>
      <w:proofErr w:type="spellEnd"/>
      <w:r w:rsidR="00FB595E">
        <w:rPr>
          <w:rStyle w:val="printonly"/>
        </w:rPr>
        <w:t>, 1974)</w:t>
      </w:r>
      <w:r w:rsidR="000B30CB">
        <w:rPr>
          <w:rStyle w:val="printonly"/>
        </w:rPr>
        <w:t xml:space="preserve"> </w:t>
      </w:r>
      <w:r w:rsidR="00FB595E">
        <w:rPr>
          <w:rStyle w:val="printonly"/>
        </w:rPr>
        <w:t>suggest</w:t>
      </w:r>
      <w:r w:rsidR="00DB3D97">
        <w:rPr>
          <w:rStyle w:val="printonly"/>
        </w:rPr>
        <w:t>s</w:t>
      </w:r>
      <w:r w:rsidR="00FB595E">
        <w:rPr>
          <w:rStyle w:val="printonly"/>
        </w:rPr>
        <w:t xml:space="preserve"> that the halo effect </w:t>
      </w:r>
      <w:r w:rsidR="00DB3D97">
        <w:rPr>
          <w:rStyle w:val="printonly"/>
        </w:rPr>
        <w:t xml:space="preserve">could </w:t>
      </w:r>
      <w:r w:rsidR="00FB595E">
        <w:rPr>
          <w:rStyle w:val="printonly"/>
        </w:rPr>
        <w:t xml:space="preserve">also work in the reverse direction, from the periphery to the core. </w:t>
      </w:r>
      <w:r w:rsidRPr="000B6148">
        <w:rPr>
          <w:rStyle w:val="printonly"/>
        </w:rPr>
        <w:t xml:space="preserve">However, the reputation literature has not </w:t>
      </w:r>
      <w:r w:rsidR="008B7F08">
        <w:rPr>
          <w:rStyle w:val="printonly"/>
        </w:rPr>
        <w:t xml:space="preserve">yet </w:t>
      </w:r>
      <w:r w:rsidR="00FB595E">
        <w:rPr>
          <w:rStyle w:val="printonly"/>
        </w:rPr>
        <w:t xml:space="preserve">empirically </w:t>
      </w:r>
      <w:r w:rsidRPr="000B6148">
        <w:rPr>
          <w:rStyle w:val="printonly"/>
        </w:rPr>
        <w:t xml:space="preserve">investigated </w:t>
      </w:r>
      <w:r w:rsidRPr="000B6148">
        <w:t>whether developing</w:t>
      </w:r>
      <w:r w:rsidR="00871C0B" w:rsidRPr="000B6148">
        <w:t xml:space="preserve"> a reputation for</w:t>
      </w:r>
      <w:r w:rsidRPr="000B6148">
        <w:t xml:space="preserve"> a </w:t>
      </w:r>
      <w:r w:rsidRPr="000B6148">
        <w:rPr>
          <w:i/>
        </w:rPr>
        <w:t>peripheral</w:t>
      </w:r>
      <w:r w:rsidR="004533B6">
        <w:t xml:space="preserve"> activity can positively relate to</w:t>
      </w:r>
      <w:r w:rsidRPr="000B6148">
        <w:t xml:space="preserve"> the </w:t>
      </w:r>
      <w:r w:rsidR="00D60884" w:rsidRPr="000B6148">
        <w:t>organization</w:t>
      </w:r>
      <w:r w:rsidRPr="000B6148">
        <w:t xml:space="preserve">’s </w:t>
      </w:r>
      <w:r w:rsidR="004102B2" w:rsidRPr="000B6148">
        <w:rPr>
          <w:i/>
        </w:rPr>
        <w:t>core</w:t>
      </w:r>
      <w:r w:rsidR="004102B2" w:rsidRPr="000B6148">
        <w:t xml:space="preserve"> </w:t>
      </w:r>
      <w:r w:rsidRPr="000B6148">
        <w:t>activity.</w:t>
      </w:r>
      <w:r w:rsidR="005B18FF">
        <w:t xml:space="preserve"> </w:t>
      </w:r>
    </w:p>
    <w:p w:rsidR="000B6148" w:rsidRPr="00434EDA" w:rsidRDefault="000B6148" w:rsidP="00434EDA">
      <w:pPr>
        <w:autoSpaceDE w:val="0"/>
        <w:autoSpaceDN w:val="0"/>
        <w:adjustRightInd w:val="0"/>
        <w:spacing w:line="480" w:lineRule="auto"/>
        <w:ind w:firstLine="567"/>
        <w:jc w:val="both"/>
        <w:rPr>
          <w:rFonts w:eastAsia="Times New Roman"/>
          <w:color w:val="000000"/>
        </w:rPr>
      </w:pPr>
      <w:r w:rsidRPr="000B6148">
        <w:rPr>
          <w:rFonts w:eastAsia="Times New Roman"/>
          <w:color w:val="000000"/>
        </w:rPr>
        <w:t xml:space="preserve">Periphery comes from the Greek word </w:t>
      </w:r>
      <w:proofErr w:type="spellStart"/>
      <w:r w:rsidRPr="000B6148">
        <w:rPr>
          <w:rFonts w:eastAsia="Times New Roman"/>
          <w:i/>
          <w:color w:val="000000"/>
        </w:rPr>
        <w:t>periphereia</w:t>
      </w:r>
      <w:proofErr w:type="spellEnd"/>
      <w:r w:rsidRPr="000B6148">
        <w:rPr>
          <w:rFonts w:eastAsia="Times New Roman"/>
          <w:color w:val="000000"/>
        </w:rPr>
        <w:t xml:space="preserve"> and is defined as “a marginal or secondary position in or aspect of a group, subject or sphere of activity”. </w:t>
      </w:r>
      <w:r w:rsidR="00630A6E">
        <w:rPr>
          <w:rFonts w:eastAsia="Times New Roman"/>
          <w:color w:val="000000"/>
        </w:rPr>
        <w:t>Instead</w:t>
      </w:r>
      <w:r w:rsidR="00CB71F0">
        <w:rPr>
          <w:rFonts w:eastAsia="Times New Roman"/>
          <w:color w:val="000000"/>
        </w:rPr>
        <w:t>,</w:t>
      </w:r>
      <w:r w:rsidR="00630A6E">
        <w:rPr>
          <w:rFonts w:eastAsia="Times New Roman"/>
          <w:color w:val="000000"/>
        </w:rPr>
        <w:t xml:space="preserve"> core is defined as “the part of something that is central to its existence or character”</w:t>
      </w:r>
      <w:r w:rsidR="00630A6E" w:rsidRPr="00630A6E">
        <w:rPr>
          <w:rFonts w:eastAsia="Times New Roman"/>
          <w:color w:val="000000"/>
        </w:rPr>
        <w:t xml:space="preserve"> </w:t>
      </w:r>
      <w:r w:rsidR="00630A6E" w:rsidRPr="000B6148">
        <w:rPr>
          <w:rFonts w:eastAsia="Times New Roman"/>
          <w:color w:val="000000"/>
        </w:rPr>
        <w:t xml:space="preserve">(Oxford </w:t>
      </w:r>
      <w:r w:rsidR="00630A6E">
        <w:rPr>
          <w:rFonts w:eastAsia="Times New Roman"/>
          <w:color w:val="000000"/>
        </w:rPr>
        <w:t xml:space="preserve">English </w:t>
      </w:r>
      <w:r w:rsidR="00630A6E" w:rsidRPr="000B6148">
        <w:rPr>
          <w:rFonts w:eastAsia="Times New Roman"/>
          <w:color w:val="000000"/>
        </w:rPr>
        <w:t>Dictionary</w:t>
      </w:r>
      <w:r w:rsidR="00630A6E">
        <w:rPr>
          <w:rFonts w:eastAsia="Times New Roman"/>
          <w:color w:val="000000"/>
        </w:rPr>
        <w:t xml:space="preserve">, </w:t>
      </w:r>
      <w:r w:rsidR="00630A6E" w:rsidRPr="00F71570">
        <w:rPr>
          <w:rFonts w:eastAsia="Times New Roman"/>
          <w:color w:val="000000"/>
        </w:rPr>
        <w:t>www.oxforddictionaries.com</w:t>
      </w:r>
      <w:r w:rsidR="00630A6E" w:rsidRPr="000B6148">
        <w:rPr>
          <w:rFonts w:eastAsia="Times New Roman"/>
          <w:color w:val="000000"/>
        </w:rPr>
        <w:t>)</w:t>
      </w:r>
      <w:r w:rsidR="00630A6E">
        <w:rPr>
          <w:rFonts w:eastAsia="Times New Roman"/>
          <w:color w:val="000000"/>
        </w:rPr>
        <w:t xml:space="preserve">. </w:t>
      </w:r>
      <w:r w:rsidR="00DB3D97">
        <w:rPr>
          <w:rFonts w:eastAsia="Times New Roman"/>
          <w:color w:val="000000"/>
        </w:rPr>
        <w:t>P</w:t>
      </w:r>
      <w:r w:rsidR="005B0D08" w:rsidRPr="005B0D08">
        <w:rPr>
          <w:rFonts w:eastAsia="Times New Roman"/>
          <w:color w:val="000000"/>
        </w:rPr>
        <w:t xml:space="preserve">rototype </w:t>
      </w:r>
      <w:proofErr w:type="gramStart"/>
      <w:r w:rsidR="005B0D08" w:rsidRPr="005B0D08">
        <w:rPr>
          <w:rFonts w:eastAsia="Times New Roman"/>
          <w:color w:val="000000"/>
        </w:rPr>
        <w:t xml:space="preserve">theory </w:t>
      </w:r>
      <w:r w:rsidR="000A2CF2">
        <w:rPr>
          <w:rFonts w:eastAsia="Times New Roman"/>
          <w:color w:val="000000"/>
        </w:rPr>
        <w:t xml:space="preserve">in cognitive psychology </w:t>
      </w:r>
      <w:r w:rsidR="00C20B27">
        <w:rPr>
          <w:rFonts w:eastAsia="Times New Roman"/>
          <w:color w:val="000000"/>
        </w:rPr>
        <w:t>(</w:t>
      </w:r>
      <w:proofErr w:type="spellStart"/>
      <w:r w:rsidR="00C20B27">
        <w:rPr>
          <w:rFonts w:eastAsia="Times New Roman"/>
          <w:color w:val="000000"/>
        </w:rPr>
        <w:t>Rosch</w:t>
      </w:r>
      <w:proofErr w:type="spellEnd"/>
      <w:r w:rsidR="00C20B27">
        <w:rPr>
          <w:rFonts w:eastAsia="Times New Roman"/>
          <w:color w:val="000000"/>
        </w:rPr>
        <w:t xml:space="preserve"> and </w:t>
      </w:r>
      <w:proofErr w:type="spellStart"/>
      <w:r w:rsidR="00C20B27">
        <w:rPr>
          <w:rFonts w:eastAsia="Times New Roman"/>
          <w:color w:val="000000"/>
        </w:rPr>
        <w:t>Mervis</w:t>
      </w:r>
      <w:proofErr w:type="spellEnd"/>
      <w:r w:rsidR="00C20B27">
        <w:rPr>
          <w:rFonts w:eastAsia="Times New Roman"/>
          <w:color w:val="000000"/>
        </w:rPr>
        <w:t xml:space="preserve">, 1975; </w:t>
      </w:r>
      <w:proofErr w:type="spellStart"/>
      <w:r w:rsidR="00C20B27">
        <w:rPr>
          <w:rFonts w:eastAsia="Times New Roman"/>
          <w:color w:val="000000"/>
        </w:rPr>
        <w:t>Rosch</w:t>
      </w:r>
      <w:proofErr w:type="spellEnd"/>
      <w:r w:rsidR="00C20B27">
        <w:rPr>
          <w:rFonts w:eastAsia="Times New Roman"/>
          <w:color w:val="000000"/>
        </w:rPr>
        <w:t xml:space="preserve">, </w:t>
      </w:r>
      <w:r w:rsidR="001B7DE0">
        <w:rPr>
          <w:rFonts w:eastAsia="Times New Roman"/>
          <w:color w:val="000000"/>
        </w:rPr>
        <w:t xml:space="preserve">Simpson and Miller, </w:t>
      </w:r>
      <w:r w:rsidR="00C20B27">
        <w:rPr>
          <w:rFonts w:eastAsia="Times New Roman"/>
          <w:color w:val="000000"/>
        </w:rPr>
        <w:t xml:space="preserve">1976) </w:t>
      </w:r>
      <w:r w:rsidR="003C61F2">
        <w:rPr>
          <w:rFonts w:eastAsia="Times New Roman"/>
          <w:color w:val="000000"/>
        </w:rPr>
        <w:t>and</w:t>
      </w:r>
      <w:r w:rsidR="00673939">
        <w:rPr>
          <w:rFonts w:eastAsia="Times New Roman"/>
          <w:color w:val="000000"/>
        </w:rPr>
        <w:t xml:space="preserve"> </w:t>
      </w:r>
      <w:r w:rsidR="003C61F2">
        <w:rPr>
          <w:rFonts w:eastAsia="Times New Roman"/>
          <w:color w:val="000000"/>
        </w:rPr>
        <w:t xml:space="preserve">recent </w:t>
      </w:r>
      <w:r w:rsidR="00C20B27">
        <w:rPr>
          <w:rFonts w:eastAsia="Times New Roman"/>
          <w:color w:val="000000"/>
        </w:rPr>
        <w:t xml:space="preserve">work on social </w:t>
      </w:r>
      <w:r w:rsidR="00E13524">
        <w:rPr>
          <w:rFonts w:eastAsia="Times New Roman"/>
          <w:color w:val="000000"/>
        </w:rPr>
        <w:t xml:space="preserve">categorization </w:t>
      </w:r>
      <w:r w:rsidR="00C20B27">
        <w:rPr>
          <w:rFonts w:eastAsia="Times New Roman"/>
          <w:color w:val="000000"/>
        </w:rPr>
        <w:t>(</w:t>
      </w:r>
      <w:proofErr w:type="spellStart"/>
      <w:r w:rsidR="00C20B27">
        <w:rPr>
          <w:rFonts w:eastAsia="Times New Roman"/>
          <w:color w:val="000000"/>
        </w:rPr>
        <w:t>Bitektine</w:t>
      </w:r>
      <w:proofErr w:type="spellEnd"/>
      <w:r w:rsidR="00C20B27">
        <w:rPr>
          <w:rFonts w:eastAsia="Times New Roman"/>
          <w:color w:val="000000"/>
        </w:rPr>
        <w:t xml:space="preserve">, 2011; Durand and </w:t>
      </w:r>
      <w:proofErr w:type="spellStart"/>
      <w:r w:rsidR="00C20B27">
        <w:rPr>
          <w:rFonts w:eastAsia="Times New Roman"/>
          <w:color w:val="000000"/>
        </w:rPr>
        <w:t>Paolella</w:t>
      </w:r>
      <w:proofErr w:type="spellEnd"/>
      <w:r w:rsidR="00C20B27">
        <w:rPr>
          <w:rFonts w:eastAsia="Times New Roman"/>
          <w:color w:val="000000"/>
        </w:rPr>
        <w:t xml:space="preserve">, 2013) </w:t>
      </w:r>
      <w:r w:rsidR="00673939">
        <w:rPr>
          <w:rFonts w:eastAsia="Times New Roman"/>
          <w:color w:val="000000"/>
        </w:rPr>
        <w:t>are</w:t>
      </w:r>
      <w:proofErr w:type="gramEnd"/>
      <w:r w:rsidR="00673939">
        <w:rPr>
          <w:rFonts w:eastAsia="Times New Roman"/>
          <w:color w:val="000000"/>
        </w:rPr>
        <w:t xml:space="preserve"> relevant for making </w:t>
      </w:r>
      <w:r w:rsidR="000B30CB">
        <w:rPr>
          <w:rFonts w:eastAsia="Times New Roman"/>
          <w:color w:val="000000"/>
        </w:rPr>
        <w:t>a</w:t>
      </w:r>
      <w:r w:rsidR="00673939">
        <w:rPr>
          <w:rFonts w:eastAsia="Times New Roman"/>
          <w:color w:val="000000"/>
        </w:rPr>
        <w:t xml:space="preserve"> distinction between </w:t>
      </w:r>
      <w:r w:rsidR="00E13524">
        <w:rPr>
          <w:rFonts w:eastAsia="Times New Roman"/>
          <w:color w:val="000000"/>
        </w:rPr>
        <w:t xml:space="preserve">core and peripheral </w:t>
      </w:r>
      <w:r w:rsidR="00673939">
        <w:rPr>
          <w:rFonts w:eastAsia="Times New Roman"/>
          <w:color w:val="000000"/>
        </w:rPr>
        <w:t>organizational activities</w:t>
      </w:r>
      <w:r w:rsidR="00E13524">
        <w:rPr>
          <w:rFonts w:eastAsia="Times New Roman"/>
          <w:color w:val="000000"/>
        </w:rPr>
        <w:t xml:space="preserve">. Prototype theory </w:t>
      </w:r>
      <w:r w:rsidR="005B0D08" w:rsidRPr="005B0D08">
        <w:rPr>
          <w:rFonts w:eastAsia="Times New Roman"/>
          <w:color w:val="000000"/>
        </w:rPr>
        <w:t>argue</w:t>
      </w:r>
      <w:r w:rsidR="000B30CB">
        <w:rPr>
          <w:rFonts w:eastAsia="Times New Roman"/>
          <w:color w:val="000000"/>
        </w:rPr>
        <w:t>s</w:t>
      </w:r>
      <w:r w:rsidR="005B0D08" w:rsidRPr="005B0D08">
        <w:rPr>
          <w:rFonts w:eastAsia="Times New Roman"/>
          <w:color w:val="000000"/>
        </w:rPr>
        <w:t xml:space="preserve"> that objects, animals</w:t>
      </w:r>
      <w:r w:rsidR="000359F3">
        <w:rPr>
          <w:rFonts w:eastAsia="Times New Roman"/>
          <w:color w:val="000000"/>
        </w:rPr>
        <w:t>,</w:t>
      </w:r>
      <w:r w:rsidR="005B0D08" w:rsidRPr="005B0D08">
        <w:rPr>
          <w:rFonts w:eastAsia="Times New Roman"/>
          <w:color w:val="000000"/>
        </w:rPr>
        <w:t xml:space="preserve"> organizations </w:t>
      </w:r>
      <w:r w:rsidR="000359F3">
        <w:rPr>
          <w:rFonts w:eastAsia="Times New Roman"/>
          <w:color w:val="000000"/>
        </w:rPr>
        <w:t xml:space="preserve">and activities </w:t>
      </w:r>
      <w:r w:rsidR="000A2CF2">
        <w:rPr>
          <w:rFonts w:eastAsia="Times New Roman"/>
          <w:color w:val="000000"/>
        </w:rPr>
        <w:t>can be classified as members of</w:t>
      </w:r>
      <w:r w:rsidR="005B0D08" w:rsidRPr="005B0D08">
        <w:rPr>
          <w:rFonts w:eastAsia="Times New Roman"/>
          <w:color w:val="000000"/>
        </w:rPr>
        <w:t xml:space="preserve"> a category by comparing them to a prototype (</w:t>
      </w:r>
      <w:proofErr w:type="spellStart"/>
      <w:r w:rsidR="0088632E" w:rsidRPr="000359F3">
        <w:rPr>
          <w:lang w:val="en-GB"/>
        </w:rPr>
        <w:t>Rosch</w:t>
      </w:r>
      <w:proofErr w:type="spellEnd"/>
      <w:r w:rsidR="0088632E" w:rsidRPr="000359F3">
        <w:rPr>
          <w:lang w:val="en-GB"/>
        </w:rPr>
        <w:t>, 1973</w:t>
      </w:r>
      <w:r w:rsidR="0088632E">
        <w:rPr>
          <w:lang w:val="en-GB"/>
        </w:rPr>
        <w:t xml:space="preserve">; </w:t>
      </w:r>
      <w:proofErr w:type="spellStart"/>
      <w:r w:rsidR="005B0D08" w:rsidRPr="005B0D08">
        <w:rPr>
          <w:rFonts w:eastAsia="Times New Roman"/>
          <w:color w:val="000000"/>
        </w:rPr>
        <w:t>Rosch</w:t>
      </w:r>
      <w:proofErr w:type="spellEnd"/>
      <w:r w:rsidR="005B0D08" w:rsidRPr="005B0D08">
        <w:rPr>
          <w:rFonts w:eastAsia="Times New Roman"/>
          <w:color w:val="000000"/>
        </w:rPr>
        <w:t xml:space="preserve"> and </w:t>
      </w:r>
      <w:proofErr w:type="spellStart"/>
      <w:r w:rsidR="005B0D08" w:rsidRPr="005B0D08">
        <w:rPr>
          <w:rFonts w:eastAsia="Times New Roman"/>
          <w:color w:val="000000"/>
        </w:rPr>
        <w:t>Mervis</w:t>
      </w:r>
      <w:proofErr w:type="spellEnd"/>
      <w:r w:rsidR="005B0D08" w:rsidRPr="005B0D08">
        <w:rPr>
          <w:rFonts w:eastAsia="Times New Roman"/>
          <w:color w:val="000000"/>
        </w:rPr>
        <w:t>, 1975</w:t>
      </w:r>
      <w:r w:rsidR="0088632E">
        <w:rPr>
          <w:rFonts w:eastAsia="Times New Roman"/>
          <w:color w:val="000000"/>
        </w:rPr>
        <w:t xml:space="preserve">; </w:t>
      </w:r>
      <w:r w:rsidR="0088632E" w:rsidRPr="000359F3">
        <w:rPr>
          <w:lang w:val="en-GB"/>
        </w:rPr>
        <w:t>Hampton, 1979</w:t>
      </w:r>
      <w:r w:rsidR="005B0D08" w:rsidRPr="005B0D08">
        <w:rPr>
          <w:rFonts w:eastAsia="Times New Roman"/>
          <w:color w:val="000000"/>
        </w:rPr>
        <w:t xml:space="preserve">). </w:t>
      </w:r>
      <w:r w:rsidR="0088632E">
        <w:rPr>
          <w:rFonts w:eastAsia="Times New Roman"/>
          <w:color w:val="000000"/>
        </w:rPr>
        <w:t>“Prototypes are seen as ‘pure types’ that</w:t>
      </w:r>
      <w:r w:rsidR="00AB23EB">
        <w:rPr>
          <w:rFonts w:eastAsia="Times New Roman"/>
          <w:color w:val="000000"/>
        </w:rPr>
        <w:t xml:space="preserve">… </w:t>
      </w:r>
      <w:r w:rsidR="0088632E">
        <w:rPr>
          <w:rFonts w:eastAsia="Times New Roman"/>
          <w:color w:val="000000"/>
        </w:rPr>
        <w:t>enable an audience to define categories and differentiate them easily from one another (</w:t>
      </w:r>
      <w:r w:rsidR="0088632E">
        <w:rPr>
          <w:lang w:val="en-GB"/>
        </w:rPr>
        <w:t xml:space="preserve">Durand and </w:t>
      </w:r>
      <w:proofErr w:type="spellStart"/>
      <w:r w:rsidR="0088632E">
        <w:rPr>
          <w:lang w:val="en-GB"/>
        </w:rPr>
        <w:t>Paolella</w:t>
      </w:r>
      <w:proofErr w:type="spellEnd"/>
      <w:r w:rsidR="0088632E">
        <w:rPr>
          <w:lang w:val="en-GB"/>
        </w:rPr>
        <w:t>, 201</w:t>
      </w:r>
      <w:r w:rsidR="00E200E4">
        <w:rPr>
          <w:lang w:val="en-GB"/>
        </w:rPr>
        <w:t>3</w:t>
      </w:r>
      <w:r w:rsidR="0088632E">
        <w:rPr>
          <w:lang w:val="en-GB"/>
        </w:rPr>
        <w:t xml:space="preserve">, p.4). </w:t>
      </w:r>
      <w:r w:rsidR="002C2AB3">
        <w:rPr>
          <w:lang w:val="en-GB"/>
        </w:rPr>
        <w:t>A</w:t>
      </w:r>
      <w:r w:rsidR="0088632E">
        <w:rPr>
          <w:rFonts w:eastAsia="Times New Roman"/>
          <w:color w:val="000000"/>
        </w:rPr>
        <w:t>n</w:t>
      </w:r>
      <w:r w:rsidR="002C2AB3">
        <w:rPr>
          <w:rFonts w:eastAsia="Times New Roman"/>
          <w:color w:val="000000"/>
        </w:rPr>
        <w:t xml:space="preserve"> </w:t>
      </w:r>
      <w:r w:rsidR="000B30CB">
        <w:rPr>
          <w:rFonts w:eastAsia="Times New Roman"/>
          <w:color w:val="000000"/>
        </w:rPr>
        <w:t xml:space="preserve">attribute or an </w:t>
      </w:r>
      <w:r w:rsidR="0088632E">
        <w:rPr>
          <w:rFonts w:eastAsia="Times New Roman"/>
          <w:color w:val="000000"/>
        </w:rPr>
        <w:t>activity</w:t>
      </w:r>
      <w:r w:rsidR="002C2AB3">
        <w:rPr>
          <w:rFonts w:eastAsia="Times New Roman"/>
          <w:color w:val="000000"/>
        </w:rPr>
        <w:t xml:space="preserve"> is</w:t>
      </w:r>
      <w:r w:rsidR="0088632E">
        <w:rPr>
          <w:rFonts w:eastAsia="Times New Roman"/>
          <w:color w:val="000000"/>
        </w:rPr>
        <w:t xml:space="preserve"> </w:t>
      </w:r>
      <w:r w:rsidR="002C2AB3">
        <w:rPr>
          <w:rFonts w:eastAsia="Times New Roman"/>
          <w:color w:val="000000"/>
        </w:rPr>
        <w:t>regarded</w:t>
      </w:r>
      <w:r w:rsidR="0088632E">
        <w:rPr>
          <w:rFonts w:eastAsia="Times New Roman"/>
          <w:color w:val="000000"/>
        </w:rPr>
        <w:t xml:space="preserve"> as core if it is </w:t>
      </w:r>
      <w:r w:rsidR="0065291B">
        <w:rPr>
          <w:rFonts w:eastAsia="Times New Roman"/>
          <w:color w:val="000000"/>
        </w:rPr>
        <w:t xml:space="preserve">used </w:t>
      </w:r>
      <w:r w:rsidR="000B30CB">
        <w:rPr>
          <w:rFonts w:eastAsia="Times New Roman"/>
          <w:color w:val="000000"/>
        </w:rPr>
        <w:t>to define</w:t>
      </w:r>
      <w:r w:rsidR="0065291B">
        <w:rPr>
          <w:rFonts w:eastAsia="Times New Roman"/>
          <w:color w:val="000000"/>
        </w:rPr>
        <w:t xml:space="preserve"> the ‘</w:t>
      </w:r>
      <w:r w:rsidR="0088632E">
        <w:rPr>
          <w:rFonts w:eastAsia="Times New Roman"/>
          <w:color w:val="000000"/>
        </w:rPr>
        <w:t>prototypical</w:t>
      </w:r>
      <w:r w:rsidR="0065291B">
        <w:rPr>
          <w:rFonts w:eastAsia="Times New Roman"/>
          <w:color w:val="000000"/>
        </w:rPr>
        <w:t>’</w:t>
      </w:r>
      <w:r w:rsidR="0088632E">
        <w:rPr>
          <w:rFonts w:eastAsia="Times New Roman"/>
          <w:color w:val="000000"/>
        </w:rPr>
        <w:t xml:space="preserve"> </w:t>
      </w:r>
      <w:r w:rsidR="000B30CB">
        <w:rPr>
          <w:rFonts w:eastAsia="Times New Roman"/>
          <w:color w:val="000000"/>
        </w:rPr>
        <w:t>member</w:t>
      </w:r>
      <w:r w:rsidR="002C2AB3">
        <w:rPr>
          <w:rFonts w:eastAsia="Times New Roman"/>
          <w:color w:val="000000"/>
        </w:rPr>
        <w:t xml:space="preserve"> </w:t>
      </w:r>
      <w:r w:rsidR="000B30CB">
        <w:rPr>
          <w:rFonts w:eastAsia="Times New Roman"/>
          <w:color w:val="000000"/>
        </w:rPr>
        <w:t>of</w:t>
      </w:r>
      <w:r w:rsidR="0065291B">
        <w:rPr>
          <w:rFonts w:eastAsia="Times New Roman"/>
          <w:color w:val="000000"/>
        </w:rPr>
        <w:t xml:space="preserve"> the</w:t>
      </w:r>
      <w:r w:rsidR="002C2AB3">
        <w:rPr>
          <w:rFonts w:eastAsia="Times New Roman"/>
          <w:color w:val="000000"/>
        </w:rPr>
        <w:t xml:space="preserve"> focal</w:t>
      </w:r>
      <w:r w:rsidR="0065291B">
        <w:rPr>
          <w:rFonts w:eastAsia="Times New Roman"/>
          <w:color w:val="000000"/>
        </w:rPr>
        <w:t xml:space="preserve"> category</w:t>
      </w:r>
      <w:r w:rsidR="005520E8">
        <w:rPr>
          <w:rFonts w:eastAsia="Times New Roman"/>
          <w:color w:val="000000"/>
        </w:rPr>
        <w:t xml:space="preserve">. </w:t>
      </w:r>
      <w:r w:rsidR="000B30CB">
        <w:rPr>
          <w:rFonts w:eastAsia="Times New Roman"/>
          <w:color w:val="000000"/>
        </w:rPr>
        <w:t xml:space="preserve">For example, a robin is a prototypical member of the category ‘bird’ and having feathers and beak are core attributes of this category. </w:t>
      </w:r>
      <w:r w:rsidR="00DF5F8E">
        <w:rPr>
          <w:lang w:val="en-GB"/>
        </w:rPr>
        <w:t>I</w:t>
      </w:r>
      <w:r w:rsidR="00C20B27">
        <w:rPr>
          <w:lang w:val="en-GB"/>
        </w:rPr>
        <w:t>n a similar</w:t>
      </w:r>
      <w:r w:rsidR="00DF5F8E">
        <w:rPr>
          <w:lang w:val="en-GB"/>
        </w:rPr>
        <w:t xml:space="preserve"> vein</w:t>
      </w:r>
      <w:r w:rsidR="000A2CF2">
        <w:rPr>
          <w:lang w:val="en-GB"/>
        </w:rPr>
        <w:t xml:space="preserve">, recent sociological work on categories </w:t>
      </w:r>
      <w:r w:rsidR="000A2CF2" w:rsidRPr="00A913B9">
        <w:rPr>
          <w:rFonts w:eastAsia="Times New Roman"/>
          <w:color w:val="000000"/>
        </w:rPr>
        <w:t>(</w:t>
      </w:r>
      <w:proofErr w:type="spellStart"/>
      <w:r w:rsidR="000A2CF2" w:rsidRPr="00A913B9">
        <w:rPr>
          <w:rFonts w:eastAsia="Times New Roman"/>
          <w:color w:val="000000"/>
        </w:rPr>
        <w:t>B</w:t>
      </w:r>
      <w:r w:rsidR="00C20B27">
        <w:rPr>
          <w:rFonts w:eastAsia="Times New Roman"/>
          <w:color w:val="000000"/>
        </w:rPr>
        <w:t>itektine</w:t>
      </w:r>
      <w:proofErr w:type="spellEnd"/>
      <w:r w:rsidR="00C20B27">
        <w:rPr>
          <w:rFonts w:eastAsia="Times New Roman"/>
          <w:color w:val="000000"/>
        </w:rPr>
        <w:t xml:space="preserve">, 2011; Durand and </w:t>
      </w:r>
      <w:proofErr w:type="spellStart"/>
      <w:r w:rsidR="00C20B27">
        <w:rPr>
          <w:rFonts w:eastAsia="Times New Roman"/>
          <w:color w:val="000000"/>
        </w:rPr>
        <w:t>Paol</w:t>
      </w:r>
      <w:r w:rsidR="000A2CF2" w:rsidRPr="00A913B9">
        <w:rPr>
          <w:rFonts w:eastAsia="Times New Roman"/>
          <w:color w:val="000000"/>
        </w:rPr>
        <w:t>el</w:t>
      </w:r>
      <w:r w:rsidR="00C20B27">
        <w:rPr>
          <w:rFonts w:eastAsia="Times New Roman"/>
          <w:color w:val="000000"/>
        </w:rPr>
        <w:t>l</w:t>
      </w:r>
      <w:r w:rsidR="000A2CF2" w:rsidRPr="00A913B9">
        <w:rPr>
          <w:rFonts w:eastAsia="Times New Roman"/>
          <w:color w:val="000000"/>
        </w:rPr>
        <w:t>a</w:t>
      </w:r>
      <w:proofErr w:type="spellEnd"/>
      <w:r w:rsidR="000A2CF2" w:rsidRPr="00A913B9">
        <w:rPr>
          <w:rFonts w:eastAsia="Times New Roman"/>
          <w:color w:val="000000"/>
        </w:rPr>
        <w:t xml:space="preserve">, 2013; Hsu and </w:t>
      </w:r>
      <w:proofErr w:type="spellStart"/>
      <w:r w:rsidR="000A2CF2" w:rsidRPr="00A913B9">
        <w:rPr>
          <w:rFonts w:eastAsia="Times New Roman"/>
          <w:color w:val="000000"/>
        </w:rPr>
        <w:t>Hannan</w:t>
      </w:r>
      <w:proofErr w:type="spellEnd"/>
      <w:r w:rsidR="000A2CF2" w:rsidRPr="00A913B9">
        <w:rPr>
          <w:rFonts w:eastAsia="Times New Roman"/>
          <w:color w:val="000000"/>
        </w:rPr>
        <w:t xml:space="preserve">, 2005; King and </w:t>
      </w:r>
      <w:proofErr w:type="spellStart"/>
      <w:r w:rsidR="000A2CF2" w:rsidRPr="00A913B9">
        <w:rPr>
          <w:rFonts w:eastAsia="Times New Roman"/>
          <w:color w:val="000000"/>
        </w:rPr>
        <w:t>Whetten</w:t>
      </w:r>
      <w:proofErr w:type="spellEnd"/>
      <w:r w:rsidR="000A2CF2" w:rsidRPr="00A913B9">
        <w:rPr>
          <w:rFonts w:eastAsia="Times New Roman"/>
          <w:color w:val="000000"/>
        </w:rPr>
        <w:t xml:space="preserve">, 2008) </w:t>
      </w:r>
      <w:r w:rsidR="00AB23EB">
        <w:rPr>
          <w:rFonts w:eastAsia="Times New Roman"/>
          <w:color w:val="000000"/>
        </w:rPr>
        <w:t>distin</w:t>
      </w:r>
      <w:r w:rsidR="000B30CB">
        <w:rPr>
          <w:rFonts w:eastAsia="Times New Roman"/>
          <w:color w:val="000000"/>
        </w:rPr>
        <w:t>guished</w:t>
      </w:r>
      <w:r w:rsidR="00AB23EB">
        <w:rPr>
          <w:rFonts w:eastAsia="Times New Roman"/>
          <w:color w:val="000000"/>
        </w:rPr>
        <w:t xml:space="preserve"> between</w:t>
      </w:r>
      <w:r w:rsidR="00AB23EB" w:rsidRPr="00A913B9">
        <w:rPr>
          <w:rFonts w:eastAsia="Times New Roman"/>
          <w:color w:val="000000"/>
        </w:rPr>
        <w:t xml:space="preserve"> </w:t>
      </w:r>
      <w:r w:rsidR="000B30CB">
        <w:rPr>
          <w:rFonts w:eastAsia="Times New Roman"/>
          <w:color w:val="000000"/>
        </w:rPr>
        <w:t>‘</w:t>
      </w:r>
      <w:r w:rsidR="000A2CF2" w:rsidRPr="00A913B9">
        <w:rPr>
          <w:rFonts w:eastAsia="Times New Roman"/>
          <w:color w:val="000000"/>
        </w:rPr>
        <w:t>essential</w:t>
      </w:r>
      <w:r w:rsidR="000B30CB">
        <w:rPr>
          <w:rFonts w:eastAsia="Times New Roman"/>
          <w:color w:val="000000"/>
        </w:rPr>
        <w:t>’</w:t>
      </w:r>
      <w:r w:rsidR="000A2CF2" w:rsidRPr="00A913B9">
        <w:rPr>
          <w:rFonts w:eastAsia="Times New Roman"/>
          <w:color w:val="000000"/>
        </w:rPr>
        <w:t xml:space="preserve"> </w:t>
      </w:r>
      <w:r w:rsidR="00323679">
        <w:rPr>
          <w:rFonts w:eastAsia="Times New Roman"/>
          <w:color w:val="000000"/>
        </w:rPr>
        <w:t>organiz</w:t>
      </w:r>
      <w:r w:rsidR="00E13524">
        <w:rPr>
          <w:rFonts w:eastAsia="Times New Roman"/>
          <w:color w:val="000000"/>
        </w:rPr>
        <w:t xml:space="preserve">ational </w:t>
      </w:r>
      <w:r w:rsidR="000A2CF2" w:rsidRPr="00A913B9">
        <w:rPr>
          <w:rFonts w:eastAsia="Times New Roman"/>
          <w:color w:val="000000"/>
        </w:rPr>
        <w:t>activities</w:t>
      </w:r>
      <w:r w:rsidR="00AB23EB">
        <w:rPr>
          <w:rFonts w:eastAsia="Times New Roman"/>
          <w:color w:val="000000"/>
        </w:rPr>
        <w:t>, asserting</w:t>
      </w:r>
      <w:r w:rsidR="000A2CF2" w:rsidRPr="00A913B9">
        <w:rPr>
          <w:rFonts w:eastAsia="Times New Roman"/>
          <w:color w:val="000000"/>
        </w:rPr>
        <w:t xml:space="preserve"> that “if they were removed the result would be a different kind of organization” (King and </w:t>
      </w:r>
      <w:proofErr w:type="spellStart"/>
      <w:r w:rsidR="000A2CF2" w:rsidRPr="00A913B9">
        <w:rPr>
          <w:rFonts w:eastAsia="Times New Roman"/>
          <w:color w:val="000000"/>
        </w:rPr>
        <w:t>Whetten</w:t>
      </w:r>
      <w:proofErr w:type="spellEnd"/>
      <w:r w:rsidR="000A2CF2" w:rsidRPr="00A913B9">
        <w:rPr>
          <w:rFonts w:eastAsia="Times New Roman"/>
          <w:color w:val="000000"/>
        </w:rPr>
        <w:t>, 2008, p.196)</w:t>
      </w:r>
      <w:r w:rsidR="00AB23EB">
        <w:rPr>
          <w:rFonts w:eastAsia="Times New Roman"/>
          <w:color w:val="000000"/>
        </w:rPr>
        <w:t>,</w:t>
      </w:r>
      <w:r w:rsidR="000A2CF2" w:rsidRPr="00A913B9">
        <w:rPr>
          <w:rFonts w:eastAsia="Times New Roman"/>
          <w:color w:val="000000"/>
        </w:rPr>
        <w:t xml:space="preserve"> and non-essential activities that could be desirable but do not define the organizational category.</w:t>
      </w:r>
      <w:r w:rsidR="00095EE5">
        <w:rPr>
          <w:rFonts w:eastAsia="Times New Roman"/>
          <w:color w:val="000000"/>
        </w:rPr>
        <w:t xml:space="preserve">  </w:t>
      </w:r>
    </w:p>
    <w:p w:rsidR="00BA5867" w:rsidRDefault="000B6148" w:rsidP="00904756">
      <w:pPr>
        <w:autoSpaceDE w:val="0"/>
        <w:autoSpaceDN w:val="0"/>
        <w:adjustRightInd w:val="0"/>
        <w:spacing w:line="480" w:lineRule="auto"/>
        <w:ind w:firstLine="567"/>
        <w:jc w:val="both"/>
      </w:pPr>
      <w:r w:rsidRPr="000B6148">
        <w:rPr>
          <w:rFonts w:eastAsia="Times New Roman"/>
          <w:color w:val="000000"/>
        </w:rPr>
        <w:t xml:space="preserve">Building on research </w:t>
      </w:r>
      <w:r w:rsidR="00EF758B">
        <w:rPr>
          <w:rFonts w:eastAsia="Times New Roman"/>
          <w:color w:val="000000"/>
        </w:rPr>
        <w:t>i</w:t>
      </w:r>
      <w:r w:rsidRPr="000B6148">
        <w:rPr>
          <w:rFonts w:eastAsia="Times New Roman"/>
          <w:color w:val="000000"/>
        </w:rPr>
        <w:t xml:space="preserve">n social </w:t>
      </w:r>
      <w:r w:rsidR="00EF758B">
        <w:rPr>
          <w:rFonts w:eastAsia="Times New Roman"/>
          <w:color w:val="000000"/>
        </w:rPr>
        <w:t>categorization</w:t>
      </w:r>
      <w:r w:rsidRPr="000B6148">
        <w:rPr>
          <w:rFonts w:eastAsia="Times New Roman"/>
          <w:color w:val="000000"/>
        </w:rPr>
        <w:t xml:space="preserve"> we define core activities as </w:t>
      </w:r>
      <w:r w:rsidRPr="000B6148">
        <w:rPr>
          <w:rFonts w:eastAsia="Times New Roman"/>
          <w:i/>
          <w:color w:val="000000"/>
        </w:rPr>
        <w:t xml:space="preserve">central </w:t>
      </w:r>
      <w:r w:rsidR="000B30CB">
        <w:rPr>
          <w:rFonts w:eastAsia="Times New Roman"/>
          <w:color w:val="000000"/>
        </w:rPr>
        <w:t>for the organization</w:t>
      </w:r>
      <w:r w:rsidRPr="000B6148">
        <w:rPr>
          <w:rFonts w:eastAsia="Times New Roman"/>
          <w:color w:val="000000"/>
        </w:rPr>
        <w:t xml:space="preserve"> </w:t>
      </w:r>
      <w:r w:rsidR="000B30CB">
        <w:rPr>
          <w:rFonts w:eastAsia="Times New Roman"/>
          <w:color w:val="000000"/>
        </w:rPr>
        <w:t>in the sense that they are</w:t>
      </w:r>
      <w:r w:rsidRPr="000B6148">
        <w:rPr>
          <w:rFonts w:eastAsia="Times New Roman"/>
          <w:color w:val="000000"/>
        </w:rPr>
        <w:t xml:space="preserve"> </w:t>
      </w:r>
      <w:r w:rsidRPr="000B6148">
        <w:rPr>
          <w:rFonts w:eastAsia="Times New Roman"/>
          <w:i/>
          <w:color w:val="000000"/>
        </w:rPr>
        <w:t>essential</w:t>
      </w:r>
      <w:r w:rsidRPr="000B6148">
        <w:rPr>
          <w:rFonts w:eastAsia="Times New Roman"/>
          <w:color w:val="000000"/>
        </w:rPr>
        <w:t xml:space="preserve"> for categorizing </w:t>
      </w:r>
      <w:r w:rsidR="000B30CB">
        <w:rPr>
          <w:rFonts w:eastAsia="Times New Roman"/>
          <w:color w:val="000000"/>
        </w:rPr>
        <w:t>it</w:t>
      </w:r>
      <w:r w:rsidRPr="000B6148">
        <w:rPr>
          <w:rFonts w:eastAsia="Times New Roman"/>
          <w:color w:val="000000"/>
        </w:rPr>
        <w:t xml:space="preserve"> under a specific label. For example, </w:t>
      </w:r>
      <w:r w:rsidR="003C61F2">
        <w:rPr>
          <w:rFonts w:eastAsia="Times New Roman"/>
          <w:color w:val="000000"/>
        </w:rPr>
        <w:t>in our context</w:t>
      </w:r>
      <w:r w:rsidR="00D5341B">
        <w:rPr>
          <w:rFonts w:eastAsia="Times New Roman"/>
          <w:color w:val="000000"/>
        </w:rPr>
        <w:t>,</w:t>
      </w:r>
      <w:r w:rsidR="003C61F2">
        <w:rPr>
          <w:rFonts w:eastAsia="Times New Roman"/>
          <w:color w:val="000000"/>
        </w:rPr>
        <w:t xml:space="preserve"> </w:t>
      </w:r>
      <w:r w:rsidRPr="000B6148">
        <w:rPr>
          <w:rFonts w:eastAsia="Times New Roman"/>
          <w:color w:val="000000"/>
        </w:rPr>
        <w:t xml:space="preserve">a university is expected to </w:t>
      </w:r>
      <w:r w:rsidR="00D5341B">
        <w:rPr>
          <w:rFonts w:eastAsia="Times New Roman"/>
          <w:color w:val="000000"/>
        </w:rPr>
        <w:t>engage in</w:t>
      </w:r>
      <w:r w:rsidR="00D5341B" w:rsidRPr="000B6148">
        <w:rPr>
          <w:rFonts w:eastAsia="Times New Roman"/>
          <w:color w:val="000000"/>
        </w:rPr>
        <w:t xml:space="preserve"> </w:t>
      </w:r>
      <w:r w:rsidRPr="000B6148">
        <w:rPr>
          <w:rFonts w:eastAsia="Times New Roman"/>
          <w:color w:val="000000"/>
        </w:rPr>
        <w:t>teaching and research</w:t>
      </w:r>
      <w:r w:rsidR="008620D2">
        <w:rPr>
          <w:rFonts w:eastAsia="Times New Roman"/>
          <w:color w:val="000000"/>
        </w:rPr>
        <w:t>. Th</w:t>
      </w:r>
      <w:r w:rsidR="00FD24F8">
        <w:rPr>
          <w:rFonts w:eastAsia="Times New Roman"/>
          <w:color w:val="000000"/>
        </w:rPr>
        <w:t>e</w:t>
      </w:r>
      <w:r w:rsidR="008620D2">
        <w:rPr>
          <w:rFonts w:eastAsia="Times New Roman"/>
          <w:color w:val="000000"/>
        </w:rPr>
        <w:t xml:space="preserve">se two activities are </w:t>
      </w:r>
      <w:r w:rsidR="008620D2">
        <w:rPr>
          <w:rFonts w:eastAsia="Times New Roman"/>
          <w:color w:val="000000"/>
        </w:rPr>
        <w:lastRenderedPageBreak/>
        <w:t xml:space="preserve">central </w:t>
      </w:r>
      <w:r w:rsidR="000B30CB">
        <w:rPr>
          <w:rFonts w:eastAsia="Times New Roman"/>
          <w:color w:val="000000"/>
        </w:rPr>
        <w:t xml:space="preserve">for a </w:t>
      </w:r>
      <w:r w:rsidR="008620D2">
        <w:rPr>
          <w:rFonts w:eastAsia="Times New Roman"/>
          <w:color w:val="000000"/>
        </w:rPr>
        <w:t>university</w:t>
      </w:r>
      <w:r w:rsidRPr="000B6148">
        <w:rPr>
          <w:rFonts w:eastAsia="Times New Roman"/>
          <w:color w:val="000000"/>
        </w:rPr>
        <w:t xml:space="preserve"> and organizations that do not engage in these activities are</w:t>
      </w:r>
      <w:r w:rsidR="00EF758B">
        <w:rPr>
          <w:rFonts w:eastAsia="Times New Roman"/>
          <w:color w:val="000000"/>
        </w:rPr>
        <w:t xml:space="preserve"> unlikely to be</w:t>
      </w:r>
      <w:r w:rsidRPr="000B6148">
        <w:rPr>
          <w:rFonts w:eastAsia="Times New Roman"/>
          <w:color w:val="000000"/>
        </w:rPr>
        <w:t xml:space="preserve"> considered as </w:t>
      </w:r>
      <w:r w:rsidR="00095EE5">
        <w:rPr>
          <w:rFonts w:eastAsia="Times New Roman"/>
          <w:color w:val="000000"/>
        </w:rPr>
        <w:t>legitimate</w:t>
      </w:r>
      <w:r w:rsidRPr="000B6148">
        <w:rPr>
          <w:rFonts w:eastAsia="Times New Roman"/>
          <w:color w:val="000000"/>
        </w:rPr>
        <w:t xml:space="preserve"> </w:t>
      </w:r>
      <w:r w:rsidR="00E13524">
        <w:rPr>
          <w:rFonts w:eastAsia="Times New Roman"/>
          <w:color w:val="000000"/>
        </w:rPr>
        <w:t xml:space="preserve">members of the </w:t>
      </w:r>
      <w:r w:rsidR="00D5341B" w:rsidRPr="000B6148">
        <w:rPr>
          <w:rFonts w:eastAsia="Times New Roman"/>
          <w:color w:val="000000"/>
        </w:rPr>
        <w:t>universit</w:t>
      </w:r>
      <w:r w:rsidR="00D5341B">
        <w:rPr>
          <w:rFonts w:eastAsia="Times New Roman"/>
          <w:color w:val="000000"/>
        </w:rPr>
        <w:t xml:space="preserve">y </w:t>
      </w:r>
      <w:r w:rsidR="00E13524">
        <w:rPr>
          <w:rFonts w:eastAsia="Times New Roman"/>
          <w:color w:val="000000"/>
        </w:rPr>
        <w:t xml:space="preserve">category </w:t>
      </w:r>
      <w:r w:rsidR="00326461">
        <w:rPr>
          <w:rFonts w:eastAsia="Times New Roman"/>
          <w:color w:val="000000"/>
        </w:rPr>
        <w:t xml:space="preserve">(Zuckerman, 1999; </w:t>
      </w:r>
      <w:proofErr w:type="spellStart"/>
      <w:r w:rsidR="00326461">
        <w:rPr>
          <w:rFonts w:eastAsia="Times New Roman"/>
          <w:color w:val="000000"/>
        </w:rPr>
        <w:t>Bitektine</w:t>
      </w:r>
      <w:proofErr w:type="spellEnd"/>
      <w:r w:rsidR="00326461">
        <w:rPr>
          <w:rFonts w:eastAsia="Times New Roman"/>
          <w:color w:val="000000"/>
        </w:rPr>
        <w:t>, 2011)</w:t>
      </w:r>
      <w:r w:rsidRPr="000B6148">
        <w:rPr>
          <w:rFonts w:eastAsia="Times New Roman"/>
          <w:color w:val="000000"/>
        </w:rPr>
        <w:t xml:space="preserve">. </w:t>
      </w:r>
      <w:r w:rsidR="003C61F2">
        <w:rPr>
          <w:rFonts w:eastAsia="Times New Roman"/>
          <w:color w:val="000000"/>
        </w:rPr>
        <w:t xml:space="preserve">Therefore, teaching and research are core activities for universities. </w:t>
      </w:r>
      <w:r w:rsidRPr="000B6148">
        <w:rPr>
          <w:rFonts w:eastAsia="Times New Roman"/>
          <w:color w:val="000000"/>
        </w:rPr>
        <w:t xml:space="preserve">On the other hand, we define peripheral activities as </w:t>
      </w:r>
      <w:r w:rsidRPr="000B6148">
        <w:rPr>
          <w:rFonts w:eastAsia="Times New Roman"/>
          <w:i/>
          <w:color w:val="000000"/>
        </w:rPr>
        <w:t>secondary</w:t>
      </w:r>
      <w:r w:rsidR="000B30CB">
        <w:rPr>
          <w:rFonts w:eastAsia="Times New Roman"/>
          <w:color w:val="000000"/>
        </w:rPr>
        <w:t>, in a sense that</w:t>
      </w:r>
      <w:r w:rsidRPr="000B6148">
        <w:rPr>
          <w:rFonts w:eastAsia="Times New Roman"/>
          <w:color w:val="000000"/>
        </w:rPr>
        <w:t xml:space="preserve"> </w:t>
      </w:r>
      <w:r w:rsidR="000B30CB">
        <w:rPr>
          <w:rFonts w:eastAsia="Times New Roman"/>
          <w:color w:val="000000"/>
        </w:rPr>
        <w:t>t</w:t>
      </w:r>
      <w:r w:rsidRPr="000B6148">
        <w:rPr>
          <w:rFonts w:eastAsia="Times New Roman"/>
          <w:color w:val="000000"/>
        </w:rPr>
        <w:t>hey can be useful and desirable</w:t>
      </w:r>
      <w:r w:rsidR="00D5341B">
        <w:rPr>
          <w:rFonts w:eastAsia="Times New Roman"/>
          <w:color w:val="000000"/>
        </w:rPr>
        <w:t>,</w:t>
      </w:r>
      <w:r w:rsidRPr="000B6148">
        <w:rPr>
          <w:rFonts w:eastAsia="Times New Roman"/>
          <w:color w:val="000000"/>
        </w:rPr>
        <w:t xml:space="preserve"> but they are </w:t>
      </w:r>
      <w:r w:rsidRPr="000B6148">
        <w:rPr>
          <w:rFonts w:eastAsia="Times New Roman"/>
          <w:i/>
          <w:color w:val="000000"/>
        </w:rPr>
        <w:t>not essential</w:t>
      </w:r>
      <w:r w:rsidRPr="000B6148">
        <w:rPr>
          <w:rFonts w:eastAsia="Times New Roman"/>
          <w:color w:val="000000"/>
        </w:rPr>
        <w:t xml:space="preserve"> for categorizing the organization under a specific label. For example, </w:t>
      </w:r>
      <w:r w:rsidR="001858D1">
        <w:rPr>
          <w:rFonts w:eastAsia="Times New Roman"/>
          <w:color w:val="000000"/>
        </w:rPr>
        <w:t xml:space="preserve">in our context, </w:t>
      </w:r>
      <w:r w:rsidR="00A00708">
        <w:rPr>
          <w:rFonts w:eastAsia="Times New Roman"/>
          <w:color w:val="000000"/>
        </w:rPr>
        <w:t xml:space="preserve">creating </w:t>
      </w:r>
      <w:r w:rsidR="007353CD">
        <w:rPr>
          <w:rFonts w:eastAsia="Times New Roman"/>
          <w:color w:val="000000"/>
        </w:rPr>
        <w:t>social impact via spinoffs</w:t>
      </w:r>
      <w:r w:rsidR="004533B6">
        <w:rPr>
          <w:rFonts w:eastAsia="Times New Roman"/>
          <w:color w:val="000000"/>
        </w:rPr>
        <w:t xml:space="preserve"> was a secondary activity</w:t>
      </w:r>
      <w:r w:rsidRPr="000B6148">
        <w:rPr>
          <w:rFonts w:eastAsia="Times New Roman"/>
          <w:color w:val="000000"/>
        </w:rPr>
        <w:t xml:space="preserve"> for </w:t>
      </w:r>
      <w:r w:rsidR="007353CD">
        <w:rPr>
          <w:rFonts w:eastAsia="Times New Roman"/>
          <w:color w:val="000000"/>
        </w:rPr>
        <w:t xml:space="preserve">UK </w:t>
      </w:r>
      <w:r w:rsidRPr="000B6148">
        <w:rPr>
          <w:rFonts w:eastAsia="Times New Roman"/>
          <w:color w:val="000000"/>
        </w:rPr>
        <w:t xml:space="preserve">universities </w:t>
      </w:r>
      <w:r w:rsidR="00EE4E76">
        <w:rPr>
          <w:rFonts w:eastAsia="Times New Roman"/>
          <w:color w:val="000000"/>
        </w:rPr>
        <w:t xml:space="preserve">in </w:t>
      </w:r>
      <w:r w:rsidR="004E4B6D">
        <w:rPr>
          <w:rFonts w:eastAsia="Times New Roman"/>
          <w:color w:val="000000"/>
        </w:rPr>
        <w:t>our observation window (1993 to</w:t>
      </w:r>
      <w:r w:rsidR="00EE4E76">
        <w:rPr>
          <w:rFonts w:eastAsia="Times New Roman"/>
          <w:color w:val="000000"/>
        </w:rPr>
        <w:t xml:space="preserve"> 2007)</w:t>
      </w:r>
      <w:r w:rsidR="007353CD" w:rsidRPr="000B6148">
        <w:rPr>
          <w:rFonts w:eastAsia="Times New Roman"/>
          <w:color w:val="000000"/>
        </w:rPr>
        <w:t xml:space="preserve"> </w:t>
      </w:r>
      <w:r w:rsidRPr="000B6148">
        <w:rPr>
          <w:rFonts w:eastAsia="Times New Roman"/>
          <w:color w:val="000000"/>
        </w:rPr>
        <w:t xml:space="preserve">and </w:t>
      </w:r>
      <w:r w:rsidR="003C61F2">
        <w:rPr>
          <w:rFonts w:eastAsia="Times New Roman"/>
          <w:color w:val="000000"/>
        </w:rPr>
        <w:t xml:space="preserve">not essential </w:t>
      </w:r>
      <w:r w:rsidR="005520E8">
        <w:rPr>
          <w:rFonts w:eastAsia="Times New Roman"/>
          <w:color w:val="000000"/>
        </w:rPr>
        <w:t xml:space="preserve">for </w:t>
      </w:r>
      <w:r w:rsidR="003C61F2">
        <w:rPr>
          <w:rFonts w:eastAsia="Times New Roman"/>
          <w:color w:val="000000"/>
        </w:rPr>
        <w:t>classify</w:t>
      </w:r>
      <w:r w:rsidR="005520E8">
        <w:rPr>
          <w:rFonts w:eastAsia="Times New Roman"/>
          <w:color w:val="000000"/>
        </w:rPr>
        <w:t>ing</w:t>
      </w:r>
      <w:r w:rsidR="003C61F2">
        <w:rPr>
          <w:rFonts w:eastAsia="Times New Roman"/>
          <w:color w:val="000000"/>
        </w:rPr>
        <w:t xml:space="preserve"> an institution as a university</w:t>
      </w:r>
      <w:r w:rsidR="00A00708">
        <w:rPr>
          <w:rFonts w:eastAsia="Times New Roman"/>
          <w:color w:val="000000"/>
        </w:rPr>
        <w:t>; therefore</w:t>
      </w:r>
      <w:r w:rsidR="00D5341B">
        <w:rPr>
          <w:rFonts w:eastAsia="Times New Roman"/>
          <w:color w:val="000000"/>
        </w:rPr>
        <w:t>,</w:t>
      </w:r>
      <w:r w:rsidR="003C61F2">
        <w:rPr>
          <w:rFonts w:eastAsia="Times New Roman"/>
          <w:color w:val="000000"/>
        </w:rPr>
        <w:t xml:space="preserve"> the activity was considered as peripheral. </w:t>
      </w:r>
      <w:r w:rsidR="00041185">
        <w:rPr>
          <w:rFonts w:eastAsia="Times New Roman"/>
          <w:color w:val="000000"/>
        </w:rPr>
        <w:t xml:space="preserve">We elaborate on this </w:t>
      </w:r>
      <w:r w:rsidR="008620D2">
        <w:rPr>
          <w:rFonts w:eastAsia="Times New Roman"/>
          <w:color w:val="000000"/>
        </w:rPr>
        <w:t xml:space="preserve">issue </w:t>
      </w:r>
      <w:r w:rsidR="00041185">
        <w:rPr>
          <w:rFonts w:eastAsia="Times New Roman"/>
          <w:color w:val="000000"/>
        </w:rPr>
        <w:t>in the research</w:t>
      </w:r>
      <w:r w:rsidR="008620D2">
        <w:rPr>
          <w:rFonts w:eastAsia="Times New Roman"/>
          <w:color w:val="000000"/>
        </w:rPr>
        <w:t>-</w:t>
      </w:r>
      <w:r w:rsidR="00041185">
        <w:rPr>
          <w:rFonts w:eastAsia="Times New Roman"/>
          <w:color w:val="000000"/>
        </w:rPr>
        <w:t>setting section.</w:t>
      </w:r>
    </w:p>
    <w:p w:rsidR="007F1088" w:rsidRDefault="00EB4174" w:rsidP="007F1088">
      <w:pPr>
        <w:autoSpaceDE w:val="0"/>
        <w:autoSpaceDN w:val="0"/>
        <w:adjustRightInd w:val="0"/>
        <w:spacing w:line="480" w:lineRule="auto"/>
        <w:ind w:firstLine="567"/>
        <w:jc w:val="both"/>
      </w:pPr>
      <w:r>
        <w:t>Our study</w:t>
      </w:r>
      <w:r w:rsidR="005B18FF">
        <w:t xml:space="preserve"> argue</w:t>
      </w:r>
      <w:r>
        <w:t>s</w:t>
      </w:r>
      <w:r w:rsidR="007F1088" w:rsidRPr="00AD1AEF">
        <w:t xml:space="preserve"> that </w:t>
      </w:r>
      <w:r w:rsidR="00D5341B">
        <w:t xml:space="preserve">both </w:t>
      </w:r>
      <w:r w:rsidR="00996243">
        <w:t xml:space="preserve">direct and refracted </w:t>
      </w:r>
      <w:r w:rsidR="003A5A93">
        <w:t xml:space="preserve">organizational </w:t>
      </w:r>
      <w:r w:rsidR="00996243">
        <w:t>signals (</w:t>
      </w:r>
      <w:proofErr w:type="spellStart"/>
      <w:r w:rsidR="00996243">
        <w:t>Fo</w:t>
      </w:r>
      <w:r w:rsidR="00F932E4">
        <w:t>m</w:t>
      </w:r>
      <w:r w:rsidR="00996243">
        <w:t>brun</w:t>
      </w:r>
      <w:proofErr w:type="spellEnd"/>
      <w:r w:rsidR="00996243">
        <w:t xml:space="preserve"> and </w:t>
      </w:r>
      <w:r w:rsidR="00EB2340">
        <w:t>Van</w:t>
      </w:r>
      <w:r w:rsidR="00F932E4">
        <w:t xml:space="preserve"> </w:t>
      </w:r>
      <w:r w:rsidR="00EB2340">
        <w:t xml:space="preserve">Riel, 1997) </w:t>
      </w:r>
      <w:r w:rsidR="007F1088">
        <w:t>lead t</w:t>
      </w:r>
      <w:r w:rsidR="00996243">
        <w:t>o a reputation for a peripheral activity</w:t>
      </w:r>
      <w:r w:rsidR="00B40C6D">
        <w:t xml:space="preserve">. </w:t>
      </w:r>
      <w:r w:rsidR="000B30CB">
        <w:t>Building on economic theory, we expect d</w:t>
      </w:r>
      <w:r w:rsidR="00996243">
        <w:t xml:space="preserve">irect </w:t>
      </w:r>
      <w:r w:rsidR="007F1088" w:rsidRPr="00B40C6D">
        <w:rPr>
          <w:i/>
        </w:rPr>
        <w:t>signals</w:t>
      </w:r>
      <w:r w:rsidR="00996243" w:rsidRPr="00B40C6D">
        <w:rPr>
          <w:i/>
        </w:rPr>
        <w:t xml:space="preserve"> </w:t>
      </w:r>
      <w:r w:rsidR="00B40C6D" w:rsidRPr="00B40C6D">
        <w:rPr>
          <w:i/>
        </w:rPr>
        <w:t xml:space="preserve">of </w:t>
      </w:r>
      <w:r w:rsidR="005B18FF">
        <w:rPr>
          <w:i/>
        </w:rPr>
        <w:t>effort</w:t>
      </w:r>
      <w:r w:rsidR="00B40C6D" w:rsidRPr="00B40C6D">
        <w:rPr>
          <w:i/>
        </w:rPr>
        <w:t xml:space="preserve"> </w:t>
      </w:r>
      <w:r w:rsidR="00FB011F" w:rsidRPr="00033B28">
        <w:t>(</w:t>
      </w:r>
      <w:r w:rsidR="003E5D07">
        <w:t>i.e.</w:t>
      </w:r>
      <w:r w:rsidR="00C00D7B">
        <w:t xml:space="preserve"> </w:t>
      </w:r>
      <w:r w:rsidR="00FB011F">
        <w:t>how much they try</w:t>
      </w:r>
      <w:r w:rsidR="00FB011F" w:rsidRPr="00033B28">
        <w:t>)</w:t>
      </w:r>
      <w:r w:rsidR="00FB011F">
        <w:rPr>
          <w:i/>
        </w:rPr>
        <w:t xml:space="preserve"> </w:t>
      </w:r>
      <w:r w:rsidR="00B40C6D" w:rsidRPr="00B40C6D">
        <w:rPr>
          <w:i/>
        </w:rPr>
        <w:t>and performance</w:t>
      </w:r>
      <w:r w:rsidR="00B40C6D">
        <w:t xml:space="preserve"> </w:t>
      </w:r>
      <w:r w:rsidR="00FB011F">
        <w:t>(</w:t>
      </w:r>
      <w:r w:rsidR="003E5D07">
        <w:t>i.e.</w:t>
      </w:r>
      <w:r w:rsidR="00C00D7B">
        <w:t xml:space="preserve"> </w:t>
      </w:r>
      <w:r w:rsidR="00FB011F">
        <w:t xml:space="preserve">how good they are) </w:t>
      </w:r>
      <w:r w:rsidR="00B40C6D">
        <w:t>(</w:t>
      </w:r>
      <w:proofErr w:type="spellStart"/>
      <w:r w:rsidR="00B40C6D">
        <w:t>Stiglitz</w:t>
      </w:r>
      <w:proofErr w:type="spellEnd"/>
      <w:r w:rsidR="00B40C6D">
        <w:t xml:space="preserve">, 2000) </w:t>
      </w:r>
      <w:r w:rsidR="000B30CB">
        <w:t xml:space="preserve">to </w:t>
      </w:r>
      <w:r w:rsidR="00996243">
        <w:t>communicate</w:t>
      </w:r>
      <w:r w:rsidR="00B40C6D">
        <w:t xml:space="preserve"> information about an</w:t>
      </w:r>
      <w:r w:rsidR="007F1088">
        <w:t xml:space="preserve"> underlying, u</w:t>
      </w:r>
      <w:r w:rsidR="00996243">
        <w:t>nobservable ability in the peripheral activity</w:t>
      </w:r>
      <w:r w:rsidR="00B40C6D">
        <w:t xml:space="preserve">. </w:t>
      </w:r>
      <w:r w:rsidR="000B30CB">
        <w:t xml:space="preserve">Moreover, drawing on sociological theory, we expect </w:t>
      </w:r>
      <w:r w:rsidR="000B30CB">
        <w:rPr>
          <w:i/>
        </w:rPr>
        <w:t>r</w:t>
      </w:r>
      <w:r w:rsidR="00B40C6D">
        <w:rPr>
          <w:i/>
        </w:rPr>
        <w:t>efracted signals</w:t>
      </w:r>
      <w:r w:rsidR="00B40C6D">
        <w:t xml:space="preserve"> by the media (</w:t>
      </w:r>
      <w:proofErr w:type="spellStart"/>
      <w:r w:rsidR="00B40C6D">
        <w:t>Fombrun</w:t>
      </w:r>
      <w:proofErr w:type="spellEnd"/>
      <w:r w:rsidR="00B40C6D">
        <w:t xml:space="preserve"> and Van Riel, 1997) </w:t>
      </w:r>
      <w:r w:rsidR="000B30CB">
        <w:t>to influence</w:t>
      </w:r>
      <w:r w:rsidR="007F1088">
        <w:t xml:space="preserve"> collective awareness a</w:t>
      </w:r>
      <w:r w:rsidR="00996243">
        <w:t>nd recognition for the peripheral activity</w:t>
      </w:r>
      <w:r w:rsidR="00B40C6D">
        <w:t xml:space="preserve">. We argue that this </w:t>
      </w:r>
      <w:r w:rsidR="00F932E4">
        <w:t xml:space="preserve">reputation for </w:t>
      </w:r>
      <w:r w:rsidR="005437CF">
        <w:t>a</w:t>
      </w:r>
      <w:r w:rsidR="00F932E4">
        <w:t xml:space="preserve"> peripheral activity</w:t>
      </w:r>
      <w:r w:rsidR="007F1088">
        <w:t xml:space="preserve"> </w:t>
      </w:r>
      <w:r w:rsidR="00953D1D">
        <w:t xml:space="preserve">is positively related </w:t>
      </w:r>
      <w:r w:rsidR="00D5341B">
        <w:t xml:space="preserve">to </w:t>
      </w:r>
      <w:r w:rsidR="00BF0B1B">
        <w:t>evaluations</w:t>
      </w:r>
      <w:r w:rsidR="007F1088" w:rsidRPr="00AD1AEF">
        <w:t xml:space="preserve"> for</w:t>
      </w:r>
      <w:r w:rsidR="005437CF">
        <w:t xml:space="preserve"> the</w:t>
      </w:r>
      <w:r w:rsidR="007F1088" w:rsidRPr="00AD1AEF">
        <w:t xml:space="preserve"> </w:t>
      </w:r>
      <w:r w:rsidR="007F1088">
        <w:t>core</w:t>
      </w:r>
      <w:r w:rsidR="003E5D07">
        <w:t xml:space="preserve"> activity</w:t>
      </w:r>
      <w:r w:rsidR="00B40C6D">
        <w:t xml:space="preserve"> via</w:t>
      </w:r>
      <w:r w:rsidR="003A5A93">
        <w:t xml:space="preserve"> the use of heuristics (mental shortcuts) by the organization’s audience</w:t>
      </w:r>
      <w:r w:rsidR="00F936A3">
        <w:t>s</w:t>
      </w:r>
      <w:r w:rsidR="00603BBC">
        <w:t xml:space="preserve"> (</w:t>
      </w:r>
      <w:proofErr w:type="spellStart"/>
      <w:r w:rsidR="00603BBC" w:rsidRPr="00C979B2">
        <w:rPr>
          <w:rFonts w:eastAsia="Times New Roman"/>
        </w:rPr>
        <w:t>Tversky</w:t>
      </w:r>
      <w:proofErr w:type="spellEnd"/>
      <w:r w:rsidR="00603BBC" w:rsidRPr="00C979B2">
        <w:rPr>
          <w:rFonts w:eastAsia="Times New Roman"/>
        </w:rPr>
        <w:t xml:space="preserve"> and </w:t>
      </w:r>
      <w:proofErr w:type="spellStart"/>
      <w:r w:rsidR="00603BBC" w:rsidRPr="00C979B2">
        <w:rPr>
          <w:rFonts w:eastAsia="Times New Roman"/>
        </w:rPr>
        <w:t>Kahneman</w:t>
      </w:r>
      <w:proofErr w:type="spellEnd"/>
      <w:r w:rsidR="00603BBC" w:rsidRPr="00C979B2">
        <w:rPr>
          <w:rFonts w:eastAsia="Times New Roman"/>
        </w:rPr>
        <w:t>, 1974</w:t>
      </w:r>
      <w:r w:rsidR="00603BBC">
        <w:t>)</w:t>
      </w:r>
      <w:r w:rsidR="00C8676B">
        <w:t xml:space="preserve">. </w:t>
      </w:r>
      <w:r w:rsidR="003245F1">
        <w:t>Specifically, o</w:t>
      </w:r>
      <w:r w:rsidR="00953D1D">
        <w:t>rganizational audiences transfer</w:t>
      </w:r>
      <w:r w:rsidR="00261D4B">
        <w:t xml:space="preserve"> </w:t>
      </w:r>
      <w:r w:rsidR="00C8676B">
        <w:t xml:space="preserve">evaluations from the </w:t>
      </w:r>
      <w:r w:rsidR="00261D4B">
        <w:t>periphery to the core via</w:t>
      </w:r>
      <w:r w:rsidR="00C8676B">
        <w:t xml:space="preserve"> </w:t>
      </w:r>
      <w:r w:rsidR="00261D4B">
        <w:t xml:space="preserve">two </w:t>
      </w:r>
      <w:r w:rsidR="00C8676B">
        <w:t xml:space="preserve">prominent heuristics, namely the representativeness </w:t>
      </w:r>
      <w:r w:rsidR="00B40C6D">
        <w:t>and the availability heuristic</w:t>
      </w:r>
      <w:r w:rsidR="00C8676B">
        <w:t>s</w:t>
      </w:r>
      <w:r w:rsidR="00B40C6D">
        <w:t>.</w:t>
      </w:r>
      <w:r w:rsidR="002D391F">
        <w:t xml:space="preserve"> We elaborate on these </w:t>
      </w:r>
      <w:r w:rsidR="00C40D8A">
        <w:t xml:space="preserve">mechanisms </w:t>
      </w:r>
      <w:r w:rsidR="002D391F">
        <w:t>below.</w:t>
      </w:r>
      <w:r w:rsidR="003245F1">
        <w:t xml:space="preserve"> We first</w:t>
      </w:r>
      <w:r w:rsidR="00B42EEB">
        <w:t xml:space="preserve"> examine signals of effort and performance and then </w:t>
      </w:r>
      <w:r w:rsidR="00EA6267">
        <w:t xml:space="preserve">the </w:t>
      </w:r>
      <w:r w:rsidR="003245F1">
        <w:t>refracted signals by the media</w:t>
      </w:r>
      <w:r w:rsidR="00B42EEB">
        <w:t>.</w:t>
      </w:r>
    </w:p>
    <w:p w:rsidR="007F1088" w:rsidRDefault="007F1088" w:rsidP="007F1088">
      <w:pPr>
        <w:autoSpaceDE w:val="0"/>
        <w:autoSpaceDN w:val="0"/>
        <w:adjustRightInd w:val="0"/>
        <w:spacing w:line="480" w:lineRule="auto"/>
        <w:ind w:firstLine="567"/>
        <w:jc w:val="both"/>
      </w:pPr>
      <w:r>
        <w:t xml:space="preserve">Figure </w:t>
      </w:r>
      <w:r w:rsidR="009A6764">
        <w:t>1</w:t>
      </w:r>
      <w:r>
        <w:t xml:space="preserve"> illustrates o</w:t>
      </w:r>
      <w:r w:rsidR="00323DFB">
        <w:t>ur study’s conceptual framework.</w:t>
      </w:r>
    </w:p>
    <w:p w:rsidR="007F1088" w:rsidRPr="00AD1AEF" w:rsidRDefault="001A0A71" w:rsidP="007F1088">
      <w:pPr>
        <w:jc w:val="center"/>
      </w:pPr>
      <w:r>
        <w:t xml:space="preserve"> </w:t>
      </w:r>
      <w:r w:rsidR="007F1088" w:rsidRPr="00AD1AEF">
        <w:t>-----------------------------------</w:t>
      </w:r>
    </w:p>
    <w:p w:rsidR="007F1088" w:rsidRPr="00AD1AEF" w:rsidRDefault="007F1088" w:rsidP="007F1088">
      <w:pPr>
        <w:jc w:val="center"/>
        <w:outlineLvl w:val="0"/>
      </w:pPr>
      <w:r>
        <w:t xml:space="preserve">Insert Figure </w:t>
      </w:r>
      <w:r w:rsidR="009A6764">
        <w:t>1</w:t>
      </w:r>
      <w:r w:rsidRPr="00AD1AEF">
        <w:t xml:space="preserve"> about here</w:t>
      </w:r>
    </w:p>
    <w:p w:rsidR="007F1088" w:rsidRDefault="007F1088" w:rsidP="007F1088">
      <w:pPr>
        <w:autoSpaceDE w:val="0"/>
        <w:autoSpaceDN w:val="0"/>
        <w:adjustRightInd w:val="0"/>
        <w:spacing w:line="480" w:lineRule="auto"/>
        <w:ind w:left="2880"/>
        <w:jc w:val="both"/>
      </w:pPr>
      <w:r>
        <w:t xml:space="preserve">     </w:t>
      </w:r>
      <w:r w:rsidR="001A0A71">
        <w:t>-</w:t>
      </w:r>
      <w:r w:rsidRPr="00AD1AEF">
        <w:t>-----------------------------------</w:t>
      </w:r>
    </w:p>
    <w:p w:rsidR="007F1088" w:rsidRPr="000D056E" w:rsidRDefault="005B18FF" w:rsidP="0088091D">
      <w:pPr>
        <w:numPr>
          <w:ilvl w:val="0"/>
          <w:numId w:val="5"/>
        </w:numPr>
        <w:spacing w:line="480" w:lineRule="auto"/>
      </w:pPr>
      <w:r w:rsidRPr="00AD1AEF">
        <w:rPr>
          <w:b/>
        </w:rPr>
        <w:t>HYPOTHESES</w:t>
      </w:r>
    </w:p>
    <w:p w:rsidR="007F1088" w:rsidRPr="00AD1AEF" w:rsidRDefault="004B66BF" w:rsidP="007F1088">
      <w:pPr>
        <w:spacing w:line="480" w:lineRule="auto"/>
        <w:ind w:firstLine="567"/>
        <w:jc w:val="both"/>
        <w:outlineLvl w:val="0"/>
        <w:rPr>
          <w:b/>
        </w:rPr>
      </w:pPr>
      <w:r>
        <w:rPr>
          <w:b/>
        </w:rPr>
        <w:t xml:space="preserve">Signals of </w:t>
      </w:r>
      <w:r w:rsidR="00955E1A">
        <w:rPr>
          <w:b/>
        </w:rPr>
        <w:t>effort</w:t>
      </w:r>
      <w:r w:rsidR="00616FDF">
        <w:rPr>
          <w:b/>
        </w:rPr>
        <w:t xml:space="preserve"> </w:t>
      </w:r>
      <w:r w:rsidR="006729F1">
        <w:rPr>
          <w:b/>
        </w:rPr>
        <w:t>and</w:t>
      </w:r>
      <w:r w:rsidR="00012493">
        <w:rPr>
          <w:b/>
        </w:rPr>
        <w:t xml:space="preserve"> perceived quality</w:t>
      </w:r>
    </w:p>
    <w:p w:rsidR="00BC0B9D" w:rsidRDefault="00B615A6" w:rsidP="007F1088">
      <w:pPr>
        <w:autoSpaceDE w:val="0"/>
        <w:autoSpaceDN w:val="0"/>
        <w:adjustRightInd w:val="0"/>
        <w:spacing w:line="480" w:lineRule="auto"/>
        <w:ind w:firstLine="567"/>
        <w:jc w:val="both"/>
      </w:pPr>
      <w:r>
        <w:t>Economic theory</w:t>
      </w:r>
      <w:r w:rsidR="007F1088" w:rsidRPr="00AD1AEF">
        <w:t xml:space="preserve"> has suggested that reputation </w:t>
      </w:r>
      <w:r w:rsidR="00EA6267">
        <w:t xml:space="preserve">is </w:t>
      </w:r>
      <w:r w:rsidR="00EA6267" w:rsidRPr="00AD1AEF">
        <w:t>form</w:t>
      </w:r>
      <w:r w:rsidR="00EA6267">
        <w:t>ed</w:t>
      </w:r>
      <w:r w:rsidR="00EA6267" w:rsidRPr="00AD1AEF">
        <w:t xml:space="preserve"> </w:t>
      </w:r>
      <w:r w:rsidR="007F1088" w:rsidRPr="00AD1AEF">
        <w:t xml:space="preserve">on the basis of past actions, through which firms signal to stakeholders their true attributes (Clark </w:t>
      </w:r>
      <w:r w:rsidR="007F1088">
        <w:t>and</w:t>
      </w:r>
      <w:r w:rsidR="007F1088" w:rsidRPr="00AD1AEF">
        <w:t xml:space="preserve"> Montgomery, 1998). The composition of a firm’s action repertoire influences the content of its reputation (</w:t>
      </w:r>
      <w:proofErr w:type="spellStart"/>
      <w:r w:rsidR="007F1088" w:rsidRPr="00AD1AEF">
        <w:t>Rindova</w:t>
      </w:r>
      <w:proofErr w:type="spellEnd"/>
      <w:r w:rsidR="007F1088" w:rsidRPr="00AD1AEF">
        <w:t xml:space="preserve"> </w:t>
      </w:r>
      <w:r w:rsidR="007F1088" w:rsidRPr="00723F11">
        <w:rPr>
          <w:i/>
        </w:rPr>
        <w:t>et al</w:t>
      </w:r>
      <w:r w:rsidR="007F1088" w:rsidRPr="00AD1AEF">
        <w:t>., 2007</w:t>
      </w:r>
      <w:r w:rsidR="00B00A4C">
        <w:t>;</w:t>
      </w:r>
      <w:r w:rsidR="00B00A4C" w:rsidRPr="00B00A4C">
        <w:t xml:space="preserve"> </w:t>
      </w:r>
      <w:proofErr w:type="spellStart"/>
      <w:r w:rsidR="00B00A4C">
        <w:lastRenderedPageBreak/>
        <w:t>Rindova</w:t>
      </w:r>
      <w:proofErr w:type="spellEnd"/>
      <w:r w:rsidR="00B00A4C">
        <w:t xml:space="preserve"> and </w:t>
      </w:r>
      <w:proofErr w:type="spellStart"/>
      <w:r w:rsidR="00B00A4C">
        <w:t>Fombrun</w:t>
      </w:r>
      <w:proofErr w:type="spellEnd"/>
      <w:r w:rsidR="00B00A4C">
        <w:t>, 1999</w:t>
      </w:r>
      <w:r w:rsidR="007F1088" w:rsidRPr="00AD1AEF">
        <w:t>)</w:t>
      </w:r>
      <w:r w:rsidR="00BB1931">
        <w:t>; i</w:t>
      </w:r>
      <w:r w:rsidR="007F1088" w:rsidRPr="00AD1AEF">
        <w:t>n simpler ter</w:t>
      </w:r>
      <w:r w:rsidR="008F636F">
        <w:t>ms, what a particular firm does</w:t>
      </w:r>
      <w:r w:rsidR="00636271">
        <w:t xml:space="preserve"> is</w:t>
      </w:r>
      <w:r w:rsidR="004F0C6C">
        <w:t xml:space="preserve"> related </w:t>
      </w:r>
      <w:r w:rsidR="00EA6267">
        <w:t xml:space="preserve">to </w:t>
      </w:r>
      <w:r w:rsidR="004F0C6C">
        <w:t>what the firm</w:t>
      </w:r>
      <w:r w:rsidR="007F1088" w:rsidRPr="00AD1AEF">
        <w:t xml:space="preserve"> is known for (Lange </w:t>
      </w:r>
      <w:r w:rsidR="007F1088" w:rsidRPr="00723F11">
        <w:rPr>
          <w:i/>
        </w:rPr>
        <w:t>et al</w:t>
      </w:r>
      <w:r w:rsidR="007F1088" w:rsidRPr="00AD1AEF">
        <w:t xml:space="preserve">., 2011). </w:t>
      </w:r>
      <w:r w:rsidR="00BB1931">
        <w:t>Through s</w:t>
      </w:r>
      <w:r w:rsidR="00002868">
        <w:t>trategic investments</w:t>
      </w:r>
      <w:r w:rsidR="008D0EBE">
        <w:t xml:space="preserve"> </w:t>
      </w:r>
      <w:r w:rsidR="00E312D2">
        <w:t>(</w:t>
      </w:r>
      <w:r w:rsidR="0028257F">
        <w:t>namely</w:t>
      </w:r>
      <w:r w:rsidR="00EA6267">
        <w:t>,</w:t>
      </w:r>
      <w:r w:rsidR="0028257F">
        <w:t xml:space="preserve"> </w:t>
      </w:r>
      <w:r w:rsidR="008D0EBE">
        <w:t>configurations of resources and activities)</w:t>
      </w:r>
      <w:r w:rsidR="00EA6267">
        <w:t>,</w:t>
      </w:r>
      <w:r w:rsidR="008D0EBE">
        <w:t xml:space="preserve"> </w:t>
      </w:r>
      <w:r w:rsidR="00BB1931">
        <w:t xml:space="preserve">firms </w:t>
      </w:r>
      <w:r w:rsidR="00002868">
        <w:t>signal effort and commitment to a</w:t>
      </w:r>
      <w:r w:rsidR="00955E1A">
        <w:t xml:space="preserve"> particular</w:t>
      </w:r>
      <w:r w:rsidR="00002868">
        <w:t xml:space="preserve"> area </w:t>
      </w:r>
      <w:r w:rsidR="00793D24">
        <w:t>(Ravasi and Phillips, 2011)</w:t>
      </w:r>
      <w:r w:rsidR="00955E1A">
        <w:t xml:space="preserve">. </w:t>
      </w:r>
    </w:p>
    <w:p w:rsidR="007F1088" w:rsidRDefault="00661A9F" w:rsidP="00BC0B9D">
      <w:pPr>
        <w:autoSpaceDE w:val="0"/>
        <w:autoSpaceDN w:val="0"/>
        <w:adjustRightInd w:val="0"/>
        <w:spacing w:line="480" w:lineRule="auto"/>
        <w:ind w:firstLine="567"/>
        <w:jc w:val="both"/>
      </w:pPr>
      <w:r>
        <w:t>S</w:t>
      </w:r>
      <w:r w:rsidR="00BC0B9D">
        <w:t>pecifically</w:t>
      </w:r>
      <w:r w:rsidR="00955E1A">
        <w:t>,</w:t>
      </w:r>
      <w:r w:rsidR="00793D24">
        <w:t xml:space="preserve"> h</w:t>
      </w:r>
      <w:r w:rsidR="00002868">
        <w:t>igh</w:t>
      </w:r>
      <w:r w:rsidR="00520791">
        <w:t xml:space="preserve"> </w:t>
      </w:r>
      <w:r w:rsidR="00520791" w:rsidRPr="00BB1931">
        <w:rPr>
          <w:i/>
        </w:rPr>
        <w:t>f</w:t>
      </w:r>
      <w:r w:rsidR="004F0C6C" w:rsidRPr="00BB1931">
        <w:rPr>
          <w:i/>
        </w:rPr>
        <w:t>requency</w:t>
      </w:r>
      <w:r w:rsidR="004F0C6C">
        <w:t xml:space="preserve"> of </w:t>
      </w:r>
      <w:r w:rsidR="00616FDF">
        <w:t>action</w:t>
      </w:r>
      <w:r w:rsidR="00636271">
        <w:t xml:space="preserve"> </w:t>
      </w:r>
      <w:r>
        <w:t>indicates</w:t>
      </w:r>
      <w:r w:rsidR="00052D2D">
        <w:t xml:space="preserve"> </w:t>
      </w:r>
      <w:r>
        <w:t>effort</w:t>
      </w:r>
      <w:r w:rsidR="00955E1A">
        <w:t xml:space="preserve"> and </w:t>
      </w:r>
      <w:r w:rsidR="00BB1931">
        <w:t xml:space="preserve">is associated with </w:t>
      </w:r>
      <w:r w:rsidR="00955E1A">
        <w:t xml:space="preserve">the perceived quality dimension of reputation </w:t>
      </w:r>
      <w:r w:rsidR="00052D2D">
        <w:t>(</w:t>
      </w:r>
      <w:proofErr w:type="spellStart"/>
      <w:r w:rsidR="008609DC">
        <w:t>Basdeo</w:t>
      </w:r>
      <w:proofErr w:type="spellEnd"/>
      <w:r w:rsidR="008609DC">
        <w:t xml:space="preserve"> </w:t>
      </w:r>
      <w:r w:rsidR="008609DC" w:rsidRPr="00DF1963">
        <w:rPr>
          <w:i/>
        </w:rPr>
        <w:t>et al</w:t>
      </w:r>
      <w:r w:rsidR="00B00A4C">
        <w:t>., 2006</w:t>
      </w:r>
      <w:r w:rsidR="00052D2D">
        <w:t>)</w:t>
      </w:r>
      <w:r w:rsidR="00BC0B9D">
        <w:t>.</w:t>
      </w:r>
      <w:r w:rsidR="00547B6E">
        <w:t xml:space="preserve"> </w:t>
      </w:r>
      <w:r>
        <w:t>Frequency of action</w:t>
      </w:r>
      <w:r w:rsidR="0028257F">
        <w:t xml:space="preserve"> </w:t>
      </w:r>
      <w:r>
        <w:t xml:space="preserve">reduces uncertainty and informational asymmetry between the organization and its audience </w:t>
      </w:r>
      <w:r w:rsidR="00BB1931">
        <w:t xml:space="preserve">for </w:t>
      </w:r>
      <w:r>
        <w:t>the focal activity (</w:t>
      </w:r>
      <w:proofErr w:type="spellStart"/>
      <w:r>
        <w:t>Stiglitz</w:t>
      </w:r>
      <w:proofErr w:type="spellEnd"/>
      <w:r>
        <w:t xml:space="preserve">, 2000; Connelly </w:t>
      </w:r>
      <w:r w:rsidRPr="00723F11">
        <w:rPr>
          <w:i/>
        </w:rPr>
        <w:t>et al</w:t>
      </w:r>
      <w:r>
        <w:t xml:space="preserve">., 2011). </w:t>
      </w:r>
      <w:r w:rsidR="00326461">
        <w:t xml:space="preserve">Consequently, frequency of action </w:t>
      </w:r>
      <w:r>
        <w:t>raises</w:t>
      </w:r>
      <w:r w:rsidR="00CD3B15">
        <w:t xml:space="preserve"> </w:t>
      </w:r>
      <w:r w:rsidR="00B42EEB">
        <w:t xml:space="preserve">perceptions about </w:t>
      </w:r>
      <w:r>
        <w:t xml:space="preserve">quality. </w:t>
      </w:r>
      <w:r w:rsidR="00326461">
        <w:t>For example, i</w:t>
      </w:r>
      <w:r w:rsidR="00E71554">
        <w:t xml:space="preserve">n our context, </w:t>
      </w:r>
      <w:r w:rsidR="00221F9B">
        <w:t xml:space="preserve">the number of spinoffs </w:t>
      </w:r>
      <w:r w:rsidR="00547B6E">
        <w:t>that a university generates</w:t>
      </w:r>
      <w:r w:rsidR="00BC0B9D">
        <w:t xml:space="preserve"> </w:t>
      </w:r>
      <w:r w:rsidR="00955E1A">
        <w:t>relate</w:t>
      </w:r>
      <w:r w:rsidR="00BC0B9D">
        <w:t>s to</w:t>
      </w:r>
      <w:r w:rsidR="0028257F">
        <w:t xml:space="preserve"> </w:t>
      </w:r>
      <w:r w:rsidR="00B42EEB">
        <w:t xml:space="preserve">the </w:t>
      </w:r>
      <w:r w:rsidR="00E71554">
        <w:t>perceived</w:t>
      </w:r>
      <w:r w:rsidR="0028257F">
        <w:t xml:space="preserve"> </w:t>
      </w:r>
      <w:r w:rsidR="00E71554">
        <w:t>quality</w:t>
      </w:r>
      <w:r w:rsidR="00BC0B9D">
        <w:t xml:space="preserve"> </w:t>
      </w:r>
      <w:r w:rsidR="00E71554">
        <w:t>for impact</w:t>
      </w:r>
      <w:r w:rsidR="000B4F5A">
        <w:t xml:space="preserve"> via spinoffs</w:t>
      </w:r>
      <w:r w:rsidR="00E71554">
        <w:t xml:space="preserve">. </w:t>
      </w:r>
      <w:r w:rsidR="00955E1A">
        <w:t>This is because a</w:t>
      </w:r>
      <w:r w:rsidR="00616FDF">
        <w:t xml:space="preserve"> high number of spinoffs </w:t>
      </w:r>
      <w:r w:rsidR="00DC7E53">
        <w:t>signal</w:t>
      </w:r>
      <w:r w:rsidR="00616FDF">
        <w:t xml:space="preserve"> </w:t>
      </w:r>
      <w:r w:rsidR="007F1088">
        <w:t xml:space="preserve">that a focal university is trying hard to </w:t>
      </w:r>
      <w:r w:rsidR="0070669D">
        <w:t>c</w:t>
      </w:r>
      <w:r w:rsidR="000B4F5A">
        <w:t>reate impact</w:t>
      </w:r>
      <w:r>
        <w:t>; these</w:t>
      </w:r>
      <w:r w:rsidR="0040732E">
        <w:t xml:space="preserve"> signals of effort</w:t>
      </w:r>
      <w:r w:rsidR="007F1088">
        <w:t xml:space="preserve"> increase the evaluators’ </w:t>
      </w:r>
      <w:r w:rsidR="00DC7E53">
        <w:t xml:space="preserve">perception </w:t>
      </w:r>
      <w:r w:rsidR="007F1088" w:rsidRPr="00C979B2">
        <w:t xml:space="preserve">that </w:t>
      </w:r>
      <w:r w:rsidR="0040732E">
        <w:t xml:space="preserve">the university is serious about creating impact and </w:t>
      </w:r>
      <w:r w:rsidR="00B42EEB">
        <w:t xml:space="preserve">their </w:t>
      </w:r>
      <w:r w:rsidR="00DC7E53">
        <w:t xml:space="preserve">confidence </w:t>
      </w:r>
      <w:r w:rsidR="0040732E">
        <w:t xml:space="preserve">that </w:t>
      </w:r>
      <w:r w:rsidR="007F1088" w:rsidRPr="00C979B2">
        <w:t xml:space="preserve">it will eventually </w:t>
      </w:r>
      <w:r w:rsidR="000B4F5A">
        <w:t>deliver</w:t>
      </w:r>
      <w:r w:rsidR="007F1088" w:rsidRPr="00C979B2">
        <w:t xml:space="preserve">. </w:t>
      </w:r>
    </w:p>
    <w:p w:rsidR="006729F1" w:rsidRPr="00D505F6" w:rsidRDefault="006729F1">
      <w:pPr>
        <w:autoSpaceDE w:val="0"/>
        <w:autoSpaceDN w:val="0"/>
        <w:adjustRightInd w:val="0"/>
        <w:spacing w:line="480" w:lineRule="auto"/>
        <w:ind w:firstLine="567"/>
        <w:jc w:val="both"/>
        <w:rPr>
          <w:b/>
        </w:rPr>
      </w:pPr>
      <w:r w:rsidRPr="00D505F6">
        <w:rPr>
          <w:b/>
        </w:rPr>
        <w:t>Signals of performance and perceived quality</w:t>
      </w:r>
    </w:p>
    <w:p w:rsidR="00B37541" w:rsidRPr="00AD1AEF" w:rsidRDefault="00B615A6" w:rsidP="00B37541">
      <w:pPr>
        <w:spacing w:line="480" w:lineRule="auto"/>
        <w:ind w:firstLine="567"/>
        <w:jc w:val="both"/>
      </w:pPr>
      <w:r>
        <w:t>A</w:t>
      </w:r>
      <w:r w:rsidR="00B37541" w:rsidRPr="00AD1AEF">
        <w:t xml:space="preserve">nother important antecedent of </w:t>
      </w:r>
      <w:r w:rsidR="00C053A6">
        <w:t>perceived quality</w:t>
      </w:r>
      <w:r w:rsidR="00B37541" w:rsidRPr="00AD1AEF">
        <w:t xml:space="preserve"> is the</w:t>
      </w:r>
      <w:r w:rsidR="00B37541">
        <w:t xml:space="preserve"> performance </w:t>
      </w:r>
      <w:r>
        <w:t>of</w:t>
      </w:r>
      <w:r w:rsidR="00B37541" w:rsidRPr="00AD1AEF">
        <w:t xml:space="preserve"> </w:t>
      </w:r>
      <w:r>
        <w:t>organizational</w:t>
      </w:r>
      <w:r w:rsidR="00B37541">
        <w:t xml:space="preserve"> actions</w:t>
      </w:r>
      <w:r w:rsidR="00B37541" w:rsidRPr="00AD1AEF">
        <w:t xml:space="preserve"> (</w:t>
      </w:r>
      <w:proofErr w:type="spellStart"/>
      <w:r w:rsidR="00B37541" w:rsidRPr="00AD1AEF">
        <w:t>Rindova</w:t>
      </w:r>
      <w:proofErr w:type="spellEnd"/>
      <w:r w:rsidR="00B37541" w:rsidRPr="00AD1AEF">
        <w:t xml:space="preserve"> </w:t>
      </w:r>
      <w:r w:rsidR="00B37541" w:rsidRPr="00216C62">
        <w:rPr>
          <w:i/>
        </w:rPr>
        <w:t>et al</w:t>
      </w:r>
      <w:r w:rsidR="00B37541" w:rsidRPr="00AD1AEF">
        <w:t>.</w:t>
      </w:r>
      <w:r w:rsidR="00B37541">
        <w:t>,</w:t>
      </w:r>
      <w:r w:rsidR="00B37541" w:rsidRPr="00AD1AEF">
        <w:t xml:space="preserve"> 2005). </w:t>
      </w:r>
      <w:r w:rsidR="00B37541">
        <w:t xml:space="preserve">Signals of </w:t>
      </w:r>
      <w:r w:rsidR="00B37541" w:rsidRPr="00AD1AEF">
        <w:t>performanc</w:t>
      </w:r>
      <w:r w:rsidR="00B37541">
        <w:t>e in an activity (i.e. being good at it), are</w:t>
      </w:r>
      <w:r w:rsidR="00B37541" w:rsidRPr="00AD1AEF">
        <w:t xml:space="preserve"> a source </w:t>
      </w:r>
      <w:r w:rsidR="00B37541">
        <w:t>of information about</w:t>
      </w:r>
      <w:r w:rsidR="00B37541" w:rsidRPr="00AD1AEF">
        <w:t xml:space="preserve"> future performance (Lange </w:t>
      </w:r>
      <w:r w:rsidR="00B37541" w:rsidRPr="00216C62">
        <w:rPr>
          <w:i/>
        </w:rPr>
        <w:t>et al</w:t>
      </w:r>
      <w:r w:rsidR="00B37541" w:rsidRPr="00AD1AEF">
        <w:t>.</w:t>
      </w:r>
      <w:r w:rsidR="00B37541">
        <w:t>,</w:t>
      </w:r>
      <w:r w:rsidR="00B37541" w:rsidRPr="00AD1AEF">
        <w:t xml:space="preserve"> 2011).</w:t>
      </w:r>
      <w:r w:rsidR="00B37541">
        <w:t xml:space="preserve"> </w:t>
      </w:r>
      <w:r w:rsidR="00B37541" w:rsidRPr="00AD1AEF">
        <w:t xml:space="preserve">Scholars have examined the impact of past </w:t>
      </w:r>
      <w:r w:rsidR="00B37541">
        <w:t>performance</w:t>
      </w:r>
      <w:r w:rsidR="00B37541" w:rsidRPr="00AD1AEF">
        <w:t xml:space="preserve"> on a firm’s </w:t>
      </w:r>
      <w:r w:rsidR="00BF0B1B">
        <w:t>evaluations</w:t>
      </w:r>
      <w:r w:rsidR="00B37541" w:rsidRPr="00AD1AEF">
        <w:t xml:space="preserve"> </w:t>
      </w:r>
      <w:r w:rsidR="00EA6267">
        <w:t>o</w:t>
      </w:r>
      <w:r w:rsidR="00EA6267" w:rsidRPr="00AD1AEF">
        <w:t xml:space="preserve">n </w:t>
      </w:r>
      <w:r w:rsidR="00B37541" w:rsidRPr="00AD1AEF">
        <w:t xml:space="preserve">numerous occasions (Deephouse and Carter, 2005; </w:t>
      </w:r>
      <w:proofErr w:type="spellStart"/>
      <w:r w:rsidR="00B37541" w:rsidRPr="00AD1AEF">
        <w:t>Fombrun</w:t>
      </w:r>
      <w:proofErr w:type="spellEnd"/>
      <w:r w:rsidR="00B37541" w:rsidRPr="00AD1AEF">
        <w:t xml:space="preserve"> and </w:t>
      </w:r>
      <w:proofErr w:type="spellStart"/>
      <w:r w:rsidR="00B37541" w:rsidRPr="00AD1AEF">
        <w:t>Shanley</w:t>
      </w:r>
      <w:proofErr w:type="spellEnd"/>
      <w:r w:rsidR="00B37541" w:rsidRPr="00AD1AEF">
        <w:t xml:space="preserve">, 1990; Rao, 1994; </w:t>
      </w:r>
      <w:proofErr w:type="spellStart"/>
      <w:r w:rsidR="00B37541" w:rsidRPr="00AD1AEF">
        <w:t>Gabbioneta</w:t>
      </w:r>
      <w:proofErr w:type="spellEnd"/>
      <w:r w:rsidR="00B37541" w:rsidRPr="00AD1AEF">
        <w:t xml:space="preserve">, Ravasi and </w:t>
      </w:r>
      <w:proofErr w:type="spellStart"/>
      <w:r w:rsidR="00B37541" w:rsidRPr="00AD1AEF">
        <w:t>Mazzola</w:t>
      </w:r>
      <w:proofErr w:type="spellEnd"/>
      <w:r w:rsidR="00B37541" w:rsidRPr="00AD1AEF">
        <w:t>, 2007). One of the critical findings in the literature is that high</w:t>
      </w:r>
      <w:r w:rsidR="00EA6267">
        <w:t>-</w:t>
      </w:r>
      <w:r w:rsidR="00B37541" w:rsidRPr="00AD1AEF">
        <w:t xml:space="preserve">performing </w:t>
      </w:r>
      <w:r w:rsidR="00B37541">
        <w:t>organization</w:t>
      </w:r>
      <w:r w:rsidR="00B37541" w:rsidRPr="00AD1AEF">
        <w:t xml:space="preserve">s exploit their success by sending signals to resource holders, thus attracting their </w:t>
      </w:r>
      <w:r w:rsidR="00B37541">
        <w:t>support</w:t>
      </w:r>
      <w:r w:rsidR="00B37541" w:rsidRPr="00AD1AEF">
        <w:t xml:space="preserve">. High-performance signals travel through networks and help important stakeholders assess the future potential of an </w:t>
      </w:r>
      <w:r w:rsidR="00B37541">
        <w:t>organization</w:t>
      </w:r>
      <w:r w:rsidR="00B37541" w:rsidRPr="00AD1AEF">
        <w:t xml:space="preserve"> (</w:t>
      </w:r>
      <w:proofErr w:type="spellStart"/>
      <w:r w:rsidR="00B37541" w:rsidRPr="00AD1AEF">
        <w:t>Fombrun</w:t>
      </w:r>
      <w:proofErr w:type="spellEnd"/>
      <w:r w:rsidR="00B37541" w:rsidRPr="00AD1AEF">
        <w:t xml:space="preserve"> and </w:t>
      </w:r>
      <w:proofErr w:type="spellStart"/>
      <w:r w:rsidR="00B37541" w:rsidRPr="00AD1AEF">
        <w:t>Shanley</w:t>
      </w:r>
      <w:proofErr w:type="spellEnd"/>
      <w:r w:rsidR="00B37541" w:rsidRPr="00AD1AEF">
        <w:t xml:space="preserve">, 1990). </w:t>
      </w:r>
      <w:r w:rsidR="00B37541">
        <w:t>Being good at</w:t>
      </w:r>
      <w:r w:rsidR="00B37541" w:rsidRPr="00AD1AEF">
        <w:t xml:space="preserve"> something</w:t>
      </w:r>
      <w:r w:rsidR="00221F9B">
        <w:t xml:space="preserve"> increases </w:t>
      </w:r>
      <w:r w:rsidR="00EA6267">
        <w:t xml:space="preserve">one’s </w:t>
      </w:r>
      <w:r w:rsidR="00221F9B">
        <w:t>reputation for it (perceived quality)</w:t>
      </w:r>
      <w:r w:rsidR="00EA6267">
        <w:t>,</w:t>
      </w:r>
      <w:r w:rsidR="00221F9B">
        <w:t xml:space="preserve"> a</w:t>
      </w:r>
      <w:r w:rsidR="000B4F5A">
        <w:t xml:space="preserve">s </w:t>
      </w:r>
      <w:r w:rsidR="00661A9F">
        <w:t xml:space="preserve">reputation is built on </w:t>
      </w:r>
      <w:r w:rsidR="00CD3B15">
        <w:t>the</w:t>
      </w:r>
      <w:r w:rsidR="00661A9F">
        <w:t xml:space="preserve"> </w:t>
      </w:r>
      <w:r w:rsidR="00864FE2">
        <w:t xml:space="preserve">perceived </w:t>
      </w:r>
      <w:r w:rsidR="00661A9F">
        <w:t>pattern of success</w:t>
      </w:r>
      <w:r w:rsidR="00426F43">
        <w:t xml:space="preserve"> (</w:t>
      </w:r>
      <w:proofErr w:type="spellStart"/>
      <w:r w:rsidR="00426F43">
        <w:t>Fombrun</w:t>
      </w:r>
      <w:proofErr w:type="spellEnd"/>
      <w:r w:rsidR="00426F43">
        <w:t>, 1996)</w:t>
      </w:r>
      <w:r w:rsidR="00B37541" w:rsidRPr="00AD1AEF">
        <w:t xml:space="preserve">. </w:t>
      </w:r>
    </w:p>
    <w:p w:rsidR="006A134F" w:rsidRDefault="00B37541" w:rsidP="00221F9B">
      <w:pPr>
        <w:autoSpaceDE w:val="0"/>
        <w:autoSpaceDN w:val="0"/>
        <w:adjustRightInd w:val="0"/>
        <w:spacing w:line="480" w:lineRule="auto"/>
        <w:ind w:firstLine="567"/>
        <w:jc w:val="both"/>
      </w:pPr>
      <w:r>
        <w:t>Based on the above principles, we argue</w:t>
      </w:r>
      <w:r w:rsidRPr="00AD1AEF">
        <w:t xml:space="preserve"> that</w:t>
      </w:r>
      <w:r>
        <w:t xml:space="preserve"> signals of performance </w:t>
      </w:r>
      <w:r w:rsidR="00DC7E53">
        <w:t>for a peripheral</w:t>
      </w:r>
      <w:r>
        <w:t xml:space="preserve"> activity raise the perceived quality dimension of reputation</w:t>
      </w:r>
      <w:r w:rsidR="00221F9B">
        <w:t xml:space="preserve"> for this activity. </w:t>
      </w:r>
      <w:r w:rsidR="00CD3B15">
        <w:t>S</w:t>
      </w:r>
      <w:r w:rsidR="00221F9B">
        <w:t>ignals of performance</w:t>
      </w:r>
      <w:r>
        <w:t xml:space="preserve"> </w:t>
      </w:r>
      <w:r w:rsidR="00B20855">
        <w:t xml:space="preserve">provide </w:t>
      </w:r>
      <w:r w:rsidR="00221F9B">
        <w:t xml:space="preserve">an indication of the organization’s potential to </w:t>
      </w:r>
      <w:r w:rsidR="00DC7E53">
        <w:t xml:space="preserve">continue </w:t>
      </w:r>
      <w:r w:rsidR="00EA6267">
        <w:t xml:space="preserve">to </w:t>
      </w:r>
      <w:r w:rsidR="00221F9B">
        <w:t xml:space="preserve">deliver results </w:t>
      </w:r>
      <w:r w:rsidR="00B20855">
        <w:t>in the</w:t>
      </w:r>
      <w:r w:rsidR="00221F9B">
        <w:t xml:space="preserve"> focal</w:t>
      </w:r>
      <w:r w:rsidR="00B20855">
        <w:t xml:space="preserve"> activity</w:t>
      </w:r>
      <w:r w:rsidR="00DC7E53">
        <w:t xml:space="preserve"> in the future</w:t>
      </w:r>
      <w:r w:rsidR="00CD3B15">
        <w:t>. I</w:t>
      </w:r>
      <w:r w:rsidR="00221F9B">
        <w:t xml:space="preserve">n our context, the performance of a university’s spinoffs relates to its perceived quality </w:t>
      </w:r>
      <w:r w:rsidR="00DC7E53">
        <w:t xml:space="preserve">for </w:t>
      </w:r>
      <w:r w:rsidR="00547B6E">
        <w:t>impact. H</w:t>
      </w:r>
      <w:r w:rsidR="00221F9B">
        <w:t xml:space="preserve">igh-performing spinoffs signal that a focal university </w:t>
      </w:r>
      <w:r w:rsidR="00221F9B" w:rsidRPr="00CD3B15">
        <w:rPr>
          <w:i/>
        </w:rPr>
        <w:t>is good</w:t>
      </w:r>
      <w:r w:rsidR="00221F9B">
        <w:t xml:space="preserve"> at </w:t>
      </w:r>
      <w:r w:rsidR="000B4F5A">
        <w:t>delivering impact</w:t>
      </w:r>
      <w:r w:rsidR="00202888">
        <w:t xml:space="preserve"> </w:t>
      </w:r>
      <w:r w:rsidR="0040732E">
        <w:t>(</w:t>
      </w:r>
      <w:r w:rsidR="00202888">
        <w:t xml:space="preserve">which is </w:t>
      </w:r>
      <w:r w:rsidR="000B4F5A">
        <w:lastRenderedPageBreak/>
        <w:t>distinct from</w:t>
      </w:r>
      <w:r w:rsidR="0040732E">
        <w:t xml:space="preserve"> just</w:t>
      </w:r>
      <w:r w:rsidR="00221F9B">
        <w:t xml:space="preserve"> </w:t>
      </w:r>
      <w:r w:rsidR="00221F9B" w:rsidRPr="00CD3B15">
        <w:rPr>
          <w:i/>
        </w:rPr>
        <w:t>trying hard</w:t>
      </w:r>
      <w:r w:rsidR="0040732E">
        <w:t>).</w:t>
      </w:r>
      <w:r w:rsidR="00221F9B">
        <w:t xml:space="preserve"> S</w:t>
      </w:r>
      <w:r w:rsidR="00131547">
        <w:t>uch s</w:t>
      </w:r>
      <w:r w:rsidR="00221F9B">
        <w:t xml:space="preserve">ignals </w:t>
      </w:r>
      <w:r w:rsidR="000B4F5A">
        <w:t>indicate</w:t>
      </w:r>
      <w:r w:rsidR="00221F9B">
        <w:t xml:space="preserve"> </w:t>
      </w:r>
      <w:r w:rsidR="00131547">
        <w:t xml:space="preserve">the </w:t>
      </w:r>
      <w:r w:rsidR="00221F9B">
        <w:t>potential</w:t>
      </w:r>
      <w:r w:rsidR="00DC7E53">
        <w:t xml:space="preserve"> </w:t>
      </w:r>
      <w:r w:rsidR="00221F9B">
        <w:t>f</w:t>
      </w:r>
      <w:r w:rsidR="00DC7E53">
        <w:t>or</w:t>
      </w:r>
      <w:r w:rsidR="00221F9B">
        <w:t xml:space="preserve"> the university to </w:t>
      </w:r>
      <w:r w:rsidR="00202888">
        <w:t xml:space="preserve">continue </w:t>
      </w:r>
      <w:r w:rsidR="00221F9B">
        <w:t>deliver</w:t>
      </w:r>
      <w:r w:rsidR="00202888">
        <w:t>ing</w:t>
      </w:r>
      <w:r w:rsidR="00426F43">
        <w:t xml:space="preserve"> </w:t>
      </w:r>
      <w:r w:rsidR="00221F9B">
        <w:t>impact in the future</w:t>
      </w:r>
      <w:r w:rsidR="00DC7E53">
        <w:t>.</w:t>
      </w:r>
      <w:r w:rsidR="00221F9B">
        <w:t xml:space="preserve"> </w:t>
      </w:r>
      <w:r w:rsidR="00B20855">
        <w:t xml:space="preserve"> </w:t>
      </w:r>
    </w:p>
    <w:p w:rsidR="006A134F" w:rsidRPr="00D505F6" w:rsidRDefault="006A134F" w:rsidP="00B37541">
      <w:pPr>
        <w:autoSpaceDE w:val="0"/>
        <w:autoSpaceDN w:val="0"/>
        <w:adjustRightInd w:val="0"/>
        <w:spacing w:line="480" w:lineRule="auto"/>
        <w:ind w:firstLine="567"/>
        <w:jc w:val="both"/>
        <w:rPr>
          <w:b/>
        </w:rPr>
      </w:pPr>
      <w:r>
        <w:rPr>
          <w:b/>
        </w:rPr>
        <w:t>T</w:t>
      </w:r>
      <w:r w:rsidR="00D873C6">
        <w:rPr>
          <w:b/>
        </w:rPr>
        <w:t>he representativeness heuristic</w:t>
      </w:r>
    </w:p>
    <w:p w:rsidR="007B5334" w:rsidRDefault="00152E69" w:rsidP="00B37541">
      <w:pPr>
        <w:autoSpaceDE w:val="0"/>
        <w:autoSpaceDN w:val="0"/>
        <w:adjustRightInd w:val="0"/>
        <w:spacing w:line="480" w:lineRule="auto"/>
        <w:ind w:firstLine="567"/>
        <w:jc w:val="both"/>
        <w:rPr>
          <w:rFonts w:eastAsia="Times New Roman"/>
        </w:rPr>
      </w:pPr>
      <w:r>
        <w:t>W</w:t>
      </w:r>
      <w:r w:rsidR="009F3682">
        <w:t xml:space="preserve">e argue that </w:t>
      </w:r>
      <w:r w:rsidR="00CD3B15">
        <w:t xml:space="preserve">the </w:t>
      </w:r>
      <w:r w:rsidR="00793D24">
        <w:t>perceived quality</w:t>
      </w:r>
      <w:r w:rsidR="007F1088" w:rsidRPr="00C979B2">
        <w:t xml:space="preserve"> </w:t>
      </w:r>
      <w:r w:rsidR="00CD3B15">
        <w:t>of</w:t>
      </w:r>
      <w:r w:rsidR="007F1088" w:rsidRPr="00C979B2">
        <w:t xml:space="preserve"> </w:t>
      </w:r>
      <w:r w:rsidR="002D391F">
        <w:t>a</w:t>
      </w:r>
      <w:r w:rsidR="00645081" w:rsidRPr="00C979B2">
        <w:t xml:space="preserve"> peripheral activity </w:t>
      </w:r>
      <w:r w:rsidR="00793D24">
        <w:t xml:space="preserve">(developed by signals of </w:t>
      </w:r>
      <w:r w:rsidR="006341F5">
        <w:t>effort</w:t>
      </w:r>
      <w:r w:rsidR="00793D24">
        <w:t xml:space="preserve"> and performance as we suggested above) </w:t>
      </w:r>
      <w:r w:rsidR="000E5CF6">
        <w:t>is positively associated with</w:t>
      </w:r>
      <w:r w:rsidR="00645081" w:rsidRPr="00C979B2">
        <w:t xml:space="preserve"> </w:t>
      </w:r>
      <w:r>
        <w:t>audience evaluations</w:t>
      </w:r>
      <w:r w:rsidR="00291ABA">
        <w:t xml:space="preserve"> </w:t>
      </w:r>
      <w:r>
        <w:t>of</w:t>
      </w:r>
      <w:r w:rsidR="00C979B2" w:rsidRPr="00C979B2">
        <w:t xml:space="preserve"> the core activity</w:t>
      </w:r>
      <w:r w:rsidR="00311703">
        <w:t xml:space="preserve"> via the representativeness heuristic</w:t>
      </w:r>
      <w:r w:rsidR="00C979B2" w:rsidRPr="00C979B2">
        <w:t>.</w:t>
      </w:r>
      <w:r w:rsidR="00EF7413">
        <w:t xml:space="preserve"> </w:t>
      </w:r>
      <w:r w:rsidR="00C979B2" w:rsidRPr="00C979B2">
        <w:rPr>
          <w:rFonts w:eastAsia="Times New Roman"/>
        </w:rPr>
        <w:t xml:space="preserve">We know from research </w:t>
      </w:r>
      <w:r w:rsidR="00EA6267">
        <w:rPr>
          <w:rFonts w:eastAsia="Times New Roman"/>
        </w:rPr>
        <w:t>o</w:t>
      </w:r>
      <w:r w:rsidR="00EA6267" w:rsidRPr="00C979B2">
        <w:rPr>
          <w:rFonts w:eastAsia="Times New Roman"/>
        </w:rPr>
        <w:t xml:space="preserve">n </w:t>
      </w:r>
      <w:r w:rsidR="00C979B2" w:rsidRPr="00C979B2">
        <w:rPr>
          <w:rFonts w:eastAsia="Times New Roman"/>
        </w:rPr>
        <w:t>social cognition that evaluators are generally cognitive misers</w:t>
      </w:r>
      <w:r w:rsidR="00EA6267">
        <w:rPr>
          <w:rFonts w:eastAsia="Times New Roman"/>
        </w:rPr>
        <w:t>;</w:t>
      </w:r>
      <w:r w:rsidR="00EA6267" w:rsidRPr="00C979B2">
        <w:rPr>
          <w:rFonts w:eastAsia="Times New Roman"/>
        </w:rPr>
        <w:t xml:space="preserve"> </w:t>
      </w:r>
      <w:r w:rsidR="00C979B2" w:rsidRPr="00C979B2">
        <w:rPr>
          <w:rFonts w:eastAsia="Times New Roman"/>
        </w:rPr>
        <w:t>in other words</w:t>
      </w:r>
      <w:r w:rsidR="00EA6267">
        <w:rPr>
          <w:rFonts w:eastAsia="Times New Roman"/>
        </w:rPr>
        <w:t>,</w:t>
      </w:r>
      <w:r w:rsidR="00C979B2" w:rsidRPr="00C979B2">
        <w:rPr>
          <w:rFonts w:eastAsia="Times New Roman"/>
        </w:rPr>
        <w:t xml:space="preserve"> they are looking for ways to minimize their cognitive effort (Fiske and Taylor, 1991). People save time and effort </w:t>
      </w:r>
      <w:r w:rsidR="00EA6267">
        <w:rPr>
          <w:rFonts w:eastAsia="Times New Roman"/>
        </w:rPr>
        <w:t>while</w:t>
      </w:r>
      <w:r w:rsidR="00EA6267" w:rsidRPr="00C979B2">
        <w:rPr>
          <w:rFonts w:eastAsia="Times New Roman"/>
        </w:rPr>
        <w:t xml:space="preserve"> </w:t>
      </w:r>
      <w:r w:rsidR="00C979B2" w:rsidRPr="00C979B2">
        <w:rPr>
          <w:rFonts w:eastAsia="Times New Roman"/>
        </w:rPr>
        <w:t xml:space="preserve">making judgments by using </w:t>
      </w:r>
      <w:r w:rsidR="004A135D">
        <w:rPr>
          <w:rFonts w:eastAsia="Times New Roman"/>
        </w:rPr>
        <w:t xml:space="preserve">fast-thinking </w:t>
      </w:r>
      <w:r w:rsidR="007B5334">
        <w:rPr>
          <w:rFonts w:eastAsia="Times New Roman"/>
        </w:rPr>
        <w:t>heuristics (</w:t>
      </w:r>
      <w:proofErr w:type="spellStart"/>
      <w:r w:rsidR="007B5334">
        <w:rPr>
          <w:rFonts w:eastAsia="Times New Roman"/>
        </w:rPr>
        <w:t>Kahneman</w:t>
      </w:r>
      <w:proofErr w:type="spellEnd"/>
      <w:r w:rsidR="007B5334">
        <w:rPr>
          <w:rFonts w:eastAsia="Times New Roman"/>
        </w:rPr>
        <w:t>, 2011</w:t>
      </w:r>
      <w:r w:rsidR="00C979B2" w:rsidRPr="00C979B2">
        <w:rPr>
          <w:rFonts w:eastAsia="Times New Roman"/>
        </w:rPr>
        <w:t xml:space="preserve">), which are timesaving mental shortcuts. </w:t>
      </w:r>
      <w:r w:rsidR="007B5334">
        <w:rPr>
          <w:rFonts w:eastAsia="Times New Roman"/>
        </w:rPr>
        <w:t>H</w:t>
      </w:r>
      <w:r w:rsidR="007B5334" w:rsidRPr="00C979B2">
        <w:rPr>
          <w:rFonts w:eastAsia="Times New Roman"/>
        </w:rPr>
        <w:t>euristics are usually effective and highly economical</w:t>
      </w:r>
      <w:r w:rsidR="007B5334">
        <w:rPr>
          <w:rFonts w:eastAsia="Times New Roman"/>
        </w:rPr>
        <w:t xml:space="preserve"> ways to decide</w:t>
      </w:r>
      <w:r w:rsidR="007B5334" w:rsidRPr="00C979B2">
        <w:rPr>
          <w:rFonts w:eastAsia="Times New Roman"/>
        </w:rPr>
        <w:t>, but they often lead to systematic and predictable errors (</w:t>
      </w:r>
      <w:proofErr w:type="spellStart"/>
      <w:r w:rsidR="007B5334" w:rsidRPr="00C979B2">
        <w:rPr>
          <w:rFonts w:eastAsia="Times New Roman"/>
        </w:rPr>
        <w:t>Tversky</w:t>
      </w:r>
      <w:proofErr w:type="spellEnd"/>
      <w:r w:rsidR="007B5334" w:rsidRPr="00C979B2">
        <w:rPr>
          <w:rFonts w:eastAsia="Times New Roman"/>
        </w:rPr>
        <w:t xml:space="preserve"> and </w:t>
      </w:r>
      <w:proofErr w:type="spellStart"/>
      <w:r w:rsidR="007B5334" w:rsidRPr="00C979B2">
        <w:rPr>
          <w:rFonts w:eastAsia="Times New Roman"/>
        </w:rPr>
        <w:t>Kahneman</w:t>
      </w:r>
      <w:proofErr w:type="spellEnd"/>
      <w:r w:rsidR="007B5334" w:rsidRPr="00C979B2">
        <w:rPr>
          <w:rFonts w:eastAsia="Times New Roman"/>
        </w:rPr>
        <w:t>, 1974).</w:t>
      </w:r>
    </w:p>
    <w:p w:rsidR="00261D4B" w:rsidRPr="000A69C0" w:rsidRDefault="00B615A6">
      <w:pPr>
        <w:autoSpaceDE w:val="0"/>
        <w:autoSpaceDN w:val="0"/>
        <w:adjustRightInd w:val="0"/>
        <w:spacing w:line="480" w:lineRule="auto"/>
        <w:ind w:firstLine="567"/>
        <w:jc w:val="both"/>
      </w:pPr>
      <w:r>
        <w:rPr>
          <w:rFonts w:eastAsia="Times New Roman"/>
        </w:rPr>
        <w:t>In absence of specific information, w</w:t>
      </w:r>
      <w:r w:rsidR="00616FDF">
        <w:rPr>
          <w:rFonts w:eastAsia="Times New Roman"/>
        </w:rPr>
        <w:t xml:space="preserve">hen people evaluate </w:t>
      </w:r>
      <w:r w:rsidR="003C2378">
        <w:rPr>
          <w:rFonts w:eastAsia="Times New Roman"/>
        </w:rPr>
        <w:t>activity A</w:t>
      </w:r>
      <w:r w:rsidR="00EA6267">
        <w:rPr>
          <w:rFonts w:eastAsia="Times New Roman"/>
        </w:rPr>
        <w:t>,</w:t>
      </w:r>
      <w:r w:rsidR="003C2378">
        <w:rPr>
          <w:rFonts w:eastAsia="Times New Roman"/>
        </w:rPr>
        <w:t xml:space="preserve"> </w:t>
      </w:r>
      <w:r w:rsidR="00C979B2" w:rsidRPr="00C979B2">
        <w:rPr>
          <w:rFonts w:eastAsia="Times New Roman"/>
        </w:rPr>
        <w:t xml:space="preserve">they </w:t>
      </w:r>
      <w:r w:rsidR="00EE4E76">
        <w:rPr>
          <w:rFonts w:eastAsia="Times New Roman"/>
        </w:rPr>
        <w:t>often</w:t>
      </w:r>
      <w:r w:rsidR="003C2378">
        <w:rPr>
          <w:rFonts w:eastAsia="Times New Roman"/>
        </w:rPr>
        <w:t xml:space="preserve"> look for </w:t>
      </w:r>
      <w:r w:rsidR="00B74709">
        <w:rPr>
          <w:rFonts w:eastAsia="Times New Roman"/>
        </w:rPr>
        <w:t>indications</w:t>
      </w:r>
      <w:r w:rsidR="003C2378">
        <w:rPr>
          <w:rFonts w:eastAsia="Times New Roman"/>
        </w:rPr>
        <w:t xml:space="preserve"> in another activity B, which </w:t>
      </w:r>
      <w:r w:rsidR="006341F5">
        <w:rPr>
          <w:rFonts w:eastAsia="Times New Roman"/>
        </w:rPr>
        <w:t>is intuitively associated with</w:t>
      </w:r>
      <w:r w:rsidR="003C2378">
        <w:rPr>
          <w:rFonts w:eastAsia="Times New Roman"/>
        </w:rPr>
        <w:t xml:space="preserve"> (is representative of</w:t>
      </w:r>
      <w:r w:rsidR="00C979B2" w:rsidRPr="00C979B2">
        <w:rPr>
          <w:rFonts w:eastAsia="Times New Roman"/>
        </w:rPr>
        <w:t>)</w:t>
      </w:r>
      <w:r w:rsidR="00EA6267">
        <w:rPr>
          <w:rFonts w:eastAsia="Times New Roman"/>
        </w:rPr>
        <w:t xml:space="preserve"> A</w:t>
      </w:r>
      <w:r w:rsidR="00C979B2" w:rsidRPr="00C979B2">
        <w:rPr>
          <w:rFonts w:eastAsia="Times New Roman"/>
        </w:rPr>
        <w:t xml:space="preserve">. </w:t>
      </w:r>
      <w:r w:rsidR="006341F5">
        <w:rPr>
          <w:rFonts w:eastAsia="Times New Roman"/>
        </w:rPr>
        <w:t>I</w:t>
      </w:r>
      <w:r w:rsidR="0079500B">
        <w:rPr>
          <w:rFonts w:eastAsia="Times New Roman"/>
        </w:rPr>
        <w:t>n a</w:t>
      </w:r>
      <w:r w:rsidR="006341F5">
        <w:rPr>
          <w:rFonts w:eastAsia="Times New Roman"/>
        </w:rPr>
        <w:t xml:space="preserve"> classic example, when patients in a hospital </w:t>
      </w:r>
      <w:r w:rsidR="00426F43">
        <w:rPr>
          <w:rFonts w:eastAsia="Times New Roman"/>
        </w:rPr>
        <w:t>want to speak</w:t>
      </w:r>
      <w:r w:rsidR="006341F5">
        <w:rPr>
          <w:rFonts w:eastAsia="Times New Roman"/>
        </w:rPr>
        <w:t xml:space="preserve"> to a doctor, they are likely to approach </w:t>
      </w:r>
      <w:r w:rsidR="007E4D96">
        <w:rPr>
          <w:rFonts w:eastAsia="Times New Roman"/>
        </w:rPr>
        <w:t xml:space="preserve">a person wearing a white </w:t>
      </w:r>
      <w:r w:rsidR="00EA6267">
        <w:rPr>
          <w:rFonts w:eastAsia="Times New Roman"/>
        </w:rPr>
        <w:t>lab coat</w:t>
      </w:r>
      <w:r w:rsidR="006341F5">
        <w:rPr>
          <w:rFonts w:eastAsia="Times New Roman"/>
        </w:rPr>
        <w:t xml:space="preserve">. This is because wearing </w:t>
      </w:r>
      <w:r w:rsidR="007E4D96">
        <w:rPr>
          <w:rFonts w:eastAsia="Times New Roman"/>
        </w:rPr>
        <w:t xml:space="preserve">a white </w:t>
      </w:r>
      <w:r w:rsidR="00EA6267">
        <w:rPr>
          <w:rFonts w:eastAsia="Times New Roman"/>
        </w:rPr>
        <w:t xml:space="preserve">lab coat </w:t>
      </w:r>
      <w:r w:rsidR="006341F5">
        <w:rPr>
          <w:rFonts w:eastAsia="Times New Roman"/>
        </w:rPr>
        <w:t>is intuitively associated</w:t>
      </w:r>
      <w:r w:rsidR="00B74709">
        <w:rPr>
          <w:rFonts w:eastAsia="Times New Roman"/>
        </w:rPr>
        <w:t xml:space="preserve"> with</w:t>
      </w:r>
      <w:r w:rsidR="006341F5">
        <w:rPr>
          <w:rFonts w:eastAsia="Times New Roman"/>
        </w:rPr>
        <w:t xml:space="preserve"> </w:t>
      </w:r>
      <w:r w:rsidR="0055351C">
        <w:rPr>
          <w:rFonts w:eastAsia="Times New Roman"/>
        </w:rPr>
        <w:t xml:space="preserve">a person </w:t>
      </w:r>
      <w:r w:rsidR="006341F5">
        <w:rPr>
          <w:rFonts w:eastAsia="Times New Roman"/>
        </w:rPr>
        <w:t>being a doctor (</w:t>
      </w:r>
      <w:r w:rsidR="0055351C">
        <w:rPr>
          <w:rFonts w:eastAsia="Times New Roman"/>
        </w:rPr>
        <w:t>which</w:t>
      </w:r>
      <w:r w:rsidR="006341F5">
        <w:rPr>
          <w:rFonts w:eastAsia="Times New Roman"/>
        </w:rPr>
        <w:t xml:space="preserve"> is </w:t>
      </w:r>
      <w:r w:rsidR="00403B3D">
        <w:rPr>
          <w:rFonts w:eastAsia="Times New Roman"/>
        </w:rPr>
        <w:t xml:space="preserve">often </w:t>
      </w:r>
      <w:r w:rsidR="006C727B">
        <w:rPr>
          <w:rFonts w:eastAsia="Times New Roman"/>
        </w:rPr>
        <w:t xml:space="preserve">true </w:t>
      </w:r>
      <w:r w:rsidR="00403B3D">
        <w:rPr>
          <w:rFonts w:eastAsia="Times New Roman"/>
        </w:rPr>
        <w:t xml:space="preserve">but </w:t>
      </w:r>
      <w:r w:rsidR="006341F5">
        <w:rPr>
          <w:rFonts w:eastAsia="Times New Roman"/>
        </w:rPr>
        <w:t>not always the case)</w:t>
      </w:r>
      <w:r w:rsidR="006341F5" w:rsidRPr="006341F5">
        <w:rPr>
          <w:rFonts w:eastAsia="Times New Roman"/>
        </w:rPr>
        <w:t xml:space="preserve"> </w:t>
      </w:r>
      <w:r w:rsidR="006341F5" w:rsidRPr="00C979B2">
        <w:rPr>
          <w:rFonts w:eastAsia="Times New Roman"/>
        </w:rPr>
        <w:t>(</w:t>
      </w:r>
      <w:proofErr w:type="spellStart"/>
      <w:r w:rsidR="006341F5" w:rsidRPr="00C979B2">
        <w:rPr>
          <w:rFonts w:eastAsia="Times New Roman"/>
        </w:rPr>
        <w:t>Tversky</w:t>
      </w:r>
      <w:proofErr w:type="spellEnd"/>
      <w:r w:rsidR="006341F5" w:rsidRPr="00C979B2">
        <w:rPr>
          <w:rFonts w:eastAsia="Times New Roman"/>
        </w:rPr>
        <w:t xml:space="preserve"> and </w:t>
      </w:r>
      <w:proofErr w:type="spellStart"/>
      <w:r w:rsidR="006341F5" w:rsidRPr="00C979B2">
        <w:rPr>
          <w:rFonts w:eastAsia="Times New Roman"/>
        </w:rPr>
        <w:t>Kahneman</w:t>
      </w:r>
      <w:proofErr w:type="spellEnd"/>
      <w:r w:rsidR="006341F5" w:rsidRPr="00C979B2">
        <w:rPr>
          <w:rFonts w:eastAsia="Times New Roman"/>
        </w:rPr>
        <w:t>, 1974)</w:t>
      </w:r>
      <w:r w:rsidR="006341F5">
        <w:rPr>
          <w:rFonts w:eastAsia="Times New Roman"/>
        </w:rPr>
        <w:t xml:space="preserve">. </w:t>
      </w:r>
      <w:r w:rsidR="00C979B2" w:rsidRPr="00C979B2">
        <w:rPr>
          <w:rFonts w:eastAsia="Times New Roman"/>
        </w:rPr>
        <w:t xml:space="preserve">Taking </w:t>
      </w:r>
      <w:r w:rsidR="006341F5">
        <w:rPr>
          <w:rFonts w:eastAsia="Times New Roman"/>
        </w:rPr>
        <w:t>intuitive association</w:t>
      </w:r>
      <w:r w:rsidR="00C979B2" w:rsidRPr="00C979B2">
        <w:rPr>
          <w:rFonts w:eastAsia="Times New Roman"/>
        </w:rPr>
        <w:t xml:space="preserve"> </w:t>
      </w:r>
      <w:r w:rsidR="0079500B">
        <w:rPr>
          <w:rFonts w:eastAsia="Times New Roman"/>
        </w:rPr>
        <w:t xml:space="preserve">between two activities </w:t>
      </w:r>
      <w:r w:rsidR="00C979B2" w:rsidRPr="00C979B2">
        <w:rPr>
          <w:rFonts w:eastAsia="Times New Roman"/>
        </w:rPr>
        <w:t>as evi</w:t>
      </w:r>
      <w:r w:rsidR="00261D4B">
        <w:rPr>
          <w:rFonts w:eastAsia="Times New Roman"/>
        </w:rPr>
        <w:t xml:space="preserve">dence of covariance is the core </w:t>
      </w:r>
      <w:r w:rsidR="00C979B2" w:rsidRPr="00C979B2">
        <w:rPr>
          <w:rFonts w:eastAsia="Times New Roman"/>
        </w:rPr>
        <w:t xml:space="preserve">mechanism of the representativeness heuristic. </w:t>
      </w:r>
      <w:r w:rsidR="00CB6527">
        <w:rPr>
          <w:rFonts w:eastAsia="Times New Roman"/>
        </w:rPr>
        <w:t>I</w:t>
      </w:r>
      <w:r w:rsidR="00C979B2" w:rsidRPr="00C979B2">
        <w:rPr>
          <w:rFonts w:eastAsia="Times New Roman"/>
        </w:rPr>
        <w:t>n our context, social impact</w:t>
      </w:r>
      <w:r w:rsidR="00261D4B">
        <w:rPr>
          <w:rFonts w:eastAsia="Times New Roman"/>
        </w:rPr>
        <w:t xml:space="preserve"> could be used as a</w:t>
      </w:r>
      <w:r w:rsidR="00B74709">
        <w:rPr>
          <w:rFonts w:eastAsia="Times New Roman"/>
        </w:rPr>
        <w:t>n indicator</w:t>
      </w:r>
      <w:r w:rsidR="00261D4B">
        <w:rPr>
          <w:rFonts w:eastAsia="Times New Roman"/>
        </w:rPr>
        <w:t xml:space="preserve"> </w:t>
      </w:r>
      <w:r w:rsidR="00B74709">
        <w:rPr>
          <w:rFonts w:eastAsia="Times New Roman"/>
        </w:rPr>
        <w:t>of</w:t>
      </w:r>
      <w:r w:rsidR="00C979B2">
        <w:rPr>
          <w:rFonts w:eastAsia="Times New Roman"/>
        </w:rPr>
        <w:t xml:space="preserve"> good research</w:t>
      </w:r>
      <w:r w:rsidR="0002556A">
        <w:rPr>
          <w:rFonts w:eastAsia="Times New Roman"/>
        </w:rPr>
        <w:t>,</w:t>
      </w:r>
      <w:r w:rsidR="00EB3622">
        <w:rPr>
          <w:rFonts w:eastAsia="Times New Roman"/>
        </w:rPr>
        <w:t xml:space="preserve"> as</w:t>
      </w:r>
      <w:r w:rsidR="00261D4B">
        <w:rPr>
          <w:rFonts w:eastAsia="Times New Roman"/>
        </w:rPr>
        <w:t xml:space="preserve"> </w:t>
      </w:r>
      <w:r w:rsidR="00EB3622">
        <w:rPr>
          <w:rFonts w:eastAsia="Times New Roman"/>
        </w:rPr>
        <w:t>i</w:t>
      </w:r>
      <w:r w:rsidR="00C979B2" w:rsidRPr="00C979B2">
        <w:rPr>
          <w:rFonts w:eastAsia="Times New Roman"/>
        </w:rPr>
        <w:t>t is intuitive t</w:t>
      </w:r>
      <w:r w:rsidR="004A135D">
        <w:rPr>
          <w:rFonts w:eastAsia="Times New Roman"/>
        </w:rPr>
        <w:t>hat impact</w:t>
      </w:r>
      <w:r w:rsidR="003C3042">
        <w:rPr>
          <w:rFonts w:eastAsia="Times New Roman"/>
        </w:rPr>
        <w:t xml:space="preserve"> and</w:t>
      </w:r>
      <w:r w:rsidR="00616FDF">
        <w:rPr>
          <w:rFonts w:eastAsia="Times New Roman"/>
        </w:rPr>
        <w:t xml:space="preserve"> </w:t>
      </w:r>
      <w:r w:rsidR="00C979B2">
        <w:rPr>
          <w:rFonts w:eastAsia="Times New Roman"/>
        </w:rPr>
        <w:t>good research</w:t>
      </w:r>
      <w:r w:rsidR="003C3042">
        <w:rPr>
          <w:rFonts w:eastAsia="Times New Roman"/>
        </w:rPr>
        <w:t xml:space="preserve"> should be a</w:t>
      </w:r>
      <w:r w:rsidR="006341F5">
        <w:rPr>
          <w:rFonts w:eastAsia="Times New Roman"/>
        </w:rPr>
        <w:t>ssociated</w:t>
      </w:r>
      <w:r w:rsidR="0002556A">
        <w:rPr>
          <w:rFonts w:eastAsia="Times New Roman"/>
        </w:rPr>
        <w:t>.</w:t>
      </w:r>
      <w:r w:rsidR="00261D4B">
        <w:rPr>
          <w:rFonts w:eastAsia="Times New Roman"/>
        </w:rPr>
        <w:t xml:space="preserve"> </w:t>
      </w:r>
      <w:r w:rsidR="004A135D">
        <w:rPr>
          <w:rFonts w:eastAsia="Times New Roman"/>
        </w:rPr>
        <w:t>In reality</w:t>
      </w:r>
      <w:r w:rsidR="00C979B2">
        <w:rPr>
          <w:rFonts w:eastAsia="Times New Roman"/>
        </w:rPr>
        <w:t xml:space="preserve">, </w:t>
      </w:r>
      <w:r w:rsidR="00C979B2" w:rsidRPr="00C979B2">
        <w:rPr>
          <w:rFonts w:eastAsia="Times New Roman"/>
        </w:rPr>
        <w:t>the two attributes do not necessarily co-vary; breakthrough research is often far from having commercial applications</w:t>
      </w:r>
      <w:r w:rsidR="00EA6267">
        <w:rPr>
          <w:rFonts w:eastAsia="Times New Roman"/>
        </w:rPr>
        <w:t>,</w:t>
      </w:r>
      <w:r w:rsidR="00C979B2" w:rsidRPr="00C979B2">
        <w:rPr>
          <w:rFonts w:eastAsia="Times New Roman"/>
        </w:rPr>
        <w:t xml:space="preserve"> and </w:t>
      </w:r>
      <w:r w:rsidR="00261D4B">
        <w:rPr>
          <w:rFonts w:eastAsia="Times New Roman"/>
        </w:rPr>
        <w:t xml:space="preserve">spinoffs are often </w:t>
      </w:r>
      <w:r w:rsidR="008605AE">
        <w:rPr>
          <w:rFonts w:eastAsia="Times New Roman"/>
        </w:rPr>
        <w:t>based</w:t>
      </w:r>
      <w:r w:rsidR="00261D4B">
        <w:rPr>
          <w:rFonts w:eastAsia="Times New Roman"/>
        </w:rPr>
        <w:t xml:space="preserve"> o</w:t>
      </w:r>
      <w:r w:rsidR="008605AE">
        <w:rPr>
          <w:rFonts w:eastAsia="Times New Roman"/>
        </w:rPr>
        <w:t>n incremental</w:t>
      </w:r>
      <w:r w:rsidR="004A135D">
        <w:rPr>
          <w:rFonts w:eastAsia="Times New Roman"/>
        </w:rPr>
        <w:t xml:space="preserve"> applied</w:t>
      </w:r>
      <w:r w:rsidR="00EA6267">
        <w:rPr>
          <w:rFonts w:eastAsia="Times New Roman"/>
        </w:rPr>
        <w:t xml:space="preserve"> </w:t>
      </w:r>
      <w:r w:rsidR="004A135D">
        <w:rPr>
          <w:rFonts w:eastAsia="Times New Roman"/>
        </w:rPr>
        <w:t xml:space="preserve">research. </w:t>
      </w:r>
      <w:r w:rsidR="00EA6267">
        <w:rPr>
          <w:rFonts w:eastAsia="Times New Roman"/>
        </w:rPr>
        <w:t>Nevertheless</w:t>
      </w:r>
      <w:r w:rsidR="004A135D">
        <w:rPr>
          <w:rFonts w:eastAsia="Times New Roman"/>
        </w:rPr>
        <w:t>,</w:t>
      </w:r>
      <w:r w:rsidR="00C979B2" w:rsidRPr="00C979B2">
        <w:rPr>
          <w:rFonts w:eastAsia="Times New Roman"/>
        </w:rPr>
        <w:t xml:space="preserve"> using the</w:t>
      </w:r>
      <w:r w:rsidR="00C979B2">
        <w:rPr>
          <w:rFonts w:eastAsia="Times New Roman"/>
        </w:rPr>
        <w:t xml:space="preserve"> representative</w:t>
      </w:r>
      <w:r w:rsidR="007E2DC1">
        <w:rPr>
          <w:rFonts w:eastAsia="Times New Roman"/>
        </w:rPr>
        <w:t>ness</w:t>
      </w:r>
      <w:r w:rsidR="00C979B2">
        <w:rPr>
          <w:rFonts w:eastAsia="Times New Roman"/>
        </w:rPr>
        <w:t xml:space="preserve"> heuristic</w:t>
      </w:r>
      <w:r w:rsidR="004A135D">
        <w:rPr>
          <w:rFonts w:eastAsia="Times New Roman"/>
        </w:rPr>
        <w:t>,</w:t>
      </w:r>
      <w:r w:rsidR="00C979B2" w:rsidRPr="00C979B2">
        <w:rPr>
          <w:rFonts w:eastAsia="Times New Roman"/>
        </w:rPr>
        <w:t xml:space="preserve"> </w:t>
      </w:r>
      <w:r w:rsidR="00EA6267" w:rsidRPr="00C979B2">
        <w:rPr>
          <w:rFonts w:eastAsia="Times New Roman"/>
        </w:rPr>
        <w:t xml:space="preserve">research </w:t>
      </w:r>
      <w:r w:rsidR="00EA6267">
        <w:rPr>
          <w:rFonts w:eastAsia="Times New Roman"/>
        </w:rPr>
        <w:t xml:space="preserve">proposal </w:t>
      </w:r>
      <w:r w:rsidR="00EA6267" w:rsidRPr="00C979B2">
        <w:rPr>
          <w:rFonts w:eastAsia="Times New Roman"/>
        </w:rPr>
        <w:t>evaluators</w:t>
      </w:r>
      <w:r w:rsidR="00EA6267">
        <w:rPr>
          <w:rFonts w:eastAsia="Times New Roman"/>
        </w:rPr>
        <w:t xml:space="preserve"> </w:t>
      </w:r>
      <w:r w:rsidR="004A135D">
        <w:rPr>
          <w:rFonts w:eastAsia="Times New Roman"/>
        </w:rPr>
        <w:t>could</w:t>
      </w:r>
      <w:r w:rsidR="00C979B2">
        <w:rPr>
          <w:rFonts w:eastAsia="Times New Roman"/>
        </w:rPr>
        <w:t xml:space="preserve"> </w:t>
      </w:r>
      <w:r w:rsidR="00C979B2" w:rsidRPr="00C979B2">
        <w:rPr>
          <w:rFonts w:eastAsia="Times New Roman"/>
        </w:rPr>
        <w:t>take</w:t>
      </w:r>
      <w:r w:rsidR="00261D4B">
        <w:rPr>
          <w:rFonts w:eastAsia="Times New Roman"/>
        </w:rPr>
        <w:t xml:space="preserve"> signals of </w:t>
      </w:r>
      <w:r w:rsidR="00B74709">
        <w:rPr>
          <w:rFonts w:eastAsia="Times New Roman"/>
        </w:rPr>
        <w:t>effort</w:t>
      </w:r>
      <w:r w:rsidR="00793D24">
        <w:rPr>
          <w:rFonts w:eastAsia="Times New Roman"/>
        </w:rPr>
        <w:t xml:space="preserve"> and performance in social </w:t>
      </w:r>
      <w:r w:rsidR="00261D4B">
        <w:rPr>
          <w:rFonts w:eastAsia="Times New Roman"/>
        </w:rPr>
        <w:t xml:space="preserve">impact as </w:t>
      </w:r>
      <w:r w:rsidR="00B74709">
        <w:rPr>
          <w:rFonts w:eastAsia="Times New Roman"/>
        </w:rPr>
        <w:t>indicators</w:t>
      </w:r>
      <w:r w:rsidR="00C979B2" w:rsidRPr="00C979B2">
        <w:rPr>
          <w:rFonts w:eastAsia="Times New Roman"/>
        </w:rPr>
        <w:t xml:space="preserve"> </w:t>
      </w:r>
      <w:r w:rsidR="00A15E98">
        <w:rPr>
          <w:rFonts w:eastAsia="Times New Roman"/>
        </w:rPr>
        <w:t xml:space="preserve">of </w:t>
      </w:r>
      <w:r w:rsidR="00C979B2" w:rsidRPr="00C979B2">
        <w:rPr>
          <w:rFonts w:eastAsia="Times New Roman"/>
        </w:rPr>
        <w:t>good research</w:t>
      </w:r>
      <w:r w:rsidR="00EB74DD">
        <w:rPr>
          <w:rFonts w:eastAsia="Times New Roman"/>
        </w:rPr>
        <w:t xml:space="preserve"> and</w:t>
      </w:r>
      <w:r w:rsidR="004A135D">
        <w:rPr>
          <w:rFonts w:eastAsia="Times New Roman"/>
        </w:rPr>
        <w:t xml:space="preserve"> </w:t>
      </w:r>
      <w:r w:rsidR="00616FDF">
        <w:rPr>
          <w:rFonts w:eastAsia="Times New Roman"/>
        </w:rPr>
        <w:t>raise</w:t>
      </w:r>
      <w:r w:rsidR="00EB74DD">
        <w:rPr>
          <w:rFonts w:eastAsia="Times New Roman"/>
        </w:rPr>
        <w:t xml:space="preserve"> their research </w:t>
      </w:r>
      <w:r w:rsidR="004A135D">
        <w:rPr>
          <w:rFonts w:eastAsia="Times New Roman"/>
        </w:rPr>
        <w:t>evaluations</w:t>
      </w:r>
      <w:r w:rsidR="00DE3C10">
        <w:rPr>
          <w:rFonts w:eastAsia="Times New Roman"/>
        </w:rPr>
        <w:t xml:space="preserve"> </w:t>
      </w:r>
      <w:r w:rsidR="00C979B2" w:rsidRPr="00837046">
        <w:t xml:space="preserve">(Thorndike, 1920; Dion </w:t>
      </w:r>
      <w:r w:rsidR="00C979B2" w:rsidRPr="003979F2">
        <w:rPr>
          <w:i/>
        </w:rPr>
        <w:t>et al</w:t>
      </w:r>
      <w:r w:rsidR="00C979B2">
        <w:t>.</w:t>
      </w:r>
      <w:r w:rsidR="00C979B2" w:rsidRPr="00837046">
        <w:t>, 1972)</w:t>
      </w:r>
      <w:r w:rsidR="00C979B2">
        <w:rPr>
          <w:rFonts w:eastAsia="Times New Roman"/>
        </w:rPr>
        <w:t>.</w:t>
      </w:r>
      <w:r w:rsidR="000A69C0">
        <w:rPr>
          <w:rFonts w:eastAsia="Times New Roman"/>
        </w:rPr>
        <w:t xml:space="preserve"> </w:t>
      </w:r>
    </w:p>
    <w:p w:rsidR="007F1088" w:rsidRPr="00AD1AEF" w:rsidRDefault="00B615A6">
      <w:pPr>
        <w:spacing w:line="480" w:lineRule="auto"/>
        <w:ind w:firstLine="567"/>
        <w:jc w:val="both"/>
      </w:pPr>
      <w:r>
        <w:t>Based on the above arguments</w:t>
      </w:r>
      <w:r w:rsidR="009F3682">
        <w:t>,</w:t>
      </w:r>
      <w:r w:rsidR="00EE4E76">
        <w:t xml:space="preserve"> </w:t>
      </w:r>
      <w:r w:rsidR="00793D24">
        <w:t xml:space="preserve">we </w:t>
      </w:r>
      <w:r>
        <w:t>suggest</w:t>
      </w:r>
      <w:r w:rsidR="00793D24">
        <w:t xml:space="preserve"> that signals of </w:t>
      </w:r>
      <w:r w:rsidR="0055351C">
        <w:t>effort</w:t>
      </w:r>
      <w:r w:rsidR="00793D24">
        <w:t xml:space="preserve"> and performance in a peripheral activity develop a rep</w:t>
      </w:r>
      <w:r w:rsidR="00D73E4F">
        <w:t xml:space="preserve">utation </w:t>
      </w:r>
      <w:r w:rsidR="00656D51">
        <w:t xml:space="preserve">for </w:t>
      </w:r>
      <w:r w:rsidR="00D73E4F">
        <w:t>it (perceived quality)</w:t>
      </w:r>
      <w:r w:rsidR="00793D24">
        <w:t xml:space="preserve">. </w:t>
      </w:r>
      <w:r w:rsidR="00D73E4F">
        <w:t>E</w:t>
      </w:r>
      <w:r w:rsidR="00EA387B">
        <w:t xml:space="preserve">valuators </w:t>
      </w:r>
      <w:r w:rsidR="009F3682">
        <w:t xml:space="preserve">form impressions of </w:t>
      </w:r>
      <w:r w:rsidR="00D73E4F">
        <w:t>the</w:t>
      </w:r>
      <w:r w:rsidR="009F3682">
        <w:t xml:space="preserve"> organization</w:t>
      </w:r>
      <w:r w:rsidR="00793D24">
        <w:t xml:space="preserve"> based on the</w:t>
      </w:r>
      <w:r w:rsidR="009F3682">
        <w:t xml:space="preserve"> </w:t>
      </w:r>
      <w:r w:rsidR="00D73E4F">
        <w:t xml:space="preserve">reputation for </w:t>
      </w:r>
      <w:r w:rsidR="00131547">
        <w:t>its</w:t>
      </w:r>
      <w:r w:rsidR="00D73E4F">
        <w:t xml:space="preserve"> </w:t>
      </w:r>
      <w:r w:rsidR="009F3682">
        <w:t>peripheral activit</w:t>
      </w:r>
      <w:r w:rsidR="003C2378">
        <w:t>y</w:t>
      </w:r>
      <w:r w:rsidR="009F3682">
        <w:t xml:space="preserve">, </w:t>
      </w:r>
      <w:r w:rsidR="00D73E4F">
        <w:t xml:space="preserve">which then </w:t>
      </w:r>
      <w:r w:rsidR="00311703">
        <w:t>transfer to</w:t>
      </w:r>
      <w:r w:rsidR="00D73E4F">
        <w:t xml:space="preserve"> evaluations of the </w:t>
      </w:r>
      <w:r w:rsidR="00793D24">
        <w:t xml:space="preserve">core </w:t>
      </w:r>
      <w:r w:rsidR="009F3682">
        <w:t>activit</w:t>
      </w:r>
      <w:r w:rsidR="00656D51">
        <w:t>y</w:t>
      </w:r>
      <w:r w:rsidR="00D73E4F">
        <w:t xml:space="preserve"> via the representativeness heuristic</w:t>
      </w:r>
      <w:r w:rsidR="009F3682">
        <w:t xml:space="preserve">. </w:t>
      </w:r>
      <w:r>
        <w:t>W</w:t>
      </w:r>
      <w:r w:rsidR="007F1088">
        <w:t>e</w:t>
      </w:r>
      <w:r w:rsidR="007F1088" w:rsidRPr="00AD1AEF">
        <w:t xml:space="preserve"> </w:t>
      </w:r>
      <w:r w:rsidR="007F1088">
        <w:t xml:space="preserve">formally </w:t>
      </w:r>
      <w:r w:rsidR="007F1088" w:rsidRPr="00AD1AEF">
        <w:t>hypothesize</w:t>
      </w:r>
      <w:r w:rsidR="00EA6267">
        <w:t xml:space="preserve"> the following</w:t>
      </w:r>
      <w:r w:rsidR="007F1088" w:rsidRPr="00AD1AEF">
        <w:t xml:space="preserve">: </w:t>
      </w:r>
    </w:p>
    <w:p w:rsidR="004D6AC5" w:rsidRPr="004B6997" w:rsidRDefault="007F1088" w:rsidP="00A728CC">
      <w:pPr>
        <w:pStyle w:val="ListParagraph"/>
        <w:spacing w:line="480" w:lineRule="auto"/>
        <w:ind w:left="0" w:firstLine="567"/>
        <w:jc w:val="both"/>
        <w:rPr>
          <w:i/>
        </w:rPr>
      </w:pPr>
      <w:r w:rsidRPr="0016088D">
        <w:rPr>
          <w:i/>
        </w:rPr>
        <w:lastRenderedPageBreak/>
        <w:t xml:space="preserve">H1: </w:t>
      </w:r>
      <w:r w:rsidR="0016088D" w:rsidRPr="0016088D">
        <w:rPr>
          <w:i/>
        </w:rPr>
        <w:t xml:space="preserve">Signals of </w:t>
      </w:r>
      <w:r w:rsidR="000121F0">
        <w:rPr>
          <w:i/>
        </w:rPr>
        <w:t>effort</w:t>
      </w:r>
      <w:r w:rsidR="0016088D" w:rsidRPr="0016088D">
        <w:rPr>
          <w:i/>
        </w:rPr>
        <w:t xml:space="preserve"> </w:t>
      </w:r>
      <w:r w:rsidR="000121F0">
        <w:rPr>
          <w:i/>
        </w:rPr>
        <w:t>related to</w:t>
      </w:r>
      <w:r w:rsidR="0016088D" w:rsidRPr="0016088D">
        <w:rPr>
          <w:i/>
        </w:rPr>
        <w:t xml:space="preserve"> a periphera</w:t>
      </w:r>
      <w:r w:rsidR="000E5CF6">
        <w:rPr>
          <w:i/>
        </w:rPr>
        <w:t>l activity are associated with</w:t>
      </w:r>
      <w:r w:rsidR="00DE3C10">
        <w:rPr>
          <w:i/>
        </w:rPr>
        <w:t xml:space="preserve"> </w:t>
      </w:r>
      <w:r w:rsidR="000121F0">
        <w:rPr>
          <w:i/>
        </w:rPr>
        <w:t>more favorable</w:t>
      </w:r>
      <w:r w:rsidR="00793D24">
        <w:rPr>
          <w:i/>
        </w:rPr>
        <w:t xml:space="preserve"> evaluations</w:t>
      </w:r>
      <w:r w:rsidR="0029298D">
        <w:rPr>
          <w:i/>
        </w:rPr>
        <w:t xml:space="preserve"> </w:t>
      </w:r>
      <w:r w:rsidR="00656D51">
        <w:rPr>
          <w:i/>
        </w:rPr>
        <w:t>of</w:t>
      </w:r>
      <w:r w:rsidR="0016088D" w:rsidRPr="0016088D">
        <w:rPr>
          <w:i/>
        </w:rPr>
        <w:t xml:space="preserve"> the core activity. </w:t>
      </w:r>
    </w:p>
    <w:p w:rsidR="00497CE4" w:rsidRPr="00497CE4" w:rsidRDefault="007F1088" w:rsidP="0044586C">
      <w:pPr>
        <w:spacing w:line="480" w:lineRule="auto"/>
        <w:ind w:firstLine="567"/>
        <w:rPr>
          <w:i/>
        </w:rPr>
      </w:pPr>
      <w:r w:rsidRPr="00497CE4">
        <w:rPr>
          <w:i/>
        </w:rPr>
        <w:t xml:space="preserve">H2: </w:t>
      </w:r>
      <w:r w:rsidR="00497CE4" w:rsidRPr="00497CE4">
        <w:rPr>
          <w:i/>
        </w:rPr>
        <w:t xml:space="preserve">Signals of performance </w:t>
      </w:r>
      <w:r w:rsidR="000121F0">
        <w:rPr>
          <w:i/>
        </w:rPr>
        <w:t>related to</w:t>
      </w:r>
      <w:r w:rsidR="00497CE4" w:rsidRPr="00497CE4">
        <w:rPr>
          <w:i/>
        </w:rPr>
        <w:t xml:space="preserve"> a peripheral activ</w:t>
      </w:r>
      <w:r w:rsidR="006B0297">
        <w:rPr>
          <w:i/>
        </w:rPr>
        <w:t>ity are associated with</w:t>
      </w:r>
      <w:r w:rsidR="000121F0">
        <w:rPr>
          <w:i/>
        </w:rPr>
        <w:t xml:space="preserve"> more favorable</w:t>
      </w:r>
      <w:r w:rsidR="00793D24">
        <w:rPr>
          <w:i/>
        </w:rPr>
        <w:t xml:space="preserve"> evaluations</w:t>
      </w:r>
      <w:r w:rsidR="00D5745B">
        <w:rPr>
          <w:i/>
        </w:rPr>
        <w:t xml:space="preserve"> </w:t>
      </w:r>
      <w:r w:rsidR="00656D51">
        <w:rPr>
          <w:i/>
        </w:rPr>
        <w:t>of</w:t>
      </w:r>
      <w:r w:rsidR="00497CE4" w:rsidRPr="00497CE4">
        <w:rPr>
          <w:i/>
        </w:rPr>
        <w:t xml:space="preserve"> </w:t>
      </w:r>
      <w:r w:rsidR="00311703">
        <w:rPr>
          <w:i/>
        </w:rPr>
        <w:t xml:space="preserve">the </w:t>
      </w:r>
      <w:r w:rsidR="00497CE4" w:rsidRPr="00497CE4">
        <w:rPr>
          <w:i/>
        </w:rPr>
        <w:t>core activity.</w:t>
      </w:r>
    </w:p>
    <w:p w:rsidR="007F1088" w:rsidRPr="00AD1AEF" w:rsidRDefault="007F1088" w:rsidP="00555D97">
      <w:pPr>
        <w:spacing w:line="480" w:lineRule="auto"/>
        <w:jc w:val="both"/>
        <w:rPr>
          <w:b/>
        </w:rPr>
      </w:pPr>
    </w:p>
    <w:p w:rsidR="007F1088" w:rsidRPr="00AD1AEF" w:rsidRDefault="009B4126" w:rsidP="007F1088">
      <w:pPr>
        <w:spacing w:line="480" w:lineRule="auto"/>
        <w:ind w:firstLine="567"/>
        <w:jc w:val="both"/>
        <w:outlineLvl w:val="0"/>
        <w:rPr>
          <w:b/>
        </w:rPr>
      </w:pPr>
      <w:r>
        <w:rPr>
          <w:b/>
        </w:rPr>
        <w:t xml:space="preserve">Refracted </w:t>
      </w:r>
      <w:r w:rsidR="00311703">
        <w:rPr>
          <w:b/>
        </w:rPr>
        <w:t>media</w:t>
      </w:r>
      <w:r w:rsidR="00EA6267">
        <w:rPr>
          <w:b/>
        </w:rPr>
        <w:t xml:space="preserve"> </w:t>
      </w:r>
      <w:r>
        <w:rPr>
          <w:b/>
        </w:rPr>
        <w:t>signals</w:t>
      </w:r>
      <w:r w:rsidR="00E312E6">
        <w:rPr>
          <w:b/>
        </w:rPr>
        <w:t xml:space="preserve"> and prominence</w:t>
      </w:r>
    </w:p>
    <w:p w:rsidR="007F1088" w:rsidRPr="00AD1AEF" w:rsidRDefault="00D46746" w:rsidP="007F1088">
      <w:pPr>
        <w:autoSpaceDE w:val="0"/>
        <w:autoSpaceDN w:val="0"/>
        <w:adjustRightInd w:val="0"/>
        <w:spacing w:line="480" w:lineRule="auto"/>
        <w:ind w:firstLine="567"/>
        <w:jc w:val="both"/>
      </w:pPr>
      <w:r>
        <w:t xml:space="preserve">While signals of </w:t>
      </w:r>
      <w:r w:rsidR="0055351C">
        <w:t>effort</w:t>
      </w:r>
      <w:r w:rsidR="007F1088" w:rsidRPr="00AD1AEF">
        <w:t xml:space="preserve"> and </w:t>
      </w:r>
      <w:r w:rsidR="007F1088">
        <w:t>performance</w:t>
      </w:r>
      <w:r>
        <w:t xml:space="preserve"> </w:t>
      </w:r>
      <w:r w:rsidR="00D07F89">
        <w:t>refer to</w:t>
      </w:r>
      <w:r w:rsidR="007F1088" w:rsidRPr="00AD1AEF">
        <w:t xml:space="preserve"> the perceived quality dimension of reputation, </w:t>
      </w:r>
      <w:r>
        <w:t>refracted signals by the media drive</w:t>
      </w:r>
      <w:r w:rsidR="007F1088" w:rsidRPr="00AD1AEF">
        <w:t xml:space="preserve"> up the prominence dimension. </w:t>
      </w:r>
      <w:r w:rsidR="007F1088">
        <w:t>Prominence refers to</w:t>
      </w:r>
      <w:r w:rsidR="002F2850">
        <w:t xml:space="preserve"> “the extent to which an </w:t>
      </w:r>
      <w:r w:rsidR="00D60884">
        <w:t>organization</w:t>
      </w:r>
      <w:r w:rsidR="007F1088">
        <w:t xml:space="preserve"> is widely recognized among stakeholders in its </w:t>
      </w:r>
      <w:r w:rsidR="00D60884">
        <w:t>organization</w:t>
      </w:r>
      <w:r w:rsidR="007F1088">
        <w:t>al field” (</w:t>
      </w:r>
      <w:proofErr w:type="spellStart"/>
      <w:r w:rsidR="007F1088">
        <w:t>Rindova</w:t>
      </w:r>
      <w:proofErr w:type="spellEnd"/>
      <w:r w:rsidR="007F1088">
        <w:t xml:space="preserve"> </w:t>
      </w:r>
      <w:r w:rsidR="007F1088" w:rsidRPr="00216C62">
        <w:rPr>
          <w:i/>
        </w:rPr>
        <w:t>et al</w:t>
      </w:r>
      <w:r w:rsidR="007F1088">
        <w:t xml:space="preserve">., 2005: 1035). </w:t>
      </w:r>
      <w:r w:rsidR="00712AFB">
        <w:t>Positive m</w:t>
      </w:r>
      <w:r w:rsidR="007F1088" w:rsidRPr="00AD1AEF">
        <w:t xml:space="preserve">edia coverage is likely to both reflect and affect the process of </w:t>
      </w:r>
      <w:r w:rsidR="007F1088">
        <w:t>prominence</w:t>
      </w:r>
      <w:r w:rsidR="007F1088" w:rsidRPr="00AD1AEF">
        <w:t xml:space="preserve"> accumulation (Carter and Deephouse, 1999; Deephouse, 2000; Pollock and </w:t>
      </w:r>
      <w:proofErr w:type="spellStart"/>
      <w:r w:rsidR="007F1088" w:rsidRPr="00AD1AEF">
        <w:t>Rindova</w:t>
      </w:r>
      <w:proofErr w:type="spellEnd"/>
      <w:r w:rsidR="007F1088" w:rsidRPr="00AD1AEF">
        <w:t>, 2003)</w:t>
      </w:r>
      <w:r w:rsidR="007F1088">
        <w:t xml:space="preserve"> as j</w:t>
      </w:r>
      <w:r w:rsidR="007F1088" w:rsidRPr="00AD1AEF">
        <w:t>ournalists constitute an influential audience of critics, who form their own opinions (</w:t>
      </w:r>
      <w:proofErr w:type="spellStart"/>
      <w:r w:rsidR="007F1088" w:rsidRPr="00AD1AEF">
        <w:t>Rindova</w:t>
      </w:r>
      <w:proofErr w:type="spellEnd"/>
      <w:r w:rsidR="007F1088" w:rsidRPr="00AD1AEF">
        <w:t xml:space="preserve"> and </w:t>
      </w:r>
      <w:proofErr w:type="spellStart"/>
      <w:r w:rsidR="007F1088" w:rsidRPr="00AD1AEF">
        <w:t>Petkova</w:t>
      </w:r>
      <w:proofErr w:type="spellEnd"/>
      <w:r w:rsidR="007F1088" w:rsidRPr="00AD1AEF">
        <w:t xml:space="preserve">, 2007). Indeed, prominence is often approximated in the literature by measuring the </w:t>
      </w:r>
      <w:r w:rsidR="00B615A6">
        <w:t>amount</w:t>
      </w:r>
      <w:r w:rsidR="007F1088" w:rsidRPr="00AD1AEF">
        <w:t xml:space="preserve"> of media coverage (e.g. Dimo</w:t>
      </w:r>
      <w:r w:rsidR="007F1088">
        <w:t>v</w:t>
      </w:r>
      <w:r w:rsidR="007F1088" w:rsidRPr="00AD1AEF">
        <w:t xml:space="preserve"> </w:t>
      </w:r>
      <w:r w:rsidR="007F1088" w:rsidRPr="00216C62">
        <w:rPr>
          <w:i/>
        </w:rPr>
        <w:t>et al</w:t>
      </w:r>
      <w:r w:rsidR="007F1088" w:rsidRPr="00AD1AEF">
        <w:t xml:space="preserve">., 2007; </w:t>
      </w:r>
      <w:proofErr w:type="spellStart"/>
      <w:r w:rsidR="007F1088" w:rsidRPr="00AD1AEF">
        <w:t>Rindova</w:t>
      </w:r>
      <w:proofErr w:type="spellEnd"/>
      <w:r w:rsidR="007F1088" w:rsidRPr="00AD1AEF">
        <w:t xml:space="preserve"> </w:t>
      </w:r>
      <w:r w:rsidR="007F1088" w:rsidRPr="00216C62">
        <w:rPr>
          <w:i/>
        </w:rPr>
        <w:t>et al</w:t>
      </w:r>
      <w:r w:rsidR="007F1088" w:rsidRPr="00AD1AEF">
        <w:t>., 2007).</w:t>
      </w:r>
      <w:r w:rsidR="007E2DC1">
        <w:t xml:space="preserve"> </w:t>
      </w:r>
      <w:r w:rsidR="00684856">
        <w:t>J</w:t>
      </w:r>
      <w:r w:rsidR="007F1088" w:rsidRPr="00AD1AEF">
        <w:t>ournalists disseminate their opinions to the public and are seen as authoritative sources of information (Deephouse, 2000)</w:t>
      </w:r>
      <w:r w:rsidR="007F1088">
        <w:t xml:space="preserve"> and as crucial</w:t>
      </w:r>
      <w:r w:rsidR="007F1088" w:rsidRPr="00AD1AEF">
        <w:t xml:space="preserve"> institutional intermediaries (Pollock and </w:t>
      </w:r>
      <w:proofErr w:type="spellStart"/>
      <w:r w:rsidR="007F1088" w:rsidRPr="00AD1AEF">
        <w:t>Rindova</w:t>
      </w:r>
      <w:proofErr w:type="spellEnd"/>
      <w:r w:rsidR="007F1088" w:rsidRPr="00AD1AEF">
        <w:t xml:space="preserve">, 2003). The attention and interpretations that journalists give to </w:t>
      </w:r>
      <w:r w:rsidR="00D60884">
        <w:t>organization</w:t>
      </w:r>
      <w:r w:rsidR="007F1088" w:rsidRPr="00AD1AEF">
        <w:t>s become inputs for other stakeholders and affect reputation</w:t>
      </w:r>
      <w:r w:rsidR="008B5E1E">
        <w:t xml:space="preserve"> </w:t>
      </w:r>
      <w:r w:rsidR="007F1088" w:rsidRPr="00AD1AEF">
        <w:t xml:space="preserve">accumulation </w:t>
      </w:r>
      <w:r w:rsidR="008B5E1E">
        <w:t>among</w:t>
      </w:r>
      <w:r w:rsidR="008B5E1E" w:rsidRPr="00AD1AEF">
        <w:t xml:space="preserve"> </w:t>
      </w:r>
      <w:r w:rsidR="007F1088" w:rsidRPr="00AD1AEF">
        <w:t>these audiences (</w:t>
      </w:r>
      <w:proofErr w:type="spellStart"/>
      <w:r w:rsidR="007F1088" w:rsidRPr="00AD1AEF">
        <w:t>Fombrun</w:t>
      </w:r>
      <w:proofErr w:type="spellEnd"/>
      <w:r w:rsidR="007F1088" w:rsidRPr="00AD1AEF">
        <w:t xml:space="preserve">, 1996; </w:t>
      </w:r>
      <w:proofErr w:type="spellStart"/>
      <w:r w:rsidR="007F1088" w:rsidRPr="00AD1AEF">
        <w:t>Rindova</w:t>
      </w:r>
      <w:proofErr w:type="spellEnd"/>
      <w:r w:rsidR="007F1088" w:rsidRPr="00AD1AEF">
        <w:t xml:space="preserve"> and Petkova 2007). </w:t>
      </w:r>
    </w:p>
    <w:p w:rsidR="007F1088" w:rsidRDefault="00656D51" w:rsidP="00A728CC">
      <w:pPr>
        <w:spacing w:line="480" w:lineRule="auto"/>
        <w:ind w:firstLine="567"/>
        <w:jc w:val="both"/>
      </w:pPr>
      <w:r w:rsidRPr="00B60661">
        <w:rPr>
          <w:b/>
        </w:rPr>
        <w:t>The availability heuristic</w:t>
      </w:r>
    </w:p>
    <w:p w:rsidR="003D7EA8" w:rsidRDefault="00E312E6">
      <w:pPr>
        <w:spacing w:line="480" w:lineRule="auto"/>
        <w:ind w:firstLine="567"/>
        <w:jc w:val="both"/>
      </w:pPr>
      <w:r>
        <w:t>We argue that b</w:t>
      </w:r>
      <w:r w:rsidR="003D7EA8">
        <w:t>uilding</w:t>
      </w:r>
      <w:r w:rsidR="0078194F">
        <w:t xml:space="preserve"> prominence</w:t>
      </w:r>
      <w:r w:rsidR="00DE7F61">
        <w:t xml:space="preserve"> </w:t>
      </w:r>
      <w:r w:rsidR="003D7EA8" w:rsidRPr="000A69C0">
        <w:t>fo</w:t>
      </w:r>
      <w:r>
        <w:t xml:space="preserve">r a peripheral activity </w:t>
      </w:r>
      <w:r w:rsidR="00403B3D">
        <w:t xml:space="preserve">via media coverage </w:t>
      </w:r>
      <w:r>
        <w:t>can</w:t>
      </w:r>
      <w:r w:rsidR="003D7EA8" w:rsidRPr="000A69C0">
        <w:t xml:space="preserve"> </w:t>
      </w:r>
      <w:r w:rsidR="003D7EA8">
        <w:t xml:space="preserve">increase </w:t>
      </w:r>
      <w:r w:rsidR="008B5E1E">
        <w:t xml:space="preserve">the </w:t>
      </w:r>
      <w:r w:rsidR="003D7EA8">
        <w:t>evaluations for the core activity</w:t>
      </w:r>
      <w:r w:rsidR="003D7EA8" w:rsidRPr="000A69C0">
        <w:t xml:space="preserve"> by affecting the organization’s availability in observers’ memories. Availability in memory refers to the relative ease of </w:t>
      </w:r>
      <w:r w:rsidR="008B5E1E">
        <w:t xml:space="preserve">the </w:t>
      </w:r>
      <w:r w:rsidR="003D7EA8" w:rsidRPr="000A69C0">
        <w:t>retrieval of knowledge about an organization (</w:t>
      </w:r>
      <w:proofErr w:type="spellStart"/>
      <w:r w:rsidR="003D7EA8" w:rsidRPr="000A69C0">
        <w:t>Tversky</w:t>
      </w:r>
      <w:proofErr w:type="spellEnd"/>
      <w:r w:rsidR="003D7EA8" w:rsidRPr="000A69C0">
        <w:t xml:space="preserve"> and </w:t>
      </w:r>
      <w:proofErr w:type="spellStart"/>
      <w:r w:rsidR="003D7EA8" w:rsidRPr="000A69C0">
        <w:t>Kahneman</w:t>
      </w:r>
      <w:proofErr w:type="spellEnd"/>
      <w:r w:rsidR="003D7EA8" w:rsidRPr="000A69C0">
        <w:t>, 1973; Fiske and Taylor, 1991</w:t>
      </w:r>
      <w:r w:rsidR="00584595">
        <w:t xml:space="preserve">; </w:t>
      </w:r>
      <w:proofErr w:type="spellStart"/>
      <w:r w:rsidR="00584595">
        <w:t>Kahneman</w:t>
      </w:r>
      <w:proofErr w:type="spellEnd"/>
      <w:r w:rsidR="00584595">
        <w:t>, 201</w:t>
      </w:r>
      <w:r w:rsidR="00F92FEC">
        <w:t>1</w:t>
      </w:r>
      <w:r w:rsidR="003D7EA8" w:rsidRPr="000A69C0">
        <w:t xml:space="preserve">). </w:t>
      </w:r>
      <w:r w:rsidR="008B5E1E">
        <w:t>I</w:t>
      </w:r>
      <w:r>
        <w:t>ncreased prominence</w:t>
      </w:r>
      <w:r w:rsidR="003D7EA8" w:rsidRPr="000A69C0">
        <w:t xml:space="preserve"> in peripheral activities makes the organization and its actions more </w:t>
      </w:r>
      <w:r w:rsidR="003D7EA8">
        <w:t xml:space="preserve">available </w:t>
      </w:r>
      <w:r w:rsidR="003666B7">
        <w:t xml:space="preserve">and familiar </w:t>
      </w:r>
      <w:r w:rsidR="003D7EA8">
        <w:t>in people’s memories</w:t>
      </w:r>
      <w:r w:rsidR="00584595">
        <w:t>.</w:t>
      </w:r>
      <w:r w:rsidR="00B67228">
        <w:t xml:space="preserve"> </w:t>
      </w:r>
      <w:r w:rsidR="0068511E">
        <w:t>Extant literature</w:t>
      </w:r>
      <w:r w:rsidR="00B67228">
        <w:t xml:space="preserve"> has suggested that</w:t>
      </w:r>
      <w:r w:rsidR="00584595">
        <w:t xml:space="preserve"> familiarity breeds trust (Gulati, 1995)</w:t>
      </w:r>
      <w:r w:rsidR="0068511E">
        <w:t>.</w:t>
      </w:r>
      <w:r w:rsidR="00584595">
        <w:t xml:space="preserve"> </w:t>
      </w:r>
      <w:r w:rsidR="00B67228">
        <w:t>In turn, trust</w:t>
      </w:r>
      <w:r w:rsidR="00152111">
        <w:t xml:space="preserve"> facilitates </w:t>
      </w:r>
      <w:r w:rsidR="0068511E">
        <w:t>further interaction and economic exchange (</w:t>
      </w:r>
      <w:proofErr w:type="spellStart"/>
      <w:r w:rsidR="0068511E">
        <w:t>Lubell</w:t>
      </w:r>
      <w:proofErr w:type="spellEnd"/>
      <w:r w:rsidR="0068511E">
        <w:t xml:space="preserve">, 2007) and </w:t>
      </w:r>
      <w:r w:rsidR="00B67228">
        <w:t>c</w:t>
      </w:r>
      <w:r w:rsidR="00582163">
        <w:t>an</w:t>
      </w:r>
      <w:r w:rsidR="0068511E">
        <w:t xml:space="preserve"> benefit </w:t>
      </w:r>
      <w:r w:rsidR="008B5E1E">
        <w:t xml:space="preserve">the </w:t>
      </w:r>
      <w:r w:rsidR="0068511E">
        <w:t>evaluations of core</w:t>
      </w:r>
      <w:r w:rsidR="00B67228">
        <w:t xml:space="preserve"> activities.</w:t>
      </w:r>
    </w:p>
    <w:p w:rsidR="00CD72F5" w:rsidRPr="00582163" w:rsidRDefault="00152111" w:rsidP="00DC7DE3">
      <w:pPr>
        <w:spacing w:line="480" w:lineRule="auto"/>
        <w:ind w:firstLine="567"/>
        <w:jc w:val="both"/>
      </w:pPr>
      <w:r>
        <w:lastRenderedPageBreak/>
        <w:t>Moreover</w:t>
      </w:r>
      <w:r w:rsidR="008434F8">
        <w:t xml:space="preserve">, </w:t>
      </w:r>
      <w:r w:rsidR="00CA4917">
        <w:t>research on</w:t>
      </w:r>
      <w:r w:rsidR="00707EC2">
        <w:t xml:space="preserve"> ava</w:t>
      </w:r>
      <w:r w:rsidR="00CA4917">
        <w:t>ilability as a judgmental heuristic (</w:t>
      </w:r>
      <w:proofErr w:type="spellStart"/>
      <w:r w:rsidR="00CA4917" w:rsidRPr="000A69C0">
        <w:t>Tversky</w:t>
      </w:r>
      <w:proofErr w:type="spellEnd"/>
      <w:r w:rsidR="00CA4917" w:rsidRPr="000A69C0">
        <w:t xml:space="preserve"> and </w:t>
      </w:r>
      <w:proofErr w:type="spellStart"/>
      <w:r w:rsidR="00CA4917" w:rsidRPr="000A69C0">
        <w:t>Kahneman</w:t>
      </w:r>
      <w:proofErr w:type="spellEnd"/>
      <w:r w:rsidR="00CA4917" w:rsidRPr="000A69C0">
        <w:t>, 1974</w:t>
      </w:r>
      <w:r w:rsidR="00CA4917">
        <w:t xml:space="preserve">) suggests that the ease with which </w:t>
      </w:r>
      <w:r w:rsidR="008434F8" w:rsidRPr="008434F8">
        <w:t xml:space="preserve">an example can be called to mind is related to perceptions about how often this event occurs. </w:t>
      </w:r>
      <w:r w:rsidR="001E15A5">
        <w:t>In a classic</w:t>
      </w:r>
      <w:r w:rsidR="00CA4917">
        <w:t xml:space="preserve"> application</w:t>
      </w:r>
      <w:r w:rsidR="00707EC2">
        <w:t xml:space="preserve"> of the</w:t>
      </w:r>
      <w:r w:rsidR="00CA4917">
        <w:t xml:space="preserve"> availability</w:t>
      </w:r>
      <w:r w:rsidR="003957B1">
        <w:t xml:space="preserve"> heuristic</w:t>
      </w:r>
      <w:r w:rsidR="00CD72F5">
        <w:t xml:space="preserve">, people </w:t>
      </w:r>
      <w:r w:rsidR="0004136C">
        <w:t xml:space="preserve">often </w:t>
      </w:r>
      <w:r w:rsidR="00CD72F5">
        <w:t xml:space="preserve">overestimate </w:t>
      </w:r>
      <w:r w:rsidR="001E15A5">
        <w:t xml:space="preserve">the probability of </w:t>
      </w:r>
      <w:r w:rsidR="008434F8">
        <w:t>their</w:t>
      </w:r>
      <w:r w:rsidR="00CD72F5">
        <w:t xml:space="preserve"> plane crash</w:t>
      </w:r>
      <w:r w:rsidR="008434F8">
        <w:t>ing</w:t>
      </w:r>
      <w:r w:rsidR="00CD72F5">
        <w:t xml:space="preserve">, being influenced by </w:t>
      </w:r>
      <w:r w:rsidR="008B5E1E">
        <w:t xml:space="preserve">the </w:t>
      </w:r>
      <w:r w:rsidR="001E15A5">
        <w:t>elaborate coverage of plane crashes</w:t>
      </w:r>
      <w:r w:rsidR="00CD72F5">
        <w:t xml:space="preserve"> in the media</w:t>
      </w:r>
      <w:r w:rsidR="001E15A5">
        <w:t xml:space="preserve"> (an attention-</w:t>
      </w:r>
      <w:r w:rsidR="00CD72F5">
        <w:t xml:space="preserve">catching </w:t>
      </w:r>
      <w:r w:rsidR="003957B1">
        <w:t>but rare</w:t>
      </w:r>
      <w:r w:rsidR="00CD72F5">
        <w:t xml:space="preserve"> event)</w:t>
      </w:r>
      <w:r w:rsidR="008434F8">
        <w:t xml:space="preserve"> (</w:t>
      </w:r>
      <w:proofErr w:type="spellStart"/>
      <w:r w:rsidR="008434F8">
        <w:t>Kahneman</w:t>
      </w:r>
      <w:proofErr w:type="spellEnd"/>
      <w:r w:rsidR="008434F8">
        <w:t>, 2011)</w:t>
      </w:r>
      <w:r w:rsidR="00CD72F5">
        <w:t>.</w:t>
      </w:r>
      <w:r w:rsidR="00051458">
        <w:t xml:space="preserve"> S</w:t>
      </w:r>
      <w:r w:rsidR="003957B1">
        <w:t>imilar</w:t>
      </w:r>
      <w:r w:rsidR="00051458">
        <w:t xml:space="preserve">ly, in our </w:t>
      </w:r>
      <w:r w:rsidR="009574DD">
        <w:t xml:space="preserve">organizational </w:t>
      </w:r>
      <w:r w:rsidR="00051458">
        <w:t>context</w:t>
      </w:r>
      <w:r w:rsidR="00CD72F5">
        <w:t xml:space="preserve">, </w:t>
      </w:r>
      <w:r w:rsidR="00D62AA3">
        <w:t xml:space="preserve">a focal university’s media-generated prominence for impact via spinoffs would enhance the availability in research-evaluators’ memories of examples of </w:t>
      </w:r>
      <w:r w:rsidR="00CD72F5">
        <w:t>pioneering researc</w:t>
      </w:r>
      <w:r w:rsidR="00D62AA3">
        <w:t>h from this</w:t>
      </w:r>
      <w:r w:rsidR="00CD72F5">
        <w:t xml:space="preserve"> university</w:t>
      </w:r>
      <w:r w:rsidR="00CA4917">
        <w:t xml:space="preserve"> </w:t>
      </w:r>
      <w:r w:rsidR="008B5E1E">
        <w:t xml:space="preserve">that led </w:t>
      </w:r>
      <w:r w:rsidR="00D62AA3">
        <w:t xml:space="preserve">to </w:t>
      </w:r>
      <w:r w:rsidR="001E15A5">
        <w:t>spinoff firm</w:t>
      </w:r>
      <w:r w:rsidR="00D62AA3">
        <w:t>s</w:t>
      </w:r>
      <w:r w:rsidR="00CD72F5">
        <w:t xml:space="preserve">. </w:t>
      </w:r>
      <w:r w:rsidR="003957B1">
        <w:t xml:space="preserve">In reality, </w:t>
      </w:r>
      <w:r w:rsidR="005943B1">
        <w:t>only a small</w:t>
      </w:r>
      <w:r w:rsidR="00CA4917">
        <w:t xml:space="preserve"> proportion of </w:t>
      </w:r>
      <w:r w:rsidR="008434F8">
        <w:t>research project</w:t>
      </w:r>
      <w:r w:rsidR="0004136C">
        <w:t>s</w:t>
      </w:r>
      <w:r w:rsidR="00CA4917">
        <w:t xml:space="preserve"> </w:t>
      </w:r>
      <w:r w:rsidR="00104343">
        <w:t>could</w:t>
      </w:r>
      <w:r w:rsidR="00E873D2">
        <w:t xml:space="preserve"> </w:t>
      </w:r>
      <w:r w:rsidR="00CA4917">
        <w:t>lead</w:t>
      </w:r>
      <w:r w:rsidR="0004136C">
        <w:t xml:space="preserve"> to spinoff companies</w:t>
      </w:r>
      <w:r w:rsidR="00D62AA3">
        <w:t>,</w:t>
      </w:r>
      <w:r w:rsidR="003957B1">
        <w:t xml:space="preserve"> as </w:t>
      </w:r>
      <w:r w:rsidR="00582163">
        <w:t xml:space="preserve">not all </w:t>
      </w:r>
      <w:r w:rsidR="00CD72F5">
        <w:t xml:space="preserve">research projects </w:t>
      </w:r>
      <w:r w:rsidR="00D62AA3">
        <w:t xml:space="preserve">have </w:t>
      </w:r>
      <w:r w:rsidR="00CD72F5">
        <w:t xml:space="preserve">commercial </w:t>
      </w:r>
      <w:r w:rsidR="00D62AA3">
        <w:t>potential</w:t>
      </w:r>
      <w:r w:rsidR="00CD72F5">
        <w:t>. However, through the enactment of the availability heuristic</w:t>
      </w:r>
      <w:r w:rsidR="0068511E">
        <w:t xml:space="preserve"> (i.e. having read </w:t>
      </w:r>
      <w:r w:rsidR="00A00316">
        <w:t xml:space="preserve">spinoff stories </w:t>
      </w:r>
      <w:r w:rsidR="003779A3">
        <w:t xml:space="preserve">about certain universities </w:t>
      </w:r>
      <w:r w:rsidR="00A00316">
        <w:t>in the media)</w:t>
      </w:r>
      <w:r w:rsidR="00CD72F5">
        <w:t xml:space="preserve">, research evaluators would overestimate the </w:t>
      </w:r>
      <w:r w:rsidR="00CA4917">
        <w:t xml:space="preserve">impact potential of </w:t>
      </w:r>
      <w:r w:rsidR="00CD72F5">
        <w:t xml:space="preserve">research bids </w:t>
      </w:r>
      <w:r w:rsidR="001E15A5">
        <w:t xml:space="preserve">from </w:t>
      </w:r>
      <w:r w:rsidR="00A00316">
        <w:t>these</w:t>
      </w:r>
      <w:r w:rsidR="00CA4917">
        <w:t xml:space="preserve"> universities. </w:t>
      </w:r>
      <w:r w:rsidR="003957B1">
        <w:t>Therefore, media-generated prominence</w:t>
      </w:r>
      <w:r w:rsidR="008B5E1E">
        <w:t xml:space="preserve"> regarding </w:t>
      </w:r>
      <w:r w:rsidR="003957B1">
        <w:t>social impact</w:t>
      </w:r>
      <w:r w:rsidR="00D62AA3">
        <w:t xml:space="preserve"> via spinoffs would lead to more favorable</w:t>
      </w:r>
      <w:r w:rsidR="003957B1">
        <w:t xml:space="preserve"> evaluations for research. </w:t>
      </w:r>
      <w:r w:rsidR="00CD72F5">
        <w:t xml:space="preserve"> </w:t>
      </w:r>
    </w:p>
    <w:p w:rsidR="00DE7F61" w:rsidRPr="00AE3664" w:rsidRDefault="00DE7F61" w:rsidP="00AE3664">
      <w:pPr>
        <w:spacing w:line="480" w:lineRule="auto"/>
        <w:ind w:firstLine="567"/>
        <w:jc w:val="both"/>
      </w:pPr>
      <w:r>
        <w:rPr>
          <w:rFonts w:ascii="Times" w:hAnsi="Times" w:cs="Apple Symbols"/>
        </w:rPr>
        <w:t>Based on the above, w</w:t>
      </w:r>
      <w:r w:rsidRPr="00C82499">
        <w:rPr>
          <w:rFonts w:ascii="Times" w:hAnsi="Times" w:cs="Apple Symbols"/>
        </w:rPr>
        <w:t>e contend</w:t>
      </w:r>
      <w:r>
        <w:rPr>
          <w:rFonts w:ascii="Times" w:hAnsi="Times" w:cs="Apple Symbols"/>
        </w:rPr>
        <w:t xml:space="preserve"> that signals of an organization’s peripheral activity</w:t>
      </w:r>
      <w:r w:rsidR="00E312E6">
        <w:rPr>
          <w:rFonts w:ascii="Times" w:hAnsi="Times" w:cs="Apple Symbols"/>
        </w:rPr>
        <w:t>,</w:t>
      </w:r>
      <w:r>
        <w:rPr>
          <w:rFonts w:ascii="Times" w:hAnsi="Times" w:cs="Apple Symbols"/>
        </w:rPr>
        <w:t xml:space="preserve"> refracted by the media</w:t>
      </w:r>
      <w:r w:rsidR="00E312E6">
        <w:rPr>
          <w:rFonts w:ascii="Times" w:hAnsi="Times" w:cs="Apple Symbols"/>
        </w:rPr>
        <w:t>,</w:t>
      </w:r>
      <w:r w:rsidRPr="00C82499">
        <w:rPr>
          <w:rFonts w:ascii="Times" w:hAnsi="Times" w:cs="Apple Symbols"/>
        </w:rPr>
        <w:t xml:space="preserve"> </w:t>
      </w:r>
      <w:r w:rsidR="00B615A6">
        <w:rPr>
          <w:rFonts w:ascii="Times" w:hAnsi="Times" w:cs="Apple Symbols"/>
        </w:rPr>
        <w:t xml:space="preserve">increase </w:t>
      </w:r>
      <w:r>
        <w:rPr>
          <w:rFonts w:ascii="Times" w:hAnsi="Times" w:cs="Apple Symbols"/>
        </w:rPr>
        <w:t>prominence for that peripheral activity. In turn,</w:t>
      </w:r>
      <w:r w:rsidR="00E312E6">
        <w:rPr>
          <w:rFonts w:ascii="Times" w:hAnsi="Times" w:cs="Apple Symbols"/>
        </w:rPr>
        <w:t xml:space="preserve"> </w:t>
      </w:r>
      <w:r>
        <w:rPr>
          <w:rFonts w:ascii="Times" w:hAnsi="Times" w:cs="Apple Symbols"/>
        </w:rPr>
        <w:t xml:space="preserve">prominence in the peripheral activity </w:t>
      </w:r>
      <w:r w:rsidR="00051458">
        <w:rPr>
          <w:rFonts w:ascii="Times" w:hAnsi="Times" w:cs="Apple Symbols"/>
        </w:rPr>
        <w:t>would</w:t>
      </w:r>
      <w:r w:rsidR="000373BA">
        <w:rPr>
          <w:rFonts w:ascii="Times" w:hAnsi="Times" w:cs="Apple Symbols"/>
        </w:rPr>
        <w:t xml:space="preserve"> increase</w:t>
      </w:r>
      <w:r w:rsidRPr="00C82499">
        <w:rPr>
          <w:rFonts w:ascii="Times" w:hAnsi="Times" w:cs="Apple Symbols"/>
        </w:rPr>
        <w:t xml:space="preserve"> </w:t>
      </w:r>
      <w:r w:rsidR="008B5E1E">
        <w:rPr>
          <w:rFonts w:ascii="Times" w:hAnsi="Times" w:cs="Apple Symbols"/>
        </w:rPr>
        <w:t xml:space="preserve">the </w:t>
      </w:r>
      <w:r>
        <w:rPr>
          <w:rFonts w:ascii="Times" w:hAnsi="Times" w:cs="Apple Symbols"/>
        </w:rPr>
        <w:t xml:space="preserve">evaluations of the core activity via the </w:t>
      </w:r>
      <w:r>
        <w:t>availability</w:t>
      </w:r>
      <w:r w:rsidDel="00684856">
        <w:rPr>
          <w:rFonts w:ascii="Times" w:hAnsi="Times" w:cs="Apple Symbols"/>
        </w:rPr>
        <w:t xml:space="preserve"> </w:t>
      </w:r>
      <w:r>
        <w:rPr>
          <w:rFonts w:ascii="Times" w:hAnsi="Times" w:cs="Apple Symbols"/>
        </w:rPr>
        <w:t>heuristic</w:t>
      </w:r>
      <w:r w:rsidR="008C1143">
        <w:t>. We therefore hypothesiz</w:t>
      </w:r>
      <w:r>
        <w:t>e</w:t>
      </w:r>
      <w:r w:rsidR="008B5E1E">
        <w:t xml:space="preserve"> the following</w:t>
      </w:r>
      <w:r>
        <w:t>:</w:t>
      </w:r>
    </w:p>
    <w:p w:rsidR="00D17508" w:rsidRPr="00D17508" w:rsidRDefault="007F1088" w:rsidP="00D17508">
      <w:pPr>
        <w:pStyle w:val="ListParagraph"/>
        <w:spacing w:line="480" w:lineRule="auto"/>
        <w:ind w:left="0" w:firstLine="567"/>
        <w:jc w:val="both"/>
        <w:rPr>
          <w:i/>
        </w:rPr>
      </w:pPr>
      <w:r w:rsidRPr="00D17508">
        <w:rPr>
          <w:i/>
        </w:rPr>
        <w:t xml:space="preserve">H3: </w:t>
      </w:r>
      <w:r w:rsidR="00DE7F61">
        <w:rPr>
          <w:i/>
        </w:rPr>
        <w:t>S</w:t>
      </w:r>
      <w:r w:rsidR="00F82BBC">
        <w:rPr>
          <w:i/>
        </w:rPr>
        <w:t xml:space="preserve">ignals </w:t>
      </w:r>
      <w:r w:rsidR="004A57D2">
        <w:rPr>
          <w:i/>
        </w:rPr>
        <w:t>related to</w:t>
      </w:r>
      <w:r w:rsidR="00D17508" w:rsidRPr="00D17508">
        <w:rPr>
          <w:i/>
        </w:rPr>
        <w:t xml:space="preserve"> a per</w:t>
      </w:r>
      <w:r w:rsidR="00D8111C">
        <w:rPr>
          <w:i/>
        </w:rPr>
        <w:t>ipheral activity</w:t>
      </w:r>
      <w:r w:rsidR="00D17508" w:rsidRPr="00D17508">
        <w:rPr>
          <w:i/>
        </w:rPr>
        <w:t xml:space="preserve"> </w:t>
      </w:r>
      <w:r w:rsidR="00DE7F61">
        <w:rPr>
          <w:i/>
        </w:rPr>
        <w:t>refracted</w:t>
      </w:r>
      <w:r w:rsidR="00D17508" w:rsidRPr="00D17508">
        <w:rPr>
          <w:i/>
        </w:rPr>
        <w:t xml:space="preserve"> by the</w:t>
      </w:r>
      <w:r w:rsidR="00D8111C">
        <w:rPr>
          <w:i/>
        </w:rPr>
        <w:t xml:space="preserve"> media are associated with</w:t>
      </w:r>
      <w:r w:rsidR="00D46A35">
        <w:rPr>
          <w:i/>
        </w:rPr>
        <w:t xml:space="preserve"> </w:t>
      </w:r>
      <w:r w:rsidR="004A57D2">
        <w:rPr>
          <w:i/>
        </w:rPr>
        <w:t>more favorable</w:t>
      </w:r>
      <w:r w:rsidR="00DE7F61">
        <w:rPr>
          <w:i/>
        </w:rPr>
        <w:t xml:space="preserve"> evaluations</w:t>
      </w:r>
      <w:r w:rsidR="00207FA7">
        <w:rPr>
          <w:i/>
        </w:rPr>
        <w:t xml:space="preserve"> </w:t>
      </w:r>
      <w:r w:rsidR="00311703">
        <w:rPr>
          <w:i/>
        </w:rPr>
        <w:t>of</w:t>
      </w:r>
      <w:r w:rsidR="00D17508" w:rsidRPr="00D17508">
        <w:rPr>
          <w:i/>
        </w:rPr>
        <w:t xml:space="preserve"> the core activity.</w:t>
      </w:r>
    </w:p>
    <w:p w:rsidR="00A81480" w:rsidRDefault="00A81480" w:rsidP="007F1088">
      <w:pPr>
        <w:spacing w:line="480" w:lineRule="auto"/>
        <w:jc w:val="both"/>
      </w:pPr>
    </w:p>
    <w:p w:rsidR="00FE1FB2" w:rsidRPr="00FE1FB2" w:rsidRDefault="00FE1FB2" w:rsidP="00FE1FB2">
      <w:pPr>
        <w:spacing w:line="480" w:lineRule="auto"/>
        <w:ind w:firstLine="567"/>
        <w:jc w:val="both"/>
        <w:rPr>
          <w:b/>
        </w:rPr>
      </w:pPr>
      <w:r w:rsidRPr="00FE1FB2">
        <w:rPr>
          <w:b/>
        </w:rPr>
        <w:t xml:space="preserve">The moderating role of status </w:t>
      </w:r>
    </w:p>
    <w:p w:rsidR="00D35A82" w:rsidRDefault="00162561" w:rsidP="0073458D">
      <w:pPr>
        <w:spacing w:line="480" w:lineRule="auto"/>
        <w:ind w:firstLine="567"/>
        <w:jc w:val="both"/>
      </w:pPr>
      <w:r>
        <w:t xml:space="preserve">Research in social psychology </w:t>
      </w:r>
      <w:r w:rsidR="00C60935">
        <w:t xml:space="preserve">has </w:t>
      </w:r>
      <w:r>
        <w:t xml:space="preserve">suggested that the status of the </w:t>
      </w:r>
      <w:r w:rsidR="00C37D49">
        <w:t>sender</w:t>
      </w:r>
      <w:r>
        <w:t xml:space="preserve"> of a message </w:t>
      </w:r>
      <w:r w:rsidR="00C60935">
        <w:t xml:space="preserve">influences </w:t>
      </w:r>
      <w:r>
        <w:t>the credibility of the message</w:t>
      </w:r>
      <w:r w:rsidR="00C60935">
        <w:t xml:space="preserve"> and </w:t>
      </w:r>
      <w:r>
        <w:t>its acceptability by the receivers</w:t>
      </w:r>
      <w:r w:rsidR="00BA2648">
        <w:t xml:space="preserve"> (</w:t>
      </w:r>
      <w:proofErr w:type="spellStart"/>
      <w:r w:rsidR="00BA2648">
        <w:t>Hovland</w:t>
      </w:r>
      <w:proofErr w:type="spellEnd"/>
      <w:r w:rsidR="00BA2648">
        <w:t xml:space="preserve"> </w:t>
      </w:r>
      <w:r w:rsidR="00BA2648" w:rsidRPr="007F423A">
        <w:rPr>
          <w:i/>
        </w:rPr>
        <w:t>et al</w:t>
      </w:r>
      <w:r w:rsidR="00BA2648">
        <w:t xml:space="preserve">., 1953; </w:t>
      </w:r>
      <w:proofErr w:type="spellStart"/>
      <w:r w:rsidR="00BA2648">
        <w:t>Halperin</w:t>
      </w:r>
      <w:proofErr w:type="spellEnd"/>
      <w:r w:rsidR="00BA2648">
        <w:t xml:space="preserve">, </w:t>
      </w:r>
      <w:r w:rsidR="00BA2648" w:rsidRPr="007F423A">
        <w:rPr>
          <w:i/>
        </w:rPr>
        <w:t>et al</w:t>
      </w:r>
      <w:r w:rsidR="00BA2648">
        <w:t xml:space="preserve">., 1976; </w:t>
      </w:r>
      <w:proofErr w:type="spellStart"/>
      <w:r w:rsidR="00BA2648">
        <w:t>Giffin</w:t>
      </w:r>
      <w:proofErr w:type="spellEnd"/>
      <w:r w:rsidR="00BA2648">
        <w:t>, 1967)</w:t>
      </w:r>
      <w:r>
        <w:t xml:space="preserve">. Applying </w:t>
      </w:r>
      <w:r w:rsidR="00C14CE0">
        <w:t xml:space="preserve">this </w:t>
      </w:r>
      <w:r w:rsidR="00105A54">
        <w:t xml:space="preserve">principle to </w:t>
      </w:r>
      <w:r>
        <w:t>organization</w:t>
      </w:r>
      <w:r w:rsidR="00105A54">
        <w:t>al</w:t>
      </w:r>
      <w:r w:rsidR="007B5942">
        <w:t xml:space="preserve"> </w:t>
      </w:r>
      <w:r w:rsidR="00105A54">
        <w:t xml:space="preserve">research on </w:t>
      </w:r>
      <w:r w:rsidR="007B5942">
        <w:t>signaling</w:t>
      </w:r>
      <w:r>
        <w:t xml:space="preserve">, </w:t>
      </w:r>
      <w:r w:rsidR="00E12016">
        <w:t xml:space="preserve">we </w:t>
      </w:r>
      <w:r w:rsidR="00D35A82">
        <w:t>propose</w:t>
      </w:r>
      <w:r w:rsidR="00E12016">
        <w:t xml:space="preserve"> that status moderate</w:t>
      </w:r>
      <w:r w:rsidR="00D35A82">
        <w:t>s</w:t>
      </w:r>
      <w:r w:rsidR="00E12016">
        <w:t xml:space="preserve"> the </w:t>
      </w:r>
      <w:r w:rsidR="00C86818">
        <w:t xml:space="preserve">relationship </w:t>
      </w:r>
      <w:r w:rsidR="0036268E">
        <w:t>between signals for</w:t>
      </w:r>
      <w:r w:rsidR="00C86818">
        <w:t xml:space="preserve"> a peripheral activ</w:t>
      </w:r>
      <w:r w:rsidR="0036268E">
        <w:t xml:space="preserve">ity and </w:t>
      </w:r>
      <w:r w:rsidR="008B5E1E">
        <w:t xml:space="preserve">the </w:t>
      </w:r>
      <w:r w:rsidR="0036268E">
        <w:t>audience evaluations of</w:t>
      </w:r>
      <w:r w:rsidR="00C86818">
        <w:t xml:space="preserve"> the core activity</w:t>
      </w:r>
      <w:r w:rsidR="00E12016">
        <w:t xml:space="preserve">. </w:t>
      </w:r>
    </w:p>
    <w:p w:rsidR="00C62058" w:rsidRDefault="00FE1FB2">
      <w:pPr>
        <w:spacing w:line="480" w:lineRule="auto"/>
        <w:ind w:firstLine="567"/>
        <w:jc w:val="both"/>
      </w:pPr>
      <w:r w:rsidRPr="00FE1FB2">
        <w:t xml:space="preserve">Status “refers to a socially constructed, </w:t>
      </w:r>
      <w:proofErr w:type="spellStart"/>
      <w:r w:rsidRPr="00FE1FB2">
        <w:t>intersubjectively</w:t>
      </w:r>
      <w:proofErr w:type="spellEnd"/>
      <w:r w:rsidRPr="00FE1FB2">
        <w:t xml:space="preserve"> agreed</w:t>
      </w:r>
      <w:r w:rsidR="00E64062">
        <w:t xml:space="preserve"> </w:t>
      </w:r>
      <w:r w:rsidRPr="00FE1FB2">
        <w:t>upon and accepted ordering or ranking of…</w:t>
      </w:r>
      <w:r w:rsidR="008B5E1E">
        <w:t xml:space="preserve"> </w:t>
      </w:r>
      <w:r w:rsidRPr="00FE1FB2">
        <w:t>organizations…</w:t>
      </w:r>
      <w:r w:rsidR="008B5E1E">
        <w:t xml:space="preserve"> </w:t>
      </w:r>
      <w:r w:rsidRPr="00FE1FB2">
        <w:t xml:space="preserve">in a social system” (Washington and </w:t>
      </w:r>
      <w:proofErr w:type="spellStart"/>
      <w:r w:rsidRPr="00FE1FB2">
        <w:t>Zajac</w:t>
      </w:r>
      <w:proofErr w:type="spellEnd"/>
      <w:r w:rsidRPr="00FE1FB2">
        <w:t xml:space="preserve">, 2005: 284). The concept of </w:t>
      </w:r>
      <w:r w:rsidRPr="00FE1FB2">
        <w:lastRenderedPageBreak/>
        <w:t xml:space="preserve">status is clearly delineated from the concept of reputation (Washington and </w:t>
      </w:r>
      <w:proofErr w:type="spellStart"/>
      <w:r w:rsidRPr="00FE1FB2">
        <w:t>Zajac</w:t>
      </w:r>
      <w:proofErr w:type="spellEnd"/>
      <w:r w:rsidRPr="00FE1FB2">
        <w:t xml:space="preserve">, 2005; </w:t>
      </w:r>
      <w:proofErr w:type="spellStart"/>
      <w:r w:rsidRPr="00FE1FB2">
        <w:t>Ertug</w:t>
      </w:r>
      <w:proofErr w:type="spellEnd"/>
      <w:r w:rsidRPr="00FE1FB2">
        <w:t xml:space="preserve"> and Castellucci, 2013; Piazza and Caste</w:t>
      </w:r>
      <w:r w:rsidR="0086422A">
        <w:t>l</w:t>
      </w:r>
      <w:r w:rsidRPr="00FE1FB2">
        <w:t xml:space="preserve">lucci, 2014). </w:t>
      </w:r>
      <w:r w:rsidR="00B615A6">
        <w:t>Status</w:t>
      </w:r>
      <w:r w:rsidR="00B615A6" w:rsidRPr="00FE1FB2">
        <w:t xml:space="preserve"> is not necessarily tightly linked to past behaviors (Jensen and Roy, 2008) and can exist independently of economic antecedents (Washington and </w:t>
      </w:r>
      <w:proofErr w:type="spellStart"/>
      <w:r w:rsidR="00B615A6" w:rsidRPr="00FE1FB2">
        <w:t>Zajac</w:t>
      </w:r>
      <w:proofErr w:type="spellEnd"/>
      <w:r w:rsidR="00B615A6" w:rsidRPr="00FE1FB2">
        <w:t>, 2005).</w:t>
      </w:r>
      <w:r w:rsidR="00B615A6">
        <w:t xml:space="preserve"> </w:t>
      </w:r>
      <w:r w:rsidRPr="00FE1FB2">
        <w:t>Status “captures differences in social rank</w:t>
      </w:r>
      <w:r w:rsidR="00D0170F">
        <w:t>…</w:t>
      </w:r>
      <w:r w:rsidR="008B5E1E">
        <w:t xml:space="preserve"> </w:t>
      </w:r>
      <w:r w:rsidRPr="00FE1FB2">
        <w:t>while reputation…</w:t>
      </w:r>
      <w:r w:rsidR="008B5E1E">
        <w:t xml:space="preserve"> </w:t>
      </w:r>
      <w:r w:rsidRPr="00FE1FB2">
        <w:t xml:space="preserve">captures differences in perceived or actual quality or merit that generate earned, performance-based rewards” (Washington and </w:t>
      </w:r>
      <w:proofErr w:type="spellStart"/>
      <w:r w:rsidRPr="00FE1FB2">
        <w:t>Zajac</w:t>
      </w:r>
      <w:proofErr w:type="spellEnd"/>
      <w:r w:rsidRPr="00FE1FB2">
        <w:t>, 2005: 283). As Sorenson (2014: 64) argues</w:t>
      </w:r>
      <w:r w:rsidR="008B5E1E">
        <w:t>,</w:t>
      </w:r>
      <w:r w:rsidRPr="00FE1FB2">
        <w:t xml:space="preserve"> “status stems from position, whereas reputations arise from prior actions”. Moreover, once established, “the status ordering is slower to change, when compared with the actor’s reputation, in the face of changes in quality or performance” (Piazza and Castel</w:t>
      </w:r>
      <w:r w:rsidR="00C468DB">
        <w:t>l</w:t>
      </w:r>
      <w:r w:rsidRPr="00FE1FB2">
        <w:t>ucci, 2014: 293).</w:t>
      </w:r>
    </w:p>
    <w:p w:rsidR="001B753B" w:rsidRDefault="00B615A6" w:rsidP="005A3097">
      <w:pPr>
        <w:autoSpaceDE w:val="0"/>
        <w:autoSpaceDN w:val="0"/>
        <w:adjustRightInd w:val="0"/>
        <w:spacing w:line="480" w:lineRule="auto"/>
        <w:ind w:firstLine="567"/>
        <w:jc w:val="both"/>
      </w:pPr>
      <w:r>
        <w:t>Research shows that s</w:t>
      </w:r>
      <w:r w:rsidR="00D35A82">
        <w:t>tatus increases the credibility of an organization’s claims about quality (</w:t>
      </w:r>
      <w:r w:rsidR="00166D8B">
        <w:t xml:space="preserve">Fischer and </w:t>
      </w:r>
      <w:proofErr w:type="spellStart"/>
      <w:r w:rsidR="00166D8B">
        <w:t>Reuber</w:t>
      </w:r>
      <w:proofErr w:type="spellEnd"/>
      <w:r w:rsidR="00166D8B">
        <w:t xml:space="preserve">, 2007; </w:t>
      </w:r>
      <w:r w:rsidR="00D35A82">
        <w:t xml:space="preserve">Sine, Shane and di Gregorio, 2003). </w:t>
      </w:r>
      <w:r w:rsidRPr="00EF4FEF">
        <w:t xml:space="preserve">Credibility refers to the extent to which entity-specific information is believable (Fischer and </w:t>
      </w:r>
      <w:proofErr w:type="spellStart"/>
      <w:r w:rsidRPr="00EF4FEF">
        <w:t>Reuber</w:t>
      </w:r>
      <w:proofErr w:type="spellEnd"/>
      <w:r w:rsidRPr="00EF4FEF">
        <w:t>, 2007).</w:t>
      </w:r>
      <w:r>
        <w:t xml:space="preserve"> </w:t>
      </w:r>
      <w:r w:rsidR="00105A54">
        <w:t>Messages from h</w:t>
      </w:r>
      <w:r w:rsidR="003433AF">
        <w:t xml:space="preserve">igh-status organizations are more credible </w:t>
      </w:r>
      <w:r w:rsidR="00C85ECD">
        <w:t xml:space="preserve">because </w:t>
      </w:r>
      <w:r w:rsidR="00105A54">
        <w:t>hi</w:t>
      </w:r>
      <w:r w:rsidR="006F1D91">
        <w:t>gh-</w:t>
      </w:r>
      <w:r w:rsidR="00105A54">
        <w:t xml:space="preserve">status organizations are perceived as more reliable sources of information than their low-status counterparts. The association between </w:t>
      </w:r>
      <w:r w:rsidR="008B5E1E">
        <w:t xml:space="preserve">the </w:t>
      </w:r>
      <w:r w:rsidR="00105A54">
        <w:t xml:space="preserve">reliability of the source and </w:t>
      </w:r>
      <w:r w:rsidR="008B5E1E">
        <w:t xml:space="preserve">the </w:t>
      </w:r>
      <w:r w:rsidR="00105A54">
        <w:t xml:space="preserve">credibility of the message </w:t>
      </w:r>
      <w:r w:rsidR="008B5E1E">
        <w:t xml:space="preserve">is derived </w:t>
      </w:r>
      <w:r w:rsidR="00105A54">
        <w:t>from the Aristotelian notion of ethos</w:t>
      </w:r>
      <w:r w:rsidR="003E12E8">
        <w:t xml:space="preserve"> </w:t>
      </w:r>
      <w:r w:rsidR="006F1D91">
        <w:t>(character)</w:t>
      </w:r>
      <w:r w:rsidR="00C70CB4">
        <w:t xml:space="preserve"> of the source</w:t>
      </w:r>
      <w:r w:rsidR="006F1D91">
        <w:t xml:space="preserve"> </w:t>
      </w:r>
      <w:r w:rsidR="003E12E8">
        <w:t xml:space="preserve">and was empirically confirmed by </w:t>
      </w:r>
      <w:r w:rsidR="00557805">
        <w:t>experimental research</w:t>
      </w:r>
      <w:r w:rsidR="003E12E8">
        <w:t xml:space="preserve"> in social psychology (</w:t>
      </w:r>
      <w:proofErr w:type="spellStart"/>
      <w:r w:rsidR="003E12E8">
        <w:t>Giffin</w:t>
      </w:r>
      <w:proofErr w:type="spellEnd"/>
      <w:r w:rsidR="003E12E8">
        <w:t>, 1967)</w:t>
      </w:r>
      <w:r w:rsidR="00C85ECD">
        <w:t>.</w:t>
      </w:r>
      <w:r w:rsidR="006F1D91">
        <w:t xml:space="preserve"> Based on this </w:t>
      </w:r>
      <w:r w:rsidR="00FC701C">
        <w:t xml:space="preserve">principle, we argue that </w:t>
      </w:r>
      <w:r w:rsidR="007E7A9B">
        <w:t xml:space="preserve">signals related to a peripheral activity </w:t>
      </w:r>
      <w:r w:rsidR="009335B1">
        <w:t>coming from</w:t>
      </w:r>
      <w:r w:rsidR="007E7A9B">
        <w:t xml:space="preserve"> organizations </w:t>
      </w:r>
      <w:r w:rsidR="003433AF">
        <w:t xml:space="preserve">of higher status </w:t>
      </w:r>
      <w:r w:rsidR="00FC701C">
        <w:t xml:space="preserve">would be </w:t>
      </w:r>
      <w:r>
        <w:t xml:space="preserve">perceived as </w:t>
      </w:r>
      <w:r w:rsidR="00FC701C">
        <w:t>more credible</w:t>
      </w:r>
      <w:r w:rsidR="00880F6B">
        <w:t>; therefore</w:t>
      </w:r>
      <w:r w:rsidR="00C14CE0">
        <w:t>, the influence of signals related to a peripheral activity on evaluations for the core activity would be greater for high</w:t>
      </w:r>
      <w:r w:rsidR="008B5E1E">
        <w:t>-</w:t>
      </w:r>
      <w:r w:rsidR="00C14CE0">
        <w:t xml:space="preserve"> than for low-status organizations. </w:t>
      </w:r>
    </w:p>
    <w:p w:rsidR="00A85681" w:rsidRDefault="005A3097">
      <w:pPr>
        <w:spacing w:line="480" w:lineRule="auto"/>
        <w:ind w:firstLine="567"/>
        <w:jc w:val="both"/>
      </w:pPr>
      <w:r>
        <w:t>I</w:t>
      </w:r>
      <w:r w:rsidR="00FC701C">
        <w:t xml:space="preserve">n our context, </w:t>
      </w:r>
      <w:r w:rsidR="00445DF4">
        <w:t xml:space="preserve">signals from </w:t>
      </w:r>
      <w:r w:rsidR="00FC701C">
        <w:t xml:space="preserve">high-status universities </w:t>
      </w:r>
      <w:r w:rsidR="00C14CE0">
        <w:t xml:space="preserve">about creating </w:t>
      </w:r>
      <w:r w:rsidR="00FC701C">
        <w:t xml:space="preserve">social impact </w:t>
      </w:r>
      <w:r w:rsidR="00445DF4">
        <w:t xml:space="preserve">via spinoffs </w:t>
      </w:r>
      <w:r w:rsidR="00FC701C">
        <w:t xml:space="preserve">are credible, because </w:t>
      </w:r>
      <w:r w:rsidR="00880F6B">
        <w:t xml:space="preserve">research </w:t>
      </w:r>
      <w:r w:rsidR="00FC701C">
        <w:t>evaluators</w:t>
      </w:r>
      <w:r w:rsidR="006F1D91">
        <w:t xml:space="preserve"> consider</w:t>
      </w:r>
      <w:r w:rsidR="00880F6B">
        <w:t xml:space="preserve"> </w:t>
      </w:r>
      <w:r w:rsidR="00445DF4">
        <w:t>these institutions</w:t>
      </w:r>
      <w:r w:rsidR="006F1D91">
        <w:t xml:space="preserve"> as reliable</w:t>
      </w:r>
      <w:r w:rsidR="007D2C0F">
        <w:t xml:space="preserve"> sources</w:t>
      </w:r>
      <w:r w:rsidR="00FC701C">
        <w:t xml:space="preserve">. </w:t>
      </w:r>
      <w:r w:rsidR="00445DF4">
        <w:t>C</w:t>
      </w:r>
      <w:r w:rsidR="00FC701C">
        <w:t xml:space="preserve">redibility intensifies the effect of </w:t>
      </w:r>
      <w:r w:rsidR="00445DF4">
        <w:t xml:space="preserve">these signals on building </w:t>
      </w:r>
      <w:r w:rsidR="00FC701C">
        <w:t>a</w:t>
      </w:r>
      <w:r w:rsidR="00445DF4">
        <w:t xml:space="preserve"> reputation for impact</w:t>
      </w:r>
      <w:r w:rsidR="00FC701C">
        <w:t>.</w:t>
      </w:r>
      <w:r w:rsidR="00445DF4">
        <w:t xml:space="preserve"> </w:t>
      </w:r>
      <w:r w:rsidR="008B5E1E">
        <w:t>In other words</w:t>
      </w:r>
      <w:r w:rsidR="00445DF4">
        <w:t>, low-</w:t>
      </w:r>
      <w:r w:rsidR="00E873D2">
        <w:t>status universities</w:t>
      </w:r>
      <w:r w:rsidR="0074574A">
        <w:t xml:space="preserve"> signaling strength in</w:t>
      </w:r>
      <w:r w:rsidR="00FC701C">
        <w:t xml:space="preserve"> </w:t>
      </w:r>
      <w:r w:rsidR="00880F6B">
        <w:t xml:space="preserve">creating impact </w:t>
      </w:r>
      <w:r w:rsidR="002D39A8">
        <w:t xml:space="preserve">via </w:t>
      </w:r>
      <w:r w:rsidR="00E873D2">
        <w:t xml:space="preserve">spinoffs </w:t>
      </w:r>
      <w:r w:rsidR="006F1D91">
        <w:t>are</w:t>
      </w:r>
      <w:r w:rsidR="00FC701C">
        <w:t xml:space="preserve"> </w:t>
      </w:r>
      <w:r w:rsidR="009335B1">
        <w:t>less believable</w:t>
      </w:r>
      <w:r w:rsidR="00FC701C">
        <w:t>.</w:t>
      </w:r>
      <w:r w:rsidR="00880F6B" w:rsidRPr="00880F6B">
        <w:t xml:space="preserve"> </w:t>
      </w:r>
      <w:r w:rsidR="00880F6B">
        <w:t>Research evaluators would have doubts about whether it is</w:t>
      </w:r>
      <w:r w:rsidR="00445DF4">
        <w:t xml:space="preserve"> </w:t>
      </w:r>
      <w:r w:rsidR="00880F6B">
        <w:t xml:space="preserve">possible for </w:t>
      </w:r>
      <w:r w:rsidR="00445DF4">
        <w:t xml:space="preserve">a university </w:t>
      </w:r>
      <w:r w:rsidR="00E128C8">
        <w:t>of low status</w:t>
      </w:r>
      <w:r w:rsidR="00E873D2">
        <w:t xml:space="preserve"> </w:t>
      </w:r>
      <w:r w:rsidR="00880F6B">
        <w:t xml:space="preserve">to </w:t>
      </w:r>
      <w:r w:rsidR="00A70018">
        <w:t>be</w:t>
      </w:r>
      <w:r w:rsidR="00E873D2">
        <w:t xml:space="preserve">come good </w:t>
      </w:r>
      <w:r w:rsidR="008B5E1E">
        <w:t xml:space="preserve">at </w:t>
      </w:r>
      <w:r w:rsidR="002D39A8">
        <w:t>generating</w:t>
      </w:r>
      <w:r w:rsidR="00880F6B">
        <w:t xml:space="preserve"> spinoffs. These doubts reduce the effect of signals </w:t>
      </w:r>
      <w:r w:rsidR="00445DF4">
        <w:t xml:space="preserve">of impact via spinoffs </w:t>
      </w:r>
      <w:r w:rsidR="006339D2">
        <w:t xml:space="preserve">on building a </w:t>
      </w:r>
      <w:r w:rsidR="00445DF4">
        <w:t xml:space="preserve">reputation </w:t>
      </w:r>
      <w:r w:rsidR="00E873D2">
        <w:t>for</w:t>
      </w:r>
      <w:r w:rsidR="009335B1">
        <w:t xml:space="preserve"> this </w:t>
      </w:r>
      <w:r w:rsidR="00E873D2">
        <w:t>activity</w:t>
      </w:r>
      <w:r w:rsidR="00445DF4">
        <w:t>.</w:t>
      </w:r>
      <w:r w:rsidR="00880F6B">
        <w:t xml:space="preserve"> </w:t>
      </w:r>
      <w:r w:rsidR="00445DF4">
        <w:t>Consequently</w:t>
      </w:r>
      <w:r w:rsidR="009335B1">
        <w:t>,</w:t>
      </w:r>
      <w:r w:rsidR="006339D2">
        <w:t xml:space="preserve"> </w:t>
      </w:r>
      <w:r w:rsidR="00445DF4">
        <w:t xml:space="preserve">signals of impact via spinoffs would have a lower effect </w:t>
      </w:r>
      <w:r w:rsidR="004B74D9">
        <w:t>on</w:t>
      </w:r>
      <w:r w:rsidR="00880F6B">
        <w:t xml:space="preserve"> evaluations for research.</w:t>
      </w:r>
    </w:p>
    <w:p w:rsidR="00FE1FB2" w:rsidRPr="00FE1FB2" w:rsidRDefault="00D9322E">
      <w:pPr>
        <w:spacing w:line="480" w:lineRule="auto"/>
        <w:ind w:firstLine="567"/>
        <w:jc w:val="both"/>
        <w:rPr>
          <w:rFonts w:ascii="Tahoma" w:hAnsi="Tahoma" w:cs="Tahoma"/>
          <w:sz w:val="18"/>
          <w:szCs w:val="18"/>
        </w:rPr>
      </w:pPr>
      <w:r>
        <w:lastRenderedPageBreak/>
        <w:t>To sum up, we argue that</w:t>
      </w:r>
      <w:r w:rsidR="0073458D" w:rsidRPr="00FE1FB2">
        <w:t xml:space="preserve"> </w:t>
      </w:r>
      <w:r w:rsidR="0073458D">
        <w:t xml:space="preserve">status </w:t>
      </w:r>
      <w:r w:rsidR="006F1D91">
        <w:t xml:space="preserve">enhances the </w:t>
      </w:r>
      <w:r w:rsidR="006677DC">
        <w:t xml:space="preserve">reputation-building </w:t>
      </w:r>
      <w:r w:rsidR="006F1D91">
        <w:t xml:space="preserve">effect of </w:t>
      </w:r>
      <w:r w:rsidR="006677DC">
        <w:t>signals</w:t>
      </w:r>
      <w:r w:rsidR="006F1D91">
        <w:t xml:space="preserve"> about a peripheral activity</w:t>
      </w:r>
      <w:r w:rsidR="0073458D" w:rsidRPr="00FE1FB2">
        <w:t xml:space="preserve">, yielding </w:t>
      </w:r>
      <w:r w:rsidR="004E4B6D">
        <w:t>better evaluations</w:t>
      </w:r>
      <w:r w:rsidR="0073458D" w:rsidRPr="00FE1FB2">
        <w:t xml:space="preserve"> </w:t>
      </w:r>
      <w:r w:rsidR="006677DC">
        <w:t xml:space="preserve">for </w:t>
      </w:r>
      <w:r w:rsidR="006F1D91">
        <w:t xml:space="preserve">the core activity for </w:t>
      </w:r>
      <w:r w:rsidR="006677DC">
        <w:t>high-status organizations</w:t>
      </w:r>
      <w:r w:rsidR="0073458D" w:rsidRPr="00FE1FB2">
        <w:t xml:space="preserve">. </w:t>
      </w:r>
      <w:r w:rsidR="00AC397C">
        <w:t xml:space="preserve">We </w:t>
      </w:r>
      <w:r w:rsidR="006F1D91">
        <w:t>formally</w:t>
      </w:r>
      <w:r w:rsidR="00AC397C">
        <w:t xml:space="preserve"> hypothesize:</w:t>
      </w:r>
    </w:p>
    <w:p w:rsidR="00FE1FB2" w:rsidRPr="00FE1FB2" w:rsidRDefault="00FE1FB2" w:rsidP="00FE1FB2">
      <w:pPr>
        <w:spacing w:line="480" w:lineRule="auto"/>
        <w:ind w:firstLine="567"/>
        <w:jc w:val="both"/>
        <w:rPr>
          <w:i/>
        </w:rPr>
      </w:pPr>
      <w:r>
        <w:rPr>
          <w:i/>
        </w:rPr>
        <w:t xml:space="preserve">H4: </w:t>
      </w:r>
      <w:r w:rsidR="00D5745B">
        <w:rPr>
          <w:i/>
        </w:rPr>
        <w:t>The relationship between</w:t>
      </w:r>
      <w:r w:rsidRPr="00FE1FB2">
        <w:rPr>
          <w:i/>
        </w:rPr>
        <w:t xml:space="preserve"> sig</w:t>
      </w:r>
      <w:r w:rsidR="00D5745B">
        <w:rPr>
          <w:i/>
        </w:rPr>
        <w:t xml:space="preserve">nals </w:t>
      </w:r>
      <w:r w:rsidR="00E74463">
        <w:rPr>
          <w:i/>
        </w:rPr>
        <w:t>related to</w:t>
      </w:r>
      <w:r w:rsidR="00D5745B">
        <w:rPr>
          <w:i/>
        </w:rPr>
        <w:t xml:space="preserve"> a peripheral activity and</w:t>
      </w:r>
      <w:r w:rsidR="008D1A91">
        <w:rPr>
          <w:i/>
        </w:rPr>
        <w:t xml:space="preserve"> evaluations of</w:t>
      </w:r>
      <w:r>
        <w:rPr>
          <w:i/>
        </w:rPr>
        <w:t xml:space="preserve"> the core activity </w:t>
      </w:r>
      <w:r w:rsidRPr="00FE1FB2">
        <w:rPr>
          <w:i/>
        </w:rPr>
        <w:t>is moderated by stat</w:t>
      </w:r>
      <w:r>
        <w:rPr>
          <w:i/>
        </w:rPr>
        <w:t>us. Specifically, t</w:t>
      </w:r>
      <w:r w:rsidRPr="00FE1FB2">
        <w:rPr>
          <w:i/>
        </w:rPr>
        <w:t xml:space="preserve">he relationship between signals </w:t>
      </w:r>
      <w:r w:rsidR="00E74463">
        <w:rPr>
          <w:i/>
        </w:rPr>
        <w:t>related to</w:t>
      </w:r>
      <w:r w:rsidRPr="00FE1FB2">
        <w:rPr>
          <w:i/>
        </w:rPr>
        <w:t xml:space="preserve"> a peripheral activity and </w:t>
      </w:r>
      <w:r w:rsidR="008D1A91">
        <w:rPr>
          <w:i/>
        </w:rPr>
        <w:t>evaluations</w:t>
      </w:r>
      <w:r w:rsidRPr="00FE1FB2">
        <w:rPr>
          <w:i/>
        </w:rPr>
        <w:t xml:space="preserve"> </w:t>
      </w:r>
      <w:r w:rsidR="00F23B5D">
        <w:rPr>
          <w:i/>
        </w:rPr>
        <w:t>of</w:t>
      </w:r>
      <w:r>
        <w:rPr>
          <w:i/>
        </w:rPr>
        <w:t xml:space="preserve"> the core activity </w:t>
      </w:r>
      <w:r w:rsidRPr="00FE1FB2">
        <w:rPr>
          <w:i/>
        </w:rPr>
        <w:t xml:space="preserve">is stronger for </w:t>
      </w:r>
      <w:r w:rsidR="008D1A91">
        <w:rPr>
          <w:i/>
        </w:rPr>
        <w:t>high-status</w:t>
      </w:r>
      <w:r w:rsidRPr="00FE1FB2">
        <w:rPr>
          <w:i/>
        </w:rPr>
        <w:t xml:space="preserve"> </w:t>
      </w:r>
      <w:r w:rsidR="00503798">
        <w:rPr>
          <w:i/>
        </w:rPr>
        <w:t>organizations</w:t>
      </w:r>
      <w:r w:rsidRPr="00FE1FB2">
        <w:rPr>
          <w:i/>
        </w:rPr>
        <w:t>.</w:t>
      </w:r>
    </w:p>
    <w:p w:rsidR="0016088D" w:rsidRPr="0016088D" w:rsidRDefault="0016088D" w:rsidP="0016088D">
      <w:pPr>
        <w:pStyle w:val="ListParagraph"/>
        <w:spacing w:line="480" w:lineRule="auto"/>
        <w:ind w:left="0"/>
        <w:jc w:val="both"/>
      </w:pPr>
    </w:p>
    <w:p w:rsidR="00D67D7D" w:rsidRPr="00AD1AEF" w:rsidRDefault="00D67D7D" w:rsidP="00084ACA">
      <w:pPr>
        <w:numPr>
          <w:ilvl w:val="0"/>
          <w:numId w:val="5"/>
        </w:numPr>
        <w:spacing w:line="480" w:lineRule="auto"/>
        <w:ind w:left="284" w:hanging="284"/>
        <w:rPr>
          <w:b/>
        </w:rPr>
      </w:pPr>
      <w:r w:rsidRPr="00AD1AEF">
        <w:rPr>
          <w:b/>
        </w:rPr>
        <w:t>METHODOLOGY</w:t>
      </w:r>
    </w:p>
    <w:p w:rsidR="00B17133" w:rsidRPr="00AD1AEF" w:rsidRDefault="00B17133" w:rsidP="00B17133">
      <w:pPr>
        <w:spacing w:line="480" w:lineRule="auto"/>
        <w:ind w:firstLine="567"/>
        <w:jc w:val="both"/>
        <w:outlineLvl w:val="0"/>
        <w:rPr>
          <w:b/>
        </w:rPr>
      </w:pPr>
      <w:r>
        <w:rPr>
          <w:b/>
        </w:rPr>
        <w:t>The empirical setting</w:t>
      </w:r>
      <w:r w:rsidR="002C6FB0">
        <w:rPr>
          <w:b/>
        </w:rPr>
        <w:t>:</w:t>
      </w:r>
      <w:r>
        <w:rPr>
          <w:b/>
        </w:rPr>
        <w:t xml:space="preserve"> </w:t>
      </w:r>
      <w:r w:rsidR="00E128C8">
        <w:rPr>
          <w:b/>
        </w:rPr>
        <w:t xml:space="preserve">Social impact via </w:t>
      </w:r>
      <w:r w:rsidRPr="00AD1AEF">
        <w:rPr>
          <w:b/>
        </w:rPr>
        <w:t>spinoffs</w:t>
      </w:r>
      <w:r>
        <w:rPr>
          <w:b/>
        </w:rPr>
        <w:t xml:space="preserve"> and research funding</w:t>
      </w:r>
      <w:r w:rsidR="00E128C8">
        <w:rPr>
          <w:b/>
        </w:rPr>
        <w:t xml:space="preserve"> in the UK</w:t>
      </w:r>
    </w:p>
    <w:p w:rsidR="003E4805" w:rsidRDefault="003E4805" w:rsidP="00B17133">
      <w:pPr>
        <w:autoSpaceDE w:val="0"/>
        <w:autoSpaceDN w:val="0"/>
        <w:adjustRightInd w:val="0"/>
        <w:spacing w:line="480" w:lineRule="auto"/>
        <w:ind w:firstLine="567"/>
        <w:jc w:val="both"/>
      </w:pPr>
      <w:r>
        <w:t>A</w:t>
      </w:r>
      <w:r w:rsidRPr="00AD1AEF">
        <w:t xml:space="preserve">cademic spinoffs are new firms created to commercially </w:t>
      </w:r>
      <w:r w:rsidR="00BD320C">
        <w:t xml:space="preserve">exploit </w:t>
      </w:r>
      <w:r w:rsidRPr="00AD1AEF">
        <w:t>knowledge, technology or research results developed within a university (</w:t>
      </w:r>
      <w:proofErr w:type="spellStart"/>
      <w:r w:rsidRPr="00AD1AEF">
        <w:t>Djokovic</w:t>
      </w:r>
      <w:proofErr w:type="spellEnd"/>
      <w:r w:rsidRPr="00AD1AEF">
        <w:t xml:space="preserve"> a</w:t>
      </w:r>
      <w:r>
        <w:t xml:space="preserve">nd Souitaris, 2008; </w:t>
      </w:r>
      <w:r w:rsidRPr="00AD1AEF">
        <w:t>Locket</w:t>
      </w:r>
      <w:r>
        <w:t xml:space="preserve">t and Wright, 2005; Nicolaou and </w:t>
      </w:r>
      <w:proofErr w:type="spellStart"/>
      <w:r>
        <w:t>Birley</w:t>
      </w:r>
      <w:proofErr w:type="spellEnd"/>
      <w:r>
        <w:t xml:space="preserve">, 2003; O’Shea, </w:t>
      </w:r>
      <w:proofErr w:type="spellStart"/>
      <w:r>
        <w:t>Chug</w:t>
      </w:r>
      <w:r w:rsidRPr="00AD1AEF">
        <w:t>h</w:t>
      </w:r>
      <w:proofErr w:type="spellEnd"/>
      <w:r w:rsidRPr="00AD1AEF">
        <w:t xml:space="preserve"> and Allen, 2008</w:t>
      </w:r>
      <w:r>
        <w:t xml:space="preserve">; Shane, 2004). </w:t>
      </w:r>
      <w:r w:rsidR="00B17133">
        <w:t xml:space="preserve">The emergence of academic </w:t>
      </w:r>
      <w:r w:rsidR="00B17133" w:rsidRPr="00AD1AEF">
        <w:t xml:space="preserve">spinoffs in the UK is a </w:t>
      </w:r>
      <w:r w:rsidR="00FF29B7">
        <w:t xml:space="preserve">good context </w:t>
      </w:r>
      <w:r w:rsidR="008B5E1E">
        <w:t xml:space="preserve">in which </w:t>
      </w:r>
      <w:r w:rsidR="00FF29B7">
        <w:t xml:space="preserve">to explore </w:t>
      </w:r>
      <w:r w:rsidR="00B17133">
        <w:t>whether developing a reput</w:t>
      </w:r>
      <w:r w:rsidR="00E6766C">
        <w:t>ation for a</w:t>
      </w:r>
      <w:r w:rsidR="00B17133">
        <w:t xml:space="preserve"> peripheral activity </w:t>
      </w:r>
      <w:r w:rsidR="00FF29B7">
        <w:t>can create spillover effects for</w:t>
      </w:r>
      <w:r w:rsidR="00B17133" w:rsidRPr="00AD1AEF">
        <w:t xml:space="preserve"> the </w:t>
      </w:r>
      <w:r w:rsidR="00B17133">
        <w:t>core</w:t>
      </w:r>
      <w:r w:rsidR="00B17133" w:rsidRPr="00AD1AEF">
        <w:t xml:space="preserve"> </w:t>
      </w:r>
      <w:r w:rsidR="00B17133">
        <w:t xml:space="preserve">organizational activity. </w:t>
      </w:r>
      <w:r w:rsidR="00E6766C">
        <w:t>Creating social impact via academic s</w:t>
      </w:r>
      <w:r w:rsidR="00B17133">
        <w:t>pin</w:t>
      </w:r>
      <w:r w:rsidR="00B17133" w:rsidRPr="00AD1AEF">
        <w:t>off</w:t>
      </w:r>
      <w:r w:rsidR="00E6766C">
        <w:t>s</w:t>
      </w:r>
      <w:r w:rsidR="00B17133" w:rsidRPr="00AD1AEF">
        <w:t xml:space="preserve"> represent</w:t>
      </w:r>
      <w:r w:rsidR="00E6766C">
        <w:t>ed a</w:t>
      </w:r>
      <w:r w:rsidR="005B0F7C">
        <w:t xml:space="preserve"> peripheral activity</w:t>
      </w:r>
      <w:r w:rsidR="00E6766C">
        <w:t xml:space="preserve"> for </w:t>
      </w:r>
      <w:r w:rsidR="00B17133" w:rsidRPr="00AD1AEF">
        <w:t>UK universities</w:t>
      </w:r>
      <w:r w:rsidR="00E6766C" w:rsidRPr="00E6766C">
        <w:t xml:space="preserve"> </w:t>
      </w:r>
      <w:r w:rsidR="00FF29B7">
        <w:t>during our</w:t>
      </w:r>
      <w:r w:rsidR="00E6766C">
        <w:t xml:space="preserve"> period of observation (1993-2007)</w:t>
      </w:r>
      <w:r w:rsidR="00B17133" w:rsidRPr="00AD1AEF">
        <w:t xml:space="preserve"> with the </w:t>
      </w:r>
      <w:r w:rsidR="00B17133">
        <w:t>core</w:t>
      </w:r>
      <w:r w:rsidR="00B17133" w:rsidRPr="00AD1AEF">
        <w:t xml:space="preserve"> activities being teaching and research (</w:t>
      </w:r>
      <w:proofErr w:type="spellStart"/>
      <w:r w:rsidR="00B17133" w:rsidRPr="00AD1AEF">
        <w:t>Etzkowitz</w:t>
      </w:r>
      <w:proofErr w:type="spellEnd"/>
      <w:r w:rsidR="00B17133" w:rsidRPr="00AD1AEF">
        <w:t>, 200</w:t>
      </w:r>
      <w:r w:rsidR="00B17133">
        <w:t>3</w:t>
      </w:r>
      <w:r w:rsidR="00B17133" w:rsidRPr="00AD1AEF">
        <w:t xml:space="preserve">). </w:t>
      </w:r>
    </w:p>
    <w:p w:rsidR="00791B69" w:rsidRDefault="00E6766C">
      <w:pPr>
        <w:spacing w:line="480" w:lineRule="auto"/>
        <w:ind w:firstLine="567"/>
        <w:jc w:val="both"/>
        <w:rPr>
          <w:rFonts w:eastAsia="Times New Roman"/>
        </w:rPr>
      </w:pPr>
      <w:r w:rsidRPr="00E6766C">
        <w:rPr>
          <w:rFonts w:eastAsia="Times New Roman"/>
        </w:rPr>
        <w:t xml:space="preserve">Creating social impact </w:t>
      </w:r>
      <w:r w:rsidR="00CF39A6">
        <w:rPr>
          <w:rFonts w:eastAsia="Times New Roman"/>
        </w:rPr>
        <w:t xml:space="preserve">via spinoffs </w:t>
      </w:r>
      <w:r w:rsidR="009F68AE">
        <w:rPr>
          <w:rFonts w:eastAsia="Times New Roman"/>
        </w:rPr>
        <w:t>require</w:t>
      </w:r>
      <w:r w:rsidR="00791B69">
        <w:rPr>
          <w:rFonts w:eastAsia="Times New Roman"/>
        </w:rPr>
        <w:t>s</w:t>
      </w:r>
      <w:r w:rsidRPr="00E6766C">
        <w:rPr>
          <w:rFonts w:eastAsia="Times New Roman"/>
        </w:rPr>
        <w:t xml:space="preserve"> a series of new initiatives</w:t>
      </w:r>
      <w:r w:rsidR="007E2DC1">
        <w:rPr>
          <w:rFonts w:eastAsia="Times New Roman"/>
        </w:rPr>
        <w:t xml:space="preserve"> and skills</w:t>
      </w:r>
      <w:r w:rsidRPr="00E6766C">
        <w:rPr>
          <w:rFonts w:eastAsia="Times New Roman"/>
        </w:rPr>
        <w:t>, such as technology transfer offices, incentives for faculty</w:t>
      </w:r>
      <w:r w:rsidR="008B5E1E">
        <w:rPr>
          <w:rFonts w:eastAsia="Times New Roman"/>
        </w:rPr>
        <w:t xml:space="preserve"> and</w:t>
      </w:r>
      <w:r w:rsidR="008B5E1E" w:rsidRPr="00E6766C">
        <w:rPr>
          <w:rFonts w:eastAsia="Times New Roman"/>
        </w:rPr>
        <w:t xml:space="preserve"> </w:t>
      </w:r>
      <w:r w:rsidRPr="00E6766C">
        <w:rPr>
          <w:rFonts w:eastAsia="Times New Roman"/>
        </w:rPr>
        <w:t>investment funds</w:t>
      </w:r>
      <w:r w:rsidR="005B6999">
        <w:rPr>
          <w:rFonts w:eastAsia="Times New Roman"/>
        </w:rPr>
        <w:t>, which</w:t>
      </w:r>
      <w:r w:rsidR="009F68AE">
        <w:rPr>
          <w:rFonts w:eastAsia="Times New Roman"/>
        </w:rPr>
        <w:t xml:space="preserve"> universities c</w:t>
      </w:r>
      <w:r w:rsidR="00791B69">
        <w:rPr>
          <w:rFonts w:eastAsia="Times New Roman"/>
        </w:rPr>
        <w:t>an</w:t>
      </w:r>
      <w:r w:rsidR="00FF29B7">
        <w:rPr>
          <w:rFonts w:eastAsia="Times New Roman"/>
        </w:rPr>
        <w:t xml:space="preserve"> invest in or </w:t>
      </w:r>
      <w:r w:rsidRPr="00E6766C">
        <w:rPr>
          <w:rFonts w:eastAsia="Times New Roman"/>
        </w:rPr>
        <w:t>opt out from.</w:t>
      </w:r>
      <w:r>
        <w:rPr>
          <w:rFonts w:eastAsia="Times New Roman"/>
        </w:rPr>
        <w:t xml:space="preserve"> </w:t>
      </w:r>
      <w:r w:rsidR="00791B69">
        <w:rPr>
          <w:rFonts w:eastAsia="Times New Roman"/>
          <w:color w:val="000000"/>
        </w:rPr>
        <w:t>S</w:t>
      </w:r>
      <w:r w:rsidR="00791B69" w:rsidRPr="00E6766C">
        <w:rPr>
          <w:rFonts w:eastAsia="Times New Roman"/>
        </w:rPr>
        <w:t>ocial impact and research are</w:t>
      </w:r>
      <w:r w:rsidR="00791B69">
        <w:rPr>
          <w:rFonts w:eastAsia="Times New Roman"/>
        </w:rPr>
        <w:t xml:space="preserve"> also separable as entities</w:t>
      </w:r>
      <w:r w:rsidR="00791B69" w:rsidRPr="00E6766C">
        <w:rPr>
          <w:rFonts w:eastAsia="Times New Roman"/>
        </w:rPr>
        <w:t xml:space="preserve">. </w:t>
      </w:r>
      <w:r w:rsidR="00791B69">
        <w:rPr>
          <w:rFonts w:eastAsia="Times New Roman"/>
        </w:rPr>
        <w:t>A</w:t>
      </w:r>
      <w:r w:rsidR="00791B69" w:rsidRPr="00E6766C">
        <w:rPr>
          <w:rFonts w:eastAsia="Times New Roman"/>
        </w:rPr>
        <w:t xml:space="preserve"> lot of ‘blue-sky’ research does not have immediately visible social impact, nevertheless i</w:t>
      </w:r>
      <w:r w:rsidR="00791B69">
        <w:rPr>
          <w:rFonts w:eastAsia="Times New Roman"/>
        </w:rPr>
        <w:t>t</w:t>
      </w:r>
      <w:r w:rsidR="00791B69" w:rsidRPr="00E6766C">
        <w:rPr>
          <w:rFonts w:eastAsia="Times New Roman"/>
        </w:rPr>
        <w:t xml:space="preserve"> i</w:t>
      </w:r>
      <w:r w:rsidR="00791B69">
        <w:rPr>
          <w:rFonts w:eastAsia="Times New Roman"/>
        </w:rPr>
        <w:t>s</w:t>
      </w:r>
      <w:r w:rsidR="00791B69" w:rsidRPr="00E6766C">
        <w:rPr>
          <w:rFonts w:eastAsia="Times New Roman"/>
        </w:rPr>
        <w:t xml:space="preserve"> considered groundbreaking. And</w:t>
      </w:r>
      <w:r w:rsidR="00791B69">
        <w:rPr>
          <w:rFonts w:eastAsia="Times New Roman"/>
        </w:rPr>
        <w:t xml:space="preserve"> many</w:t>
      </w:r>
      <w:r w:rsidR="00791B69" w:rsidRPr="00E6766C">
        <w:rPr>
          <w:rFonts w:eastAsia="Times New Roman"/>
        </w:rPr>
        <w:t xml:space="preserve"> spinoff companies are based</w:t>
      </w:r>
      <w:r w:rsidR="00791B69">
        <w:rPr>
          <w:rFonts w:eastAsia="Times New Roman"/>
        </w:rPr>
        <w:t xml:space="preserve"> on finding a large market for incremental</w:t>
      </w:r>
      <w:r w:rsidR="00791B69" w:rsidRPr="00E6766C">
        <w:rPr>
          <w:rFonts w:eastAsia="Times New Roman"/>
        </w:rPr>
        <w:t xml:space="preserve"> research applications</w:t>
      </w:r>
      <w:r w:rsidR="00791B69">
        <w:rPr>
          <w:rFonts w:eastAsia="Times New Roman"/>
        </w:rPr>
        <w:t xml:space="preserve"> (for example, software or mobile application firms). </w:t>
      </w:r>
    </w:p>
    <w:p w:rsidR="00791B69" w:rsidRDefault="002E6E8A">
      <w:pPr>
        <w:spacing w:line="480" w:lineRule="auto"/>
        <w:ind w:firstLine="567"/>
        <w:jc w:val="both"/>
        <w:rPr>
          <w:rFonts w:eastAsia="Times New Roman"/>
          <w:color w:val="000000"/>
        </w:rPr>
      </w:pPr>
      <w:r>
        <w:rPr>
          <w:rFonts w:eastAsia="Times New Roman"/>
          <w:color w:val="000000"/>
        </w:rPr>
        <w:t xml:space="preserve">Social impact is not present in the formal definition of </w:t>
      </w:r>
      <w:r w:rsidR="005B6999">
        <w:rPr>
          <w:rFonts w:eastAsia="Times New Roman"/>
          <w:color w:val="000000"/>
        </w:rPr>
        <w:t xml:space="preserve">a </w:t>
      </w:r>
      <w:r>
        <w:rPr>
          <w:rFonts w:eastAsia="Times New Roman"/>
          <w:color w:val="000000"/>
        </w:rPr>
        <w:t>university</w:t>
      </w:r>
      <w:r w:rsidR="008B5E1E">
        <w:rPr>
          <w:rFonts w:eastAsia="Times New Roman"/>
          <w:color w:val="000000"/>
        </w:rPr>
        <w:t>,</w:t>
      </w:r>
      <w:r>
        <w:rPr>
          <w:rFonts w:eastAsia="Times New Roman"/>
          <w:color w:val="000000"/>
        </w:rPr>
        <w:t xml:space="preserve"> which is “a high-level educational institution where students study for degrees and academic research gets done” (</w:t>
      </w:r>
      <w:r w:rsidRPr="000B6148">
        <w:rPr>
          <w:rFonts w:eastAsia="Times New Roman"/>
          <w:color w:val="000000"/>
        </w:rPr>
        <w:t xml:space="preserve">Oxford </w:t>
      </w:r>
      <w:r>
        <w:rPr>
          <w:rFonts w:eastAsia="Times New Roman"/>
          <w:color w:val="000000"/>
        </w:rPr>
        <w:t xml:space="preserve">English </w:t>
      </w:r>
      <w:r w:rsidRPr="000B6148">
        <w:rPr>
          <w:rFonts w:eastAsia="Times New Roman"/>
          <w:color w:val="000000"/>
        </w:rPr>
        <w:t>Dictionary</w:t>
      </w:r>
      <w:r>
        <w:rPr>
          <w:rFonts w:eastAsia="Times New Roman"/>
          <w:color w:val="000000"/>
        </w:rPr>
        <w:t xml:space="preserve">, </w:t>
      </w:r>
      <w:r w:rsidRPr="00F71570">
        <w:rPr>
          <w:rFonts w:eastAsia="Times New Roman"/>
          <w:color w:val="000000"/>
        </w:rPr>
        <w:t>www.oxforddictionaries.com</w:t>
      </w:r>
      <w:r>
        <w:rPr>
          <w:rFonts w:eastAsia="Times New Roman"/>
          <w:color w:val="000000"/>
        </w:rPr>
        <w:t xml:space="preserve">). </w:t>
      </w:r>
      <w:r w:rsidR="00FF29B7">
        <w:rPr>
          <w:rFonts w:eastAsia="Times New Roman"/>
        </w:rPr>
        <w:t>A</w:t>
      </w:r>
      <w:r w:rsidR="00E15FB1" w:rsidRPr="000B6148">
        <w:rPr>
          <w:rFonts w:eastAsia="Times New Roman"/>
          <w:color w:val="000000"/>
        </w:rPr>
        <w:t>n</w:t>
      </w:r>
      <w:r w:rsidR="00E15FB1">
        <w:rPr>
          <w:rFonts w:eastAsia="Times New Roman"/>
          <w:color w:val="000000"/>
        </w:rPr>
        <w:t xml:space="preserve"> institution</w:t>
      </w:r>
      <w:r w:rsidR="00E15FB1" w:rsidRPr="000B6148">
        <w:rPr>
          <w:rFonts w:eastAsia="Times New Roman"/>
          <w:color w:val="000000"/>
        </w:rPr>
        <w:t xml:space="preserve"> could be legitimate as a university </w:t>
      </w:r>
      <w:r w:rsidR="00FF29B7">
        <w:rPr>
          <w:rFonts w:eastAsia="Times New Roman"/>
          <w:color w:val="000000"/>
        </w:rPr>
        <w:t xml:space="preserve">even </w:t>
      </w:r>
      <w:r w:rsidR="00E15FB1" w:rsidRPr="000B6148">
        <w:rPr>
          <w:rFonts w:eastAsia="Times New Roman"/>
          <w:color w:val="000000"/>
        </w:rPr>
        <w:t>if it chose not to em</w:t>
      </w:r>
      <w:r w:rsidR="00FC4165">
        <w:rPr>
          <w:rFonts w:eastAsia="Times New Roman"/>
          <w:color w:val="000000"/>
        </w:rPr>
        <w:t>bark on spinoff creation</w:t>
      </w:r>
      <w:r w:rsidR="00E15FB1" w:rsidRPr="000B6148">
        <w:rPr>
          <w:rFonts w:eastAsia="Times New Roman"/>
          <w:color w:val="000000"/>
        </w:rPr>
        <w:t>.</w:t>
      </w:r>
      <w:r w:rsidR="00FF29B7">
        <w:rPr>
          <w:rFonts w:eastAsia="Times New Roman"/>
          <w:color w:val="000000"/>
        </w:rPr>
        <w:t xml:space="preserve"> </w:t>
      </w:r>
      <w:r w:rsidR="00791B69" w:rsidRPr="00C06708">
        <w:rPr>
          <w:rFonts w:eastAsia="Times New Roman"/>
          <w:color w:val="000000"/>
        </w:rPr>
        <w:t xml:space="preserve">We note that </w:t>
      </w:r>
      <w:r w:rsidR="00791B69">
        <w:rPr>
          <w:rFonts w:eastAsia="Times New Roman"/>
          <w:color w:val="000000"/>
        </w:rPr>
        <w:t xml:space="preserve">despite the UK government’s encouragement to universities to engage in social impact (HM Treasury, 1993), </w:t>
      </w:r>
      <w:r w:rsidR="00791B69" w:rsidRPr="00C06708">
        <w:rPr>
          <w:rFonts w:eastAsia="Times New Roman"/>
          <w:color w:val="000000"/>
        </w:rPr>
        <w:t xml:space="preserve">there were </w:t>
      </w:r>
      <w:r w:rsidR="00791B69">
        <w:rPr>
          <w:rFonts w:eastAsia="Times New Roman"/>
          <w:color w:val="000000"/>
        </w:rPr>
        <w:t xml:space="preserve">also </w:t>
      </w:r>
      <w:r w:rsidR="00791B69" w:rsidRPr="00C06708">
        <w:rPr>
          <w:rFonts w:eastAsia="Times New Roman"/>
          <w:color w:val="000000"/>
        </w:rPr>
        <w:t xml:space="preserve">open critiques of university spinoffs as a legitimate university activity. For example, </w:t>
      </w:r>
      <w:r w:rsidR="00791B69" w:rsidRPr="00C06708">
        <w:rPr>
          <w:lang w:eastAsia="en-GB"/>
        </w:rPr>
        <w:t xml:space="preserve">the Swedish </w:t>
      </w:r>
      <w:r w:rsidR="00791B69" w:rsidRPr="00C06708">
        <w:rPr>
          <w:i/>
          <w:iCs/>
          <w:lang w:eastAsia="en-GB"/>
        </w:rPr>
        <w:t xml:space="preserve">Research </w:t>
      </w:r>
      <w:r w:rsidR="00791B69" w:rsidRPr="00C06708">
        <w:rPr>
          <w:i/>
          <w:iCs/>
          <w:lang w:eastAsia="en-GB"/>
        </w:rPr>
        <w:lastRenderedPageBreak/>
        <w:t xml:space="preserve">2000 Report </w:t>
      </w:r>
      <w:r w:rsidR="00791B69" w:rsidRPr="00C06708">
        <w:rPr>
          <w:lang w:eastAsia="en-GB"/>
        </w:rPr>
        <w:t xml:space="preserve">recommended the withdrawal of universities from the envisaged </w:t>
      </w:r>
      <w:r w:rsidR="00791B69">
        <w:rPr>
          <w:lang w:eastAsia="en-GB"/>
        </w:rPr>
        <w:t>“</w:t>
      </w:r>
      <w:r w:rsidR="00791B69" w:rsidRPr="00C06708">
        <w:rPr>
          <w:lang w:eastAsia="en-GB"/>
        </w:rPr>
        <w:t>third mission</w:t>
      </w:r>
      <w:r w:rsidR="00791B69">
        <w:rPr>
          <w:lang w:eastAsia="en-GB"/>
        </w:rPr>
        <w:t>”</w:t>
      </w:r>
      <w:r w:rsidR="00791B69" w:rsidRPr="00C06708">
        <w:rPr>
          <w:lang w:eastAsia="en-GB"/>
        </w:rPr>
        <w:t xml:space="preserve"> of direct contributions to industry (Benner and </w:t>
      </w:r>
      <w:proofErr w:type="spellStart"/>
      <w:r w:rsidR="00791B69" w:rsidRPr="00C06708">
        <w:rPr>
          <w:lang w:eastAsia="en-GB"/>
        </w:rPr>
        <w:t>Sandstrom</w:t>
      </w:r>
      <w:proofErr w:type="spellEnd"/>
      <w:r w:rsidR="00791B69" w:rsidRPr="00C06708">
        <w:rPr>
          <w:lang w:eastAsia="en-GB"/>
        </w:rPr>
        <w:t xml:space="preserve">, 2000). Instead, the university should return to research and teaching tasks, as traditionally conceptualized. The </w:t>
      </w:r>
      <w:r w:rsidR="00791B69">
        <w:rPr>
          <w:lang w:eastAsia="en-GB"/>
        </w:rPr>
        <w:t>issues in the Swedish debate were</w:t>
      </w:r>
      <w:r w:rsidR="00791B69" w:rsidRPr="00C06708">
        <w:rPr>
          <w:lang w:eastAsia="en-GB"/>
        </w:rPr>
        <w:t xml:space="preserve"> echoed in the critique of academic technology transfer in the USA (Rosenberg and Nelson, 1994</w:t>
      </w:r>
      <w:r w:rsidR="00791B69">
        <w:rPr>
          <w:lang w:eastAsia="en-GB"/>
        </w:rPr>
        <w:t>; Slaughter and Rhoades, 2004</w:t>
      </w:r>
      <w:r w:rsidR="00791B69" w:rsidRPr="00C06708">
        <w:rPr>
          <w:lang w:eastAsia="en-GB"/>
        </w:rPr>
        <w:t xml:space="preserve">). </w:t>
      </w:r>
      <w:r w:rsidR="00791B69">
        <w:rPr>
          <w:lang w:eastAsia="en-GB"/>
        </w:rPr>
        <w:t xml:space="preserve">Some of the critics promoted social arguments; freedom, public accountability and democratic processes should prevail over short-term economic goals and quest for money (Slaughter and Rhoades, 2004). Others provided economic arguments; </w:t>
      </w:r>
      <w:r w:rsidR="00791B69" w:rsidRPr="00C06708">
        <w:rPr>
          <w:lang w:eastAsia="en-GB"/>
        </w:rPr>
        <w:t>academic technology-transfer mechanisms may create unnecessary transaction costs by encapsulating knowledge in patents that might otherwise flow freely to industry (</w:t>
      </w:r>
      <w:proofErr w:type="spellStart"/>
      <w:r w:rsidR="00791B69" w:rsidRPr="00C06708">
        <w:rPr>
          <w:lang w:eastAsia="en-GB"/>
        </w:rPr>
        <w:t>Etzkowitz</w:t>
      </w:r>
      <w:proofErr w:type="spellEnd"/>
      <w:r w:rsidR="00791B69" w:rsidRPr="00C06708">
        <w:rPr>
          <w:lang w:eastAsia="en-GB"/>
        </w:rPr>
        <w:t xml:space="preserve"> and </w:t>
      </w:r>
      <w:proofErr w:type="spellStart"/>
      <w:r w:rsidR="00791B69" w:rsidRPr="00C06708">
        <w:rPr>
          <w:lang w:eastAsia="en-GB"/>
        </w:rPr>
        <w:t>Leydesdorff</w:t>
      </w:r>
      <w:proofErr w:type="spellEnd"/>
      <w:r w:rsidR="00791B69" w:rsidRPr="00C06708">
        <w:rPr>
          <w:lang w:eastAsia="en-GB"/>
        </w:rPr>
        <w:t>, 2000).</w:t>
      </w:r>
    </w:p>
    <w:p w:rsidR="00B17133" w:rsidRDefault="001C1BE7" w:rsidP="0088091D">
      <w:pPr>
        <w:spacing w:line="480" w:lineRule="auto"/>
        <w:jc w:val="both"/>
      </w:pPr>
      <w:r>
        <w:rPr>
          <w:rFonts w:eastAsia="Times New Roman"/>
          <w:color w:val="000000"/>
        </w:rPr>
        <w:tab/>
      </w:r>
      <w:r w:rsidR="000832DB">
        <w:rPr>
          <w:snapToGrid w:val="0"/>
        </w:rPr>
        <w:t xml:space="preserve">In our study, evaluations for research were approximated by research income from competitive funding bids. </w:t>
      </w:r>
      <w:r w:rsidR="00B17133">
        <w:t>To understand how research funding evaluators decide</w:t>
      </w:r>
      <w:r w:rsidR="008B5E1E">
        <w:t>,</w:t>
      </w:r>
      <w:r w:rsidR="00B17133">
        <w:t xml:space="preserve"> and particular</w:t>
      </w:r>
      <w:r w:rsidR="008B5E1E">
        <w:t>ly</w:t>
      </w:r>
      <w:r w:rsidR="00B17133">
        <w:t xml:space="preserve"> whether they are sensitive to the issue of social impact </w:t>
      </w:r>
      <w:r w:rsidR="00326461">
        <w:t>of</w:t>
      </w:r>
      <w:r w:rsidR="00B17133">
        <w:t xml:space="preserve"> research, w</w:t>
      </w:r>
      <w:r w:rsidR="00B17133" w:rsidRPr="00837046">
        <w:t>e checked the official guidelines offered to evaluators of research grants by the UK research councils and by the E</w:t>
      </w:r>
      <w:r w:rsidR="00B17133">
        <w:t xml:space="preserve">uropean </w:t>
      </w:r>
      <w:r w:rsidR="00B17133" w:rsidRPr="00837046">
        <w:t>U</w:t>
      </w:r>
      <w:r w:rsidR="00B17133">
        <w:t>nion (EU)</w:t>
      </w:r>
      <w:r w:rsidR="00B17133" w:rsidRPr="00837046">
        <w:t>.</w:t>
      </w:r>
      <w:r w:rsidR="00B17133">
        <w:t xml:space="preserve"> Also, w</w:t>
      </w:r>
      <w:r w:rsidR="00B17133" w:rsidRPr="00C07855">
        <w:t xml:space="preserve">e </w:t>
      </w:r>
      <w:r w:rsidR="00B17133">
        <w:t>conducted exploratory interviews with academic colleagues</w:t>
      </w:r>
      <w:r w:rsidR="00B17133" w:rsidRPr="00C07855">
        <w:t xml:space="preserve"> that frequently act as evaluators of research bids for the UK research councils and the EU</w:t>
      </w:r>
      <w:r w:rsidR="00B17133">
        <w:t xml:space="preserve"> and </w:t>
      </w:r>
      <w:r w:rsidR="00B17133" w:rsidRPr="00C07855">
        <w:t>individuals in the in</w:t>
      </w:r>
      <w:r w:rsidR="00B17133">
        <w:t>dustry that</w:t>
      </w:r>
      <w:r w:rsidR="00B17133" w:rsidRPr="00C07855">
        <w:t xml:space="preserve"> evaluate university bids for funding. </w:t>
      </w:r>
      <w:r w:rsidR="00B17133">
        <w:t>Finally, w</w:t>
      </w:r>
      <w:r w:rsidR="00B17133" w:rsidRPr="00837046">
        <w:t>e (the authors) reflected on our own experiences as evaluators of research bids for two of the UK’s</w:t>
      </w:r>
      <w:r w:rsidR="00B17133">
        <w:t xml:space="preserve"> leading</w:t>
      </w:r>
      <w:r w:rsidR="00B17133" w:rsidRPr="00837046">
        <w:t xml:space="preserve"> research councils (EPSRC and ESRC).</w:t>
      </w:r>
      <w:r w:rsidR="00B17133">
        <w:t xml:space="preserve"> </w:t>
      </w:r>
    </w:p>
    <w:p w:rsidR="003F44C1" w:rsidRPr="003F44C1" w:rsidRDefault="00B17133">
      <w:pPr>
        <w:spacing w:line="480" w:lineRule="auto"/>
        <w:ind w:firstLine="567"/>
        <w:jc w:val="both"/>
        <w:rPr>
          <w:rFonts w:eastAsia="Times New Roman"/>
        </w:rPr>
      </w:pPr>
      <w:r>
        <w:t>O</w:t>
      </w:r>
      <w:r w:rsidRPr="00837046">
        <w:t xml:space="preserve">ur exploratory interviews </w:t>
      </w:r>
      <w:r>
        <w:t xml:space="preserve">and our reflection </w:t>
      </w:r>
      <w:r w:rsidR="004F0822">
        <w:t xml:space="preserve">illustrated that </w:t>
      </w:r>
      <w:r w:rsidR="00657141">
        <w:rPr>
          <w:rFonts w:eastAsia="Times New Roman"/>
        </w:rPr>
        <w:t>the criterion for evaluation of the research proposals was the quality of the proposed research (potential for success and contribution to knowledge).</w:t>
      </w:r>
      <w:r w:rsidR="008732AA">
        <w:t xml:space="preserve"> </w:t>
      </w:r>
      <w:r w:rsidR="008732AA">
        <w:rPr>
          <w:rFonts w:eastAsia="Times New Roman"/>
        </w:rPr>
        <w:t xml:space="preserve">Potential for impact was a desirable </w:t>
      </w:r>
      <w:r w:rsidR="009E4013">
        <w:rPr>
          <w:rFonts w:eastAsia="Times New Roman"/>
        </w:rPr>
        <w:t xml:space="preserve">feature </w:t>
      </w:r>
      <w:r w:rsidR="008732AA">
        <w:rPr>
          <w:rFonts w:eastAsia="Times New Roman"/>
        </w:rPr>
        <w:t>(evaluators were exposed to policy and media rhetoric about social impact)</w:t>
      </w:r>
      <w:r w:rsidR="009E4013">
        <w:rPr>
          <w:rFonts w:eastAsia="Times New Roman"/>
        </w:rPr>
        <w:t>,</w:t>
      </w:r>
      <w:r w:rsidR="008732AA">
        <w:rPr>
          <w:rFonts w:eastAsia="Times New Roman"/>
        </w:rPr>
        <w:t xml:space="preserve"> but it was not a primary evaluation</w:t>
      </w:r>
      <w:r w:rsidR="00A32093">
        <w:rPr>
          <w:rFonts w:eastAsia="Times New Roman"/>
        </w:rPr>
        <w:t xml:space="preserve"> </w:t>
      </w:r>
      <w:r w:rsidR="008732AA">
        <w:rPr>
          <w:rFonts w:eastAsia="Times New Roman"/>
        </w:rPr>
        <w:t xml:space="preserve">criterion </w:t>
      </w:r>
      <w:r w:rsidR="000832DB">
        <w:rPr>
          <w:rFonts w:eastAsia="Times New Roman"/>
        </w:rPr>
        <w:t xml:space="preserve">for research funding </w:t>
      </w:r>
      <w:r w:rsidR="008732AA">
        <w:rPr>
          <w:rFonts w:eastAsia="Times New Roman"/>
        </w:rPr>
        <w:t>during the period of observation.</w:t>
      </w:r>
      <w:r w:rsidR="002E6E8A">
        <w:rPr>
          <w:rFonts w:eastAsia="Times New Roman"/>
        </w:rPr>
        <w:t xml:space="preserve"> Therefore, the proposed effect</w:t>
      </w:r>
      <w:r w:rsidR="008A5045">
        <w:rPr>
          <w:rFonts w:eastAsia="Times New Roman"/>
        </w:rPr>
        <w:t>s</w:t>
      </w:r>
      <w:r w:rsidR="002E6E8A">
        <w:rPr>
          <w:rFonts w:eastAsia="Times New Roman"/>
        </w:rPr>
        <w:t xml:space="preserve"> of signal</w:t>
      </w:r>
      <w:r w:rsidR="008A5045">
        <w:rPr>
          <w:rFonts w:eastAsia="Times New Roman"/>
        </w:rPr>
        <w:t>s of</w:t>
      </w:r>
      <w:r w:rsidR="002E6E8A">
        <w:rPr>
          <w:rFonts w:eastAsia="Times New Roman"/>
        </w:rPr>
        <w:t xml:space="preserve"> impact </w:t>
      </w:r>
      <w:r w:rsidR="008A5045">
        <w:rPr>
          <w:rFonts w:eastAsia="Times New Roman"/>
        </w:rPr>
        <w:t>on evaluations for research were</w:t>
      </w:r>
      <w:r w:rsidR="002E6E8A">
        <w:rPr>
          <w:rFonts w:eastAsia="Times New Roman"/>
        </w:rPr>
        <w:t xml:space="preserve"> </w:t>
      </w:r>
      <w:r w:rsidR="000868D3">
        <w:rPr>
          <w:rFonts w:eastAsia="Times New Roman"/>
        </w:rPr>
        <w:t xml:space="preserve">indirect and reputational. </w:t>
      </w:r>
    </w:p>
    <w:p w:rsidR="00D67D7D" w:rsidRPr="00AD1AEF" w:rsidRDefault="00652D7A" w:rsidP="005F1915">
      <w:pPr>
        <w:spacing w:line="480" w:lineRule="auto"/>
        <w:ind w:firstLine="567"/>
        <w:jc w:val="both"/>
        <w:outlineLvl w:val="0"/>
        <w:rPr>
          <w:b/>
        </w:rPr>
      </w:pPr>
      <w:r>
        <w:rPr>
          <w:b/>
        </w:rPr>
        <w:t>The population</w:t>
      </w:r>
      <w:r w:rsidR="00D67D7D" w:rsidRPr="00AD1AEF">
        <w:rPr>
          <w:b/>
        </w:rPr>
        <w:t xml:space="preserve"> </w:t>
      </w:r>
    </w:p>
    <w:p w:rsidR="0088036B" w:rsidRDefault="00027622" w:rsidP="00A36541">
      <w:pPr>
        <w:autoSpaceDE w:val="0"/>
        <w:autoSpaceDN w:val="0"/>
        <w:adjustRightInd w:val="0"/>
        <w:spacing w:line="480" w:lineRule="auto"/>
        <w:ind w:firstLine="567"/>
        <w:jc w:val="both"/>
      </w:pPr>
      <w:r w:rsidRPr="00A36541">
        <w:t xml:space="preserve">To test our hypotheses, we gathered longitudinal data on the population of </w:t>
      </w:r>
      <w:r w:rsidR="00505DDF" w:rsidRPr="00A36541">
        <w:t>English and Scottish</w:t>
      </w:r>
      <w:r w:rsidR="00A67B0B" w:rsidRPr="00A36541">
        <w:t xml:space="preserve"> </w:t>
      </w:r>
      <w:r w:rsidR="00032394" w:rsidRPr="00A36541">
        <w:t xml:space="preserve">universities and </w:t>
      </w:r>
      <w:r w:rsidR="00505DDF" w:rsidRPr="00A36541">
        <w:t xml:space="preserve">their </w:t>
      </w:r>
      <w:r w:rsidR="000E1E2C" w:rsidRPr="00A36541">
        <w:t>spinoff</w:t>
      </w:r>
      <w:r w:rsidR="004151F4" w:rsidRPr="00A36541">
        <w:t xml:space="preserve"> firm</w:t>
      </w:r>
      <w:r w:rsidR="00032394" w:rsidRPr="00A36541">
        <w:t xml:space="preserve">s. </w:t>
      </w:r>
      <w:r w:rsidR="00531822" w:rsidRPr="00A36541">
        <w:t>Our panel dataset include</w:t>
      </w:r>
      <w:r w:rsidR="004E09F7" w:rsidRPr="00A36541">
        <w:t>d</w:t>
      </w:r>
      <w:r w:rsidR="00531822" w:rsidRPr="00A36541">
        <w:t xml:space="preserve"> </w:t>
      </w:r>
      <w:r w:rsidR="00505DDF" w:rsidRPr="00A36541">
        <w:t xml:space="preserve">a total of </w:t>
      </w:r>
      <w:r w:rsidR="00531822" w:rsidRPr="00A36541">
        <w:t>11</w:t>
      </w:r>
      <w:r w:rsidR="00CF5EAE" w:rsidRPr="00A36541">
        <w:t>3</w:t>
      </w:r>
      <w:r w:rsidR="00531822" w:rsidRPr="00A36541">
        <w:t xml:space="preserve"> universities </w:t>
      </w:r>
      <w:r w:rsidR="00505DDF" w:rsidRPr="00A36541">
        <w:t>and</w:t>
      </w:r>
      <w:r w:rsidR="00DD3671" w:rsidRPr="00A36541">
        <w:t xml:space="preserve"> </w:t>
      </w:r>
      <w:r w:rsidR="00505DDF" w:rsidRPr="00A36541">
        <w:t>1</w:t>
      </w:r>
      <w:r w:rsidR="00DD3671" w:rsidRPr="00A36541">
        <w:t>,</w:t>
      </w:r>
      <w:r w:rsidR="00505DDF" w:rsidRPr="00A36541">
        <w:t>40</w:t>
      </w:r>
      <w:r w:rsidR="00CF5EAE" w:rsidRPr="00A36541">
        <w:t>4</w:t>
      </w:r>
      <w:r w:rsidR="00824542" w:rsidRPr="00A36541">
        <w:t xml:space="preserve"> </w:t>
      </w:r>
      <w:r w:rsidR="000E1E2C" w:rsidRPr="00A36541">
        <w:t>spinoff</w:t>
      </w:r>
      <w:r w:rsidR="00A67B0B" w:rsidRPr="00A36541">
        <w:t>s</w:t>
      </w:r>
      <w:r w:rsidR="00C12EAA" w:rsidRPr="00A36541">
        <w:t xml:space="preserve"> </w:t>
      </w:r>
      <w:r w:rsidR="00531822" w:rsidRPr="00A36541">
        <w:t xml:space="preserve">covering a period of 15 years </w:t>
      </w:r>
      <w:r w:rsidR="00505DDF" w:rsidRPr="00A36541">
        <w:t>(</w:t>
      </w:r>
      <w:r w:rsidR="0087779B" w:rsidRPr="00A36541">
        <w:t>1993-</w:t>
      </w:r>
      <w:r w:rsidR="00531822" w:rsidRPr="00A36541">
        <w:t>200</w:t>
      </w:r>
      <w:r w:rsidR="008F24F1" w:rsidRPr="00A36541">
        <w:t>7</w:t>
      </w:r>
      <w:r w:rsidR="00505DDF" w:rsidRPr="00A36541">
        <w:t>)</w:t>
      </w:r>
      <w:r w:rsidR="00531822" w:rsidRPr="00A36541">
        <w:t>.</w:t>
      </w:r>
      <w:r w:rsidR="00873D19" w:rsidRPr="00A36541">
        <w:t xml:space="preserve"> </w:t>
      </w:r>
      <w:r w:rsidR="0063444F" w:rsidRPr="00A36541">
        <w:t>Of these spinoffs, we recorded 2</w:t>
      </w:r>
      <w:r w:rsidR="0089147C" w:rsidRPr="00A36541">
        <w:t>87</w:t>
      </w:r>
      <w:r w:rsidR="0063444F" w:rsidRPr="00A36541">
        <w:t xml:space="preserve"> </w:t>
      </w:r>
      <w:r w:rsidR="00A36541">
        <w:t xml:space="preserve">spinoff </w:t>
      </w:r>
      <w:r w:rsidR="00D60B19" w:rsidRPr="00A36541">
        <w:t>exits</w:t>
      </w:r>
      <w:r w:rsidR="0063444F" w:rsidRPr="00A36541">
        <w:t xml:space="preserve"> </w:t>
      </w:r>
      <w:r w:rsidR="0063444F" w:rsidRPr="00A36541">
        <w:lastRenderedPageBreak/>
        <w:t>over the years</w:t>
      </w:r>
      <w:r w:rsidR="009E4013">
        <w:t>,</w:t>
      </w:r>
      <w:r w:rsidR="00A120F2" w:rsidRPr="00A120F2">
        <w:t xml:space="preserve"> </w:t>
      </w:r>
      <w:r w:rsidR="00A120F2" w:rsidRPr="00A36541">
        <w:t xml:space="preserve">leaving us with 1,117 live firms </w:t>
      </w:r>
      <w:r w:rsidR="00A946B8">
        <w:t>by</w:t>
      </w:r>
      <w:r w:rsidR="00A32093" w:rsidRPr="00A36541">
        <w:t xml:space="preserve"> </w:t>
      </w:r>
      <w:r w:rsidR="00A120F2" w:rsidRPr="00A36541">
        <w:t>2007</w:t>
      </w:r>
      <w:r w:rsidR="00A120F2">
        <w:t>.</w:t>
      </w:r>
      <w:r w:rsidR="00E9503D">
        <w:t xml:space="preserve"> The most common forms of exit were cases of dissolved, non-trading and dormant firms, receivership and liquidation.</w:t>
      </w:r>
      <w:r w:rsidR="008675D5">
        <w:t xml:space="preserve"> </w:t>
      </w:r>
    </w:p>
    <w:p w:rsidR="00B142EC" w:rsidRPr="0088091D" w:rsidRDefault="00A67B0B">
      <w:pPr>
        <w:autoSpaceDE w:val="0"/>
        <w:autoSpaceDN w:val="0"/>
        <w:adjustRightInd w:val="0"/>
        <w:spacing w:line="480" w:lineRule="auto"/>
        <w:ind w:firstLine="567"/>
        <w:jc w:val="both"/>
        <w:rPr>
          <w:szCs w:val="24"/>
          <w:lang w:val="en-GB"/>
        </w:rPr>
      </w:pPr>
      <w:r w:rsidRPr="00A36541">
        <w:t xml:space="preserve">We collected </w:t>
      </w:r>
      <w:r w:rsidR="00AF4112">
        <w:t>our</w:t>
      </w:r>
      <w:r w:rsidR="00AF4112" w:rsidRPr="00A36541">
        <w:t xml:space="preserve"> </w:t>
      </w:r>
      <w:r w:rsidR="0007528A" w:rsidRPr="00A36541">
        <w:t>data</w:t>
      </w:r>
      <w:r w:rsidRPr="00A36541">
        <w:t xml:space="preserve"> </w:t>
      </w:r>
      <w:r w:rsidR="00DD3671" w:rsidRPr="00A36541">
        <w:t>through</w:t>
      </w:r>
      <w:r w:rsidRPr="00A36541">
        <w:t xml:space="preserve"> direct contact with </w:t>
      </w:r>
      <w:r w:rsidR="002C310F" w:rsidRPr="00A36541">
        <w:t xml:space="preserve">university </w:t>
      </w:r>
      <w:r w:rsidRPr="00A36541">
        <w:t>Technology Transfer Offices</w:t>
      </w:r>
      <w:r w:rsidR="00B142EC">
        <w:t xml:space="preserve"> (TTOs)</w:t>
      </w:r>
      <w:r w:rsidR="00E05F87" w:rsidRPr="00A36541">
        <w:t>.</w:t>
      </w:r>
      <w:r w:rsidR="00AC7731" w:rsidRPr="00A36541">
        <w:t xml:space="preserve"> </w:t>
      </w:r>
      <w:r w:rsidR="00A36541">
        <w:t xml:space="preserve">We defined spinoffs as companies that </w:t>
      </w:r>
      <w:r w:rsidR="00A36541" w:rsidRPr="00A36541">
        <w:rPr>
          <w:lang w:val="en-GB" w:eastAsia="en-GB"/>
        </w:rPr>
        <w:t xml:space="preserve">involve: </w:t>
      </w:r>
      <w:r w:rsidR="00A36541">
        <w:rPr>
          <w:lang w:val="en-GB" w:eastAsia="en-GB"/>
        </w:rPr>
        <w:t>“</w:t>
      </w:r>
      <w:r w:rsidR="00A36541" w:rsidRPr="00A36541">
        <w:rPr>
          <w:lang w:val="en-GB" w:eastAsia="en-GB"/>
        </w:rPr>
        <w:t>(1) the transfer of a core</w:t>
      </w:r>
      <w:r w:rsidR="00A36541">
        <w:rPr>
          <w:lang w:val="en-GB" w:eastAsia="en-GB"/>
        </w:rPr>
        <w:t xml:space="preserve"> </w:t>
      </w:r>
      <w:r w:rsidR="00A36541" w:rsidRPr="00A36541">
        <w:rPr>
          <w:lang w:val="en-GB" w:eastAsia="en-GB"/>
        </w:rPr>
        <w:t>technology from an academic institution into a new company and (2) the founding member(s)</w:t>
      </w:r>
      <w:r w:rsidR="00A36541">
        <w:rPr>
          <w:lang w:val="en-GB" w:eastAsia="en-GB"/>
        </w:rPr>
        <w:t xml:space="preserve"> </w:t>
      </w:r>
      <w:r w:rsidR="00A36541" w:rsidRPr="00A36541">
        <w:rPr>
          <w:lang w:val="en-GB" w:eastAsia="en-GB"/>
        </w:rPr>
        <w:t>may include the inventor academic(s) who may or may not be currently affiliated with the</w:t>
      </w:r>
      <w:r w:rsidR="00A36541">
        <w:rPr>
          <w:lang w:val="en-GB" w:eastAsia="en-GB"/>
        </w:rPr>
        <w:t xml:space="preserve"> </w:t>
      </w:r>
      <w:r w:rsidR="00A36541" w:rsidRPr="00A36541">
        <w:rPr>
          <w:lang w:val="en-GB" w:eastAsia="en-GB"/>
        </w:rPr>
        <w:t>academic institution</w:t>
      </w:r>
      <w:r w:rsidR="00A36541">
        <w:rPr>
          <w:lang w:val="en-GB" w:eastAsia="en-GB"/>
        </w:rPr>
        <w:t xml:space="preserve">” (Nicolaou and </w:t>
      </w:r>
      <w:proofErr w:type="spellStart"/>
      <w:r w:rsidR="00A36541">
        <w:rPr>
          <w:lang w:val="en-GB" w:eastAsia="en-GB"/>
        </w:rPr>
        <w:t>Birley</w:t>
      </w:r>
      <w:proofErr w:type="spellEnd"/>
      <w:r w:rsidR="00A36541">
        <w:rPr>
          <w:lang w:val="en-GB" w:eastAsia="en-GB"/>
        </w:rPr>
        <w:t>, 2003</w:t>
      </w:r>
      <w:r w:rsidR="0088036B">
        <w:rPr>
          <w:lang w:val="en-GB" w:eastAsia="en-GB"/>
        </w:rPr>
        <w:t>, p.333</w:t>
      </w:r>
      <w:r w:rsidR="00A36541">
        <w:rPr>
          <w:lang w:val="en-GB" w:eastAsia="en-GB"/>
        </w:rPr>
        <w:t>)</w:t>
      </w:r>
      <w:r w:rsidR="00A36541" w:rsidRPr="00A36541">
        <w:rPr>
          <w:lang w:val="en-GB" w:eastAsia="en-GB"/>
        </w:rPr>
        <w:t>.</w:t>
      </w:r>
      <w:r w:rsidR="00A36541">
        <w:rPr>
          <w:lang w:val="en-GB" w:eastAsia="en-GB"/>
        </w:rPr>
        <w:t xml:space="preserve"> </w:t>
      </w:r>
      <w:r w:rsidR="00AC1DEE" w:rsidRPr="00A36541">
        <w:rPr>
          <w:szCs w:val="24"/>
          <w:lang w:val="en-GB"/>
        </w:rPr>
        <w:t>We adopted</w:t>
      </w:r>
      <w:r w:rsidR="00A36541">
        <w:rPr>
          <w:szCs w:val="24"/>
          <w:lang w:val="en-GB"/>
        </w:rPr>
        <w:t xml:space="preserve"> this</w:t>
      </w:r>
      <w:r w:rsidR="00A245E9" w:rsidRPr="00A36541">
        <w:rPr>
          <w:szCs w:val="24"/>
          <w:lang w:val="en-GB"/>
        </w:rPr>
        <w:t xml:space="preserve"> strict definition of a university spinoff to ensure that our database only includes</w:t>
      </w:r>
      <w:r w:rsidR="00AC1DEE" w:rsidRPr="00A36541">
        <w:rPr>
          <w:szCs w:val="24"/>
          <w:lang w:val="en-GB"/>
        </w:rPr>
        <w:t xml:space="preserve"> established </w:t>
      </w:r>
      <w:r w:rsidR="00A245E9" w:rsidRPr="00A36541">
        <w:rPr>
          <w:szCs w:val="24"/>
          <w:lang w:val="en-GB"/>
        </w:rPr>
        <w:t>firms with a</w:t>
      </w:r>
      <w:r w:rsidR="00AC1DEE" w:rsidRPr="00A36541">
        <w:rPr>
          <w:szCs w:val="24"/>
          <w:lang w:val="en-GB"/>
        </w:rPr>
        <w:t xml:space="preserve"> true and</w:t>
      </w:r>
      <w:r w:rsidR="00A245E9" w:rsidRPr="00A36541">
        <w:rPr>
          <w:szCs w:val="24"/>
          <w:lang w:val="en-GB"/>
        </w:rPr>
        <w:t xml:space="preserve"> verifiable </w:t>
      </w:r>
      <w:r w:rsidR="00A245E9">
        <w:rPr>
          <w:szCs w:val="24"/>
          <w:lang w:val="en-GB"/>
        </w:rPr>
        <w:t>technology</w:t>
      </w:r>
      <w:r w:rsidR="00D60884">
        <w:rPr>
          <w:szCs w:val="24"/>
          <w:lang w:val="en-GB"/>
        </w:rPr>
        <w:t xml:space="preserve"> </w:t>
      </w:r>
      <w:r w:rsidR="00A245E9">
        <w:rPr>
          <w:szCs w:val="24"/>
          <w:lang w:val="en-GB"/>
        </w:rPr>
        <w:t xml:space="preserve">transfer </w:t>
      </w:r>
      <w:r w:rsidR="00A245E9" w:rsidRPr="000A43CC">
        <w:rPr>
          <w:szCs w:val="24"/>
          <w:lang w:val="en-GB"/>
        </w:rPr>
        <w:t xml:space="preserve">link with the university. </w:t>
      </w:r>
      <w:r w:rsidR="00E9503D" w:rsidRPr="000A43CC">
        <w:rPr>
          <w:szCs w:val="24"/>
          <w:lang w:val="en-GB"/>
        </w:rPr>
        <w:t xml:space="preserve">We have excluded from the </w:t>
      </w:r>
      <w:r w:rsidR="00E9503D">
        <w:rPr>
          <w:szCs w:val="24"/>
          <w:lang w:val="en-GB"/>
        </w:rPr>
        <w:t xml:space="preserve">sample </w:t>
      </w:r>
      <w:r w:rsidR="00E9503D" w:rsidRPr="000A43CC">
        <w:rPr>
          <w:szCs w:val="24"/>
          <w:lang w:val="en-GB"/>
        </w:rPr>
        <w:t xml:space="preserve">population </w:t>
      </w:r>
      <w:r w:rsidR="00E9503D">
        <w:rPr>
          <w:szCs w:val="24"/>
          <w:lang w:val="en-GB"/>
        </w:rPr>
        <w:t xml:space="preserve">the </w:t>
      </w:r>
      <w:r w:rsidR="00E9503D" w:rsidRPr="000A43CC">
        <w:rPr>
          <w:szCs w:val="24"/>
          <w:lang w:val="en-GB"/>
        </w:rPr>
        <w:t>student and staff start-up firms without university IP links, external start-ups that collaborate with the university</w:t>
      </w:r>
      <w:r w:rsidR="00E9503D">
        <w:rPr>
          <w:szCs w:val="24"/>
          <w:lang w:val="en-GB"/>
        </w:rPr>
        <w:t>,</w:t>
      </w:r>
      <w:r w:rsidR="00E9503D" w:rsidRPr="000A43CC">
        <w:rPr>
          <w:szCs w:val="24"/>
          <w:lang w:val="en-GB"/>
        </w:rPr>
        <w:t xml:space="preserve"> and Knowledge Transfer Partnerships that rent space in university science park</w:t>
      </w:r>
      <w:r w:rsidR="00E9503D">
        <w:rPr>
          <w:szCs w:val="24"/>
          <w:lang w:val="en-GB"/>
        </w:rPr>
        <w:t xml:space="preserve">s. We have also </w:t>
      </w:r>
      <w:r w:rsidR="00E9503D" w:rsidRPr="000A43CC">
        <w:rPr>
          <w:szCs w:val="24"/>
          <w:lang w:val="en-GB"/>
        </w:rPr>
        <w:t>exclude</w:t>
      </w:r>
      <w:r w:rsidR="00E9503D">
        <w:rPr>
          <w:szCs w:val="24"/>
          <w:lang w:val="en-GB"/>
        </w:rPr>
        <w:t>d</w:t>
      </w:r>
      <w:r w:rsidR="00E9503D" w:rsidRPr="000A43CC">
        <w:rPr>
          <w:szCs w:val="24"/>
          <w:lang w:val="en-GB"/>
        </w:rPr>
        <w:t xml:space="preserve"> firms in the prototype stage or </w:t>
      </w:r>
      <w:r w:rsidR="00E9503D">
        <w:rPr>
          <w:szCs w:val="24"/>
          <w:lang w:val="en-GB"/>
        </w:rPr>
        <w:t>those that are not yet</w:t>
      </w:r>
      <w:r w:rsidR="00E9503D" w:rsidRPr="000A43CC">
        <w:rPr>
          <w:szCs w:val="24"/>
          <w:lang w:val="en-GB"/>
        </w:rPr>
        <w:t xml:space="preserve"> registered.</w:t>
      </w:r>
      <w:r w:rsidR="00E9503D">
        <w:rPr>
          <w:szCs w:val="24"/>
          <w:lang w:val="en-GB"/>
        </w:rPr>
        <w:t xml:space="preserve"> </w:t>
      </w:r>
      <w:r w:rsidR="00FF441B" w:rsidRPr="00AD1AEF">
        <w:t>Initially, e</w:t>
      </w:r>
      <w:r w:rsidR="008245A9">
        <w:t>ach</w:t>
      </w:r>
      <w:r w:rsidR="00FF441B" w:rsidRPr="00AD1AEF">
        <w:t xml:space="preserve"> university supplied us with a historic</w:t>
      </w:r>
      <w:r w:rsidR="000459BC">
        <w:t>al</w:t>
      </w:r>
      <w:r w:rsidR="00FF441B" w:rsidRPr="00AD1AEF">
        <w:t xml:space="preserve"> list of all their spinoff firms based on </w:t>
      </w:r>
      <w:r w:rsidR="00E9503D">
        <w:t>our</w:t>
      </w:r>
      <w:r w:rsidR="00FF441B" w:rsidRPr="00AD1AEF">
        <w:t xml:space="preserve"> definition. </w:t>
      </w:r>
    </w:p>
    <w:p w:rsidR="00B142EC" w:rsidRDefault="00AF4112" w:rsidP="00B142EC">
      <w:pPr>
        <w:autoSpaceDE w:val="0"/>
        <w:autoSpaceDN w:val="0"/>
        <w:adjustRightInd w:val="0"/>
        <w:spacing w:line="480" w:lineRule="auto"/>
        <w:ind w:firstLine="567"/>
        <w:jc w:val="both"/>
      </w:pPr>
      <w:r>
        <w:t>As a first crosscheck, we compared our spinoff population (sourced by asking universities directly) with the well-regard</w:t>
      </w:r>
      <w:r w:rsidRPr="00192096">
        <w:t>e</w:t>
      </w:r>
      <w:r>
        <w:t>d European spinoff database</w:t>
      </w:r>
      <w:r w:rsidR="00192096" w:rsidRPr="00192096">
        <w:t xml:space="preserve"> </w:t>
      </w:r>
      <w:r w:rsidR="00192096">
        <w:t>Proton</w:t>
      </w:r>
      <w:r>
        <w:t>. The end-of-2006 version of Proton included 609 English and Scottish spinoffs. In contrast, by the end of 2006, our own university-sourced database included 1</w:t>
      </w:r>
      <w:r w:rsidR="00A32093">
        <w:t>,</w:t>
      </w:r>
      <w:r>
        <w:t xml:space="preserve">319 English and Scottish spinoffs and was, therefore, more than double the </w:t>
      </w:r>
      <w:r w:rsidR="00192096">
        <w:t xml:space="preserve">size of </w:t>
      </w:r>
      <w:r>
        <w:t xml:space="preserve">Proton. </w:t>
      </w:r>
      <w:r w:rsidR="008E27E3">
        <w:t xml:space="preserve">This fact confirmed that </w:t>
      </w:r>
      <w:r w:rsidR="00FD7CA5">
        <w:t>our approach to develop</w:t>
      </w:r>
      <w:r w:rsidR="008E27E3">
        <w:t xml:space="preserve"> an accurate spinoff </w:t>
      </w:r>
      <w:r w:rsidR="00FD7CA5">
        <w:t>database</w:t>
      </w:r>
      <w:r w:rsidR="008E27E3">
        <w:t xml:space="preserve"> by establishing direct contact w</w:t>
      </w:r>
      <w:r w:rsidR="00FD7CA5">
        <w:t>ith the TTOs</w:t>
      </w:r>
      <w:r w:rsidR="008E27E3">
        <w:t xml:space="preserve"> was the right approach. </w:t>
      </w:r>
      <w:r>
        <w:t xml:space="preserve">Subsequently, we crosschecked our data with a number of spinoff-related reports by the Library House, Ernst and Young, the British Venture Capital Association, the Chemical Leadership Council, the Gatsby Charitable Foundation, the Department of Trade and Industry and </w:t>
      </w:r>
      <w:r w:rsidR="00192096">
        <w:t xml:space="preserve">the </w:t>
      </w:r>
      <w:r>
        <w:t>University Companies Association</w:t>
      </w:r>
      <w:r w:rsidR="00192096" w:rsidRPr="00192096">
        <w:t xml:space="preserve"> </w:t>
      </w:r>
      <w:r w:rsidR="00192096">
        <w:t>(UNICO</w:t>
      </w:r>
      <w:r>
        <w:t>). If Proton or any of the above sources included a firm that was absent from our own directly</w:t>
      </w:r>
      <w:r w:rsidR="00192096">
        <w:t xml:space="preserve"> </w:t>
      </w:r>
      <w:r>
        <w:t xml:space="preserve">sourced database, we investigated the case. </w:t>
      </w:r>
    </w:p>
    <w:p w:rsidR="00A245E9" w:rsidRDefault="008E27E3" w:rsidP="00B142EC">
      <w:pPr>
        <w:autoSpaceDE w:val="0"/>
        <w:autoSpaceDN w:val="0"/>
        <w:adjustRightInd w:val="0"/>
        <w:spacing w:line="480" w:lineRule="auto"/>
        <w:ind w:firstLine="567"/>
        <w:jc w:val="both"/>
      </w:pPr>
      <w:r>
        <w:t xml:space="preserve">As a </w:t>
      </w:r>
      <w:r w:rsidR="007F76DD">
        <w:t xml:space="preserve">matter of </w:t>
      </w:r>
      <w:r>
        <w:t>principle, w</w:t>
      </w:r>
      <w:r w:rsidR="00AF4112">
        <w:t>e ch</w:t>
      </w:r>
      <w:r>
        <w:t>ecked each</w:t>
      </w:r>
      <w:r w:rsidR="00AF4112">
        <w:t xml:space="preserve"> firm’s website </w:t>
      </w:r>
      <w:r>
        <w:t xml:space="preserve">as well as </w:t>
      </w:r>
      <w:r w:rsidR="00B142EC">
        <w:t xml:space="preserve">all </w:t>
      </w:r>
      <w:r>
        <w:t>other secondary sources on the web (for example</w:t>
      </w:r>
      <w:r w:rsidR="00192096">
        <w:t>,</w:t>
      </w:r>
      <w:r>
        <w:t xml:space="preserve"> press releases) to verify the</w:t>
      </w:r>
      <w:r w:rsidR="00AF4112">
        <w:t xml:space="preserve"> </w:t>
      </w:r>
      <w:r>
        <w:t>technology transfer link with the university (</w:t>
      </w:r>
      <w:r w:rsidR="0005039F">
        <w:t>i.e.</w:t>
      </w:r>
      <w:r w:rsidR="00B142EC">
        <w:t xml:space="preserve"> </w:t>
      </w:r>
      <w:r w:rsidR="00AF4112">
        <w:t>spinoff status</w:t>
      </w:r>
      <w:r>
        <w:t>) before including</w:t>
      </w:r>
      <w:r w:rsidR="00AF4112">
        <w:t xml:space="preserve"> it in our database.</w:t>
      </w:r>
    </w:p>
    <w:p w:rsidR="0076153A" w:rsidRDefault="0076153A" w:rsidP="00AF597B">
      <w:pPr>
        <w:spacing w:line="480" w:lineRule="auto"/>
        <w:ind w:firstLine="567"/>
        <w:jc w:val="both"/>
        <w:rPr>
          <w:b/>
        </w:rPr>
      </w:pPr>
    </w:p>
    <w:p w:rsidR="00AF597B" w:rsidRDefault="00FC15AD" w:rsidP="00AF597B">
      <w:pPr>
        <w:spacing w:line="480" w:lineRule="auto"/>
        <w:ind w:firstLine="567"/>
        <w:jc w:val="both"/>
      </w:pPr>
      <w:r w:rsidRPr="00782603">
        <w:rPr>
          <w:b/>
        </w:rPr>
        <w:lastRenderedPageBreak/>
        <w:t>Measures</w:t>
      </w:r>
    </w:p>
    <w:p w:rsidR="001C1BE7" w:rsidRDefault="002A3E8D" w:rsidP="00DB3D97">
      <w:pPr>
        <w:spacing w:line="480" w:lineRule="auto"/>
        <w:ind w:firstLine="567"/>
        <w:jc w:val="both"/>
        <w:rPr>
          <w:b/>
        </w:rPr>
      </w:pPr>
      <w:r w:rsidRPr="00D63E16">
        <w:rPr>
          <w:b/>
          <w:i/>
        </w:rPr>
        <w:t>Dependent variable.</w:t>
      </w:r>
      <w:r w:rsidRPr="00AD1AEF">
        <w:rPr>
          <w:b/>
          <w:i/>
        </w:rPr>
        <w:t xml:space="preserve"> </w:t>
      </w:r>
      <w:r w:rsidR="00791B69">
        <w:t xml:space="preserve">The UK government </w:t>
      </w:r>
      <w:r w:rsidR="00791B69" w:rsidRPr="00837046">
        <w:t xml:space="preserve">funds </w:t>
      </w:r>
      <w:r w:rsidR="00791B69">
        <w:t xml:space="preserve">university </w:t>
      </w:r>
      <w:r w:rsidR="00791B69" w:rsidRPr="00837046">
        <w:t>research through the so-called dual su</w:t>
      </w:r>
      <w:r w:rsidR="00791B69">
        <w:t>pport mechanism. This</w:t>
      </w:r>
      <w:r w:rsidR="00791B69" w:rsidRPr="00837046">
        <w:t xml:space="preserve"> include</w:t>
      </w:r>
      <w:r w:rsidR="00791B69">
        <w:t xml:space="preserve">s a) </w:t>
      </w:r>
      <w:r w:rsidR="00791B69" w:rsidRPr="00837046">
        <w:t xml:space="preserve">an annual grant to support the research infrastructure and </w:t>
      </w:r>
      <w:r w:rsidR="00791B69">
        <w:t>b) competitive</w:t>
      </w:r>
      <w:r w:rsidR="00791B69" w:rsidRPr="00837046">
        <w:t xml:space="preserve"> grants from the </w:t>
      </w:r>
      <w:r w:rsidR="00791B69">
        <w:t>R</w:t>
      </w:r>
      <w:r w:rsidR="00791B69" w:rsidRPr="00837046">
        <w:t xml:space="preserve">esearch </w:t>
      </w:r>
      <w:r w:rsidR="00791B69">
        <w:t>C</w:t>
      </w:r>
      <w:r w:rsidR="00791B69" w:rsidRPr="00837046">
        <w:t xml:space="preserve">ouncils to fund </w:t>
      </w:r>
      <w:r w:rsidR="00791B69">
        <w:t>specific</w:t>
      </w:r>
      <w:r w:rsidR="00791B69" w:rsidRPr="00837046">
        <w:t xml:space="preserve"> pieces of research</w:t>
      </w:r>
      <w:r w:rsidR="00791B69">
        <w:t xml:space="preserve"> (www.rcuk.ac.uk)</w:t>
      </w:r>
      <w:r w:rsidR="00791B69" w:rsidRPr="00837046">
        <w:t xml:space="preserve">. </w:t>
      </w:r>
      <w:r w:rsidR="00791B69">
        <w:t>Since t</w:t>
      </w:r>
      <w:r w:rsidR="00791B69" w:rsidRPr="00837046">
        <w:t xml:space="preserve">he value of the annual grant </w:t>
      </w:r>
      <w:r w:rsidR="00791B69">
        <w:t>is fixed for</w:t>
      </w:r>
      <w:r w:rsidR="00791B69" w:rsidRPr="00837046">
        <w:t xml:space="preserve"> 5-7 years</w:t>
      </w:r>
      <w:r w:rsidR="00791B69">
        <w:t xml:space="preserve"> and is not influenced by the time-varying</w:t>
      </w:r>
      <w:r w:rsidR="00791B69" w:rsidRPr="00837046">
        <w:t xml:space="preserve"> spinoff activity</w:t>
      </w:r>
      <w:r w:rsidR="00791B69">
        <w:t>, we excluded it from this study. Instead, we concentrated on sponsored research funding, a scenario involving universities bidding for research funding and the bids being evaluated by experts (e.g. a scientific committee). UK universities receive competitive research funding from both public and private sources.</w:t>
      </w:r>
      <w:r w:rsidR="00791B69" w:rsidRPr="00FC15AD">
        <w:rPr>
          <w:b/>
        </w:rPr>
        <w:t xml:space="preserve"> </w:t>
      </w:r>
    </w:p>
    <w:p w:rsidR="001C1BE7" w:rsidRDefault="001C1BE7">
      <w:pPr>
        <w:spacing w:line="480" w:lineRule="auto"/>
        <w:ind w:firstLine="567"/>
        <w:jc w:val="both"/>
        <w:rPr>
          <w:b/>
        </w:rPr>
      </w:pPr>
      <w:r w:rsidRPr="00837046">
        <w:t>In general, university research teams</w:t>
      </w:r>
      <w:r>
        <w:t xml:space="preserve"> in the UK</w:t>
      </w:r>
      <w:r w:rsidRPr="00837046">
        <w:t xml:space="preserve"> bid for research funding in three ways: a) </w:t>
      </w:r>
      <w:r>
        <w:t>t</w:t>
      </w:r>
      <w:r w:rsidRPr="00837046">
        <w:t xml:space="preserve">hey respond to calls for research on something specific, b) </w:t>
      </w:r>
      <w:r>
        <w:t>t</w:t>
      </w:r>
      <w:r w:rsidRPr="00837046">
        <w:t>hey apply to open calls for research of their choice</w:t>
      </w:r>
      <w:r>
        <w:t>,</w:t>
      </w:r>
      <w:r w:rsidRPr="00837046">
        <w:t xml:space="preserve"> or c) </w:t>
      </w:r>
      <w:r>
        <w:t>t</w:t>
      </w:r>
      <w:r w:rsidRPr="00837046">
        <w:t xml:space="preserve">hey approach a research funder directly with a proposal for research (this is more common when approaching industry funders). </w:t>
      </w:r>
      <w:r>
        <w:t>The evaluators of the proposals</w:t>
      </w:r>
      <w:r w:rsidRPr="00837046">
        <w:t xml:space="preserve"> can be academics (peers) or practitioners or a mix of the two</w:t>
      </w:r>
      <w:r>
        <w:t xml:space="preserve"> and are selected by the funding organizations.</w:t>
      </w:r>
    </w:p>
    <w:p w:rsidR="00791B69" w:rsidRPr="0088091D" w:rsidRDefault="00DB3D97">
      <w:pPr>
        <w:spacing w:line="480" w:lineRule="auto"/>
        <w:ind w:firstLine="567"/>
        <w:jc w:val="both"/>
        <w:rPr>
          <w:b/>
        </w:rPr>
      </w:pPr>
      <w:r>
        <w:t>I</w:t>
      </w:r>
      <w:r w:rsidR="001C1BE7">
        <w:t xml:space="preserve">n our study, </w:t>
      </w:r>
      <w:r>
        <w:t xml:space="preserve">we measured </w:t>
      </w:r>
      <w:r w:rsidR="001C1BE7">
        <w:t>e</w:t>
      </w:r>
      <w:r w:rsidR="00791B69">
        <w:t xml:space="preserve">valuations of the core activity (research) as the </w:t>
      </w:r>
      <w:r w:rsidR="00791B69">
        <w:rPr>
          <w:i/>
        </w:rPr>
        <w:t>to</w:t>
      </w:r>
      <w:r w:rsidR="00791B69" w:rsidRPr="00D63E16">
        <w:rPr>
          <w:i/>
        </w:rPr>
        <w:t>tal sponsored research funding</w:t>
      </w:r>
      <w:r w:rsidR="00791B69">
        <w:rPr>
          <w:i/>
        </w:rPr>
        <w:t xml:space="preserve">. </w:t>
      </w:r>
      <w:r w:rsidR="00791B69">
        <w:t xml:space="preserve">This </w:t>
      </w:r>
      <w:r w:rsidR="00791B69">
        <w:rPr>
          <w:szCs w:val="24"/>
          <w:lang w:val="en-GB"/>
        </w:rPr>
        <w:t>is the sum of two parts: A) “</w:t>
      </w:r>
      <w:r w:rsidR="00791B69" w:rsidRPr="000A43CC">
        <w:rPr>
          <w:szCs w:val="24"/>
          <w:lang w:val="en-GB"/>
        </w:rPr>
        <w:t>Publ</w:t>
      </w:r>
      <w:r w:rsidR="00791B69">
        <w:rPr>
          <w:szCs w:val="24"/>
          <w:lang w:val="en-GB"/>
        </w:rPr>
        <w:t>icly sponsored research funding”</w:t>
      </w:r>
      <w:r w:rsidR="00791B69" w:rsidRPr="000A43CC">
        <w:rPr>
          <w:szCs w:val="24"/>
          <w:lang w:val="en-GB"/>
        </w:rPr>
        <w:t xml:space="preserve"> </w:t>
      </w:r>
      <w:r w:rsidR="00791B69">
        <w:rPr>
          <w:szCs w:val="24"/>
          <w:lang w:val="en-GB"/>
        </w:rPr>
        <w:t>that includes</w:t>
      </w:r>
      <w:r w:rsidR="00791B69" w:rsidRPr="000A43CC">
        <w:rPr>
          <w:szCs w:val="24"/>
          <w:lang w:val="en-GB"/>
        </w:rPr>
        <w:t xml:space="preserve"> money provided by </w:t>
      </w:r>
      <w:r w:rsidR="00791B69">
        <w:rPr>
          <w:szCs w:val="24"/>
          <w:lang w:val="en-GB"/>
        </w:rPr>
        <w:t xml:space="preserve">seven </w:t>
      </w:r>
      <w:r w:rsidR="00791B69" w:rsidRPr="000A43CC">
        <w:rPr>
          <w:szCs w:val="24"/>
          <w:lang w:val="en-GB"/>
        </w:rPr>
        <w:t>UK Research Councils</w:t>
      </w:r>
      <w:r w:rsidR="00791B69">
        <w:rPr>
          <w:szCs w:val="24"/>
          <w:lang w:val="en-GB"/>
        </w:rPr>
        <w:t>, the UK central government and local authorities, health and hospital authorities and the European Union. B) “</w:t>
      </w:r>
      <w:r w:rsidR="00791B69" w:rsidRPr="000A43CC">
        <w:rPr>
          <w:szCs w:val="24"/>
          <w:lang w:val="en-GB"/>
        </w:rPr>
        <w:t>Priva</w:t>
      </w:r>
      <w:r w:rsidR="00791B69">
        <w:rPr>
          <w:szCs w:val="24"/>
          <w:lang w:val="en-GB"/>
        </w:rPr>
        <w:t>tely sponsored research funding”</w:t>
      </w:r>
      <w:r w:rsidR="00791B69" w:rsidRPr="000A43CC">
        <w:rPr>
          <w:szCs w:val="24"/>
          <w:lang w:val="en-GB"/>
        </w:rPr>
        <w:t xml:space="preserve"> </w:t>
      </w:r>
      <w:r w:rsidR="00791B69">
        <w:rPr>
          <w:szCs w:val="24"/>
          <w:lang w:val="en-GB"/>
        </w:rPr>
        <w:t xml:space="preserve">that </w:t>
      </w:r>
      <w:r w:rsidR="00791B69" w:rsidRPr="000A43CC">
        <w:rPr>
          <w:szCs w:val="24"/>
          <w:lang w:val="en-GB"/>
        </w:rPr>
        <w:t>include</w:t>
      </w:r>
      <w:r w:rsidR="00791B69">
        <w:rPr>
          <w:szCs w:val="24"/>
          <w:lang w:val="en-GB"/>
        </w:rPr>
        <w:t xml:space="preserve">s income from UK and oversees </w:t>
      </w:r>
      <w:r w:rsidR="00791B69" w:rsidRPr="000A43CC">
        <w:rPr>
          <w:szCs w:val="24"/>
          <w:lang w:val="en-GB"/>
        </w:rPr>
        <w:t>charities</w:t>
      </w:r>
      <w:r w:rsidR="00791B69">
        <w:rPr>
          <w:szCs w:val="24"/>
          <w:lang w:val="en-GB"/>
        </w:rPr>
        <w:t>, industry and commerce.</w:t>
      </w:r>
      <w:r w:rsidR="00791B69">
        <w:t xml:space="preserve"> </w:t>
      </w:r>
      <w:r w:rsidR="00791B69">
        <w:rPr>
          <w:szCs w:val="24"/>
          <w:lang w:val="en-GB"/>
        </w:rPr>
        <w:t xml:space="preserve">We collected the above figures from </w:t>
      </w:r>
      <w:r w:rsidR="00791B69" w:rsidRPr="000A43CC">
        <w:rPr>
          <w:szCs w:val="24"/>
          <w:lang w:val="en-GB"/>
        </w:rPr>
        <w:t>the Higher Educat</w:t>
      </w:r>
      <w:r w:rsidR="00791B69">
        <w:rPr>
          <w:szCs w:val="24"/>
          <w:lang w:val="en-GB"/>
        </w:rPr>
        <w:t xml:space="preserve">ion Statistics Authority (HESA), </w:t>
      </w:r>
      <w:r w:rsidR="00791B69" w:rsidRPr="000A43CC">
        <w:rPr>
          <w:szCs w:val="24"/>
          <w:lang w:val="en-GB"/>
        </w:rPr>
        <w:t xml:space="preserve">which reports annual university income in the UK. Total sponsored research funding was based on </w:t>
      </w:r>
      <w:r w:rsidR="00791B69">
        <w:rPr>
          <w:szCs w:val="24"/>
          <w:lang w:val="en-GB"/>
        </w:rPr>
        <w:t>the HESA category, ‘</w:t>
      </w:r>
      <w:r w:rsidR="00791B69" w:rsidRPr="000A43CC">
        <w:rPr>
          <w:szCs w:val="24"/>
          <w:lang w:val="en-GB"/>
        </w:rPr>
        <w:t>research grants and contracts</w:t>
      </w:r>
      <w:r w:rsidR="00791B69">
        <w:rPr>
          <w:szCs w:val="24"/>
          <w:lang w:val="en-GB"/>
        </w:rPr>
        <w:t>’</w:t>
      </w:r>
      <w:r w:rsidR="00791B69" w:rsidRPr="000A43CC">
        <w:rPr>
          <w:szCs w:val="24"/>
          <w:lang w:val="en-GB"/>
        </w:rPr>
        <w:t>.</w:t>
      </w:r>
    </w:p>
    <w:p w:rsidR="00455358" w:rsidRDefault="00F70873" w:rsidP="00F45BB1">
      <w:pPr>
        <w:spacing w:line="480" w:lineRule="auto"/>
        <w:ind w:firstLine="567"/>
        <w:jc w:val="both"/>
      </w:pPr>
      <w:r w:rsidRPr="00AD1AEF">
        <w:rPr>
          <w:b/>
          <w:i/>
        </w:rPr>
        <w:t>Independent variables</w:t>
      </w:r>
      <w:r w:rsidRPr="00AD1AEF">
        <w:rPr>
          <w:b/>
        </w:rPr>
        <w:t>.</w:t>
      </w:r>
      <w:r w:rsidRPr="00AD1AEF">
        <w:t xml:space="preserve"> </w:t>
      </w:r>
      <w:r w:rsidR="00DB3D97">
        <w:t xml:space="preserve">Following past research indicating that organizational </w:t>
      </w:r>
      <w:r w:rsidR="00D16FCF">
        <w:t xml:space="preserve">audiences </w:t>
      </w:r>
      <w:r w:rsidR="00DB3D97">
        <w:t xml:space="preserve">interpret </w:t>
      </w:r>
      <w:r w:rsidR="00DB3D97">
        <w:t>the frequency of action as a signal of effort (</w:t>
      </w:r>
      <w:proofErr w:type="spellStart"/>
      <w:r w:rsidR="00DB3D97">
        <w:t>Basdeo</w:t>
      </w:r>
      <w:proofErr w:type="spellEnd"/>
      <w:r w:rsidR="00DB3D97">
        <w:t xml:space="preserve"> </w:t>
      </w:r>
      <w:r w:rsidR="00DB3D97" w:rsidRPr="00A73D48">
        <w:rPr>
          <w:i/>
        </w:rPr>
        <w:t>et al</w:t>
      </w:r>
      <w:r w:rsidR="00DB3D97">
        <w:t>., 2006), w</w:t>
      </w:r>
      <w:r w:rsidR="00DB3D97">
        <w:t>e used the s</w:t>
      </w:r>
      <w:r w:rsidR="00DB3D97" w:rsidRPr="0071027C">
        <w:t>pinoff</w:t>
      </w:r>
      <w:r w:rsidR="00DB3D97" w:rsidRPr="00AD1AEF">
        <w:rPr>
          <w:i/>
        </w:rPr>
        <w:t xml:space="preserve"> portfolio size</w:t>
      </w:r>
      <w:r w:rsidR="00DB3D97">
        <w:t xml:space="preserve"> to measure s</w:t>
      </w:r>
      <w:r w:rsidR="00D873C6">
        <w:t xml:space="preserve">ignals of </w:t>
      </w:r>
      <w:r w:rsidR="00EB3361">
        <w:t xml:space="preserve">effort </w:t>
      </w:r>
      <w:r w:rsidR="00D873C6">
        <w:t>in a</w:t>
      </w:r>
      <w:r w:rsidR="007A2F64">
        <w:t xml:space="preserve"> peripheral activity</w:t>
      </w:r>
      <w:r w:rsidR="007A2F64">
        <w:rPr>
          <w:i/>
        </w:rPr>
        <w:t>.</w:t>
      </w:r>
      <w:r w:rsidR="00285EAC" w:rsidRPr="00AD1AEF">
        <w:t xml:space="preserve"> </w:t>
      </w:r>
      <w:r w:rsidR="007A2F64">
        <w:t xml:space="preserve">More specifically, portfolio size </w:t>
      </w:r>
      <w:r w:rsidR="00285EAC" w:rsidRPr="00AD1AEF">
        <w:t xml:space="preserve">was measured </w:t>
      </w:r>
      <w:r w:rsidR="0007528A" w:rsidRPr="00AD1AEF">
        <w:t>as</w:t>
      </w:r>
      <w:r w:rsidR="00285EAC" w:rsidRPr="00AD1AEF">
        <w:t xml:space="preserve"> </w:t>
      </w:r>
      <w:r w:rsidR="0087567C" w:rsidRPr="00AD1AEF">
        <w:t xml:space="preserve">the </w:t>
      </w:r>
      <w:r w:rsidR="00D27732">
        <w:t xml:space="preserve">total </w:t>
      </w:r>
      <w:r w:rsidR="00285EAC" w:rsidRPr="00AD1AEF">
        <w:t xml:space="preserve">number of </w:t>
      </w:r>
      <w:r w:rsidR="0076713A" w:rsidRPr="00AD1AEF">
        <w:t xml:space="preserve">live </w:t>
      </w:r>
      <w:r w:rsidR="000E1E2C" w:rsidRPr="00AD1AEF">
        <w:t>spinoff</w:t>
      </w:r>
      <w:r w:rsidR="006F642B" w:rsidRPr="00AD1AEF">
        <w:t>s</w:t>
      </w:r>
      <w:r w:rsidR="00285EAC" w:rsidRPr="00AD1AEF">
        <w:t xml:space="preserve"> </w:t>
      </w:r>
      <w:r w:rsidR="0076713A" w:rsidRPr="00AD1AEF">
        <w:t>held by</w:t>
      </w:r>
      <w:r w:rsidR="0087567C" w:rsidRPr="00AD1AEF">
        <w:t xml:space="preserve"> </w:t>
      </w:r>
      <w:r w:rsidR="006F642B" w:rsidRPr="00AD1AEF">
        <w:t xml:space="preserve">each </w:t>
      </w:r>
      <w:r w:rsidR="0087567C" w:rsidRPr="00AD1AEF">
        <w:t>universit</w:t>
      </w:r>
      <w:r w:rsidR="006F642B" w:rsidRPr="00AD1AEF">
        <w:t xml:space="preserve">y </w:t>
      </w:r>
      <w:r w:rsidR="00C30AA9">
        <w:t>(</w:t>
      </w:r>
      <w:r w:rsidR="00D27732">
        <w:t xml:space="preserve">total </w:t>
      </w:r>
      <w:r w:rsidR="00A1756F">
        <w:t xml:space="preserve">births minus </w:t>
      </w:r>
      <w:r w:rsidR="00250BCF">
        <w:t>deaths</w:t>
      </w:r>
      <w:r w:rsidR="0076713A" w:rsidRPr="00AD1AEF">
        <w:t xml:space="preserve">) </w:t>
      </w:r>
      <w:r w:rsidR="0087567C" w:rsidRPr="00AD1AEF">
        <w:t>e</w:t>
      </w:r>
      <w:r w:rsidR="00D131CE" w:rsidRPr="00AD1AEF">
        <w:t>very</w:t>
      </w:r>
      <w:r w:rsidR="0087567C" w:rsidRPr="00AD1AEF">
        <w:t xml:space="preserve"> year</w:t>
      </w:r>
      <w:r w:rsidR="00455358" w:rsidRPr="00AD1AEF">
        <w:t xml:space="preserve"> in </w:t>
      </w:r>
      <w:r w:rsidR="00285EAC" w:rsidRPr="00AD1AEF">
        <w:t>our window of observation.</w:t>
      </w:r>
      <w:r w:rsidR="00455358" w:rsidRPr="00AD1AEF">
        <w:t xml:space="preserve"> </w:t>
      </w:r>
      <w:r w:rsidR="005354EF" w:rsidRPr="00AD1AEF">
        <w:t xml:space="preserve">The exact birth and </w:t>
      </w:r>
      <w:r w:rsidR="000459BC">
        <w:t xml:space="preserve">death </w:t>
      </w:r>
      <w:r w:rsidR="005354EF" w:rsidRPr="00AD1AEF">
        <w:t xml:space="preserve">dates were </w:t>
      </w:r>
      <w:r w:rsidR="008028A1">
        <w:t xml:space="preserve">primarily </w:t>
      </w:r>
      <w:r w:rsidR="005354EF" w:rsidRPr="00AD1AEF">
        <w:t xml:space="preserve">captured from the </w:t>
      </w:r>
      <w:r w:rsidR="000459BC">
        <w:t>Financial Analysis Made Easy (</w:t>
      </w:r>
      <w:r w:rsidR="005354EF" w:rsidRPr="00AD1AEF">
        <w:t>FAME</w:t>
      </w:r>
      <w:r w:rsidR="000459BC">
        <w:t>)</w:t>
      </w:r>
      <w:r w:rsidR="005354EF" w:rsidRPr="00AD1AEF">
        <w:t xml:space="preserve"> database. </w:t>
      </w:r>
      <w:r w:rsidR="006F642B" w:rsidRPr="00AD1AEF">
        <w:t>The fact that our panel database begins in 1993 d</w:t>
      </w:r>
      <w:r w:rsidR="00AA7308" w:rsidRPr="00AD1AEF">
        <w:t>id</w:t>
      </w:r>
      <w:r w:rsidR="006F642B" w:rsidRPr="00AD1AEF">
        <w:t xml:space="preserve"> </w:t>
      </w:r>
      <w:r w:rsidR="006F642B" w:rsidRPr="00AD1AEF">
        <w:lastRenderedPageBreak/>
        <w:t xml:space="preserve">not pose </w:t>
      </w:r>
      <w:r w:rsidR="00EA6CDA" w:rsidRPr="00AD1AEF">
        <w:t xml:space="preserve">a </w:t>
      </w:r>
      <w:r w:rsidR="006F642B" w:rsidRPr="00AD1AEF">
        <w:t xml:space="preserve">serious problem </w:t>
      </w:r>
      <w:r w:rsidR="00192096">
        <w:t>in terms of</w:t>
      </w:r>
      <w:r w:rsidR="00192096" w:rsidRPr="00AD1AEF">
        <w:t xml:space="preserve"> </w:t>
      </w:r>
      <w:r w:rsidR="006F642B" w:rsidRPr="00AD1AEF">
        <w:t>left censoring</w:t>
      </w:r>
      <w:r w:rsidR="00192096">
        <w:t>,</w:t>
      </w:r>
      <w:r w:rsidR="006F642B" w:rsidRPr="00AD1AEF">
        <w:t xml:space="preserve"> since </w:t>
      </w:r>
      <w:r w:rsidR="00250BCF">
        <w:t xml:space="preserve">only 107 </w:t>
      </w:r>
      <w:r w:rsidR="000459BC">
        <w:t xml:space="preserve">firms </w:t>
      </w:r>
      <w:r w:rsidR="00250BCF">
        <w:t>(about</w:t>
      </w:r>
      <w:r w:rsidR="00EA6CDA" w:rsidRPr="00AD1AEF">
        <w:t xml:space="preserve"> 7% of </w:t>
      </w:r>
      <w:r w:rsidR="0076713A" w:rsidRPr="00AD1AEF">
        <w:t xml:space="preserve">all </w:t>
      </w:r>
      <w:r w:rsidR="00EA6CDA" w:rsidRPr="00AD1AEF">
        <w:t>spinoffs</w:t>
      </w:r>
      <w:r w:rsidR="00250BCF">
        <w:t>)</w:t>
      </w:r>
      <w:r w:rsidR="00EA6CDA" w:rsidRPr="00AD1AEF">
        <w:t xml:space="preserve"> were formed </w:t>
      </w:r>
      <w:r w:rsidR="0007528A" w:rsidRPr="00AD1AEF">
        <w:t xml:space="preserve">in the previous thirty </w:t>
      </w:r>
      <w:r w:rsidR="00AA7308" w:rsidRPr="00AD1AEF">
        <w:t>year</w:t>
      </w:r>
      <w:r w:rsidR="0007528A" w:rsidRPr="00AD1AEF">
        <w:t>s</w:t>
      </w:r>
      <w:r w:rsidR="00AA7308" w:rsidRPr="00AD1AEF">
        <w:t xml:space="preserve"> (</w:t>
      </w:r>
      <w:r w:rsidR="00EA6CDA" w:rsidRPr="00AD1AEF">
        <w:t>1963-1992</w:t>
      </w:r>
      <w:r w:rsidR="00AA7308" w:rsidRPr="00AD1AEF">
        <w:t>)</w:t>
      </w:r>
      <w:r w:rsidR="00192096">
        <w:t>,</w:t>
      </w:r>
      <w:r w:rsidR="00DD16F2">
        <w:t xml:space="preserve"> </w:t>
      </w:r>
      <w:r w:rsidR="00250BCF">
        <w:t xml:space="preserve">and 5 </w:t>
      </w:r>
      <w:r w:rsidR="00D712B2" w:rsidRPr="00AD1AEF">
        <w:t>of the</w:t>
      </w:r>
      <w:r w:rsidR="004C7258" w:rsidRPr="00AD1AEF">
        <w:t>m had</w:t>
      </w:r>
      <w:r w:rsidR="00D712B2" w:rsidRPr="00AD1AEF">
        <w:t xml:space="preserve"> </w:t>
      </w:r>
      <w:r w:rsidR="008D7275" w:rsidRPr="00AD1AEF">
        <w:t xml:space="preserve">already </w:t>
      </w:r>
      <w:r w:rsidR="0041571C">
        <w:t>exited</w:t>
      </w:r>
      <w:r w:rsidR="00D712B2" w:rsidRPr="00AD1AEF">
        <w:t xml:space="preserve"> </w:t>
      </w:r>
      <w:r w:rsidR="00192096">
        <w:t>prior to</w:t>
      </w:r>
      <w:r w:rsidR="00192096" w:rsidRPr="00AD1AEF">
        <w:t xml:space="preserve"> </w:t>
      </w:r>
      <w:r w:rsidR="00D712B2" w:rsidRPr="00AD1AEF">
        <w:t xml:space="preserve">1993. </w:t>
      </w:r>
    </w:p>
    <w:p w:rsidR="004407CE" w:rsidRPr="004407CE" w:rsidRDefault="004407CE" w:rsidP="00F45BB1">
      <w:pPr>
        <w:spacing w:line="480" w:lineRule="auto"/>
        <w:ind w:firstLine="567"/>
        <w:jc w:val="both"/>
      </w:pPr>
      <w:r w:rsidRPr="004407CE">
        <w:t xml:space="preserve">We note here that the dependent and </w:t>
      </w:r>
      <w:r w:rsidR="006B787A">
        <w:t>most</w:t>
      </w:r>
      <w:r w:rsidR="006B787A" w:rsidRPr="004407CE">
        <w:t xml:space="preserve"> </w:t>
      </w:r>
      <w:r w:rsidRPr="004407CE">
        <w:t>independent variables reported in the main results are measuring flow</w:t>
      </w:r>
      <w:r w:rsidR="00DE7EDC">
        <w:t>;</w:t>
      </w:r>
      <w:r w:rsidRPr="004407CE">
        <w:t xml:space="preserve"> the only stock variable is portfolio size. Statistically, </w:t>
      </w:r>
      <w:r>
        <w:t>it is acceptable</w:t>
      </w:r>
      <w:r w:rsidRPr="004407CE">
        <w:t xml:space="preserve"> to have both stock and flow variables in the same regression model (</w:t>
      </w:r>
      <w:proofErr w:type="spellStart"/>
      <w:r w:rsidRPr="004407CE">
        <w:t>Maggetti</w:t>
      </w:r>
      <w:proofErr w:type="spellEnd"/>
      <w:r w:rsidR="00F7656B">
        <w:rPr>
          <w:i/>
        </w:rPr>
        <w:t xml:space="preserve">, </w:t>
      </w:r>
      <w:proofErr w:type="spellStart"/>
      <w:r w:rsidR="00F7656B">
        <w:t>Gilardi</w:t>
      </w:r>
      <w:proofErr w:type="spellEnd"/>
      <w:r w:rsidR="00F7656B">
        <w:t xml:space="preserve"> and </w:t>
      </w:r>
      <w:proofErr w:type="spellStart"/>
      <w:r w:rsidR="00F7656B">
        <w:t>Radaelli</w:t>
      </w:r>
      <w:proofErr w:type="spellEnd"/>
      <w:r w:rsidRPr="004407CE">
        <w:t xml:space="preserve">, 2013:102) as long as this is optimal theoretically. For instance, </w:t>
      </w:r>
      <w:proofErr w:type="spellStart"/>
      <w:r w:rsidRPr="004407CE">
        <w:t>Gerring</w:t>
      </w:r>
      <w:proofErr w:type="spellEnd"/>
      <w:r w:rsidR="00B5014F">
        <w:t xml:space="preserve">, Bond, </w:t>
      </w:r>
      <w:proofErr w:type="spellStart"/>
      <w:r w:rsidR="00B5014F">
        <w:t>Barndt</w:t>
      </w:r>
      <w:proofErr w:type="spellEnd"/>
      <w:r w:rsidR="00B5014F">
        <w:t xml:space="preserve"> and Moreno </w:t>
      </w:r>
      <w:r w:rsidRPr="004407CE">
        <w:t xml:space="preserve"> (2005) showed that the stock of democracy affects economic growth (flow) because it is the </w:t>
      </w:r>
      <w:r w:rsidRPr="004407CE">
        <w:rPr>
          <w:i/>
        </w:rPr>
        <w:t>accumulated</w:t>
      </w:r>
      <w:r w:rsidRPr="004407CE">
        <w:t xml:space="preserve"> sense of democracy that determines the long-term growth of a country. We believe that the stock of existing live spinoffs in a university portfolio (births minus deaths) provides a more accurate picture of how funders consider spinoff portfolios before allocating research money</w:t>
      </w:r>
      <w:r w:rsidR="00DE7EDC">
        <w:t>,</w:t>
      </w:r>
      <w:r w:rsidRPr="004407CE">
        <w:t xml:space="preserve"> because deaths are frequent in the spinoff context</w:t>
      </w:r>
      <w:r w:rsidR="0090266C">
        <w:t xml:space="preserve"> (</w:t>
      </w:r>
      <w:proofErr w:type="spellStart"/>
      <w:r w:rsidR="0090266C">
        <w:t>Chugh</w:t>
      </w:r>
      <w:proofErr w:type="spellEnd"/>
      <w:r w:rsidR="0090266C">
        <w:t xml:space="preserve"> </w:t>
      </w:r>
      <w:r w:rsidR="0090266C" w:rsidRPr="0053006E">
        <w:rPr>
          <w:i/>
        </w:rPr>
        <w:t>et al</w:t>
      </w:r>
      <w:r w:rsidR="0090266C">
        <w:t>., 2011)</w:t>
      </w:r>
      <w:r w:rsidRPr="004407CE">
        <w:t>. We therefore chose to keep the stock measurement in the main results. As a robustness test</w:t>
      </w:r>
      <w:r w:rsidR="006B787A">
        <w:t>,</w:t>
      </w:r>
      <w:r w:rsidRPr="004407CE">
        <w:t xml:space="preserve"> we changed the measurement of portfolio size from stock to flow (i.e. new spinoffs every year)</w:t>
      </w:r>
      <w:r w:rsidR="00DE7EDC">
        <w:t>,</w:t>
      </w:r>
      <w:r w:rsidRPr="004407CE">
        <w:t xml:space="preserve"> and the results held.</w:t>
      </w:r>
    </w:p>
    <w:p w:rsidR="00D3295A" w:rsidRDefault="00D16FCF" w:rsidP="0088091D">
      <w:pPr>
        <w:spacing w:line="480" w:lineRule="auto"/>
        <w:ind w:firstLine="567"/>
        <w:jc w:val="both"/>
      </w:pPr>
      <w:r>
        <w:t>We measured s</w:t>
      </w:r>
      <w:r w:rsidR="00D873C6">
        <w:t>ignals of performance in a</w:t>
      </w:r>
      <w:r w:rsidR="007A2F64">
        <w:t xml:space="preserve"> peripheral activity by s</w:t>
      </w:r>
      <w:r w:rsidR="00120E95" w:rsidRPr="0071027C">
        <w:t>pinoff</w:t>
      </w:r>
      <w:r w:rsidR="00120E95" w:rsidRPr="00AD1AEF">
        <w:rPr>
          <w:i/>
        </w:rPr>
        <w:t xml:space="preserve"> </w:t>
      </w:r>
      <w:r w:rsidR="008D7275" w:rsidRPr="00AD1AEF">
        <w:rPr>
          <w:i/>
        </w:rPr>
        <w:t xml:space="preserve">portfolio </w:t>
      </w:r>
      <w:r w:rsidR="0013424C">
        <w:rPr>
          <w:i/>
        </w:rPr>
        <w:t>performance</w:t>
      </w:r>
      <w:r w:rsidR="007A2F64">
        <w:rPr>
          <w:i/>
        </w:rPr>
        <w:t>.</w:t>
      </w:r>
      <w:r w:rsidR="00B03629" w:rsidRPr="00AD1AEF">
        <w:t xml:space="preserve"> </w:t>
      </w:r>
      <w:r w:rsidR="007A2F64">
        <w:t>This was measured as</w:t>
      </w:r>
      <w:r w:rsidR="00B03629" w:rsidRPr="00AD1AEF">
        <w:t xml:space="preserve"> </w:t>
      </w:r>
      <w:r w:rsidR="0087567C" w:rsidRPr="00AD1AEF">
        <w:t>the</w:t>
      </w:r>
      <w:r w:rsidR="00B03629" w:rsidRPr="00AD1AEF">
        <w:t xml:space="preserve"> </w:t>
      </w:r>
      <w:r w:rsidR="00A62F48" w:rsidRPr="00AD1AEF">
        <w:t>total</w:t>
      </w:r>
      <w:r w:rsidR="00B03629" w:rsidRPr="00AD1AEF">
        <w:t xml:space="preserve"> </w:t>
      </w:r>
      <w:r w:rsidR="000E1E2C" w:rsidRPr="00AD1AEF">
        <w:t>spinoff</w:t>
      </w:r>
      <w:r w:rsidR="00B03629" w:rsidRPr="00AD1AEF">
        <w:t xml:space="preserve"> </w:t>
      </w:r>
      <w:r w:rsidR="0087567C" w:rsidRPr="00AD1AEF">
        <w:t xml:space="preserve">revenues </w:t>
      </w:r>
      <w:r w:rsidR="00B03629" w:rsidRPr="00AD1AEF">
        <w:t xml:space="preserve">of </w:t>
      </w:r>
      <w:r w:rsidR="0087567C" w:rsidRPr="00AD1AEF">
        <w:t xml:space="preserve">all </w:t>
      </w:r>
      <w:r w:rsidR="00B03629" w:rsidRPr="00AD1AEF">
        <w:t xml:space="preserve">live </w:t>
      </w:r>
      <w:r w:rsidR="000E1E2C" w:rsidRPr="00AD1AEF">
        <w:t>spinoff</w:t>
      </w:r>
      <w:r w:rsidR="00B03629" w:rsidRPr="00AD1AEF">
        <w:t xml:space="preserve">s </w:t>
      </w:r>
      <w:r w:rsidR="0087567C" w:rsidRPr="00AD1AEF">
        <w:t xml:space="preserve">in a university’s portfolio </w:t>
      </w:r>
      <w:r w:rsidR="00B03629" w:rsidRPr="00AD1AEF">
        <w:t>at any point in time.</w:t>
      </w:r>
      <w:r w:rsidR="003C5BA8" w:rsidRPr="00AD1AEF">
        <w:t xml:space="preserve"> </w:t>
      </w:r>
      <w:r w:rsidR="00024F54" w:rsidRPr="00AD1AEF">
        <w:t xml:space="preserve">Because spinoffs typically </w:t>
      </w:r>
      <w:r w:rsidR="00DE7EDC">
        <w:t xml:space="preserve">only </w:t>
      </w:r>
      <w:r w:rsidR="00DE7EDC" w:rsidRPr="00AD1AEF">
        <w:t xml:space="preserve">develop significant streams of operating income </w:t>
      </w:r>
      <w:r w:rsidR="00DE7EDC">
        <w:t>over</w:t>
      </w:r>
      <w:r w:rsidR="00DE7EDC" w:rsidRPr="00AD1AEF">
        <w:t xml:space="preserve"> </w:t>
      </w:r>
      <w:r w:rsidR="00024F54" w:rsidRPr="00AD1AEF">
        <w:t xml:space="preserve">long periods </w:t>
      </w:r>
      <w:r w:rsidR="00543B11" w:rsidRPr="00AD1AEF">
        <w:t>of time</w:t>
      </w:r>
      <w:r w:rsidR="00024F54" w:rsidRPr="00AD1AEF">
        <w:t xml:space="preserve">, we </w:t>
      </w:r>
      <w:r w:rsidR="0065309F">
        <w:t xml:space="preserve">also </w:t>
      </w:r>
      <w:r w:rsidR="00024F54" w:rsidRPr="00AD1AEF">
        <w:t xml:space="preserve">used </w:t>
      </w:r>
      <w:r w:rsidR="00203DD4" w:rsidRPr="00AD1AEF">
        <w:t>total spinoff assets</w:t>
      </w:r>
      <w:r w:rsidR="009A012D">
        <w:t xml:space="preserve"> and</w:t>
      </w:r>
      <w:r w:rsidR="007F4D1E">
        <w:t xml:space="preserve"> </w:t>
      </w:r>
      <w:r w:rsidR="00577F8A">
        <w:t>cumulative number of IPOs</w:t>
      </w:r>
      <w:r w:rsidR="00203DD4" w:rsidRPr="00AD1AEF">
        <w:t xml:space="preserve"> as </w:t>
      </w:r>
      <w:r w:rsidR="00024F54" w:rsidRPr="00AD1AEF">
        <w:t>alternative</w:t>
      </w:r>
      <w:r w:rsidR="00203DD4" w:rsidRPr="00AD1AEF">
        <w:t xml:space="preserve"> measure</w:t>
      </w:r>
      <w:r w:rsidR="00577F8A">
        <w:t>s</w:t>
      </w:r>
      <w:r w:rsidR="00313FEA">
        <w:t xml:space="preserve"> of portfolio performance</w:t>
      </w:r>
      <w:r w:rsidR="00A9406A">
        <w:t xml:space="preserve"> and conducted robustness checks</w:t>
      </w:r>
      <w:r w:rsidR="00577F8A">
        <w:t>.</w:t>
      </w:r>
      <w:r w:rsidR="00203DD4" w:rsidRPr="00AD1AEF">
        <w:t xml:space="preserve"> </w:t>
      </w:r>
      <w:r w:rsidR="009A012D">
        <w:t>These altern</w:t>
      </w:r>
      <w:r w:rsidR="000A145C">
        <w:t xml:space="preserve">atives produced </w:t>
      </w:r>
      <w:r w:rsidR="00B02CAD">
        <w:t>the same</w:t>
      </w:r>
      <w:r w:rsidR="009A012D">
        <w:t xml:space="preserve"> results. </w:t>
      </w:r>
      <w:r w:rsidR="00A9406A" w:rsidRPr="00AD1AEF">
        <w:t xml:space="preserve">We collected yearly information on spinoff </w:t>
      </w:r>
      <w:r w:rsidR="00A50504" w:rsidRPr="00AD1AEF">
        <w:t>revenues</w:t>
      </w:r>
      <w:r w:rsidR="00A50504">
        <w:t>, assets</w:t>
      </w:r>
      <w:r w:rsidR="00A9406A">
        <w:t xml:space="preserve"> </w:t>
      </w:r>
      <w:r w:rsidR="00A50504">
        <w:t>and IPO events</w:t>
      </w:r>
      <w:r w:rsidR="00A50504" w:rsidRPr="00AD1AEF">
        <w:t xml:space="preserve"> </w:t>
      </w:r>
      <w:r w:rsidR="00434C08">
        <w:t xml:space="preserve">primarily </w:t>
      </w:r>
      <w:r w:rsidR="00A9406A" w:rsidRPr="00AD1AEF">
        <w:t xml:space="preserve">from the FAME </w:t>
      </w:r>
      <w:r w:rsidR="00434C08">
        <w:t xml:space="preserve">database </w:t>
      </w:r>
      <w:r w:rsidR="000459BC">
        <w:t>and</w:t>
      </w:r>
      <w:r w:rsidR="00434C08">
        <w:t>, if needed,</w:t>
      </w:r>
      <w:r w:rsidR="000459BC">
        <w:t xml:space="preserve"> </w:t>
      </w:r>
      <w:r w:rsidR="00434C08">
        <w:t xml:space="preserve">supplemented it with information from the </w:t>
      </w:r>
      <w:proofErr w:type="spellStart"/>
      <w:r w:rsidR="000459BC">
        <w:t>DueDil</w:t>
      </w:r>
      <w:proofErr w:type="spellEnd"/>
      <w:r w:rsidR="000459BC">
        <w:t xml:space="preserve"> </w:t>
      </w:r>
      <w:r w:rsidR="00A9406A" w:rsidRPr="00AD1AEF">
        <w:t>database</w:t>
      </w:r>
      <w:r w:rsidR="00A9406A">
        <w:t>.</w:t>
      </w:r>
      <w:r w:rsidR="00203DD4" w:rsidRPr="00AD1AEF">
        <w:t xml:space="preserve"> </w:t>
      </w:r>
    </w:p>
    <w:p w:rsidR="00F4334D" w:rsidRDefault="00275DFC">
      <w:pPr>
        <w:spacing w:line="480" w:lineRule="auto"/>
        <w:ind w:firstLine="567"/>
        <w:jc w:val="both"/>
      </w:pPr>
      <w:r>
        <w:t xml:space="preserve">We had 53 missing values </w:t>
      </w:r>
      <w:r w:rsidR="005D60B9">
        <w:t>for spinoff portfolio performance</w:t>
      </w:r>
      <w:r>
        <w:t>, mostly concentrated in the early years of our panel</w:t>
      </w:r>
      <w:r w:rsidR="005D60B9">
        <w:t xml:space="preserve">. This was </w:t>
      </w:r>
      <w:r w:rsidR="000A145C">
        <w:t>a relatively minor problem</w:t>
      </w:r>
      <w:r w:rsidR="00DE7EDC">
        <w:t>,</w:t>
      </w:r>
      <w:r w:rsidR="000A145C">
        <w:t xml:space="preserve"> considering that the total numbe</w:t>
      </w:r>
      <w:r w:rsidR="005D60B9">
        <w:t>r of observations was 1</w:t>
      </w:r>
      <w:r w:rsidR="00A32093">
        <w:t>,</w:t>
      </w:r>
      <w:r w:rsidR="005D60B9">
        <w:t>650</w:t>
      </w:r>
      <w:r w:rsidR="000A145C">
        <w:t xml:space="preserve">. </w:t>
      </w:r>
      <w:r w:rsidR="00D3295A">
        <w:t>To deal with missing values</w:t>
      </w:r>
      <w:r w:rsidR="00D3295A" w:rsidRPr="00A36E6F">
        <w:t xml:space="preserve">, we employed the mean substitution method by using the valid values of the variable in the time series as reference for replacing the missing values. Since missing values were predominantly concentrated at the one end of the time series and were not random, we believe that "the mean substitution was the best single replacement value" (Hair, </w:t>
      </w:r>
      <w:r w:rsidR="00D3295A">
        <w:t xml:space="preserve">Anderson, </w:t>
      </w:r>
      <w:proofErr w:type="spellStart"/>
      <w:r w:rsidR="00D3295A">
        <w:t>Tatham</w:t>
      </w:r>
      <w:proofErr w:type="spellEnd"/>
      <w:r w:rsidR="00D3295A">
        <w:t xml:space="preserve"> and Black </w:t>
      </w:r>
      <w:r w:rsidR="00D3295A" w:rsidRPr="00A36E6F">
        <w:t>1998:</w:t>
      </w:r>
      <w:r w:rsidR="00D3295A">
        <w:t xml:space="preserve"> p.</w:t>
      </w:r>
      <w:r w:rsidR="00D3295A" w:rsidRPr="00A36E6F">
        <w:t xml:space="preserve">54). </w:t>
      </w:r>
      <w:r w:rsidR="000A145C">
        <w:t xml:space="preserve">To confirm that the imputation </w:t>
      </w:r>
      <w:r w:rsidR="000459BC">
        <w:t xml:space="preserve">process </w:t>
      </w:r>
      <w:r w:rsidR="000A145C">
        <w:t xml:space="preserve">did not alter </w:t>
      </w:r>
      <w:r w:rsidR="000459BC">
        <w:t xml:space="preserve">our </w:t>
      </w:r>
      <w:r w:rsidR="000A145C">
        <w:t xml:space="preserve">results, </w:t>
      </w:r>
      <w:r w:rsidR="000A145C" w:rsidRPr="00BB320E">
        <w:rPr>
          <w:szCs w:val="24"/>
          <w:lang w:val="en-GB"/>
        </w:rPr>
        <w:t xml:space="preserve">we </w:t>
      </w:r>
      <w:r w:rsidR="00E0256C">
        <w:rPr>
          <w:szCs w:val="24"/>
          <w:lang w:val="en-GB"/>
        </w:rPr>
        <w:t xml:space="preserve">also </w:t>
      </w:r>
      <w:r w:rsidR="000A145C" w:rsidRPr="00BB320E">
        <w:rPr>
          <w:szCs w:val="24"/>
          <w:lang w:val="en-GB"/>
        </w:rPr>
        <w:t>run</w:t>
      </w:r>
      <w:r w:rsidR="000A145C">
        <w:rPr>
          <w:szCs w:val="24"/>
          <w:lang w:val="en-GB"/>
        </w:rPr>
        <w:t xml:space="preserve"> </w:t>
      </w:r>
      <w:r w:rsidR="000A145C" w:rsidRPr="00BB320E">
        <w:rPr>
          <w:szCs w:val="24"/>
          <w:lang w:val="en-GB"/>
        </w:rPr>
        <w:t xml:space="preserve">the econometric specifications without the imputed values and the results </w:t>
      </w:r>
      <w:r w:rsidR="000A145C">
        <w:rPr>
          <w:szCs w:val="24"/>
          <w:lang w:val="en-GB"/>
        </w:rPr>
        <w:t>held</w:t>
      </w:r>
      <w:r w:rsidR="000A145C" w:rsidRPr="00BB320E">
        <w:rPr>
          <w:szCs w:val="24"/>
          <w:lang w:val="en-GB"/>
        </w:rPr>
        <w:t>.</w:t>
      </w:r>
    </w:p>
    <w:p w:rsidR="00F4334D" w:rsidRPr="0088091D" w:rsidRDefault="00762C44">
      <w:pPr>
        <w:spacing w:line="480" w:lineRule="auto"/>
        <w:ind w:firstLine="567"/>
        <w:jc w:val="both"/>
      </w:pPr>
      <w:r>
        <w:lastRenderedPageBreak/>
        <w:t>S</w:t>
      </w:r>
      <w:r w:rsidR="007A2F64">
        <w:t xml:space="preserve">ignals </w:t>
      </w:r>
      <w:r w:rsidR="002D391F">
        <w:t>for</w:t>
      </w:r>
      <w:r w:rsidR="00D873C6">
        <w:t xml:space="preserve"> a</w:t>
      </w:r>
      <w:r w:rsidR="007A2F64">
        <w:t xml:space="preserve"> peripheral activity </w:t>
      </w:r>
      <w:r>
        <w:t>refracted</w:t>
      </w:r>
      <w:r w:rsidR="007A2F64">
        <w:t xml:space="preserve"> by the media w</w:t>
      </w:r>
      <w:r w:rsidR="002D391F">
        <w:t>ere</w:t>
      </w:r>
      <w:r w:rsidR="007A2F64">
        <w:t xml:space="preserve"> approximated by the</w:t>
      </w:r>
      <w:r w:rsidR="0079304F" w:rsidRPr="00AD1AEF">
        <w:t xml:space="preserve"> </w:t>
      </w:r>
      <w:r w:rsidR="000459BC">
        <w:t xml:space="preserve">variable </w:t>
      </w:r>
      <w:r w:rsidR="00120E95" w:rsidRPr="00A73D48">
        <w:rPr>
          <w:i/>
        </w:rPr>
        <w:t xml:space="preserve">spinoff </w:t>
      </w:r>
      <w:r w:rsidR="008D7275" w:rsidRPr="00AD1AEF">
        <w:rPr>
          <w:i/>
        </w:rPr>
        <w:t xml:space="preserve">portfolio </w:t>
      </w:r>
      <w:r w:rsidR="0079304F" w:rsidRPr="00AD1AEF">
        <w:rPr>
          <w:i/>
        </w:rPr>
        <w:t>media</w:t>
      </w:r>
      <w:r w:rsidR="007A2F64">
        <w:rPr>
          <w:i/>
        </w:rPr>
        <w:t>.</w:t>
      </w:r>
      <w:r w:rsidR="0079304F" w:rsidRPr="00AD1AEF">
        <w:t xml:space="preserve"> </w:t>
      </w:r>
      <w:r w:rsidR="007A2F64">
        <w:t xml:space="preserve">This </w:t>
      </w:r>
      <w:r w:rsidR="0079304F" w:rsidRPr="00AD1AEF">
        <w:t xml:space="preserve">was </w:t>
      </w:r>
      <w:r w:rsidR="00271997">
        <w:t>determined</w:t>
      </w:r>
      <w:r w:rsidR="00B9272B" w:rsidRPr="00AD1AEF">
        <w:t xml:space="preserve"> by counting the number of UK press clippings that related to a university </w:t>
      </w:r>
      <w:r w:rsidR="00B9272B" w:rsidRPr="00D001AC">
        <w:rPr>
          <w:i/>
        </w:rPr>
        <w:t>and</w:t>
      </w:r>
      <w:r w:rsidR="00B9272B" w:rsidRPr="00AD1AEF">
        <w:t xml:space="preserve"> its </w:t>
      </w:r>
      <w:r w:rsidR="000E1E2C" w:rsidRPr="00AD1AEF">
        <w:t>spinoff</w:t>
      </w:r>
      <w:r w:rsidR="00D967F8" w:rsidRPr="00AD1AEF">
        <w:t xml:space="preserve"> firms</w:t>
      </w:r>
      <w:r w:rsidR="00B9272B" w:rsidRPr="00AD1AEF">
        <w:t xml:space="preserve"> in a single article. We searched the LexisNexis database </w:t>
      </w:r>
      <w:r w:rsidR="006A02A5" w:rsidRPr="00AD1AEF">
        <w:t xml:space="preserve">for articles </w:t>
      </w:r>
      <w:r w:rsidR="00B9272B" w:rsidRPr="00AD1AEF">
        <w:t xml:space="preserve">with the name of </w:t>
      </w:r>
      <w:r w:rsidR="00163378" w:rsidRPr="00AD1AEF">
        <w:t>a</w:t>
      </w:r>
      <w:r w:rsidR="00B9272B" w:rsidRPr="00AD1AEF">
        <w:t xml:space="preserve"> university </w:t>
      </w:r>
      <w:r w:rsidR="00B9272B" w:rsidRPr="00AD1AEF">
        <w:rPr>
          <w:i/>
        </w:rPr>
        <w:t>and</w:t>
      </w:r>
      <w:r w:rsidR="00B9272B" w:rsidRPr="00AD1AEF">
        <w:t xml:space="preserve"> each of its </w:t>
      </w:r>
      <w:r w:rsidR="000E1E2C" w:rsidRPr="00AD1AEF">
        <w:t>spinoff</w:t>
      </w:r>
      <w:r w:rsidR="00B9272B" w:rsidRPr="00AD1AEF">
        <w:t xml:space="preserve"> firms as keywords and marked such articles</w:t>
      </w:r>
      <w:r w:rsidR="00CF360E" w:rsidRPr="00AD1AEF">
        <w:t xml:space="preserve"> in </w:t>
      </w:r>
      <w:r w:rsidR="004C7258" w:rsidRPr="00AD1AEF">
        <w:t>our</w:t>
      </w:r>
      <w:r w:rsidR="00CF360E" w:rsidRPr="00AD1AEF">
        <w:t xml:space="preserve"> </w:t>
      </w:r>
      <w:r w:rsidR="00EB4F40" w:rsidRPr="00AD1AEF">
        <w:t>15-year</w:t>
      </w:r>
      <w:r w:rsidR="00CF360E" w:rsidRPr="00AD1AEF">
        <w:t xml:space="preserve"> period. </w:t>
      </w:r>
      <w:r w:rsidR="00163378" w:rsidRPr="00AD1AEF">
        <w:t>W</w:t>
      </w:r>
      <w:r w:rsidR="00CF360E" w:rsidRPr="00AD1AEF">
        <w:t xml:space="preserve">e recorded </w:t>
      </w:r>
      <w:r w:rsidR="00163378" w:rsidRPr="00AD1AEF">
        <w:t xml:space="preserve">a total of </w:t>
      </w:r>
      <w:r w:rsidR="00CF360E" w:rsidRPr="00AD1AEF">
        <w:t>8</w:t>
      </w:r>
      <w:r w:rsidR="002D391F">
        <w:t>,</w:t>
      </w:r>
      <w:r w:rsidR="00CF360E" w:rsidRPr="00AD1AEF">
        <w:t>8</w:t>
      </w:r>
      <w:r w:rsidR="003E0313">
        <w:t>66</w:t>
      </w:r>
      <w:r w:rsidR="00CF360E" w:rsidRPr="00AD1AEF">
        <w:t xml:space="preserve"> articles linked to 1</w:t>
      </w:r>
      <w:r w:rsidR="00704484" w:rsidRPr="00AD1AEF">
        <w:t>,</w:t>
      </w:r>
      <w:r w:rsidR="00CF360E" w:rsidRPr="00AD1AEF">
        <w:t>40</w:t>
      </w:r>
      <w:r w:rsidR="00CF5EAE">
        <w:t>4</w:t>
      </w:r>
      <w:r w:rsidR="00CF360E" w:rsidRPr="00AD1AEF">
        <w:t xml:space="preserve"> </w:t>
      </w:r>
      <w:r w:rsidR="000E1E2C" w:rsidRPr="00AD1AEF">
        <w:t>spinoff</w:t>
      </w:r>
      <w:r w:rsidR="00CF360E" w:rsidRPr="00AD1AEF">
        <w:t xml:space="preserve">s and their </w:t>
      </w:r>
      <w:r w:rsidR="00FE312D" w:rsidRPr="00AD1AEF">
        <w:t xml:space="preserve">parent </w:t>
      </w:r>
      <w:r w:rsidR="00CF360E" w:rsidRPr="00AD1AEF">
        <w:t xml:space="preserve">universities. </w:t>
      </w:r>
      <w:r w:rsidR="00704484" w:rsidRPr="00AD1AEF">
        <w:t>T</w:t>
      </w:r>
      <w:r w:rsidR="00CF360E" w:rsidRPr="00AD1AEF">
        <w:t xml:space="preserve">hough we could group articles based on their negative or positive tenor (Pollock </w:t>
      </w:r>
      <w:r w:rsidR="00A95B66" w:rsidRPr="00AD1AEF">
        <w:t>and</w:t>
      </w:r>
      <w:r w:rsidR="00CF360E" w:rsidRPr="00AD1AEF">
        <w:t xml:space="preserve"> </w:t>
      </w:r>
      <w:proofErr w:type="spellStart"/>
      <w:r w:rsidR="00CF360E" w:rsidRPr="00AD1AEF">
        <w:t>Rindova</w:t>
      </w:r>
      <w:proofErr w:type="spellEnd"/>
      <w:r w:rsidR="00CF360E" w:rsidRPr="00AD1AEF">
        <w:t xml:space="preserve">, 2003), an examination of our database showed that </w:t>
      </w:r>
      <w:r w:rsidR="00163378" w:rsidRPr="00AD1AEF">
        <w:t xml:space="preserve">there </w:t>
      </w:r>
      <w:r w:rsidR="006A02A5" w:rsidRPr="00AD1AEF">
        <w:t>were</w:t>
      </w:r>
      <w:r w:rsidR="00CF360E" w:rsidRPr="00AD1AEF">
        <w:t xml:space="preserve"> </w:t>
      </w:r>
      <w:r w:rsidR="00F4334D">
        <w:t>only 17</w:t>
      </w:r>
      <w:r w:rsidR="00CF360E" w:rsidRPr="00AD1AEF">
        <w:t xml:space="preserve"> </w:t>
      </w:r>
      <w:r w:rsidR="00F4334D">
        <w:t xml:space="preserve">articles </w:t>
      </w:r>
      <w:r w:rsidR="00CF360E" w:rsidRPr="00AD1AEF">
        <w:t>positioned negatively to</w:t>
      </w:r>
      <w:r w:rsidR="00813CBB" w:rsidRPr="00AD1AEF">
        <w:t>wards</w:t>
      </w:r>
      <w:r w:rsidR="00CF360E" w:rsidRPr="00AD1AEF">
        <w:t xml:space="preserve"> </w:t>
      </w:r>
      <w:r w:rsidR="000E1E2C" w:rsidRPr="00AD1AEF">
        <w:t>spinoff</w:t>
      </w:r>
      <w:r w:rsidR="00CF360E" w:rsidRPr="00AD1AEF">
        <w:t xml:space="preserve">-related </w:t>
      </w:r>
      <w:r w:rsidR="00813CBB" w:rsidRPr="00AD1AEF">
        <w:t>event</w:t>
      </w:r>
      <w:r w:rsidR="000D37DC" w:rsidRPr="00AD1AEF">
        <w:t>s</w:t>
      </w:r>
      <w:r w:rsidR="00516FBB">
        <w:t>, mainly associated with</w:t>
      </w:r>
      <w:r w:rsidR="00516FBB">
        <w:rPr>
          <w:szCs w:val="24"/>
          <w:lang w:val="en-GB"/>
        </w:rPr>
        <w:t xml:space="preserve"> bankruptcy-related spinoff exits.</w:t>
      </w:r>
      <w:r w:rsidR="00516FBB">
        <w:t xml:space="preserve"> </w:t>
      </w:r>
      <w:r w:rsidR="00F4334D" w:rsidRPr="00AD1AEF">
        <w:t xml:space="preserve">We therefore proceeded to measure this independent variable </w:t>
      </w:r>
      <w:r w:rsidR="00F4334D">
        <w:t xml:space="preserve">as the </w:t>
      </w:r>
      <w:r w:rsidR="00F027F9">
        <w:t xml:space="preserve">total </w:t>
      </w:r>
      <w:r w:rsidR="00F4334D" w:rsidRPr="00AD1AEF">
        <w:t xml:space="preserve">number of media articles </w:t>
      </w:r>
      <w:r w:rsidR="000B79FB">
        <w:t xml:space="preserve">on spinoffs </w:t>
      </w:r>
      <w:r w:rsidR="00F4334D" w:rsidRPr="00AD1AEF">
        <w:t xml:space="preserve">for each university every year. </w:t>
      </w:r>
      <w:r w:rsidR="00F4334D">
        <w:rPr>
          <w:szCs w:val="24"/>
          <w:lang w:val="en-GB"/>
        </w:rPr>
        <w:t xml:space="preserve">As a robustness check, </w:t>
      </w:r>
      <w:r w:rsidR="00F027F9">
        <w:rPr>
          <w:szCs w:val="24"/>
          <w:lang w:val="en-GB"/>
        </w:rPr>
        <w:t>we subtracted a focal university’s</w:t>
      </w:r>
      <w:r w:rsidR="00F4334D" w:rsidRPr="000A43CC">
        <w:rPr>
          <w:szCs w:val="24"/>
          <w:lang w:val="en-GB"/>
        </w:rPr>
        <w:t xml:space="preserve"> negative</w:t>
      </w:r>
      <w:r w:rsidR="00F027F9">
        <w:rPr>
          <w:szCs w:val="24"/>
          <w:lang w:val="en-GB"/>
        </w:rPr>
        <w:t>-tenor articles from its</w:t>
      </w:r>
      <w:r w:rsidR="00F4334D">
        <w:rPr>
          <w:szCs w:val="24"/>
          <w:lang w:val="en-GB"/>
        </w:rPr>
        <w:t xml:space="preserve"> positive</w:t>
      </w:r>
      <w:r w:rsidR="00F027F9">
        <w:rPr>
          <w:szCs w:val="24"/>
          <w:lang w:val="en-GB"/>
        </w:rPr>
        <w:t>-tenor</w:t>
      </w:r>
      <w:r w:rsidR="00F4334D">
        <w:rPr>
          <w:szCs w:val="24"/>
          <w:lang w:val="en-GB"/>
        </w:rPr>
        <w:t xml:space="preserve"> articles</w:t>
      </w:r>
      <w:r w:rsidR="00F4334D" w:rsidRPr="000A43CC">
        <w:rPr>
          <w:szCs w:val="24"/>
          <w:lang w:val="en-GB"/>
        </w:rPr>
        <w:t xml:space="preserve"> and </w:t>
      </w:r>
      <w:r w:rsidR="009E68AF">
        <w:rPr>
          <w:szCs w:val="24"/>
          <w:lang w:val="en-GB"/>
        </w:rPr>
        <w:t>re</w:t>
      </w:r>
      <w:r w:rsidR="00F4334D" w:rsidRPr="000A43CC">
        <w:rPr>
          <w:szCs w:val="24"/>
          <w:lang w:val="en-GB"/>
        </w:rPr>
        <w:t>run the re</w:t>
      </w:r>
      <w:r w:rsidR="009E68AF">
        <w:rPr>
          <w:szCs w:val="24"/>
          <w:lang w:val="en-GB"/>
        </w:rPr>
        <w:t>gressions</w:t>
      </w:r>
      <w:r w:rsidR="00F4334D">
        <w:rPr>
          <w:szCs w:val="24"/>
          <w:lang w:val="en-GB"/>
        </w:rPr>
        <w:t xml:space="preserve">. </w:t>
      </w:r>
      <w:r w:rsidR="00613BA4">
        <w:rPr>
          <w:szCs w:val="24"/>
          <w:lang w:val="en-GB"/>
        </w:rPr>
        <w:t>T</w:t>
      </w:r>
      <w:r w:rsidR="00F027F9">
        <w:rPr>
          <w:szCs w:val="24"/>
          <w:lang w:val="en-GB"/>
        </w:rPr>
        <w:t xml:space="preserve">he </w:t>
      </w:r>
      <w:r w:rsidR="00F4334D" w:rsidRPr="000A43CC">
        <w:rPr>
          <w:szCs w:val="24"/>
          <w:lang w:val="en-GB"/>
        </w:rPr>
        <w:t xml:space="preserve">results remained the same. </w:t>
      </w:r>
    </w:p>
    <w:p w:rsidR="00417D8D" w:rsidRDefault="00417D8D" w:rsidP="00417D8D">
      <w:pPr>
        <w:spacing w:line="480" w:lineRule="auto"/>
        <w:ind w:firstLine="567"/>
        <w:jc w:val="both"/>
      </w:pPr>
      <w:r w:rsidRPr="00417D8D">
        <w:rPr>
          <w:i/>
        </w:rPr>
        <w:t>Status.</w:t>
      </w:r>
      <w:r>
        <w:t xml:space="preserve"> Membership in a sharply bounded category can be an important market signal of quality (Negro, </w:t>
      </w:r>
      <w:proofErr w:type="spellStart"/>
      <w:r>
        <w:t>Kocak</w:t>
      </w:r>
      <w:proofErr w:type="spellEnd"/>
      <w:r>
        <w:t xml:space="preserve"> and Hsu, 2010) and can render significant status effects. We measured university status by </w:t>
      </w:r>
      <w:r w:rsidRPr="00434EDA">
        <w:rPr>
          <w:i/>
        </w:rPr>
        <w:t xml:space="preserve">membership in the </w:t>
      </w:r>
      <w:r w:rsidRPr="009A38F5">
        <w:rPr>
          <w:i/>
        </w:rPr>
        <w:t>Russell Group</w:t>
      </w:r>
      <w:r w:rsidR="009A38F5" w:rsidRPr="009A38F5">
        <w:rPr>
          <w:szCs w:val="24"/>
          <w:lang w:val="en-GB"/>
        </w:rPr>
        <w:t xml:space="preserve"> </w:t>
      </w:r>
      <w:r w:rsidR="009A38F5" w:rsidRPr="00FF6C14">
        <w:rPr>
          <w:szCs w:val="24"/>
          <w:lang w:val="en-GB"/>
        </w:rPr>
        <w:t>of elite universities</w:t>
      </w:r>
      <w:r w:rsidR="009A38F5">
        <w:rPr>
          <w:szCs w:val="24"/>
          <w:lang w:val="en-GB"/>
        </w:rPr>
        <w:t xml:space="preserve">, </w:t>
      </w:r>
      <w:r>
        <w:t xml:space="preserve">a status-conferring category that is highly influential in UK academia. </w:t>
      </w:r>
      <w:r w:rsidR="009A38F5" w:rsidRPr="00AD1AEF">
        <w:t>T</w:t>
      </w:r>
      <w:r w:rsidR="009A38F5">
        <w:t>he Russell Group was intended to lobby</w:t>
      </w:r>
      <w:r w:rsidR="009A38F5" w:rsidRPr="00AD1AEF">
        <w:t xml:space="preserve"> government, parliament and private bodies for financial and other support</w:t>
      </w:r>
      <w:r w:rsidR="00DE7EDC">
        <w:t>,</w:t>
      </w:r>
      <w:r w:rsidR="009A38F5" w:rsidRPr="00AD1AEF">
        <w:t xml:space="preserve"> and </w:t>
      </w:r>
      <w:r w:rsidR="009A38F5">
        <w:t xml:space="preserve">its members </w:t>
      </w:r>
      <w:r w:rsidR="009A38F5" w:rsidRPr="00AD1AEF">
        <w:t>have been forming common policies on important initiatives</w:t>
      </w:r>
      <w:r w:rsidR="009A38F5">
        <w:t xml:space="preserve"> such as </w:t>
      </w:r>
      <w:r w:rsidR="00DE7EDC">
        <w:t xml:space="preserve">the </w:t>
      </w:r>
      <w:r w:rsidR="009A38F5">
        <w:t>sponsoring and</w:t>
      </w:r>
      <w:r w:rsidR="009A38F5" w:rsidRPr="00AD1AEF">
        <w:t xml:space="preserve"> exploitation of intellectual property </w:t>
      </w:r>
      <w:r w:rsidR="009A38F5" w:rsidRPr="00943181">
        <w:t>(Edinburgh University Minutes, 2004).</w:t>
      </w:r>
      <w:r w:rsidR="009A38F5">
        <w:t xml:space="preserve"> </w:t>
      </w:r>
      <w:r>
        <w:t xml:space="preserve">The Russell Group represents universities that are considered the academic elite, with membership being indisputable and difficult to achieve. </w:t>
      </w:r>
    </w:p>
    <w:p w:rsidR="00ED563C" w:rsidRPr="00863FAC" w:rsidRDefault="00474EA7">
      <w:pPr>
        <w:spacing w:line="480" w:lineRule="auto"/>
        <w:ind w:firstLine="567"/>
        <w:jc w:val="both"/>
        <w:rPr>
          <w:i/>
          <w:szCs w:val="24"/>
          <w:lang w:val="en-GB"/>
        </w:rPr>
      </w:pPr>
      <w:r w:rsidRPr="00AD1AEF">
        <w:rPr>
          <w:b/>
          <w:i/>
        </w:rPr>
        <w:t>Control variables</w:t>
      </w:r>
      <w:r w:rsidRPr="00AD1AEF">
        <w:t xml:space="preserve">. </w:t>
      </w:r>
      <w:r w:rsidR="00A55CC0">
        <w:t>We</w:t>
      </w:r>
      <w:r w:rsidR="009C57CE" w:rsidRPr="000A43CC">
        <w:rPr>
          <w:szCs w:val="24"/>
          <w:lang w:val="en-GB"/>
        </w:rPr>
        <w:t xml:space="preserve"> </w:t>
      </w:r>
      <w:r w:rsidR="00D06C2C">
        <w:rPr>
          <w:szCs w:val="24"/>
          <w:lang w:val="en-GB"/>
        </w:rPr>
        <w:t>aim</w:t>
      </w:r>
      <w:r w:rsidR="00A55CC0">
        <w:rPr>
          <w:szCs w:val="24"/>
          <w:lang w:val="en-GB"/>
        </w:rPr>
        <w:t>ed</w:t>
      </w:r>
      <w:r w:rsidR="00D06C2C">
        <w:rPr>
          <w:szCs w:val="24"/>
          <w:lang w:val="en-GB"/>
        </w:rPr>
        <w:t xml:space="preserve"> to account for</w:t>
      </w:r>
      <w:r w:rsidR="009C57CE" w:rsidRPr="000A43CC">
        <w:rPr>
          <w:szCs w:val="24"/>
          <w:lang w:val="en-GB"/>
        </w:rPr>
        <w:t xml:space="preserve"> alternative </w:t>
      </w:r>
      <w:r w:rsidR="00AB11CF">
        <w:rPr>
          <w:szCs w:val="24"/>
          <w:lang w:val="en-GB"/>
        </w:rPr>
        <w:t xml:space="preserve">drivers of university </w:t>
      </w:r>
      <w:r w:rsidR="00A55CC0">
        <w:rPr>
          <w:szCs w:val="24"/>
          <w:lang w:val="en-GB"/>
        </w:rPr>
        <w:t>research income.</w:t>
      </w:r>
      <w:r w:rsidR="00511E97">
        <w:rPr>
          <w:szCs w:val="24"/>
          <w:lang w:val="en-GB"/>
        </w:rPr>
        <w:t xml:space="preserve"> </w:t>
      </w:r>
      <w:r w:rsidR="004C7258" w:rsidRPr="00AD1AEF">
        <w:t>W</w:t>
      </w:r>
      <w:r w:rsidR="0054292B" w:rsidRPr="00AD1AEF">
        <w:t xml:space="preserve">e </w:t>
      </w:r>
      <w:r w:rsidR="00F83836">
        <w:t xml:space="preserve">measured </w:t>
      </w:r>
      <w:r w:rsidR="00F83836" w:rsidRPr="00AD1AEF">
        <w:t xml:space="preserve">the cumulative </w:t>
      </w:r>
      <w:r w:rsidR="00F83836" w:rsidRPr="0071027C">
        <w:t>number of</w:t>
      </w:r>
      <w:r w:rsidR="00F83836" w:rsidRPr="00756669">
        <w:rPr>
          <w:i/>
        </w:rPr>
        <w:t xml:space="preserve"> </w:t>
      </w:r>
      <w:r w:rsidR="0071027C">
        <w:rPr>
          <w:i/>
        </w:rPr>
        <w:t>awards</w:t>
      </w:r>
      <w:r w:rsidR="0071027C" w:rsidRPr="00AD1AEF">
        <w:t xml:space="preserve"> </w:t>
      </w:r>
      <w:r w:rsidR="001D6DAC">
        <w:t xml:space="preserve">from the </w:t>
      </w:r>
      <w:r w:rsidR="001D6DAC" w:rsidRPr="00DD16F2">
        <w:rPr>
          <w:i/>
        </w:rPr>
        <w:t>Nobel</w:t>
      </w:r>
      <w:r w:rsidR="001D6DAC">
        <w:t xml:space="preserve"> Foundation </w:t>
      </w:r>
      <w:r w:rsidR="009A3A4C">
        <w:t>as an indicator of</w:t>
      </w:r>
      <w:r w:rsidR="00C64CCC">
        <w:t xml:space="preserve"> academic excellence</w:t>
      </w:r>
      <w:r w:rsidR="00B4790D">
        <w:t xml:space="preserve">. </w:t>
      </w:r>
      <w:r w:rsidR="00ED563C">
        <w:t>W</w:t>
      </w:r>
      <w:r w:rsidR="00C64CCC">
        <w:t xml:space="preserve">e </w:t>
      </w:r>
      <w:r w:rsidR="00ED563C">
        <w:t xml:space="preserve">then </w:t>
      </w:r>
      <w:r w:rsidR="009A3A4C">
        <w:t>collected</w:t>
      </w:r>
      <w:r w:rsidR="00F83836">
        <w:t xml:space="preserve"> the annual </w:t>
      </w:r>
      <w:r w:rsidR="00F83836">
        <w:rPr>
          <w:szCs w:val="24"/>
          <w:lang w:val="en-GB"/>
        </w:rPr>
        <w:t>n</w:t>
      </w:r>
      <w:r w:rsidR="00F83836" w:rsidRPr="000A43CC">
        <w:rPr>
          <w:szCs w:val="24"/>
          <w:lang w:val="en-GB"/>
        </w:rPr>
        <w:t xml:space="preserve">umber of </w:t>
      </w:r>
      <w:r w:rsidR="00F83836" w:rsidRPr="00F45BB1">
        <w:rPr>
          <w:i/>
          <w:szCs w:val="24"/>
          <w:lang w:val="en-GB"/>
        </w:rPr>
        <w:t>publications</w:t>
      </w:r>
      <w:r w:rsidR="00F83836">
        <w:rPr>
          <w:szCs w:val="24"/>
          <w:lang w:val="en-GB"/>
        </w:rPr>
        <w:t xml:space="preserve"> by each institution</w:t>
      </w:r>
      <w:r w:rsidR="00F83836" w:rsidRPr="000A43CC">
        <w:rPr>
          <w:szCs w:val="24"/>
          <w:lang w:val="en-GB"/>
        </w:rPr>
        <w:t xml:space="preserve"> in </w:t>
      </w:r>
      <w:r w:rsidR="00F83836">
        <w:rPr>
          <w:szCs w:val="24"/>
          <w:lang w:val="en-GB"/>
        </w:rPr>
        <w:t xml:space="preserve">the </w:t>
      </w:r>
      <w:r w:rsidR="00F83836" w:rsidRPr="000A43CC">
        <w:rPr>
          <w:szCs w:val="24"/>
          <w:lang w:val="en-GB"/>
        </w:rPr>
        <w:t>Thomson Web of Science database</w:t>
      </w:r>
      <w:r w:rsidR="007263C5">
        <w:rPr>
          <w:szCs w:val="24"/>
          <w:lang w:val="en-GB"/>
        </w:rPr>
        <w:t xml:space="preserve"> (</w:t>
      </w:r>
      <w:r w:rsidR="00FD7E7A" w:rsidRPr="00FD7E7A">
        <w:rPr>
          <w:szCs w:val="24"/>
          <w:lang w:val="en-GB"/>
        </w:rPr>
        <w:t>http://thomsonreuters.com</w:t>
      </w:r>
      <w:r w:rsidR="007263C5">
        <w:rPr>
          <w:szCs w:val="24"/>
          <w:lang w:val="en-GB"/>
        </w:rPr>
        <w:t>)</w:t>
      </w:r>
      <w:r w:rsidR="00F83836">
        <w:rPr>
          <w:szCs w:val="24"/>
          <w:lang w:val="en-GB"/>
        </w:rPr>
        <w:t xml:space="preserve"> to </w:t>
      </w:r>
      <w:r w:rsidR="00962936">
        <w:rPr>
          <w:szCs w:val="24"/>
          <w:lang w:val="en-GB"/>
        </w:rPr>
        <w:t>capture</w:t>
      </w:r>
      <w:r w:rsidR="008D5F0A">
        <w:rPr>
          <w:szCs w:val="24"/>
          <w:lang w:val="en-GB"/>
        </w:rPr>
        <w:t xml:space="preserve"> directly</w:t>
      </w:r>
      <w:r w:rsidR="00962936">
        <w:rPr>
          <w:szCs w:val="24"/>
          <w:lang w:val="en-GB"/>
        </w:rPr>
        <w:t xml:space="preserve"> the </w:t>
      </w:r>
      <w:r w:rsidR="00C64CCC">
        <w:t>research</w:t>
      </w:r>
      <w:r w:rsidR="00962936">
        <w:t xml:space="preserve"> </w:t>
      </w:r>
      <w:r w:rsidR="00FA1945">
        <w:t>output</w:t>
      </w:r>
      <w:r w:rsidR="00962936" w:rsidRPr="00962936">
        <w:t xml:space="preserve"> </w:t>
      </w:r>
      <w:r w:rsidR="00962936">
        <w:t>of the faculty</w:t>
      </w:r>
      <w:r w:rsidR="00C64CCC" w:rsidRPr="000A43CC">
        <w:rPr>
          <w:szCs w:val="24"/>
          <w:lang w:val="en-GB"/>
        </w:rPr>
        <w:t>.</w:t>
      </w:r>
      <w:r w:rsidR="00C64CCC">
        <w:rPr>
          <w:szCs w:val="24"/>
          <w:lang w:val="en-GB"/>
        </w:rPr>
        <w:t xml:space="preserve"> </w:t>
      </w:r>
      <w:r w:rsidR="00ED563C">
        <w:rPr>
          <w:szCs w:val="24"/>
          <w:lang w:val="en-GB"/>
        </w:rPr>
        <w:t xml:space="preserve">In addition, we </w:t>
      </w:r>
      <w:r w:rsidR="00ED563C">
        <w:t xml:space="preserve">measured the breadth of submissions </w:t>
      </w:r>
      <w:r w:rsidR="00ED563C" w:rsidRPr="0071027C">
        <w:rPr>
          <w:i/>
        </w:rPr>
        <w:t>in Engineering and Biotech</w:t>
      </w:r>
      <w:r w:rsidR="00ED563C">
        <w:t xml:space="preserve"> to </w:t>
      </w:r>
      <w:r w:rsidR="00ED563C" w:rsidRPr="00AD1AEF">
        <w:t xml:space="preserve">the </w:t>
      </w:r>
      <w:r w:rsidR="00ED563C">
        <w:t>national</w:t>
      </w:r>
      <w:r w:rsidR="00ED563C" w:rsidRPr="00AD1AEF">
        <w:t xml:space="preserve"> </w:t>
      </w:r>
      <w:r w:rsidR="00ED563C" w:rsidRPr="003D1A1A">
        <w:rPr>
          <w:i/>
        </w:rPr>
        <w:t>Research Assessment Exercises</w:t>
      </w:r>
      <w:r w:rsidR="00ED563C">
        <w:t xml:space="preserve"> </w:t>
      </w:r>
      <w:r w:rsidR="00ED563C" w:rsidRPr="00B10B74">
        <w:rPr>
          <w:i/>
        </w:rPr>
        <w:t>(RAE)</w:t>
      </w:r>
      <w:r w:rsidR="00ED563C">
        <w:t xml:space="preserve"> of 1992, 1996 and</w:t>
      </w:r>
      <w:r w:rsidR="00ED563C" w:rsidRPr="00AD1AEF">
        <w:t xml:space="preserve"> 2001 </w:t>
      </w:r>
      <w:r w:rsidR="00ED563C" w:rsidRPr="004C00F5">
        <w:t>(</w:t>
      </w:r>
      <w:r w:rsidR="00FD7E7A">
        <w:t>http://</w:t>
      </w:r>
      <w:hyperlink r:id="rId10" w:history="1">
        <w:r w:rsidR="00ED563C" w:rsidRPr="00BE78A3">
          <w:rPr>
            <w:rStyle w:val="Hyperlink"/>
            <w:color w:val="auto"/>
            <w:u w:val="none"/>
          </w:rPr>
          <w:t>www</w:t>
        </w:r>
        <w:r w:rsidR="00ED563C" w:rsidRPr="00E0256C">
          <w:rPr>
            <w:rStyle w:val="Hyperlink"/>
            <w:color w:val="auto"/>
            <w:u w:val="none"/>
          </w:rPr>
          <w:t>.rae.ac.uk</w:t>
        </w:r>
      </w:hyperlink>
      <w:r w:rsidR="00ED563C">
        <w:t xml:space="preserve">) as an indicator of </w:t>
      </w:r>
      <w:r w:rsidR="00ED563C" w:rsidRPr="00AD1AEF">
        <w:t xml:space="preserve">the underlying </w:t>
      </w:r>
      <w:r w:rsidR="00ED563C">
        <w:t>scientific research</w:t>
      </w:r>
      <w:r w:rsidR="00DE7EDC">
        <w:t xml:space="preserve"> </w:t>
      </w:r>
      <w:r w:rsidR="00ED563C" w:rsidRPr="00C05305">
        <w:t>base</w:t>
      </w:r>
      <w:r w:rsidR="00ED563C">
        <w:t xml:space="preserve"> of universities. W</w:t>
      </w:r>
      <w:r w:rsidR="00ED563C" w:rsidRPr="00AD1AEF">
        <w:t xml:space="preserve">e calculated the number of assessment units to which each university submitted results as follows: </w:t>
      </w:r>
      <w:r w:rsidR="00ED563C" w:rsidRPr="00FF63D2">
        <w:t>RAE biotech</w:t>
      </w:r>
      <w:r w:rsidR="00ED563C" w:rsidRPr="00AD1AEF">
        <w:t xml:space="preserve"> </w:t>
      </w:r>
      <w:r w:rsidR="00ED563C">
        <w:t>was</w:t>
      </w:r>
      <w:r w:rsidR="00ED563C" w:rsidRPr="00AD1AEF">
        <w:t xml:space="preserve"> the degree </w:t>
      </w:r>
      <w:r w:rsidR="00ED563C" w:rsidRPr="00AD1AEF">
        <w:lastRenderedPageBreak/>
        <w:t>of participation in units of assessment 1-17 (1-19 for the 1992 RAE)</w:t>
      </w:r>
      <w:r w:rsidR="00DE7EDC">
        <w:t>,</w:t>
      </w:r>
      <w:r w:rsidR="00ED563C">
        <w:t xml:space="preserve"> and</w:t>
      </w:r>
      <w:r w:rsidR="00ED563C" w:rsidRPr="00AD1AEF">
        <w:t xml:space="preserve"> </w:t>
      </w:r>
      <w:r w:rsidR="00ED563C" w:rsidRPr="00FF63D2">
        <w:t>RAE engineering</w:t>
      </w:r>
      <w:r w:rsidR="00ED563C" w:rsidRPr="00AD1AEF">
        <w:t xml:space="preserve"> </w:t>
      </w:r>
      <w:r w:rsidR="00ED563C">
        <w:t>was</w:t>
      </w:r>
      <w:r w:rsidR="00ED563C" w:rsidRPr="00AD1AEF">
        <w:t xml:space="preserve"> the degree of participation in units of assessment 1</w:t>
      </w:r>
      <w:r w:rsidR="00ED563C">
        <w:t>8-35 (20-37 for the 1992 RAE). T</w:t>
      </w:r>
      <w:r w:rsidR="00ED563C" w:rsidRPr="00AD1AEF">
        <w:t xml:space="preserve">hese </w:t>
      </w:r>
      <w:r w:rsidR="00ED563C">
        <w:t xml:space="preserve">two </w:t>
      </w:r>
      <w:r w:rsidR="00ED563C" w:rsidRPr="00AD1AEF">
        <w:t>variables were highly correlated</w:t>
      </w:r>
      <w:r w:rsidR="00ED563C">
        <w:t xml:space="preserve"> (0.78)</w:t>
      </w:r>
      <w:r w:rsidR="00DE7EDC">
        <w:t>,</w:t>
      </w:r>
      <w:r w:rsidR="00ED563C" w:rsidRPr="00AD1AEF">
        <w:t xml:space="preserve"> </w:t>
      </w:r>
      <w:r w:rsidR="00ED563C">
        <w:t>and they were</w:t>
      </w:r>
      <w:r w:rsidR="00ED563C" w:rsidRPr="00AD1AEF">
        <w:t xml:space="preserve"> </w:t>
      </w:r>
      <w:r w:rsidR="00ED563C">
        <w:t>therefore averaged into a single RAE score</w:t>
      </w:r>
      <w:r w:rsidR="00ED563C" w:rsidRPr="00AD1AEF">
        <w:t>.</w:t>
      </w:r>
    </w:p>
    <w:p w:rsidR="00C64CCC" w:rsidRDefault="00ED563C" w:rsidP="00ED563C">
      <w:pPr>
        <w:spacing w:line="480" w:lineRule="auto"/>
        <w:ind w:firstLine="567"/>
        <w:jc w:val="both"/>
        <w:rPr>
          <w:szCs w:val="24"/>
          <w:lang w:val="en-GB"/>
        </w:rPr>
      </w:pPr>
      <w:r w:rsidRPr="00AD1AEF">
        <w:t xml:space="preserve">We </w:t>
      </w:r>
      <w:r>
        <w:t>also measured the number of university</w:t>
      </w:r>
      <w:r w:rsidR="00E56AAA">
        <w:t>-assigned</w:t>
      </w:r>
      <w:r w:rsidR="00FD7E7A">
        <w:t xml:space="preserve"> </w:t>
      </w:r>
      <w:r w:rsidRPr="00AD1AEF">
        <w:rPr>
          <w:i/>
        </w:rPr>
        <w:t>paten</w:t>
      </w:r>
      <w:r>
        <w:rPr>
          <w:i/>
        </w:rPr>
        <w:t>ts</w:t>
      </w:r>
      <w:r w:rsidRPr="00081D21">
        <w:t xml:space="preserve"> </w:t>
      </w:r>
      <w:r w:rsidR="00B3240B">
        <w:t>using</w:t>
      </w:r>
      <w:r w:rsidRPr="00AD1AEF">
        <w:t xml:space="preserve"> data from the European Patent Office (EPO</w:t>
      </w:r>
      <w:r w:rsidR="00FD7E7A">
        <w:t xml:space="preserve"> </w:t>
      </w:r>
      <w:r w:rsidR="001F0C8D">
        <w:t xml:space="preserve">– </w:t>
      </w:r>
      <w:r w:rsidR="00FD7E7A" w:rsidRPr="00FD7E7A">
        <w:t>http://www.epo.org</w:t>
      </w:r>
      <w:r w:rsidRPr="00AD1AEF">
        <w:t>)</w:t>
      </w:r>
      <w:r>
        <w:t xml:space="preserve">, to capture the </w:t>
      </w:r>
      <w:r w:rsidR="001F0C8D">
        <w:t>i</w:t>
      </w:r>
      <w:r>
        <w:t xml:space="preserve">ntellectual </w:t>
      </w:r>
      <w:r w:rsidR="001F0C8D">
        <w:t>p</w:t>
      </w:r>
      <w:r>
        <w:t>roperty creation</w:t>
      </w:r>
      <w:r w:rsidRPr="00AD1AEF">
        <w:t xml:space="preserve"> capacity</w:t>
      </w:r>
      <w:r>
        <w:t xml:space="preserve"> of each university</w:t>
      </w:r>
      <w:r w:rsidRPr="00AD1AEF">
        <w:t xml:space="preserve">. It was </w:t>
      </w:r>
      <w:r>
        <w:t>expected</w:t>
      </w:r>
      <w:r w:rsidRPr="00AD1AEF">
        <w:t xml:space="preserve"> that patents </w:t>
      </w:r>
      <w:r>
        <w:t xml:space="preserve">would </w:t>
      </w:r>
      <w:r w:rsidRPr="00AD1AEF">
        <w:t>attract competitive research funding from both the government and the industry.</w:t>
      </w:r>
      <w:r w:rsidR="002645F6">
        <w:t xml:space="preserve"> </w:t>
      </w:r>
      <w:r>
        <w:t>We finally</w:t>
      </w:r>
      <w:r w:rsidRPr="00AD1AEF">
        <w:t xml:space="preserve"> controlled for the presence of a </w:t>
      </w:r>
      <w:r w:rsidRPr="00AD1AEF">
        <w:rPr>
          <w:i/>
        </w:rPr>
        <w:t>university hospital</w:t>
      </w:r>
      <w:r w:rsidRPr="00AD1AEF">
        <w:t xml:space="preserve"> by including a dummy variable that took the value </w:t>
      </w:r>
      <w:r w:rsidR="001F0C8D">
        <w:t xml:space="preserve">of </w:t>
      </w:r>
      <w:r w:rsidRPr="00AD1AEF">
        <w:t>1 if such a hospital was present. This information was collected from the Association of UK University Hospitals (AUKUH).</w:t>
      </w:r>
      <w:r>
        <w:t xml:space="preserve"> We expected that university hospitals would attract more sponsored funding for applied research.</w:t>
      </w:r>
    </w:p>
    <w:p w:rsidR="00F45BB1" w:rsidRPr="0005039F" w:rsidRDefault="00863FAC" w:rsidP="0005039F">
      <w:pPr>
        <w:spacing w:line="480" w:lineRule="auto"/>
        <w:ind w:firstLine="567"/>
        <w:jc w:val="both"/>
      </w:pPr>
      <w:r>
        <w:rPr>
          <w:i/>
          <w:szCs w:val="24"/>
          <w:lang w:val="en-GB"/>
        </w:rPr>
        <w:t xml:space="preserve"> </w:t>
      </w:r>
      <w:r w:rsidR="00ED563C">
        <w:t xml:space="preserve">We captured annual </w:t>
      </w:r>
      <w:r w:rsidR="00ED563C" w:rsidRPr="00B10B74">
        <w:t>university</w:t>
      </w:r>
      <w:r w:rsidR="00ED563C">
        <w:rPr>
          <w:i/>
        </w:rPr>
        <w:t xml:space="preserve"> rankings</w:t>
      </w:r>
      <w:r w:rsidR="00ED563C" w:rsidRPr="00A50504">
        <w:t xml:space="preserve"> </w:t>
      </w:r>
      <w:r w:rsidR="00ED563C">
        <w:t xml:space="preserve">as published by </w:t>
      </w:r>
      <w:r w:rsidR="00ED563C" w:rsidRPr="00AD1AEF">
        <w:t xml:space="preserve">the </w:t>
      </w:r>
      <w:r w:rsidR="00ED563C">
        <w:t xml:space="preserve">influential </w:t>
      </w:r>
      <w:r w:rsidR="00ED563C" w:rsidRPr="00AD1AEF">
        <w:t xml:space="preserve">Times Higher Education </w:t>
      </w:r>
      <w:r w:rsidR="00ED563C">
        <w:t xml:space="preserve">(THE) </w:t>
      </w:r>
      <w:r w:rsidR="00ED563C" w:rsidRPr="00AD1AEF">
        <w:t>university guide since 199</w:t>
      </w:r>
      <w:r w:rsidR="00ED563C">
        <w:t>3</w:t>
      </w:r>
      <w:r w:rsidR="002645F6">
        <w:t>.</w:t>
      </w:r>
      <w:r w:rsidR="00ED563C" w:rsidRPr="00AD1AEF">
        <w:t xml:space="preserve"> </w:t>
      </w:r>
      <w:r w:rsidR="00ED563C">
        <w:t>This was c</w:t>
      </w:r>
      <w:r w:rsidR="00ED563C" w:rsidRPr="00AD1AEF">
        <w:t>onsistent with previous research</w:t>
      </w:r>
      <w:r w:rsidR="00ED563C">
        <w:t xml:space="preserve"> </w:t>
      </w:r>
      <w:r w:rsidR="00ED563C" w:rsidRPr="00AD1AEF">
        <w:t>(</w:t>
      </w:r>
      <w:r w:rsidR="00ED563C">
        <w:t xml:space="preserve">e.g., </w:t>
      </w:r>
      <w:proofErr w:type="spellStart"/>
      <w:r w:rsidR="00ED563C" w:rsidRPr="00AD1AEF">
        <w:t>Deephouse</w:t>
      </w:r>
      <w:proofErr w:type="spellEnd"/>
      <w:r w:rsidR="00ED563C" w:rsidRPr="00AD1AEF">
        <w:t xml:space="preserve">, 2000; </w:t>
      </w:r>
      <w:proofErr w:type="spellStart"/>
      <w:r w:rsidR="00ED563C" w:rsidRPr="00AD1AEF">
        <w:t>Fombrun</w:t>
      </w:r>
      <w:proofErr w:type="spellEnd"/>
      <w:r w:rsidR="00ED563C" w:rsidRPr="00AD1AEF">
        <w:t xml:space="preserve"> and </w:t>
      </w:r>
      <w:proofErr w:type="spellStart"/>
      <w:r w:rsidR="00ED563C" w:rsidRPr="00AD1AEF">
        <w:t>Shanley</w:t>
      </w:r>
      <w:proofErr w:type="spellEnd"/>
      <w:r w:rsidR="00ED563C" w:rsidRPr="00AD1AEF">
        <w:t>, 1990; Roberts and Dowling, 2002)</w:t>
      </w:r>
      <w:r w:rsidR="00ED563C">
        <w:t>.</w:t>
      </w:r>
      <w:r w:rsidR="00ED563C" w:rsidRPr="00AD1AEF">
        <w:t xml:space="preserve"> </w:t>
      </w:r>
      <w:r w:rsidR="00ED563C" w:rsidRPr="000A43CC">
        <w:rPr>
          <w:szCs w:val="24"/>
          <w:lang w:val="en-GB"/>
        </w:rPr>
        <w:t xml:space="preserve">The ranking of </w:t>
      </w:r>
      <w:r w:rsidR="00ED563C">
        <w:rPr>
          <w:szCs w:val="24"/>
          <w:lang w:val="en-GB"/>
        </w:rPr>
        <w:t xml:space="preserve">an </w:t>
      </w:r>
      <w:r w:rsidR="00ED563C" w:rsidRPr="000A43CC">
        <w:rPr>
          <w:szCs w:val="24"/>
          <w:lang w:val="en-GB"/>
        </w:rPr>
        <w:t>institut</w:t>
      </w:r>
      <w:r w:rsidR="00ED563C">
        <w:rPr>
          <w:szCs w:val="24"/>
          <w:lang w:val="en-GB"/>
        </w:rPr>
        <w:t>ion</w:t>
      </w:r>
      <w:r w:rsidR="00ED563C" w:rsidRPr="000A43CC">
        <w:rPr>
          <w:szCs w:val="24"/>
          <w:lang w:val="en-GB"/>
        </w:rPr>
        <w:t xml:space="preserve"> reflect</w:t>
      </w:r>
      <w:r w:rsidR="00ED563C">
        <w:rPr>
          <w:szCs w:val="24"/>
          <w:lang w:val="en-GB"/>
        </w:rPr>
        <w:t xml:space="preserve">s its general perceived quality and </w:t>
      </w:r>
      <w:r w:rsidR="00ED563C" w:rsidRPr="00AD1AEF">
        <w:t>collapse</w:t>
      </w:r>
      <w:r w:rsidR="00ED563C">
        <w:t xml:space="preserve">s the </w:t>
      </w:r>
      <w:r w:rsidR="00ED563C" w:rsidRPr="00AD1AEF">
        <w:t xml:space="preserve">complex information into a single number. </w:t>
      </w:r>
      <w:r w:rsidR="00ED563C">
        <w:t>I</w:t>
      </w:r>
      <w:r w:rsidR="00ED563C" w:rsidRPr="00AD1AEF">
        <w:t xml:space="preserve">t is precisely this synoptic nature of rankings that </w:t>
      </w:r>
      <w:r w:rsidR="001F0C8D">
        <w:t>gives</w:t>
      </w:r>
      <w:r w:rsidR="001F0C8D" w:rsidRPr="00AD1AEF">
        <w:t xml:space="preserve"> </w:t>
      </w:r>
      <w:r w:rsidR="00ED563C" w:rsidRPr="00AD1AEF">
        <w:t xml:space="preserve">them </w:t>
      </w:r>
      <w:r w:rsidR="001F0C8D">
        <w:t>such</w:t>
      </w:r>
      <w:r w:rsidR="001F0C8D" w:rsidRPr="00AD1AEF">
        <w:t xml:space="preserve"> </w:t>
      </w:r>
      <w:r w:rsidR="00ED563C" w:rsidRPr="00AD1AEF">
        <w:t>a strong impact</w:t>
      </w:r>
      <w:r w:rsidR="00ED563C">
        <w:t xml:space="preserve"> on evaluators’ perceptions</w:t>
      </w:r>
      <w:r w:rsidR="00ED563C" w:rsidRPr="002437BD">
        <w:t xml:space="preserve"> </w:t>
      </w:r>
      <w:r w:rsidR="00ED563C">
        <w:t>(</w:t>
      </w:r>
      <w:proofErr w:type="spellStart"/>
      <w:r w:rsidR="00ED563C" w:rsidRPr="00AD1AEF">
        <w:t>Rindova</w:t>
      </w:r>
      <w:proofErr w:type="spellEnd"/>
      <w:r w:rsidR="00ED563C" w:rsidRPr="00AD1AEF">
        <w:t xml:space="preserve">, Williamson, </w:t>
      </w:r>
      <w:proofErr w:type="spellStart"/>
      <w:r w:rsidR="00ED563C" w:rsidRPr="00AD1AEF">
        <w:t>Petkova</w:t>
      </w:r>
      <w:proofErr w:type="spellEnd"/>
      <w:r w:rsidR="00ED563C" w:rsidRPr="00AD1AEF">
        <w:t xml:space="preserve"> and Sever</w:t>
      </w:r>
      <w:r w:rsidR="00ED563C">
        <w:t xml:space="preserve">, </w:t>
      </w:r>
      <w:r w:rsidR="00ED563C" w:rsidRPr="00AD1AEF">
        <w:t>2005)</w:t>
      </w:r>
      <w:r w:rsidR="00ED563C">
        <w:rPr>
          <w:i/>
          <w:szCs w:val="24"/>
        </w:rPr>
        <w:t xml:space="preserve">. </w:t>
      </w:r>
      <w:r w:rsidR="00ED563C">
        <w:rPr>
          <w:szCs w:val="24"/>
          <w:lang w:val="en-GB"/>
        </w:rPr>
        <w:t>W</w:t>
      </w:r>
      <w:r w:rsidR="00ED563C">
        <w:t xml:space="preserve">e also measured the </w:t>
      </w:r>
      <w:r w:rsidR="00ED563C">
        <w:rPr>
          <w:i/>
        </w:rPr>
        <w:t>total</w:t>
      </w:r>
      <w:r w:rsidR="00ED563C" w:rsidRPr="003D476D">
        <w:rPr>
          <w:i/>
        </w:rPr>
        <w:t xml:space="preserve"> media coverage</w:t>
      </w:r>
      <w:r w:rsidR="00ED563C">
        <w:t xml:space="preserve"> of universities (besides the spinoff-related media coverage) as an indicator of their general prominence. We collected this information from LexisNexis.</w:t>
      </w:r>
    </w:p>
    <w:p w:rsidR="0054292B" w:rsidRDefault="008D5F0A" w:rsidP="00B10B74">
      <w:pPr>
        <w:spacing w:line="480" w:lineRule="auto"/>
        <w:ind w:firstLine="567"/>
        <w:jc w:val="both"/>
        <w:rPr>
          <w:szCs w:val="24"/>
        </w:rPr>
      </w:pPr>
      <w:r>
        <w:rPr>
          <w:szCs w:val="24"/>
          <w:lang w:val="en-GB"/>
        </w:rPr>
        <w:t>We controlled for</w:t>
      </w:r>
      <w:r w:rsidR="008A496F" w:rsidRPr="008A496F">
        <w:rPr>
          <w:szCs w:val="24"/>
          <w:lang w:val="en-GB"/>
        </w:rPr>
        <w:t xml:space="preserve"> the</w:t>
      </w:r>
      <w:r w:rsidR="008A496F" w:rsidRPr="000A43CC">
        <w:rPr>
          <w:szCs w:val="24"/>
          <w:lang w:val="en-GB"/>
        </w:rPr>
        <w:t xml:space="preserve"> </w:t>
      </w:r>
      <w:r w:rsidR="008A496F" w:rsidRPr="009D3F2F">
        <w:rPr>
          <w:i/>
          <w:szCs w:val="24"/>
          <w:lang w:val="en-GB"/>
        </w:rPr>
        <w:t>Technology Transfer</w:t>
      </w:r>
      <w:r w:rsidR="009D3F2F">
        <w:rPr>
          <w:i/>
          <w:szCs w:val="24"/>
          <w:lang w:val="en-GB"/>
        </w:rPr>
        <w:t xml:space="preserve"> </w:t>
      </w:r>
      <w:r w:rsidR="008A496F" w:rsidRPr="009D3F2F">
        <w:rPr>
          <w:i/>
          <w:szCs w:val="24"/>
          <w:lang w:val="en-GB"/>
        </w:rPr>
        <w:t>Office</w:t>
      </w:r>
      <w:r w:rsidR="0071027C">
        <w:rPr>
          <w:i/>
          <w:szCs w:val="24"/>
          <w:lang w:val="en-GB"/>
        </w:rPr>
        <w:t xml:space="preserve"> structure</w:t>
      </w:r>
      <w:r w:rsidR="009D3F2F">
        <w:rPr>
          <w:szCs w:val="24"/>
          <w:lang w:val="en-GB"/>
        </w:rPr>
        <w:t>. This categorical</w:t>
      </w:r>
      <w:r w:rsidR="00477FF5">
        <w:rPr>
          <w:szCs w:val="24"/>
          <w:lang w:val="en-GB"/>
        </w:rPr>
        <w:t>, time-varying</w:t>
      </w:r>
      <w:r w:rsidR="009D3F2F">
        <w:rPr>
          <w:szCs w:val="24"/>
          <w:lang w:val="en-GB"/>
        </w:rPr>
        <w:t xml:space="preserve"> variable</w:t>
      </w:r>
      <w:r w:rsidR="008A496F">
        <w:rPr>
          <w:szCs w:val="24"/>
          <w:lang w:val="en-GB"/>
        </w:rPr>
        <w:t xml:space="preserve"> </w:t>
      </w:r>
      <w:r w:rsidR="00A81B29">
        <w:rPr>
          <w:szCs w:val="24"/>
          <w:lang w:val="en-GB"/>
        </w:rPr>
        <w:t xml:space="preserve">captured the </w:t>
      </w:r>
      <w:r w:rsidR="006F2388">
        <w:rPr>
          <w:szCs w:val="24"/>
          <w:lang w:val="en-GB"/>
        </w:rPr>
        <w:t xml:space="preserve">university </w:t>
      </w:r>
      <w:r w:rsidR="00A81B29">
        <w:rPr>
          <w:szCs w:val="24"/>
          <w:lang w:val="en-GB"/>
        </w:rPr>
        <w:t xml:space="preserve">support </w:t>
      </w:r>
      <w:r w:rsidR="006F2388">
        <w:rPr>
          <w:szCs w:val="24"/>
          <w:lang w:val="en-GB"/>
        </w:rPr>
        <w:t>mechanisms for spinoff creation</w:t>
      </w:r>
      <w:r w:rsidR="00940428">
        <w:rPr>
          <w:szCs w:val="24"/>
          <w:lang w:val="en-GB"/>
        </w:rPr>
        <w:t xml:space="preserve"> (Clarysse, Wright, Lockett, Van de </w:t>
      </w:r>
      <w:proofErr w:type="spellStart"/>
      <w:r w:rsidR="00B03F17">
        <w:rPr>
          <w:szCs w:val="24"/>
          <w:lang w:val="en-GB"/>
        </w:rPr>
        <w:t>Ve</w:t>
      </w:r>
      <w:r w:rsidR="00940428">
        <w:rPr>
          <w:szCs w:val="24"/>
          <w:lang w:val="en-GB"/>
        </w:rPr>
        <w:t>lde</w:t>
      </w:r>
      <w:proofErr w:type="spellEnd"/>
      <w:r w:rsidR="00940428">
        <w:rPr>
          <w:szCs w:val="24"/>
          <w:lang w:val="en-GB"/>
        </w:rPr>
        <w:t xml:space="preserve"> and </w:t>
      </w:r>
      <w:proofErr w:type="spellStart"/>
      <w:r w:rsidR="00940428">
        <w:rPr>
          <w:szCs w:val="24"/>
          <w:lang w:val="en-GB"/>
        </w:rPr>
        <w:t>Vohora</w:t>
      </w:r>
      <w:proofErr w:type="spellEnd"/>
      <w:r w:rsidR="00940428">
        <w:rPr>
          <w:szCs w:val="24"/>
          <w:lang w:val="en-GB"/>
        </w:rPr>
        <w:t>, 2005; O’Shea, Allen, Chevalier and Roche, 2005)</w:t>
      </w:r>
      <w:r w:rsidR="008A496F" w:rsidRPr="000A43CC">
        <w:rPr>
          <w:szCs w:val="24"/>
          <w:lang w:val="en-GB"/>
        </w:rPr>
        <w:t>. It took the value of</w:t>
      </w:r>
      <w:r w:rsidR="008A496F" w:rsidRPr="000A43CC">
        <w:rPr>
          <w:szCs w:val="24"/>
        </w:rPr>
        <w:t xml:space="preserve"> </w:t>
      </w:r>
      <w:r w:rsidR="008A496F">
        <w:rPr>
          <w:szCs w:val="24"/>
        </w:rPr>
        <w:t>[</w:t>
      </w:r>
      <w:r w:rsidR="008A496F" w:rsidRPr="000A43CC">
        <w:rPr>
          <w:szCs w:val="24"/>
        </w:rPr>
        <w:t>1</w:t>
      </w:r>
      <w:r w:rsidR="008A496F">
        <w:rPr>
          <w:szCs w:val="24"/>
        </w:rPr>
        <w:t>]</w:t>
      </w:r>
      <w:r w:rsidR="008A496F" w:rsidRPr="000A43CC">
        <w:rPr>
          <w:szCs w:val="24"/>
        </w:rPr>
        <w:t xml:space="preserve"> when the TTO was a team within a department </w:t>
      </w:r>
      <w:r w:rsidR="008A496F">
        <w:rPr>
          <w:szCs w:val="24"/>
        </w:rPr>
        <w:t>of</w:t>
      </w:r>
      <w:r w:rsidR="008A496F" w:rsidRPr="000A43CC">
        <w:rPr>
          <w:szCs w:val="24"/>
        </w:rPr>
        <w:t xml:space="preserve"> the university (e.g. engineering),  </w:t>
      </w:r>
      <w:r w:rsidR="008A496F">
        <w:rPr>
          <w:szCs w:val="24"/>
        </w:rPr>
        <w:t>[</w:t>
      </w:r>
      <w:r w:rsidR="008A496F" w:rsidRPr="000A43CC">
        <w:rPr>
          <w:szCs w:val="24"/>
        </w:rPr>
        <w:t>2</w:t>
      </w:r>
      <w:r w:rsidR="008A496F">
        <w:rPr>
          <w:szCs w:val="24"/>
        </w:rPr>
        <w:t>]</w:t>
      </w:r>
      <w:r w:rsidR="008A496F" w:rsidRPr="000A43CC">
        <w:rPr>
          <w:szCs w:val="24"/>
        </w:rPr>
        <w:t xml:space="preserve"> when the TTO was a separate unit</w:t>
      </w:r>
      <w:r w:rsidR="001D6DAC">
        <w:rPr>
          <w:szCs w:val="24"/>
        </w:rPr>
        <w:t>/department</w:t>
      </w:r>
      <w:r w:rsidR="008A496F" w:rsidRPr="000A43CC">
        <w:rPr>
          <w:szCs w:val="24"/>
        </w:rPr>
        <w:t xml:space="preserve"> within the university, </w:t>
      </w:r>
      <w:r w:rsidR="008A496F">
        <w:rPr>
          <w:szCs w:val="24"/>
        </w:rPr>
        <w:t>[</w:t>
      </w:r>
      <w:r w:rsidR="008A496F" w:rsidRPr="000A43CC">
        <w:rPr>
          <w:szCs w:val="24"/>
        </w:rPr>
        <w:t>3</w:t>
      </w:r>
      <w:r w:rsidR="008A496F">
        <w:rPr>
          <w:szCs w:val="24"/>
        </w:rPr>
        <w:t>]</w:t>
      </w:r>
      <w:r w:rsidR="008A496F" w:rsidRPr="000A43CC">
        <w:rPr>
          <w:szCs w:val="24"/>
        </w:rPr>
        <w:t xml:space="preserve"> when the TTO was an independent company (subsidiary), and </w:t>
      </w:r>
      <w:r w:rsidR="008A496F">
        <w:rPr>
          <w:szCs w:val="24"/>
        </w:rPr>
        <w:t>[</w:t>
      </w:r>
      <w:r w:rsidR="008A496F" w:rsidRPr="000A43CC">
        <w:rPr>
          <w:szCs w:val="24"/>
        </w:rPr>
        <w:t>4</w:t>
      </w:r>
      <w:r w:rsidR="008A496F">
        <w:rPr>
          <w:szCs w:val="24"/>
        </w:rPr>
        <w:t>]</w:t>
      </w:r>
      <w:r w:rsidR="008A496F" w:rsidRPr="000A43CC">
        <w:rPr>
          <w:szCs w:val="24"/>
        </w:rPr>
        <w:t xml:space="preserve"> when the TTO was a publicly listed company.</w:t>
      </w:r>
      <w:r w:rsidR="004676BE">
        <w:rPr>
          <w:szCs w:val="24"/>
        </w:rPr>
        <w:t xml:space="preserve"> </w:t>
      </w:r>
      <w:r w:rsidR="00D14F36">
        <w:rPr>
          <w:szCs w:val="24"/>
        </w:rPr>
        <w:t xml:space="preserve">The information was captured via direct contacts with the TTOs themselves. </w:t>
      </w:r>
    </w:p>
    <w:p w:rsidR="0071027C" w:rsidRDefault="003D476D" w:rsidP="00BF2118">
      <w:pPr>
        <w:spacing w:line="480" w:lineRule="auto"/>
        <w:ind w:firstLine="567"/>
        <w:jc w:val="both"/>
      </w:pPr>
      <w:r>
        <w:t xml:space="preserve">We </w:t>
      </w:r>
      <w:r w:rsidR="0071027C">
        <w:t xml:space="preserve">finally </w:t>
      </w:r>
      <w:r>
        <w:t xml:space="preserve">controlled for </w:t>
      </w:r>
      <w:r w:rsidRPr="00AD1AEF">
        <w:rPr>
          <w:i/>
        </w:rPr>
        <w:t>university size</w:t>
      </w:r>
      <w:r w:rsidRPr="00AD1AEF">
        <w:t xml:space="preserve"> by taking the total number of full-time students of a university from the HESA database</w:t>
      </w:r>
      <w:r>
        <w:t>. We expected that b</w:t>
      </w:r>
      <w:r w:rsidR="00EF2367" w:rsidRPr="00AD1AEF">
        <w:t>igger</w:t>
      </w:r>
      <w:r w:rsidR="00795EE0">
        <w:t xml:space="preserve"> </w:t>
      </w:r>
      <w:r w:rsidR="00EF2367" w:rsidRPr="00AD1AEF">
        <w:t xml:space="preserve">universities could attract more resources than smaller </w:t>
      </w:r>
      <w:r w:rsidR="00EF2367">
        <w:t>ones</w:t>
      </w:r>
      <w:r w:rsidR="00EF2367" w:rsidRPr="00AD1AEF">
        <w:t>.</w:t>
      </w:r>
      <w:r w:rsidR="002C2DF5" w:rsidRPr="00AD1AEF">
        <w:t xml:space="preserve"> </w:t>
      </w:r>
    </w:p>
    <w:p w:rsidR="00732D8F" w:rsidRPr="00AD1AEF" w:rsidRDefault="00477FF5" w:rsidP="00E3548E">
      <w:pPr>
        <w:spacing w:line="480" w:lineRule="auto"/>
        <w:ind w:firstLine="567"/>
        <w:jc w:val="both"/>
      </w:pPr>
      <w:r w:rsidDel="00477FF5">
        <w:lastRenderedPageBreak/>
        <w:t xml:space="preserve"> </w:t>
      </w:r>
      <w:r w:rsidR="00B30AD0">
        <w:t xml:space="preserve">To account for temporal variations in funding, we included year dummies as control variables in all </w:t>
      </w:r>
      <w:r w:rsidR="001F0C8D">
        <w:t xml:space="preserve">of </w:t>
      </w:r>
      <w:r w:rsidR="00B30AD0">
        <w:t>our models.</w:t>
      </w:r>
      <w:r w:rsidR="00E214CA">
        <w:t xml:space="preserve"> To control for regional variation</w:t>
      </w:r>
      <w:r w:rsidR="001F0C8D">
        <w:t>,</w:t>
      </w:r>
      <w:r w:rsidR="00E214CA">
        <w:t xml:space="preserve"> we included regional dummies in all models (</w:t>
      </w:r>
      <w:r w:rsidR="00E0256C">
        <w:t>nine</w:t>
      </w:r>
      <w:r w:rsidR="00E214CA">
        <w:t xml:space="preserve"> dummy </w:t>
      </w:r>
      <w:r w:rsidR="00667FC0">
        <w:t>variable</w:t>
      </w:r>
      <w:r w:rsidR="00766871">
        <w:t>s</w:t>
      </w:r>
      <w:r w:rsidR="00667FC0">
        <w:t xml:space="preserve"> </w:t>
      </w:r>
      <w:r w:rsidR="00E214CA">
        <w:t xml:space="preserve">for </w:t>
      </w:r>
      <w:r w:rsidR="00E0256C">
        <w:t>England plus Scotland</w:t>
      </w:r>
      <w:r w:rsidR="00E214CA">
        <w:t>).</w:t>
      </w:r>
      <w:r w:rsidRPr="00477FF5">
        <w:t xml:space="preserve"> </w:t>
      </w:r>
      <w:r>
        <w:t xml:space="preserve">In order to isolate the effects of inflation, all monetary values (i.e. university funding, spinoff performance) were inflated </w:t>
      </w:r>
      <w:r w:rsidR="001F0C8D">
        <w:t xml:space="preserve">to the </w:t>
      </w:r>
      <w:r>
        <w:t xml:space="preserve">current (2013) prices based on information from the UK national statistics authority (ONS). </w:t>
      </w:r>
    </w:p>
    <w:p w:rsidR="00A04DA2" w:rsidRPr="00AD1AEF" w:rsidRDefault="00A04DA2" w:rsidP="00A04DA2">
      <w:pPr>
        <w:jc w:val="center"/>
      </w:pPr>
      <w:r w:rsidRPr="00AD1AEF">
        <w:t>--------------------------------</w:t>
      </w:r>
    </w:p>
    <w:p w:rsidR="00A04DA2" w:rsidRPr="00AD1AEF" w:rsidRDefault="00A04DA2" w:rsidP="00AA26DE">
      <w:pPr>
        <w:jc w:val="center"/>
        <w:outlineLvl w:val="0"/>
      </w:pPr>
      <w:r w:rsidRPr="00AD1AEF">
        <w:t>Insert Table I about here</w:t>
      </w:r>
    </w:p>
    <w:p w:rsidR="00A04DA2" w:rsidRPr="00AD1AEF" w:rsidRDefault="00A04DA2" w:rsidP="00A04DA2">
      <w:pPr>
        <w:jc w:val="center"/>
      </w:pPr>
      <w:r w:rsidRPr="00AD1AEF">
        <w:t>--------------------------------</w:t>
      </w:r>
    </w:p>
    <w:p w:rsidR="00DF3305" w:rsidRPr="00AD1AEF" w:rsidRDefault="00DF3305" w:rsidP="00D13D80">
      <w:pPr>
        <w:spacing w:line="480" w:lineRule="auto"/>
        <w:ind w:firstLine="567"/>
        <w:jc w:val="both"/>
      </w:pPr>
    </w:p>
    <w:p w:rsidR="00EB51EC" w:rsidRPr="00AD1AEF" w:rsidRDefault="00EB51EC" w:rsidP="00AA26DE">
      <w:pPr>
        <w:spacing w:line="480" w:lineRule="auto"/>
        <w:jc w:val="both"/>
        <w:outlineLvl w:val="0"/>
        <w:rPr>
          <w:b/>
        </w:rPr>
      </w:pPr>
      <w:r w:rsidRPr="00AC1015">
        <w:rPr>
          <w:b/>
        </w:rPr>
        <w:t>Analysis</w:t>
      </w:r>
    </w:p>
    <w:p w:rsidR="0088137B" w:rsidRDefault="00AD1AEF" w:rsidP="00E75948">
      <w:pPr>
        <w:spacing w:line="480" w:lineRule="auto"/>
        <w:ind w:firstLine="567"/>
        <w:jc w:val="both"/>
      </w:pPr>
      <w:r w:rsidRPr="00AD1AEF">
        <w:t xml:space="preserve">Because we </w:t>
      </w:r>
      <w:r w:rsidR="00A5724D">
        <w:t>were</w:t>
      </w:r>
      <w:r w:rsidRPr="00AD1AEF">
        <w:t xml:space="preserve"> concerned with count variables that can t</w:t>
      </w:r>
      <w:r w:rsidR="003268D3">
        <w:t>ake large values, hierarchical Ordinary Least S</w:t>
      </w:r>
      <w:r w:rsidRPr="00AD1AEF">
        <w:t xml:space="preserve">quare </w:t>
      </w:r>
      <w:r w:rsidR="00A5724D" w:rsidRPr="00AD1AEF">
        <w:t xml:space="preserve">(OLS) </w:t>
      </w:r>
      <w:r w:rsidRPr="00AD1AEF">
        <w:t xml:space="preserve">regression </w:t>
      </w:r>
      <w:r w:rsidR="00A5724D">
        <w:t>initially</w:t>
      </w:r>
      <w:r w:rsidR="00A5724D" w:rsidRPr="00AD1AEF">
        <w:t xml:space="preserve"> seemed</w:t>
      </w:r>
      <w:r w:rsidRPr="00AD1AEF">
        <w:t xml:space="preserve"> the appropriate statistical method (Gujarati, 2003). However, the </w:t>
      </w:r>
      <w:proofErr w:type="spellStart"/>
      <w:r w:rsidRPr="00131641">
        <w:t>Breusch</w:t>
      </w:r>
      <w:proofErr w:type="spellEnd"/>
      <w:r w:rsidRPr="00131641">
        <w:t>-Pagan (</w:t>
      </w:r>
      <w:r w:rsidRPr="00131641">
        <w:rPr>
          <w:i/>
        </w:rPr>
        <w:t>x²=</w:t>
      </w:r>
      <w:r w:rsidR="00B50AC9">
        <w:rPr>
          <w:i/>
        </w:rPr>
        <w:t>2481</w:t>
      </w:r>
      <w:r w:rsidR="00787F57" w:rsidRPr="00131641">
        <w:rPr>
          <w:i/>
        </w:rPr>
        <w:t>.</w:t>
      </w:r>
      <w:r w:rsidR="00B50AC9">
        <w:rPr>
          <w:i/>
        </w:rPr>
        <w:t>18</w:t>
      </w:r>
      <w:r w:rsidRPr="00131641">
        <w:rPr>
          <w:i/>
        </w:rPr>
        <w:t>, p</w:t>
      </w:r>
      <w:r w:rsidR="00C006ED" w:rsidRPr="00131641">
        <w:rPr>
          <w:i/>
        </w:rPr>
        <w:t>&lt;</w:t>
      </w:r>
      <w:r w:rsidRPr="00131641">
        <w:rPr>
          <w:i/>
        </w:rPr>
        <w:t>0.000</w:t>
      </w:r>
      <w:r w:rsidRPr="00131641">
        <w:t>) and Wooldridge (</w:t>
      </w:r>
      <w:r w:rsidRPr="00131641">
        <w:rPr>
          <w:i/>
        </w:rPr>
        <w:t>F=</w:t>
      </w:r>
      <w:r w:rsidR="00B50AC9">
        <w:rPr>
          <w:i/>
        </w:rPr>
        <w:t>111</w:t>
      </w:r>
      <w:r w:rsidR="00787F57" w:rsidRPr="00131641">
        <w:rPr>
          <w:i/>
        </w:rPr>
        <w:t>.</w:t>
      </w:r>
      <w:r w:rsidR="00B50AC9">
        <w:rPr>
          <w:i/>
        </w:rPr>
        <w:t>837</w:t>
      </w:r>
      <w:r w:rsidR="00131641">
        <w:rPr>
          <w:i/>
        </w:rPr>
        <w:t>,</w:t>
      </w:r>
      <w:r w:rsidRPr="00131641">
        <w:rPr>
          <w:i/>
        </w:rPr>
        <w:t xml:space="preserve"> p&lt;0.000</w:t>
      </w:r>
      <w:r w:rsidRPr="00131641">
        <w:t>)</w:t>
      </w:r>
      <w:r w:rsidRPr="00AD1AEF">
        <w:t xml:space="preserve"> tests showed that both </w:t>
      </w:r>
      <w:proofErr w:type="spellStart"/>
      <w:r w:rsidRPr="00AD1AEF">
        <w:t>heteroskedasticity</w:t>
      </w:r>
      <w:proofErr w:type="spellEnd"/>
      <w:r w:rsidRPr="00AD1AEF">
        <w:t xml:space="preserve"> and autocorrelation were present in our panel dataset, thus Generalized Least Square (GLS) </w:t>
      </w:r>
      <w:r w:rsidR="00B82061">
        <w:t>was deemed</w:t>
      </w:r>
      <w:r w:rsidRPr="00AD1AEF">
        <w:t xml:space="preserve"> a more appropriate technique. </w:t>
      </w:r>
      <w:r w:rsidR="00E168E3" w:rsidRPr="00E168E3">
        <w:t xml:space="preserve">We performed a </w:t>
      </w:r>
      <w:proofErr w:type="spellStart"/>
      <w:r w:rsidR="00E168E3" w:rsidRPr="00E168E3">
        <w:t>Hausman</w:t>
      </w:r>
      <w:proofErr w:type="spellEnd"/>
      <w:r w:rsidR="00E168E3" w:rsidRPr="00E168E3">
        <w:t xml:space="preserve"> test to decide whether</w:t>
      </w:r>
      <w:r w:rsidR="00E168E3">
        <w:t xml:space="preserve"> to report random or fixed effects</w:t>
      </w:r>
      <w:r w:rsidR="00E168E3" w:rsidRPr="00E168E3">
        <w:t xml:space="preserve"> </w:t>
      </w:r>
      <w:r w:rsidR="00E168E3">
        <w:t>regressions</w:t>
      </w:r>
      <w:r w:rsidR="00E168E3" w:rsidRPr="00911012">
        <w:t xml:space="preserve">. The </w:t>
      </w:r>
      <w:proofErr w:type="spellStart"/>
      <w:r w:rsidR="00E168E3" w:rsidRPr="00911012">
        <w:t>Sargan</w:t>
      </w:r>
      <w:proofErr w:type="spellEnd"/>
      <w:r w:rsidR="00E168E3" w:rsidRPr="00911012">
        <w:t>-Hansen statistic w</w:t>
      </w:r>
      <w:r w:rsidR="00E168E3" w:rsidRPr="00E168E3">
        <w:t>as positive and significant (</w:t>
      </w:r>
      <w:r w:rsidR="00E168E3" w:rsidRPr="00131641">
        <w:rPr>
          <w:i/>
        </w:rPr>
        <w:t>x²=</w:t>
      </w:r>
      <w:r w:rsidR="00B50AC9">
        <w:rPr>
          <w:i/>
        </w:rPr>
        <w:t>149</w:t>
      </w:r>
      <w:r w:rsidR="00131641" w:rsidRPr="00131641">
        <w:rPr>
          <w:i/>
        </w:rPr>
        <w:t>.</w:t>
      </w:r>
      <w:r w:rsidR="00B50AC9">
        <w:rPr>
          <w:i/>
        </w:rPr>
        <w:t>612</w:t>
      </w:r>
      <w:r w:rsidR="00131641" w:rsidRPr="00131641">
        <w:rPr>
          <w:i/>
        </w:rPr>
        <w:t>,</w:t>
      </w:r>
      <w:r w:rsidR="00E168E3" w:rsidRPr="00131641">
        <w:rPr>
          <w:i/>
        </w:rPr>
        <w:t xml:space="preserve"> p&lt;0.000</w:t>
      </w:r>
      <w:r w:rsidR="00E168E3" w:rsidRPr="00E168E3">
        <w:t>) indicating that the random effects model was more suitable</w:t>
      </w:r>
      <w:r w:rsidR="00E168E3">
        <w:t xml:space="preserve">. </w:t>
      </w:r>
      <w:r w:rsidR="00911012">
        <w:t>As a robustness check,</w:t>
      </w:r>
      <w:r w:rsidR="0028735F">
        <w:t xml:space="preserve"> we also ra</w:t>
      </w:r>
      <w:r w:rsidR="00E75948">
        <w:t xml:space="preserve">n </w:t>
      </w:r>
      <w:r w:rsidR="00DD31B7">
        <w:t>more restrictive</w:t>
      </w:r>
      <w:r w:rsidR="00911012">
        <w:t xml:space="preserve"> fixed-effects models</w:t>
      </w:r>
      <w:r w:rsidR="0088137B">
        <w:t>,</w:t>
      </w:r>
      <w:r w:rsidR="00E75948">
        <w:t xml:space="preserve"> controlling for all time-invariant properties of the universities</w:t>
      </w:r>
      <w:r w:rsidR="001F0C8D">
        <w:t>,</w:t>
      </w:r>
      <w:r w:rsidR="00911012">
        <w:t xml:space="preserve"> and our </w:t>
      </w:r>
      <w:r w:rsidR="00943181">
        <w:t xml:space="preserve">results </w:t>
      </w:r>
      <w:r w:rsidR="00911012">
        <w:t>held.</w:t>
      </w:r>
      <w:r w:rsidR="00AC1015">
        <w:t xml:space="preserve"> </w:t>
      </w:r>
    </w:p>
    <w:p w:rsidR="00AD1AEF" w:rsidRDefault="0088137B" w:rsidP="00E75948">
      <w:pPr>
        <w:spacing w:line="480" w:lineRule="auto"/>
        <w:ind w:firstLine="567"/>
        <w:jc w:val="both"/>
      </w:pPr>
      <w:r>
        <w:t>E</w:t>
      </w:r>
      <w:r w:rsidR="00AC1015">
        <w:t xml:space="preserve">ndogeneity and, </w:t>
      </w:r>
      <w:r w:rsidR="00AC1015" w:rsidRPr="00AD1AEF">
        <w:t>specifical</w:t>
      </w:r>
      <w:r w:rsidR="0028735F">
        <w:t>ly, reverse causality were</w:t>
      </w:r>
      <w:r w:rsidR="00AC1015" w:rsidRPr="00AD1AEF">
        <w:t xml:space="preserve"> a concern in our study</w:t>
      </w:r>
      <w:r>
        <w:t>.</w:t>
      </w:r>
      <w:r w:rsidR="00AC1015">
        <w:t xml:space="preserve"> </w:t>
      </w:r>
      <w:r>
        <w:t>T</w:t>
      </w:r>
      <w:r w:rsidR="00AC1015" w:rsidRPr="00AC1015">
        <w:t>he size and the quality of the s</w:t>
      </w:r>
      <w:r w:rsidR="0028735F">
        <w:t xml:space="preserve">pinoff portfolio were </w:t>
      </w:r>
      <w:r w:rsidR="00D14F36">
        <w:t>hypothesiz</w:t>
      </w:r>
      <w:r w:rsidR="00D14F36" w:rsidRPr="00AC1015">
        <w:t>ed</w:t>
      </w:r>
      <w:r w:rsidR="00AC1015" w:rsidRPr="00AC1015">
        <w:t xml:space="preserve"> to increase university funding, but it is likely that university funding increases the size and the quality of the spinoff portfolio in the first place</w:t>
      </w:r>
      <w:r>
        <w:t>. To tackle this issue,</w:t>
      </w:r>
      <w:r w:rsidR="00AC1015">
        <w:t xml:space="preserve"> all independent and control variables in the GLS models were lagged by two years</w:t>
      </w:r>
      <w:r w:rsidR="00AC1015" w:rsidRPr="00AD1AEF">
        <w:t>.</w:t>
      </w:r>
      <w:r w:rsidR="00AC1015" w:rsidRPr="00AC1015">
        <w:t xml:space="preserve"> </w:t>
      </w:r>
      <w:r w:rsidR="00AC1015" w:rsidRPr="00AD1AEF">
        <w:t xml:space="preserve">These time lags acted as quasi-instruments that allowed for the explanatory variables to develop their impact on the dependent </w:t>
      </w:r>
      <w:r w:rsidR="000B79FB">
        <w:t xml:space="preserve">variable </w:t>
      </w:r>
      <w:r w:rsidR="00AC1015" w:rsidRPr="00AD1AEF">
        <w:t>through time, thus establishing causation</w:t>
      </w:r>
      <w:r w:rsidR="00D3086A">
        <w:t xml:space="preserve"> </w:t>
      </w:r>
      <w:r w:rsidR="00D3086A" w:rsidRPr="00AD1AEF">
        <w:t>(</w:t>
      </w:r>
      <w:r w:rsidR="00D3086A">
        <w:t xml:space="preserve">see </w:t>
      </w:r>
      <w:r w:rsidR="00D3086A" w:rsidRPr="00AD1AEF">
        <w:t xml:space="preserve">Judge, Douglas and </w:t>
      </w:r>
      <w:proofErr w:type="spellStart"/>
      <w:r w:rsidR="00D3086A" w:rsidRPr="00AD1AEF">
        <w:t>Kutan</w:t>
      </w:r>
      <w:proofErr w:type="spellEnd"/>
      <w:r w:rsidR="00D3086A" w:rsidRPr="00AD1AEF">
        <w:t xml:space="preserve">, 2008; Lockett and Wright, 2005; </w:t>
      </w:r>
      <w:proofErr w:type="spellStart"/>
      <w:r w:rsidR="00D3086A" w:rsidRPr="00AD1AEF">
        <w:t>Shipilov</w:t>
      </w:r>
      <w:proofErr w:type="spellEnd"/>
      <w:r w:rsidR="00D3086A" w:rsidRPr="00AD1AEF">
        <w:t xml:space="preserve">, </w:t>
      </w:r>
      <w:proofErr w:type="spellStart"/>
      <w:r w:rsidR="00D3086A" w:rsidRPr="00AD1AEF">
        <w:t>Greve</w:t>
      </w:r>
      <w:proofErr w:type="spellEnd"/>
      <w:r w:rsidR="00D3086A" w:rsidRPr="00AD1AEF">
        <w:t xml:space="preserve"> and Rowley, 2010; O’Shea </w:t>
      </w:r>
      <w:r w:rsidR="00D3086A" w:rsidRPr="00AA03D7">
        <w:rPr>
          <w:i/>
        </w:rPr>
        <w:t>et al</w:t>
      </w:r>
      <w:r w:rsidR="00E64062">
        <w:t>.</w:t>
      </w:r>
      <w:r w:rsidR="00D3086A" w:rsidRPr="00AD1AEF">
        <w:t>, 2005)</w:t>
      </w:r>
      <w:r w:rsidR="00AC1015" w:rsidRPr="00AD1AEF">
        <w:t>.</w:t>
      </w:r>
    </w:p>
    <w:p w:rsidR="009878B4" w:rsidRPr="000F7EA6" w:rsidRDefault="00800B4E" w:rsidP="009878B4">
      <w:pPr>
        <w:spacing w:line="480" w:lineRule="auto"/>
        <w:ind w:firstLine="567"/>
        <w:jc w:val="both"/>
      </w:pPr>
      <w:r w:rsidRPr="000A43CC">
        <w:rPr>
          <w:szCs w:val="24"/>
          <w:lang w:val="en-GB"/>
        </w:rPr>
        <w:t xml:space="preserve">To account for the possibility of the existence of other unmeasured constructs that </w:t>
      </w:r>
      <w:r>
        <w:rPr>
          <w:szCs w:val="24"/>
          <w:lang w:val="en-GB"/>
        </w:rPr>
        <w:t>had</w:t>
      </w:r>
      <w:r w:rsidRPr="000A43CC">
        <w:rPr>
          <w:szCs w:val="24"/>
          <w:lang w:val="en-GB"/>
        </w:rPr>
        <w:t xml:space="preserve"> an effect on both the independent and the dependent variables, we </w:t>
      </w:r>
      <w:r w:rsidR="00AD1AEF" w:rsidRPr="00AD1AEF">
        <w:t xml:space="preserve">instrumented for </w:t>
      </w:r>
      <w:r w:rsidR="00087D49">
        <w:t xml:space="preserve">the </w:t>
      </w:r>
      <w:r w:rsidR="00A5344B">
        <w:t>characteristics</w:t>
      </w:r>
      <w:r w:rsidR="00087D49">
        <w:t xml:space="preserve"> of the </w:t>
      </w:r>
      <w:r w:rsidR="00AD1AEF" w:rsidRPr="00AD1AEF">
        <w:t xml:space="preserve">spinoff </w:t>
      </w:r>
      <w:r w:rsidR="00087D49">
        <w:t>portfolio</w:t>
      </w:r>
      <w:r w:rsidR="005D5CB3">
        <w:t xml:space="preserve">. </w:t>
      </w:r>
      <w:r w:rsidR="00CD6854">
        <w:t>T</w:t>
      </w:r>
      <w:r w:rsidR="002B24F8">
        <w:t xml:space="preserve">he </w:t>
      </w:r>
      <w:proofErr w:type="spellStart"/>
      <w:r w:rsidR="002B24F8">
        <w:t>Hausman</w:t>
      </w:r>
      <w:proofErr w:type="spellEnd"/>
      <w:r w:rsidR="002B24F8">
        <w:t xml:space="preserve"> test indicated that portfolio size</w:t>
      </w:r>
      <w:r w:rsidR="00D3086A">
        <w:t>,</w:t>
      </w:r>
      <w:r w:rsidR="002B24F8">
        <w:t xml:space="preserve"> quality </w:t>
      </w:r>
      <w:r w:rsidR="00D3086A">
        <w:t xml:space="preserve">and media </w:t>
      </w:r>
      <w:r w:rsidR="002B24F8">
        <w:t xml:space="preserve">were </w:t>
      </w:r>
      <w:r w:rsidR="00DB5345">
        <w:t xml:space="preserve">potentially </w:t>
      </w:r>
      <w:r w:rsidR="002B24F8">
        <w:lastRenderedPageBreak/>
        <w:t xml:space="preserve">endogenous </w:t>
      </w:r>
      <w:proofErr w:type="spellStart"/>
      <w:r w:rsidR="00DB5345" w:rsidRPr="00131641">
        <w:t>reg</w:t>
      </w:r>
      <w:r w:rsidR="002B24F8" w:rsidRPr="00131641">
        <w:t>ressors</w:t>
      </w:r>
      <w:proofErr w:type="spellEnd"/>
      <w:r w:rsidR="00131641">
        <w:t xml:space="preserve"> (</w:t>
      </w:r>
      <w:r w:rsidR="00131641" w:rsidRPr="00131641">
        <w:rPr>
          <w:i/>
        </w:rPr>
        <w:t>x²=</w:t>
      </w:r>
      <w:r w:rsidR="00D21D7A">
        <w:rPr>
          <w:i/>
        </w:rPr>
        <w:t>28</w:t>
      </w:r>
      <w:r w:rsidR="00131641" w:rsidRPr="00131641">
        <w:rPr>
          <w:i/>
        </w:rPr>
        <w:t>.</w:t>
      </w:r>
      <w:r w:rsidR="00D21D7A">
        <w:rPr>
          <w:i/>
        </w:rPr>
        <w:t>110</w:t>
      </w:r>
      <w:r w:rsidR="00131641" w:rsidRPr="00131641">
        <w:rPr>
          <w:i/>
        </w:rPr>
        <w:t>, p&lt;0.000</w:t>
      </w:r>
      <w:r w:rsidR="00131641">
        <w:rPr>
          <w:i/>
        </w:rPr>
        <w:t>)</w:t>
      </w:r>
      <w:r w:rsidR="002B24F8" w:rsidRPr="00131641">
        <w:t>.</w:t>
      </w:r>
      <w:r w:rsidR="00CE4565">
        <w:t xml:space="preserve"> </w:t>
      </w:r>
      <w:r w:rsidR="005D5CB3">
        <w:t xml:space="preserve">We therefore used </w:t>
      </w:r>
      <w:r w:rsidR="001F0C8D">
        <w:t xml:space="preserve">a </w:t>
      </w:r>
      <w:r w:rsidR="005D5CB3">
        <w:t xml:space="preserve">two-stage least square with instrumental variables (IV-2SLS) regression. </w:t>
      </w:r>
      <w:r w:rsidR="00CE4565">
        <w:t xml:space="preserve">To identify instruments, </w:t>
      </w:r>
      <w:r w:rsidR="00CE4565">
        <w:rPr>
          <w:szCs w:val="24"/>
          <w:lang w:val="en-GB"/>
        </w:rPr>
        <w:t>w</w:t>
      </w:r>
      <w:r w:rsidR="00CE4565" w:rsidRPr="000A43CC">
        <w:rPr>
          <w:szCs w:val="24"/>
          <w:lang w:val="en-GB"/>
        </w:rPr>
        <w:t xml:space="preserve">e </w:t>
      </w:r>
      <w:r w:rsidR="000B79FB">
        <w:rPr>
          <w:szCs w:val="24"/>
          <w:lang w:val="en-GB"/>
        </w:rPr>
        <w:t>drew</w:t>
      </w:r>
      <w:r w:rsidR="00CE4565" w:rsidRPr="000A43CC">
        <w:rPr>
          <w:szCs w:val="24"/>
          <w:lang w:val="en-GB"/>
        </w:rPr>
        <w:t xml:space="preserve"> from the </w:t>
      </w:r>
      <w:r w:rsidR="00CE4565">
        <w:rPr>
          <w:szCs w:val="24"/>
          <w:lang w:val="en-GB"/>
        </w:rPr>
        <w:t xml:space="preserve">known </w:t>
      </w:r>
      <w:r w:rsidR="005D5CB3">
        <w:rPr>
          <w:szCs w:val="24"/>
          <w:lang w:val="en-GB"/>
        </w:rPr>
        <w:t xml:space="preserve">observation that </w:t>
      </w:r>
      <w:r w:rsidR="00CE4565" w:rsidRPr="000A43CC">
        <w:rPr>
          <w:szCs w:val="24"/>
          <w:lang w:val="en-GB"/>
        </w:rPr>
        <w:t xml:space="preserve">young technology firms tend to cluster regionally (e.g. </w:t>
      </w:r>
      <w:proofErr w:type="spellStart"/>
      <w:r w:rsidR="00CE4565" w:rsidRPr="000A43CC">
        <w:rPr>
          <w:szCs w:val="24"/>
          <w:lang w:val="en-GB"/>
        </w:rPr>
        <w:t>Buenstorf</w:t>
      </w:r>
      <w:proofErr w:type="spellEnd"/>
      <w:r w:rsidR="00CE4565" w:rsidRPr="000A43CC">
        <w:rPr>
          <w:szCs w:val="24"/>
          <w:lang w:val="en-GB"/>
        </w:rPr>
        <w:t xml:space="preserve"> and </w:t>
      </w:r>
      <w:proofErr w:type="spellStart"/>
      <w:r w:rsidR="00CE4565" w:rsidRPr="000A43CC">
        <w:rPr>
          <w:szCs w:val="24"/>
          <w:lang w:val="en-GB"/>
        </w:rPr>
        <w:t>Klepper</w:t>
      </w:r>
      <w:proofErr w:type="spellEnd"/>
      <w:r w:rsidR="00CE4565" w:rsidRPr="000A43CC">
        <w:rPr>
          <w:szCs w:val="24"/>
          <w:lang w:val="en-GB"/>
        </w:rPr>
        <w:t xml:space="preserve">, 2009 and 2010). </w:t>
      </w:r>
      <w:r w:rsidR="00FC1CEC">
        <w:t>W</w:t>
      </w:r>
      <w:r w:rsidR="00230E88">
        <w:t xml:space="preserve">e </w:t>
      </w:r>
      <w:r w:rsidR="00D72816">
        <w:t>selected</w:t>
      </w:r>
      <w:r w:rsidR="00FC1CEC">
        <w:t xml:space="preserve"> </w:t>
      </w:r>
      <w:r w:rsidR="00081D21">
        <w:t xml:space="preserve">three </w:t>
      </w:r>
      <w:r w:rsidR="00D72816">
        <w:t>instrumental variables</w:t>
      </w:r>
      <w:r w:rsidR="00FC1CEC">
        <w:t xml:space="preserve"> </w:t>
      </w:r>
      <w:r w:rsidR="00D72816">
        <w:t xml:space="preserve">which were </w:t>
      </w:r>
      <w:r w:rsidR="00FC1CEC">
        <w:t xml:space="preserve">linked to </w:t>
      </w:r>
      <w:r w:rsidR="00931B5C">
        <w:t xml:space="preserve">the </w:t>
      </w:r>
      <w:r w:rsidR="005D5CB3">
        <w:t>regional environment and were</w:t>
      </w:r>
      <w:r w:rsidR="00FC1CEC">
        <w:t xml:space="preserve"> exogenous to the system</w:t>
      </w:r>
      <w:r w:rsidR="00763695">
        <w:t xml:space="preserve">, i.e. </w:t>
      </w:r>
      <w:r w:rsidR="00FC1CEC">
        <w:t>the university and its research</w:t>
      </w:r>
      <w:r w:rsidR="00D72816">
        <w:t xml:space="preserve"> income</w:t>
      </w:r>
      <w:r w:rsidR="00FC1CEC">
        <w:t>:</w:t>
      </w:r>
      <w:r w:rsidR="00230E88">
        <w:t xml:space="preserve"> </w:t>
      </w:r>
      <w:r w:rsidR="00F242DF">
        <w:t>a</w:t>
      </w:r>
      <w:r w:rsidR="00230E88">
        <w:t xml:space="preserve">) </w:t>
      </w:r>
      <w:r w:rsidR="00FC1CEC" w:rsidRPr="005C48A1">
        <w:rPr>
          <w:i/>
        </w:rPr>
        <w:t>Regional Venture Capital availability</w:t>
      </w:r>
      <w:r w:rsidR="00FC1CEC" w:rsidRPr="00AE7515">
        <w:t xml:space="preserve"> captured from the British Venture Capital Association (BVCA) </w:t>
      </w:r>
      <w:r w:rsidR="00763695">
        <w:t xml:space="preserve">and </w:t>
      </w:r>
      <w:r w:rsidR="00763695" w:rsidRPr="00763695">
        <w:t>measured as the value of venture capital funds raised in a region</w:t>
      </w:r>
      <w:r w:rsidR="00006C61">
        <w:t>;</w:t>
      </w:r>
      <w:r w:rsidR="00931B5C">
        <w:t xml:space="preserve"> </w:t>
      </w:r>
      <w:r w:rsidR="00F242DF">
        <w:t>b</w:t>
      </w:r>
      <w:r w:rsidR="00943181">
        <w:t xml:space="preserve">) </w:t>
      </w:r>
      <w:r w:rsidR="00943181" w:rsidRPr="005C48A1">
        <w:rPr>
          <w:i/>
        </w:rPr>
        <w:t>Local economic growth</w:t>
      </w:r>
      <w:r w:rsidR="00943181">
        <w:t xml:space="preserve"> captured </w:t>
      </w:r>
      <w:r w:rsidR="00763695">
        <w:t xml:space="preserve">as </w:t>
      </w:r>
      <w:r w:rsidR="000B79FB">
        <w:t xml:space="preserve">the </w:t>
      </w:r>
      <w:r w:rsidR="00763695">
        <w:t xml:space="preserve">change in </w:t>
      </w:r>
      <w:r w:rsidR="000B79FB">
        <w:t xml:space="preserve">regional </w:t>
      </w:r>
      <w:r w:rsidR="00763695">
        <w:t xml:space="preserve">per-capita </w:t>
      </w:r>
      <w:r w:rsidR="00943181">
        <w:t>GDP</w:t>
      </w:r>
      <w:r w:rsidR="00730153">
        <w:t xml:space="preserve"> </w:t>
      </w:r>
      <w:r w:rsidR="00943181">
        <w:t>from the Office of National Statistics</w:t>
      </w:r>
      <w:r w:rsidR="00006C61">
        <w:t>;</w:t>
      </w:r>
      <w:r w:rsidR="00181156">
        <w:t xml:space="preserve"> and c) </w:t>
      </w:r>
      <w:r w:rsidR="00181156" w:rsidRPr="005C48A1">
        <w:rPr>
          <w:i/>
        </w:rPr>
        <w:t>Regional human resources in science and technology</w:t>
      </w:r>
      <w:r w:rsidR="00181156">
        <w:t>,</w:t>
      </w:r>
      <w:r w:rsidR="00181156" w:rsidRPr="00AE7515">
        <w:t xml:space="preserve"> captured from </w:t>
      </w:r>
      <w:r w:rsidR="00181156">
        <w:t xml:space="preserve">the </w:t>
      </w:r>
      <w:r w:rsidR="00181156" w:rsidRPr="00AE7515">
        <w:t>Eurostat</w:t>
      </w:r>
      <w:r w:rsidR="00181156">
        <w:t xml:space="preserve"> database</w:t>
      </w:r>
      <w:r w:rsidR="006E68A7">
        <w:t xml:space="preserve"> </w:t>
      </w:r>
      <w:r w:rsidR="006E68A7" w:rsidRPr="007F66B0">
        <w:t>(</w:t>
      </w:r>
      <w:hyperlink r:id="rId11" w:history="1">
        <w:r w:rsidR="007F66B0" w:rsidRPr="0088091D">
          <w:rPr>
            <w:rStyle w:val="Hyperlink"/>
            <w:color w:val="auto"/>
          </w:rPr>
          <w:t>http://epp.eurostat.ec.europa.eu/portal /page/portal/</w:t>
        </w:r>
        <w:proofErr w:type="spellStart"/>
        <w:r w:rsidR="007F66B0" w:rsidRPr="0088091D">
          <w:rPr>
            <w:rStyle w:val="Hyperlink"/>
            <w:color w:val="auto"/>
          </w:rPr>
          <w:t>eurostat</w:t>
        </w:r>
        <w:proofErr w:type="spellEnd"/>
        <w:r w:rsidR="007F66B0" w:rsidRPr="0088091D">
          <w:rPr>
            <w:rStyle w:val="Hyperlink"/>
            <w:color w:val="auto"/>
          </w:rPr>
          <w:t>/home/</w:t>
        </w:r>
      </w:hyperlink>
      <w:r w:rsidR="006E68A7" w:rsidRPr="007F66B0">
        <w:rPr>
          <w:rStyle w:val="Hyperlink"/>
          <w:color w:val="auto"/>
          <w:u w:val="none"/>
        </w:rPr>
        <w:t>)</w:t>
      </w:r>
      <w:r w:rsidR="00006C61">
        <w:rPr>
          <w:rStyle w:val="Hyperlink"/>
          <w:color w:val="auto"/>
          <w:u w:val="none"/>
        </w:rPr>
        <w:t>,</w:t>
      </w:r>
      <w:r w:rsidR="00181156">
        <w:t xml:space="preserve"> </w:t>
      </w:r>
      <w:r w:rsidR="00181156" w:rsidRPr="00763695">
        <w:t>measured as the percentage of people working in the regional science and technology industries</w:t>
      </w:r>
      <w:r w:rsidR="00943181">
        <w:t xml:space="preserve">. </w:t>
      </w:r>
      <w:r w:rsidR="00CE4565" w:rsidRPr="000A43CC">
        <w:rPr>
          <w:szCs w:val="24"/>
          <w:lang w:val="en-GB"/>
        </w:rPr>
        <w:t xml:space="preserve">While there are theoretical reasons to believe that our regional </w:t>
      </w:r>
      <w:r w:rsidR="00CE4565">
        <w:rPr>
          <w:szCs w:val="24"/>
          <w:lang w:val="en-GB"/>
        </w:rPr>
        <w:t>instrumental variables</w:t>
      </w:r>
      <w:r w:rsidR="00CE4565" w:rsidRPr="000A43CC">
        <w:rPr>
          <w:szCs w:val="24"/>
          <w:lang w:val="en-GB"/>
        </w:rPr>
        <w:t xml:space="preserve"> would affect spinoff activity (e.g. </w:t>
      </w:r>
      <w:proofErr w:type="spellStart"/>
      <w:r w:rsidR="00CE4565" w:rsidRPr="000A43CC">
        <w:rPr>
          <w:szCs w:val="24"/>
          <w:lang w:val="en-GB"/>
        </w:rPr>
        <w:t>Buen</w:t>
      </w:r>
      <w:r w:rsidR="00CE4565">
        <w:rPr>
          <w:szCs w:val="24"/>
          <w:lang w:val="en-GB"/>
        </w:rPr>
        <w:t>storf</w:t>
      </w:r>
      <w:proofErr w:type="spellEnd"/>
      <w:r w:rsidR="00CE4565">
        <w:rPr>
          <w:szCs w:val="24"/>
          <w:lang w:val="en-GB"/>
        </w:rPr>
        <w:t xml:space="preserve">, Fritsch and Medrano, </w:t>
      </w:r>
      <w:r w:rsidR="00E200E4">
        <w:rPr>
          <w:szCs w:val="24"/>
          <w:lang w:val="en-GB"/>
        </w:rPr>
        <w:t>forthcoming</w:t>
      </w:r>
      <w:r w:rsidR="00CE4565">
        <w:rPr>
          <w:szCs w:val="24"/>
          <w:lang w:val="en-GB"/>
        </w:rPr>
        <w:t>;</w:t>
      </w:r>
      <w:r w:rsidR="00CE4565" w:rsidRPr="000A43CC">
        <w:rPr>
          <w:szCs w:val="24"/>
          <w:lang w:val="en-GB"/>
        </w:rPr>
        <w:t xml:space="preserve"> </w:t>
      </w:r>
      <w:proofErr w:type="spellStart"/>
      <w:r w:rsidR="00CE4565" w:rsidRPr="000A43CC">
        <w:rPr>
          <w:szCs w:val="24"/>
          <w:lang w:val="en-GB"/>
        </w:rPr>
        <w:t>DiGregorio</w:t>
      </w:r>
      <w:proofErr w:type="spellEnd"/>
      <w:r w:rsidR="00CE4565" w:rsidRPr="000A43CC">
        <w:rPr>
          <w:szCs w:val="24"/>
          <w:lang w:val="en-GB"/>
        </w:rPr>
        <w:t xml:space="preserve"> and Shane, 2003</w:t>
      </w:r>
      <w:r w:rsidR="00CE4565">
        <w:rPr>
          <w:szCs w:val="24"/>
          <w:lang w:val="en-GB"/>
        </w:rPr>
        <w:t xml:space="preserve">; O’Shea </w:t>
      </w:r>
      <w:r w:rsidR="00CE4565" w:rsidRPr="00AA03D7">
        <w:rPr>
          <w:i/>
          <w:szCs w:val="24"/>
          <w:lang w:val="en-GB"/>
        </w:rPr>
        <w:t>et al</w:t>
      </w:r>
      <w:r w:rsidR="00CE4565">
        <w:rPr>
          <w:szCs w:val="24"/>
          <w:lang w:val="en-GB"/>
        </w:rPr>
        <w:t>., 2005; Powers and McDougal, 2005</w:t>
      </w:r>
      <w:r w:rsidR="00CE4565" w:rsidRPr="000A43CC">
        <w:rPr>
          <w:szCs w:val="24"/>
          <w:lang w:val="en-GB"/>
        </w:rPr>
        <w:t>), there are no reasons to believe that they would affect university competitive research income. Competitive research bidding is a national activity</w:t>
      </w:r>
      <w:r w:rsidR="00006C61">
        <w:rPr>
          <w:szCs w:val="24"/>
          <w:lang w:val="en-GB"/>
        </w:rPr>
        <w:t>,</w:t>
      </w:r>
      <w:r w:rsidR="00CE4565" w:rsidRPr="000A43CC">
        <w:rPr>
          <w:szCs w:val="24"/>
          <w:lang w:val="en-GB"/>
        </w:rPr>
        <w:t xml:space="preserve"> and funders </w:t>
      </w:r>
      <w:r w:rsidR="00CE4565">
        <w:rPr>
          <w:szCs w:val="24"/>
          <w:lang w:val="en-GB"/>
        </w:rPr>
        <w:t>support</w:t>
      </w:r>
      <w:r w:rsidR="00CE4565" w:rsidRPr="000A43CC">
        <w:rPr>
          <w:szCs w:val="24"/>
          <w:lang w:val="en-GB"/>
        </w:rPr>
        <w:t xml:space="preserve"> universities based on their </w:t>
      </w:r>
      <w:r w:rsidR="00CE4565">
        <w:rPr>
          <w:szCs w:val="24"/>
          <w:lang w:val="en-GB"/>
        </w:rPr>
        <w:t xml:space="preserve">research </w:t>
      </w:r>
      <w:r w:rsidR="00CE4565" w:rsidRPr="000A43CC">
        <w:rPr>
          <w:szCs w:val="24"/>
          <w:lang w:val="en-GB"/>
        </w:rPr>
        <w:t xml:space="preserve">capabilities and not on the </w:t>
      </w:r>
      <w:r w:rsidR="00006C61" w:rsidRPr="000A43CC">
        <w:rPr>
          <w:szCs w:val="24"/>
          <w:lang w:val="en-GB"/>
        </w:rPr>
        <w:t>munificen</w:t>
      </w:r>
      <w:r w:rsidR="00006C61">
        <w:rPr>
          <w:szCs w:val="24"/>
          <w:lang w:val="en-GB"/>
        </w:rPr>
        <w:t>ce</w:t>
      </w:r>
      <w:r w:rsidR="00006C61" w:rsidRPr="000A43CC">
        <w:rPr>
          <w:szCs w:val="24"/>
          <w:lang w:val="en-GB"/>
        </w:rPr>
        <w:t xml:space="preserve"> </w:t>
      </w:r>
      <w:r w:rsidR="00CE4565" w:rsidRPr="000A43CC">
        <w:rPr>
          <w:szCs w:val="24"/>
          <w:lang w:val="en-GB"/>
        </w:rPr>
        <w:t>of their location</w:t>
      </w:r>
      <w:r w:rsidR="00CE4565">
        <w:rPr>
          <w:szCs w:val="24"/>
          <w:lang w:val="en-GB"/>
        </w:rPr>
        <w:t xml:space="preserve"> (good research labs often exist in small towns or remote locations)</w:t>
      </w:r>
      <w:r w:rsidR="00CE4565" w:rsidRPr="000A43CC">
        <w:rPr>
          <w:szCs w:val="24"/>
          <w:lang w:val="en-GB"/>
        </w:rPr>
        <w:t>. Therefore, the two</w:t>
      </w:r>
      <w:r w:rsidR="00CE4565">
        <w:rPr>
          <w:szCs w:val="24"/>
          <w:lang w:val="en-GB"/>
        </w:rPr>
        <w:t>-</w:t>
      </w:r>
      <w:r w:rsidR="00CE4565" w:rsidRPr="000A43CC">
        <w:rPr>
          <w:szCs w:val="24"/>
          <w:lang w:val="en-GB"/>
        </w:rPr>
        <w:t xml:space="preserve">stage regression </w:t>
      </w:r>
      <w:r w:rsidR="00B410AA">
        <w:rPr>
          <w:szCs w:val="24"/>
          <w:lang w:val="en-GB"/>
        </w:rPr>
        <w:t>is another</w:t>
      </w:r>
      <w:r w:rsidR="00CE4565" w:rsidRPr="000A43CC">
        <w:rPr>
          <w:szCs w:val="24"/>
          <w:lang w:val="en-GB"/>
        </w:rPr>
        <w:t xml:space="preserve"> way to disentangle the effect of spinoff activity from the effect of other university characteristics.</w:t>
      </w:r>
      <w:r w:rsidR="00A67EE8">
        <w:t xml:space="preserve"> </w:t>
      </w:r>
      <w:r w:rsidR="00AD1AEF" w:rsidRPr="00AD1AEF">
        <w:t>Th</w:t>
      </w:r>
      <w:r w:rsidR="00A67EE8">
        <w:t>e instruments predicted our three independent variables</w:t>
      </w:r>
      <w:r w:rsidR="00AD1AEF" w:rsidRPr="00AD1AEF">
        <w:t xml:space="preserve"> in first-stage regression estimates. </w:t>
      </w:r>
      <w:r w:rsidR="009878B4" w:rsidRPr="00AD1AEF">
        <w:t xml:space="preserve">The Hansen J </w:t>
      </w:r>
      <w:r w:rsidR="009878B4">
        <w:t>statistic</w:t>
      </w:r>
      <w:r w:rsidR="009878B4" w:rsidRPr="00AD1AEF">
        <w:t xml:space="preserve"> indicate</w:t>
      </w:r>
      <w:r w:rsidR="009878B4">
        <w:t>d</w:t>
      </w:r>
      <w:r w:rsidR="009878B4" w:rsidRPr="00AD1AEF">
        <w:t xml:space="preserve"> that our set of instruments </w:t>
      </w:r>
      <w:r w:rsidR="009878B4">
        <w:t>was</w:t>
      </w:r>
      <w:r w:rsidR="009878B4" w:rsidRPr="00AD1AEF">
        <w:t xml:space="preserve"> orthogonal to the error term (p</w:t>
      </w:r>
      <w:r w:rsidR="009878B4">
        <w:t>-</w:t>
      </w:r>
      <w:r w:rsidR="009878B4" w:rsidRPr="00AD1AEF">
        <w:t>value significantly above 0.10)</w:t>
      </w:r>
      <w:r w:rsidR="00006C61">
        <w:t>,</w:t>
      </w:r>
      <w:r w:rsidR="009878B4" w:rsidRPr="00AD1AEF">
        <w:t xml:space="preserve"> and thus our model </w:t>
      </w:r>
      <w:r w:rsidR="009878B4">
        <w:t xml:space="preserve">was </w:t>
      </w:r>
      <w:r w:rsidR="009878B4" w:rsidRPr="00AD1AEF">
        <w:t xml:space="preserve">suitable. </w:t>
      </w:r>
      <w:r w:rsidR="009878B4">
        <w:t>The results of</w:t>
      </w:r>
      <w:r w:rsidR="009878B4" w:rsidRPr="00AD1AEF">
        <w:t xml:space="preserve"> </w:t>
      </w:r>
      <w:r w:rsidR="009878B4">
        <w:t>the</w:t>
      </w:r>
      <w:r w:rsidR="009878B4" w:rsidRPr="00AD1AEF">
        <w:t xml:space="preserve"> </w:t>
      </w:r>
      <w:r w:rsidR="009878B4">
        <w:t xml:space="preserve">instrumental variables models </w:t>
      </w:r>
      <w:r w:rsidR="00006C61">
        <w:t xml:space="preserve">provided </w:t>
      </w:r>
      <w:r w:rsidR="009878B4">
        <w:t xml:space="preserve">support for our hypotheses. </w:t>
      </w:r>
    </w:p>
    <w:p w:rsidR="00CD6854" w:rsidRPr="00AD1AEF" w:rsidRDefault="00CD6854" w:rsidP="00CD6854">
      <w:pPr>
        <w:spacing w:line="480" w:lineRule="auto"/>
        <w:jc w:val="both"/>
      </w:pPr>
    </w:p>
    <w:p w:rsidR="00E34CC6" w:rsidRPr="00AD1AEF" w:rsidRDefault="00B64147" w:rsidP="00084ACA">
      <w:pPr>
        <w:numPr>
          <w:ilvl w:val="0"/>
          <w:numId w:val="5"/>
        </w:numPr>
        <w:spacing w:line="480" w:lineRule="auto"/>
        <w:ind w:left="426" w:hanging="426"/>
        <w:rPr>
          <w:b/>
        </w:rPr>
      </w:pPr>
      <w:r w:rsidRPr="00AD1AEF">
        <w:rPr>
          <w:b/>
        </w:rPr>
        <w:t xml:space="preserve">EMPIRICAL </w:t>
      </w:r>
      <w:r w:rsidR="00E34CC6" w:rsidRPr="00AD1AEF">
        <w:rPr>
          <w:b/>
        </w:rPr>
        <w:t>RESULTS</w:t>
      </w:r>
    </w:p>
    <w:p w:rsidR="001A48C5" w:rsidRDefault="008250F6" w:rsidP="0044283E">
      <w:pPr>
        <w:spacing w:line="480" w:lineRule="auto"/>
        <w:ind w:firstLine="567"/>
        <w:jc w:val="both"/>
      </w:pPr>
      <w:r w:rsidRPr="00A77550">
        <w:t>Table I</w:t>
      </w:r>
      <w:r w:rsidR="008F7E36" w:rsidRPr="00A77550">
        <w:t>I</w:t>
      </w:r>
      <w:r w:rsidR="0072052F" w:rsidRPr="00A77550">
        <w:t xml:space="preserve"> provides descriptive statistics of the variables in our </w:t>
      </w:r>
      <w:r w:rsidR="00C83135">
        <w:t>panel dataset</w:t>
      </w:r>
      <w:r w:rsidR="0072052F" w:rsidRPr="00A77550">
        <w:t xml:space="preserve">. </w:t>
      </w:r>
      <w:r w:rsidR="00E3602A" w:rsidRPr="00A77550">
        <w:t>We can see</w:t>
      </w:r>
      <w:r w:rsidR="0030242D" w:rsidRPr="00A77550">
        <w:t xml:space="preserve"> </w:t>
      </w:r>
      <w:r w:rsidR="00C533B9" w:rsidRPr="00A77550">
        <w:t xml:space="preserve">that </w:t>
      </w:r>
      <w:r w:rsidR="0030242D" w:rsidRPr="00A77550">
        <w:t xml:space="preserve">there is significant variation in the values of the </w:t>
      </w:r>
      <w:r w:rsidR="00EF3A20">
        <w:t>in</w:t>
      </w:r>
      <w:r w:rsidR="0030242D" w:rsidRPr="00A77550">
        <w:t>dependent variable</w:t>
      </w:r>
      <w:r w:rsidR="000B79FB">
        <w:t>s</w:t>
      </w:r>
      <w:r w:rsidR="0030242D" w:rsidRPr="00A77550">
        <w:t xml:space="preserve">. For example, </w:t>
      </w:r>
      <w:r w:rsidR="00212E15" w:rsidRPr="00A77550">
        <w:t xml:space="preserve">the size of the spinoff </w:t>
      </w:r>
      <w:r w:rsidR="00A06A88" w:rsidRPr="00A77550">
        <w:t xml:space="preserve">portfolio </w:t>
      </w:r>
      <w:r w:rsidR="0030242D" w:rsidRPr="00A77550">
        <w:t>range</w:t>
      </w:r>
      <w:r w:rsidR="00A06A88" w:rsidRPr="00A77550">
        <w:t>s</w:t>
      </w:r>
      <w:r w:rsidR="0030242D" w:rsidRPr="00A77550">
        <w:t xml:space="preserve"> from 0 to </w:t>
      </w:r>
      <w:r w:rsidR="00A06A88" w:rsidRPr="00A77550">
        <w:t>74</w:t>
      </w:r>
      <w:r w:rsidR="0030242D" w:rsidRPr="00A77550">
        <w:t xml:space="preserve"> ventures</w:t>
      </w:r>
      <w:r w:rsidR="00006C61">
        <w:t>,</w:t>
      </w:r>
      <w:r w:rsidR="008144D0" w:rsidRPr="00A77550">
        <w:t xml:space="preserve"> depending on the university</w:t>
      </w:r>
      <w:r w:rsidR="00A06A88" w:rsidRPr="00A77550">
        <w:t>. The most media-promoted spinoff portfolio was mentioned in a total of 7</w:t>
      </w:r>
      <w:r w:rsidR="00066308" w:rsidRPr="00A77550">
        <w:t>3</w:t>
      </w:r>
      <w:r w:rsidR="00A06A88" w:rsidRPr="00A77550">
        <w:t>9 articles in a single year, against zero articles for the le</w:t>
      </w:r>
      <w:r w:rsidR="00066308" w:rsidRPr="00A77550">
        <w:t>a</w:t>
      </w:r>
      <w:r w:rsidR="00A06A88" w:rsidRPr="00A77550">
        <w:t>s</w:t>
      </w:r>
      <w:r w:rsidR="00066308" w:rsidRPr="00A77550">
        <w:t>t</w:t>
      </w:r>
      <w:r w:rsidR="00A06A88" w:rsidRPr="00A77550">
        <w:t xml:space="preserve"> promoted portfolios.</w:t>
      </w:r>
      <w:r w:rsidR="0030242D" w:rsidRPr="00A77550">
        <w:t xml:space="preserve"> Similarly, the maximum total revenues produced by a </w:t>
      </w:r>
      <w:r w:rsidR="0030242D" w:rsidRPr="00A77550">
        <w:lastRenderedPageBreak/>
        <w:t>university’s</w:t>
      </w:r>
      <w:r w:rsidR="00CD6854">
        <w:t xml:space="preserve"> spinoff portfolio amounted to </w:t>
      </w:r>
      <w:r w:rsidR="00F866CC">
        <w:t>£</w:t>
      </w:r>
      <w:r w:rsidR="001A0A71">
        <w:t xml:space="preserve">427m </w:t>
      </w:r>
      <w:r w:rsidR="0030242D" w:rsidRPr="00A77550">
        <w:t xml:space="preserve">in a single year, whereas the mean during all 15 years </w:t>
      </w:r>
      <w:r w:rsidR="00A06A88" w:rsidRPr="00A77550">
        <w:t>in</w:t>
      </w:r>
      <w:r w:rsidR="0030242D" w:rsidRPr="00A77550">
        <w:t xml:space="preserve"> the panel was </w:t>
      </w:r>
      <w:r w:rsidR="00F866CC">
        <w:t xml:space="preserve">about </w:t>
      </w:r>
      <w:r w:rsidR="00CD6854">
        <w:t>£</w:t>
      </w:r>
      <w:r w:rsidR="001A0A71">
        <w:t>5</w:t>
      </w:r>
      <w:r w:rsidR="00F866CC">
        <w:t>.1</w:t>
      </w:r>
      <w:r w:rsidR="00CD6854">
        <w:t>M</w:t>
      </w:r>
      <w:r w:rsidR="0030242D" w:rsidRPr="00A77550">
        <w:t xml:space="preserve">. </w:t>
      </w:r>
      <w:r w:rsidR="00763695">
        <w:t>Total sponsored research funding</w:t>
      </w:r>
      <w:r w:rsidR="0030242D" w:rsidRPr="00A77550">
        <w:t xml:space="preserve"> for each university</w:t>
      </w:r>
      <w:r w:rsidR="00066308" w:rsidRPr="00A77550">
        <w:t xml:space="preserve"> </w:t>
      </w:r>
      <w:r w:rsidR="00CD6854">
        <w:t>averaged £</w:t>
      </w:r>
      <w:r w:rsidR="001A0A71">
        <w:t>18.3m</w:t>
      </w:r>
      <w:r w:rsidR="0030242D" w:rsidRPr="00A77550">
        <w:t xml:space="preserve"> a year.</w:t>
      </w:r>
      <w:r w:rsidR="008144D0" w:rsidRPr="00AD1AEF">
        <w:t xml:space="preserve"> </w:t>
      </w:r>
      <w:r w:rsidRPr="00AD1AEF">
        <w:t>Table II</w:t>
      </w:r>
      <w:r w:rsidR="008F7E36">
        <w:t>I</w:t>
      </w:r>
      <w:r w:rsidR="0072052F" w:rsidRPr="00AD1AEF">
        <w:t xml:space="preserve"> shows </w:t>
      </w:r>
      <w:r w:rsidR="00E73930" w:rsidRPr="00AD1AEF">
        <w:t xml:space="preserve">correlations among </w:t>
      </w:r>
      <w:r w:rsidR="002701B0">
        <w:t xml:space="preserve">the </w:t>
      </w:r>
      <w:r w:rsidR="00E73930" w:rsidRPr="00AD1AEF">
        <w:t xml:space="preserve">variables. </w:t>
      </w:r>
      <w:r w:rsidR="00B24593" w:rsidRPr="00AD1AEF">
        <w:t xml:space="preserve">To check for </w:t>
      </w:r>
      <w:r w:rsidR="00D23FA8" w:rsidRPr="00AD1AEF">
        <w:t>potential issues</w:t>
      </w:r>
      <w:r w:rsidR="00B24593" w:rsidRPr="00AD1AEF">
        <w:t xml:space="preserve"> with multi</w:t>
      </w:r>
      <w:r w:rsidR="00066308" w:rsidRPr="00AD1AEF">
        <w:t>-</w:t>
      </w:r>
      <w:proofErr w:type="spellStart"/>
      <w:r w:rsidR="00B24593" w:rsidRPr="00AD1AEF">
        <w:t>collinearity</w:t>
      </w:r>
      <w:proofErr w:type="spellEnd"/>
      <w:r w:rsidR="00B24593" w:rsidRPr="00AD1AEF">
        <w:t xml:space="preserve">, we conducted Variance Inflation Factor (VIF) tests. The VIF scores were well below the </w:t>
      </w:r>
      <w:r w:rsidR="00C533B9" w:rsidRPr="00AD1AEF">
        <w:t xml:space="preserve">usual </w:t>
      </w:r>
      <w:r w:rsidR="00B24593" w:rsidRPr="00AD1AEF">
        <w:t>warning level of 10 (Gujarati, 2003)</w:t>
      </w:r>
      <w:r w:rsidR="00006C61">
        <w:t>,</w:t>
      </w:r>
      <w:r w:rsidR="001D6DAC">
        <w:t xml:space="preserve"> and</w:t>
      </w:r>
      <w:r w:rsidR="00B24593" w:rsidRPr="00AD1AEF">
        <w:t xml:space="preserve"> we proceeded with the data analysis normally.</w:t>
      </w:r>
    </w:p>
    <w:p w:rsidR="00E34CC6" w:rsidRPr="00AD1AEF" w:rsidRDefault="00E34CC6" w:rsidP="004506E8">
      <w:pPr>
        <w:spacing w:line="480" w:lineRule="auto"/>
        <w:ind w:firstLine="567"/>
        <w:jc w:val="both"/>
      </w:pPr>
      <w:r w:rsidRPr="00AD1AEF">
        <w:t xml:space="preserve">Table </w:t>
      </w:r>
      <w:r w:rsidR="006974F1" w:rsidRPr="00AD1AEF">
        <w:t>I</w:t>
      </w:r>
      <w:r w:rsidR="008F7E36">
        <w:t>V</w:t>
      </w:r>
      <w:r w:rsidRPr="00AD1AEF">
        <w:t xml:space="preserve"> shows </w:t>
      </w:r>
      <w:r w:rsidR="00006C61">
        <w:t xml:space="preserve">the </w:t>
      </w:r>
      <w:r w:rsidRPr="00AD1AEF">
        <w:t xml:space="preserve">results of </w:t>
      </w:r>
      <w:r w:rsidR="00006C61">
        <w:t xml:space="preserve">the </w:t>
      </w:r>
      <w:r w:rsidRPr="00AD1AEF">
        <w:t xml:space="preserve">hierarchical </w:t>
      </w:r>
      <w:r w:rsidR="00066308" w:rsidRPr="00AD1AEF">
        <w:t xml:space="preserve">GLS </w:t>
      </w:r>
      <w:r w:rsidRPr="00AD1AEF">
        <w:t>regression</w:t>
      </w:r>
      <w:r w:rsidR="00233175" w:rsidRPr="00AD1AEF">
        <w:t xml:space="preserve">. </w:t>
      </w:r>
      <w:r w:rsidR="00EF3A20">
        <w:t>M</w:t>
      </w:r>
      <w:r w:rsidR="00E73930" w:rsidRPr="00AD1AEF">
        <w:t>odel</w:t>
      </w:r>
      <w:r w:rsidR="00EF3A20">
        <w:t xml:space="preserve"> 1</w:t>
      </w:r>
      <w:r w:rsidR="00E73930" w:rsidRPr="00AD1AEF">
        <w:t xml:space="preserve"> include</w:t>
      </w:r>
      <w:r w:rsidR="00EF3A20">
        <w:t>s</w:t>
      </w:r>
      <w:r w:rsidR="00FE643B">
        <w:t xml:space="preserve"> </w:t>
      </w:r>
      <w:r w:rsidR="001A48C5">
        <w:t xml:space="preserve">the </w:t>
      </w:r>
      <w:r w:rsidR="00FE643B">
        <w:t>control variables, most of which</w:t>
      </w:r>
      <w:r w:rsidR="00E73930" w:rsidRPr="00AD1AEF">
        <w:t xml:space="preserve"> </w:t>
      </w:r>
      <w:r w:rsidR="00257097">
        <w:t>were</w:t>
      </w:r>
      <w:r w:rsidR="009F320B" w:rsidRPr="00AD1AEF">
        <w:t xml:space="preserve"> significant </w:t>
      </w:r>
      <w:r w:rsidR="0039275C" w:rsidRPr="00AD1AEF">
        <w:t>with a</w:t>
      </w:r>
      <w:r w:rsidR="00A352F0" w:rsidRPr="00AD1AEF">
        <w:t xml:space="preserve"> positive </w:t>
      </w:r>
      <w:r w:rsidR="0039275C" w:rsidRPr="00AD1AEF">
        <w:t xml:space="preserve">effect </w:t>
      </w:r>
      <w:r w:rsidR="009F320B" w:rsidRPr="00AD1AEF">
        <w:t xml:space="preserve">on </w:t>
      </w:r>
      <w:r w:rsidR="00FE643B">
        <w:t xml:space="preserve">total sponsored research </w:t>
      </w:r>
      <w:r w:rsidR="00066308" w:rsidRPr="00AD1AEF">
        <w:t>funding</w:t>
      </w:r>
      <w:r w:rsidR="0039275C" w:rsidRPr="00AD1AEF">
        <w:t xml:space="preserve">. </w:t>
      </w:r>
      <w:r w:rsidR="00C50918">
        <w:t>Interestingly</w:t>
      </w:r>
      <w:r w:rsidR="00763695">
        <w:t>,</w:t>
      </w:r>
      <w:r w:rsidR="00C50918">
        <w:t xml:space="preserve"> our</w:t>
      </w:r>
      <w:r w:rsidR="00C43411">
        <w:t xml:space="preserve"> control variables </w:t>
      </w:r>
      <w:r w:rsidR="00C50918">
        <w:t xml:space="preserve">explain a substantial part of the variance in funding (73%). This indicates that we selected an accurate and comprehensive set of control variables, which account for a number of alternative explanations. </w:t>
      </w:r>
    </w:p>
    <w:p w:rsidR="00902E0F" w:rsidRPr="00AD1AEF" w:rsidRDefault="00902E0F" w:rsidP="00902E0F">
      <w:pPr>
        <w:jc w:val="center"/>
      </w:pPr>
      <w:r w:rsidRPr="00AD1AEF">
        <w:t>--------------------------------</w:t>
      </w:r>
    </w:p>
    <w:p w:rsidR="00902E0F" w:rsidRPr="00AD1AEF" w:rsidRDefault="00902E0F" w:rsidP="00AA26DE">
      <w:pPr>
        <w:jc w:val="center"/>
        <w:outlineLvl w:val="0"/>
      </w:pPr>
      <w:r w:rsidRPr="00AD1AEF">
        <w:t xml:space="preserve">Insert Table </w:t>
      </w:r>
      <w:r w:rsidR="006974F1" w:rsidRPr="00AD1AEF">
        <w:t>I</w:t>
      </w:r>
      <w:r w:rsidR="00C5784C" w:rsidRPr="00AD1AEF">
        <w:t>I</w:t>
      </w:r>
      <w:r w:rsidRPr="00AD1AEF">
        <w:t xml:space="preserve"> about here</w:t>
      </w:r>
    </w:p>
    <w:p w:rsidR="00902E0F" w:rsidRPr="00AD1AEF" w:rsidRDefault="00902E0F" w:rsidP="00902E0F">
      <w:pPr>
        <w:jc w:val="center"/>
      </w:pPr>
      <w:r w:rsidRPr="00AD1AEF">
        <w:t>--------------------------------</w:t>
      </w:r>
    </w:p>
    <w:p w:rsidR="00902E0F" w:rsidRPr="00AD1AEF" w:rsidRDefault="00902E0F" w:rsidP="00902E0F">
      <w:pPr>
        <w:jc w:val="center"/>
      </w:pPr>
      <w:r w:rsidRPr="00AD1AEF">
        <w:t>--------------------------------</w:t>
      </w:r>
    </w:p>
    <w:p w:rsidR="00902E0F" w:rsidRPr="00AD1AEF" w:rsidRDefault="006974F1" w:rsidP="00AA26DE">
      <w:pPr>
        <w:jc w:val="center"/>
        <w:outlineLvl w:val="0"/>
      </w:pPr>
      <w:r w:rsidRPr="00AD1AEF">
        <w:t>Insert Table II</w:t>
      </w:r>
      <w:r w:rsidR="00C5784C" w:rsidRPr="00AD1AEF">
        <w:t>I</w:t>
      </w:r>
      <w:r w:rsidR="00902E0F" w:rsidRPr="00AD1AEF">
        <w:t xml:space="preserve"> about here</w:t>
      </w:r>
    </w:p>
    <w:p w:rsidR="00902E0F" w:rsidRPr="00AD1AEF" w:rsidRDefault="00902E0F" w:rsidP="00902E0F">
      <w:pPr>
        <w:jc w:val="center"/>
      </w:pPr>
      <w:r w:rsidRPr="00AD1AEF">
        <w:t>--------------------------------</w:t>
      </w:r>
    </w:p>
    <w:p w:rsidR="00902E0F" w:rsidRPr="00AD1AEF" w:rsidRDefault="00902E0F" w:rsidP="004506E8">
      <w:pPr>
        <w:spacing w:line="480" w:lineRule="auto"/>
        <w:ind w:firstLine="567"/>
        <w:jc w:val="both"/>
      </w:pPr>
    </w:p>
    <w:p w:rsidR="004F5A8B" w:rsidRDefault="004F5A8B" w:rsidP="004506E8">
      <w:pPr>
        <w:spacing w:line="480" w:lineRule="auto"/>
        <w:ind w:firstLine="567"/>
        <w:jc w:val="both"/>
      </w:pPr>
      <w:r w:rsidRPr="00AD1AEF">
        <w:t xml:space="preserve">Consistent with </w:t>
      </w:r>
      <w:r w:rsidR="00EF3A20">
        <w:t>hypothesis 1</w:t>
      </w:r>
      <w:r w:rsidR="00B94352">
        <w:t xml:space="preserve">, </w:t>
      </w:r>
      <w:r w:rsidR="00F065D9">
        <w:t xml:space="preserve">we found that </w:t>
      </w:r>
      <w:r w:rsidR="00B94352">
        <w:t>the size of the</w:t>
      </w:r>
      <w:r w:rsidR="00901B95" w:rsidRPr="00AD1AEF">
        <w:t xml:space="preserve"> </w:t>
      </w:r>
      <w:r w:rsidR="000E1E2C" w:rsidRPr="00AD1AEF">
        <w:t>spinoff</w:t>
      </w:r>
      <w:r w:rsidRPr="00AD1AEF">
        <w:t xml:space="preserve"> </w:t>
      </w:r>
      <w:r w:rsidR="00B94352">
        <w:t>portfolio</w:t>
      </w:r>
      <w:r w:rsidR="00C365EA">
        <w:t xml:space="preserve"> is related </w:t>
      </w:r>
      <w:r w:rsidR="00006C61">
        <w:t>to</w:t>
      </w:r>
      <w:r w:rsidR="00006C61" w:rsidRPr="00AD1AEF">
        <w:t xml:space="preserve"> </w:t>
      </w:r>
      <w:r w:rsidR="00B94352">
        <w:t>research income</w:t>
      </w:r>
      <w:r w:rsidR="00F065D9">
        <w:t xml:space="preserve"> (</w:t>
      </w:r>
      <w:r w:rsidR="0022317E">
        <w:t xml:space="preserve">see </w:t>
      </w:r>
      <w:r w:rsidR="00F065D9">
        <w:t>model 2)</w:t>
      </w:r>
      <w:r w:rsidR="00510C20">
        <w:t xml:space="preserve"> (p&lt;0.001)</w:t>
      </w:r>
      <w:r w:rsidR="00B94352">
        <w:t xml:space="preserve">. </w:t>
      </w:r>
      <w:r w:rsidR="00F065D9">
        <w:t>Moreover, a</w:t>
      </w:r>
      <w:r w:rsidR="00902E0F" w:rsidRPr="00AD1AEF">
        <w:t>s predicted in hypothesis 2, s</w:t>
      </w:r>
      <w:r w:rsidR="008979AF" w:rsidRPr="00AD1AEF">
        <w:t xml:space="preserve">pinoff </w:t>
      </w:r>
      <w:r w:rsidR="00EF3A20">
        <w:t xml:space="preserve">portfolio </w:t>
      </w:r>
      <w:r w:rsidR="00FE643B">
        <w:t>performance</w:t>
      </w:r>
      <w:r w:rsidR="008979AF" w:rsidRPr="00AD1AEF">
        <w:t xml:space="preserve"> </w:t>
      </w:r>
      <w:r w:rsidR="001A48C5">
        <w:t>has a</w:t>
      </w:r>
      <w:r w:rsidR="00443CFE" w:rsidRPr="00AD1AEF">
        <w:t xml:space="preserve"> </w:t>
      </w:r>
      <w:r w:rsidR="00EF3A20">
        <w:t>s</w:t>
      </w:r>
      <w:r w:rsidR="00B94352">
        <w:t>i</w:t>
      </w:r>
      <w:r w:rsidR="00EF3A20">
        <w:t xml:space="preserve">gnificant </w:t>
      </w:r>
      <w:r w:rsidR="00443CFE" w:rsidRPr="00AD1AEF">
        <w:t xml:space="preserve">impact </w:t>
      </w:r>
      <w:r w:rsidR="00902E0F" w:rsidRPr="00AD1AEF">
        <w:t xml:space="preserve">on </w:t>
      </w:r>
      <w:r w:rsidR="009145A0">
        <w:t>research</w:t>
      </w:r>
      <w:r w:rsidR="006358E4">
        <w:t xml:space="preserve"> income</w:t>
      </w:r>
      <w:r w:rsidR="00902E0F" w:rsidRPr="00AD1AEF">
        <w:t xml:space="preserve"> (</w:t>
      </w:r>
      <w:r w:rsidR="0022317E">
        <w:t xml:space="preserve">see </w:t>
      </w:r>
      <w:r w:rsidR="00902E0F" w:rsidRPr="00AD1AEF">
        <w:t xml:space="preserve">model </w:t>
      </w:r>
      <w:r w:rsidR="00EF3A20">
        <w:t>3</w:t>
      </w:r>
      <w:r w:rsidR="00F065D9">
        <w:t>)</w:t>
      </w:r>
      <w:r w:rsidR="00510C20">
        <w:t xml:space="preserve"> (p&lt;0.001)</w:t>
      </w:r>
      <w:r w:rsidR="00F065D9">
        <w:t xml:space="preserve">. </w:t>
      </w:r>
      <w:r w:rsidR="0022317E">
        <w:t>P</w:t>
      </w:r>
      <w:r w:rsidR="00EF3A20">
        <w:t xml:space="preserve">ortfolio </w:t>
      </w:r>
      <w:r w:rsidR="00443CFE" w:rsidRPr="00AD1AEF">
        <w:t xml:space="preserve">media coverage </w:t>
      </w:r>
      <w:r w:rsidR="00C365EA">
        <w:t>is also associated with</w:t>
      </w:r>
      <w:r w:rsidR="00443CFE" w:rsidRPr="00AD1AEF">
        <w:t xml:space="preserve"> </w:t>
      </w:r>
      <w:r w:rsidR="009145A0">
        <w:t>research income</w:t>
      </w:r>
      <w:r w:rsidR="00902E0F" w:rsidRPr="00AD1AEF">
        <w:t>, as we had predicted in hypothesis 3</w:t>
      </w:r>
      <w:r w:rsidR="0022317E">
        <w:t xml:space="preserve"> (see model 4)</w:t>
      </w:r>
      <w:r w:rsidR="00510C20">
        <w:t xml:space="preserve"> (p&lt;0.001)</w:t>
      </w:r>
      <w:r w:rsidR="00443CFE" w:rsidRPr="00AD1AEF">
        <w:t xml:space="preserve">. </w:t>
      </w:r>
      <w:r w:rsidR="0022317E">
        <w:t xml:space="preserve">We combined all three predictors </w:t>
      </w:r>
      <w:r w:rsidR="00EF3A20">
        <w:t>in model 5</w:t>
      </w:r>
      <w:r w:rsidR="0022317E">
        <w:t xml:space="preserve">, and the results confirm </w:t>
      </w:r>
      <w:r w:rsidR="00EF3A20">
        <w:t xml:space="preserve">all </w:t>
      </w:r>
      <w:r w:rsidR="0022317E">
        <w:t>th</w:t>
      </w:r>
      <w:r w:rsidR="00C83135">
        <w:t>r</w:t>
      </w:r>
      <w:r w:rsidR="0022317E">
        <w:t>e</w:t>
      </w:r>
      <w:r w:rsidR="00C83135">
        <w:t>e</w:t>
      </w:r>
      <w:r w:rsidR="0022317E">
        <w:t xml:space="preserve"> </w:t>
      </w:r>
      <w:r w:rsidR="00A75293" w:rsidRPr="00AD1AEF">
        <w:t>hypothes</w:t>
      </w:r>
      <w:r w:rsidR="0022317E">
        <w:t>e</w:t>
      </w:r>
      <w:r w:rsidR="00A75293" w:rsidRPr="00AD1AEF">
        <w:t>s</w:t>
      </w:r>
      <w:r w:rsidR="0022317E">
        <w:t xml:space="preserve"> </w:t>
      </w:r>
      <w:r w:rsidR="00D56AA4" w:rsidRPr="00AD1AEF">
        <w:t>(</w:t>
      </w:r>
      <w:r w:rsidR="00D56AA4" w:rsidRPr="00AD1AEF">
        <w:rPr>
          <w:i/>
          <w:iCs/>
        </w:rPr>
        <w:t>R</w:t>
      </w:r>
      <w:r w:rsidR="00D56AA4" w:rsidRPr="00AD1AEF">
        <w:rPr>
          <w:i/>
          <w:iCs/>
          <w:vertAlign w:val="superscript"/>
        </w:rPr>
        <w:t>2</w:t>
      </w:r>
      <w:r w:rsidR="00D56AA4" w:rsidRPr="00AD1AEF">
        <w:rPr>
          <w:iCs/>
        </w:rPr>
        <w:t xml:space="preserve"> increases from </w:t>
      </w:r>
      <w:r w:rsidR="00FE643B">
        <w:rPr>
          <w:iCs/>
        </w:rPr>
        <w:t>73%</w:t>
      </w:r>
      <w:r w:rsidR="00D56AA4" w:rsidRPr="00AD1AEF">
        <w:rPr>
          <w:iCs/>
        </w:rPr>
        <w:t xml:space="preserve"> to </w:t>
      </w:r>
      <w:r w:rsidR="001A0A71">
        <w:rPr>
          <w:iCs/>
        </w:rPr>
        <w:t>86</w:t>
      </w:r>
      <w:r w:rsidR="00D56AA4" w:rsidRPr="00AD1AEF">
        <w:rPr>
          <w:iCs/>
        </w:rPr>
        <w:t>%)</w:t>
      </w:r>
      <w:r w:rsidR="00443CFE" w:rsidRPr="00AD1AEF">
        <w:t xml:space="preserve">. </w:t>
      </w:r>
    </w:p>
    <w:p w:rsidR="0073606D" w:rsidRPr="00AD1AEF" w:rsidRDefault="0073606D" w:rsidP="0073606D">
      <w:pPr>
        <w:jc w:val="center"/>
      </w:pPr>
      <w:r w:rsidRPr="00AD1AEF">
        <w:t>--------------------------------</w:t>
      </w:r>
    </w:p>
    <w:p w:rsidR="0073606D" w:rsidRPr="00AD1AEF" w:rsidRDefault="0073606D" w:rsidP="0073606D">
      <w:pPr>
        <w:jc w:val="center"/>
        <w:outlineLvl w:val="0"/>
      </w:pPr>
      <w:r w:rsidRPr="00AD1AEF">
        <w:t xml:space="preserve">Insert Table </w:t>
      </w:r>
      <w:r>
        <w:t>I</w:t>
      </w:r>
      <w:r w:rsidRPr="00AD1AEF">
        <w:t>V about here</w:t>
      </w:r>
    </w:p>
    <w:p w:rsidR="0073606D" w:rsidRDefault="0073606D" w:rsidP="0073606D">
      <w:pPr>
        <w:jc w:val="center"/>
      </w:pPr>
      <w:r w:rsidRPr="00AD1AEF">
        <w:t>--------------------------------</w:t>
      </w:r>
    </w:p>
    <w:p w:rsidR="0073606D" w:rsidRDefault="0073606D" w:rsidP="0073606D">
      <w:pPr>
        <w:jc w:val="center"/>
      </w:pPr>
    </w:p>
    <w:p w:rsidR="0073606D" w:rsidRPr="000F7EA6" w:rsidRDefault="0073606D" w:rsidP="004032DA">
      <w:pPr>
        <w:spacing w:line="480" w:lineRule="auto"/>
        <w:ind w:firstLine="567"/>
        <w:jc w:val="both"/>
      </w:pPr>
      <w:r>
        <w:t xml:space="preserve">We then tested whether the effects of </w:t>
      </w:r>
      <w:r w:rsidR="00924EC1">
        <w:t>signals of social impact (measured as</w:t>
      </w:r>
      <w:r>
        <w:t xml:space="preserve"> spinoff portfolio characteristics</w:t>
      </w:r>
      <w:r w:rsidR="00924EC1">
        <w:t>)</w:t>
      </w:r>
      <w:r>
        <w:t xml:space="preserve"> on research income are moderated by the status of the university. </w:t>
      </w:r>
      <w:r w:rsidR="00C91F11">
        <w:t>T</w:t>
      </w:r>
      <w:r w:rsidRPr="000F7EA6">
        <w:t>he relationship</w:t>
      </w:r>
      <w:r>
        <w:t>s</w:t>
      </w:r>
      <w:r w:rsidRPr="000F7EA6">
        <w:t xml:space="preserve"> between </w:t>
      </w:r>
      <w:r>
        <w:t xml:space="preserve">the </w:t>
      </w:r>
      <w:r w:rsidRPr="000F7EA6">
        <w:t xml:space="preserve">characteristics of a university’s spinoff portfolio and its research </w:t>
      </w:r>
      <w:r>
        <w:t>income are</w:t>
      </w:r>
      <w:r w:rsidRPr="000F7EA6">
        <w:t xml:space="preserve"> </w:t>
      </w:r>
      <w:r>
        <w:t xml:space="preserve">positively </w:t>
      </w:r>
      <w:r w:rsidRPr="000F7EA6">
        <w:t xml:space="preserve">moderated by membership in </w:t>
      </w:r>
      <w:r>
        <w:t>the Russell Group.</w:t>
      </w:r>
      <w:r w:rsidRPr="000F7EA6">
        <w:t xml:space="preserve"> Specifically, the positive effect of the </w:t>
      </w:r>
      <w:r>
        <w:t xml:space="preserve">spinoff portfolio </w:t>
      </w:r>
      <w:r w:rsidRPr="000F7EA6">
        <w:t xml:space="preserve">size, performance and media coverage on research income is stronger for </w:t>
      </w:r>
      <w:r>
        <w:t xml:space="preserve">high-status </w:t>
      </w:r>
      <w:r>
        <w:lastRenderedPageBreak/>
        <w:t>(</w:t>
      </w:r>
      <w:r w:rsidRPr="000F7EA6">
        <w:t>Russell</w:t>
      </w:r>
      <w:r>
        <w:t xml:space="preserve"> </w:t>
      </w:r>
      <w:r w:rsidRPr="000F7EA6">
        <w:t>Group</w:t>
      </w:r>
      <w:r>
        <w:t>)</w:t>
      </w:r>
      <w:r w:rsidRPr="000F7EA6">
        <w:t xml:space="preserve"> institutions</w:t>
      </w:r>
      <w:r>
        <w:t xml:space="preserve"> than for low-status institutions (see table V)</w:t>
      </w:r>
      <w:r w:rsidRPr="000F7EA6">
        <w:t>.</w:t>
      </w:r>
      <w:r w:rsidR="00DD6CEA">
        <w:t xml:space="preserve"> We present graphically these moderation effects </w:t>
      </w:r>
      <w:r w:rsidR="00396E42">
        <w:t>i</w:t>
      </w:r>
      <w:r w:rsidR="00DD6CEA">
        <w:t xml:space="preserve">n Figures </w:t>
      </w:r>
      <w:r w:rsidR="00547313">
        <w:t>2</w:t>
      </w:r>
      <w:r w:rsidR="00DD6CEA">
        <w:t>-</w:t>
      </w:r>
      <w:r w:rsidR="00547313">
        <w:t>4</w:t>
      </w:r>
      <w:r w:rsidR="00DD6CEA">
        <w:t>.</w:t>
      </w:r>
      <w:r>
        <w:t xml:space="preserve"> </w:t>
      </w:r>
    </w:p>
    <w:p w:rsidR="0073606D" w:rsidRPr="00AD1AEF" w:rsidRDefault="0073606D" w:rsidP="0073606D">
      <w:pPr>
        <w:jc w:val="center"/>
      </w:pPr>
      <w:r w:rsidRPr="00AD1AEF">
        <w:t>--------------------------------</w:t>
      </w:r>
    </w:p>
    <w:p w:rsidR="0073606D" w:rsidRPr="00AD1AEF" w:rsidRDefault="0073606D" w:rsidP="0073606D">
      <w:pPr>
        <w:jc w:val="center"/>
        <w:outlineLvl w:val="0"/>
      </w:pPr>
      <w:r w:rsidRPr="00AD1AEF">
        <w:t>Insert Table V about here</w:t>
      </w:r>
    </w:p>
    <w:p w:rsidR="0076153A" w:rsidRDefault="0073606D" w:rsidP="0073606D">
      <w:pPr>
        <w:jc w:val="center"/>
      </w:pPr>
      <w:r w:rsidRPr="00AD1AEF">
        <w:t>--------------------------------</w:t>
      </w:r>
    </w:p>
    <w:p w:rsidR="00DD6CEA" w:rsidRPr="00AD1AEF" w:rsidRDefault="00DD6CEA">
      <w:pPr>
        <w:jc w:val="center"/>
      </w:pPr>
    </w:p>
    <w:p w:rsidR="001A0A71" w:rsidRPr="00AD1AEF" w:rsidRDefault="00547313" w:rsidP="001A0A71">
      <w:pPr>
        <w:jc w:val="center"/>
      </w:pPr>
      <w:r>
        <w:t>-------</w:t>
      </w:r>
      <w:r w:rsidR="001A0A71" w:rsidRPr="00AD1AEF">
        <w:t>-----------------------------------</w:t>
      </w:r>
    </w:p>
    <w:p w:rsidR="001A0A71" w:rsidRPr="00AD1AEF" w:rsidRDefault="001A0A71" w:rsidP="001A0A71">
      <w:pPr>
        <w:jc w:val="center"/>
        <w:outlineLvl w:val="0"/>
      </w:pPr>
      <w:r>
        <w:t>Insert Figure</w:t>
      </w:r>
      <w:r w:rsidR="00396E42">
        <w:t>s</w:t>
      </w:r>
      <w:r>
        <w:t xml:space="preserve"> 2</w:t>
      </w:r>
      <w:r w:rsidR="00396E42">
        <w:t>, 3 and 4</w:t>
      </w:r>
      <w:r w:rsidRPr="00AD1AEF">
        <w:t xml:space="preserve"> about here</w:t>
      </w:r>
    </w:p>
    <w:p w:rsidR="004032DA" w:rsidRPr="004032DA" w:rsidRDefault="00547313">
      <w:pPr>
        <w:autoSpaceDE w:val="0"/>
        <w:autoSpaceDN w:val="0"/>
        <w:adjustRightInd w:val="0"/>
        <w:spacing w:line="480" w:lineRule="auto"/>
        <w:jc w:val="center"/>
      </w:pPr>
      <w:r>
        <w:t>-------</w:t>
      </w:r>
      <w:r w:rsidR="001A0A71">
        <w:t>-</w:t>
      </w:r>
      <w:r w:rsidR="001A0A71" w:rsidRPr="00AD1AEF">
        <w:t>-----------------------------------</w:t>
      </w:r>
    </w:p>
    <w:p w:rsidR="006662B1" w:rsidRDefault="007232B1" w:rsidP="00482615">
      <w:pPr>
        <w:spacing w:line="480" w:lineRule="auto"/>
        <w:ind w:firstLine="567"/>
        <w:rPr>
          <w:b/>
        </w:rPr>
      </w:pPr>
      <w:r>
        <w:rPr>
          <w:b/>
        </w:rPr>
        <w:t>Further robustness checks</w:t>
      </w:r>
      <w:r w:rsidR="00851CAF">
        <w:rPr>
          <w:b/>
        </w:rPr>
        <w:t xml:space="preserve"> </w:t>
      </w:r>
    </w:p>
    <w:p w:rsidR="00CF2ED3" w:rsidRDefault="00137E1C" w:rsidP="00EF3324">
      <w:pPr>
        <w:spacing w:line="480" w:lineRule="auto"/>
        <w:ind w:firstLine="567"/>
        <w:jc w:val="both"/>
      </w:pPr>
      <w:r>
        <w:t>In addition to the</w:t>
      </w:r>
      <w:r w:rsidR="00EF3324">
        <w:t xml:space="preserve"> robustness</w:t>
      </w:r>
      <w:r>
        <w:t xml:space="preserve"> </w:t>
      </w:r>
      <w:r w:rsidR="00EF3324">
        <w:t>checks</w:t>
      </w:r>
      <w:r>
        <w:t xml:space="preserve"> mentioned in the method section, w</w:t>
      </w:r>
      <w:r w:rsidR="00415713">
        <w:t xml:space="preserve">e conducted further </w:t>
      </w:r>
      <w:r w:rsidR="00EF3324">
        <w:t>tests</w:t>
      </w:r>
      <w:r w:rsidR="00415713">
        <w:t xml:space="preserve"> to confirm the robustness of our results. </w:t>
      </w:r>
      <w:r w:rsidR="00CF2ED3">
        <w:t xml:space="preserve">To account for the potential effects of outliers, we </w:t>
      </w:r>
      <w:r w:rsidR="00415713">
        <w:t>removed</w:t>
      </w:r>
      <w:r w:rsidR="00CF2ED3">
        <w:t xml:space="preserve"> from our sample</w:t>
      </w:r>
      <w:r w:rsidR="002F3296" w:rsidRPr="002F3296">
        <w:t xml:space="preserve"> </w:t>
      </w:r>
      <w:r w:rsidR="002F3296">
        <w:t>in separate tests</w:t>
      </w:r>
      <w:r w:rsidR="00006C61">
        <w:t xml:space="preserve"> the following elements</w:t>
      </w:r>
      <w:r w:rsidR="00CF2ED3">
        <w:t xml:space="preserve">: </w:t>
      </w:r>
      <w:r w:rsidR="00D801C5">
        <w:t>(1</w:t>
      </w:r>
      <w:r w:rsidR="00CF2ED3">
        <w:t xml:space="preserve">) </w:t>
      </w:r>
      <w:r w:rsidR="00A120F2">
        <w:t xml:space="preserve">20 </w:t>
      </w:r>
      <w:r w:rsidR="00CF2ED3">
        <w:t xml:space="preserve">Russell Group members, </w:t>
      </w:r>
      <w:r w:rsidR="00D801C5">
        <w:t>(2</w:t>
      </w:r>
      <w:r w:rsidR="00CF2ED3">
        <w:t xml:space="preserve">) </w:t>
      </w:r>
      <w:r w:rsidR="00A120F2">
        <w:t xml:space="preserve">26 </w:t>
      </w:r>
      <w:r w:rsidR="00CF2ED3">
        <w:t xml:space="preserve">universities with zero spinoffs in their portfolios, </w:t>
      </w:r>
      <w:r w:rsidR="00D801C5">
        <w:t>(3</w:t>
      </w:r>
      <w:r w:rsidR="00CF2ED3">
        <w:t xml:space="preserve">) the top </w:t>
      </w:r>
      <w:r w:rsidR="00261B36">
        <w:t xml:space="preserve">10 </w:t>
      </w:r>
      <w:r w:rsidR="00CF2ED3">
        <w:t xml:space="preserve">and bottom 10 of universities </w:t>
      </w:r>
      <w:r w:rsidR="00261B36">
        <w:t xml:space="preserve">by total </w:t>
      </w:r>
      <w:r w:rsidR="00A120F2">
        <w:t xml:space="preserve">2007 </w:t>
      </w:r>
      <w:r w:rsidR="00261B36">
        <w:t>revenue</w:t>
      </w:r>
      <w:r w:rsidR="00D801C5">
        <w:t>,</w:t>
      </w:r>
      <w:r w:rsidR="00261B36">
        <w:t xml:space="preserve"> and </w:t>
      </w:r>
      <w:r w:rsidR="00D801C5">
        <w:t>(4</w:t>
      </w:r>
      <w:r w:rsidR="00261B36">
        <w:t>) all panel years except 1993 (starting point), 2000 (middle point) and 2007 (final point)</w:t>
      </w:r>
      <w:r w:rsidR="00CF2ED3">
        <w:t xml:space="preserve">. </w:t>
      </w:r>
      <w:r w:rsidR="00EF3324">
        <w:t>The results were qualitatively similar</w:t>
      </w:r>
      <w:r w:rsidR="00D14F36">
        <w:t xml:space="preserve"> in </w:t>
      </w:r>
      <w:r w:rsidR="002F3296">
        <w:t>all cases</w:t>
      </w:r>
      <w:r w:rsidR="00EF3324">
        <w:t xml:space="preserve">. </w:t>
      </w:r>
      <w:r w:rsidR="006B4AA8">
        <w:t>We then</w:t>
      </w:r>
      <w:r w:rsidR="00A120F2">
        <w:t xml:space="preserve"> </w:t>
      </w:r>
      <w:r w:rsidR="00D801C5">
        <w:t xml:space="preserve">(5) </w:t>
      </w:r>
      <w:r w:rsidR="00415713">
        <w:t>disaggregated</w:t>
      </w:r>
      <w:r w:rsidR="00CF2ED3">
        <w:t xml:space="preserve"> funding from public and private sectors </w:t>
      </w:r>
      <w:r w:rsidR="00A120F2">
        <w:t>(the dependent variable)</w:t>
      </w:r>
      <w:r w:rsidR="00006C61">
        <w:t>,</w:t>
      </w:r>
      <w:r w:rsidR="00A120F2">
        <w:t xml:space="preserve"> </w:t>
      </w:r>
      <w:r w:rsidR="00CF2ED3">
        <w:t xml:space="preserve">and the results did not change either. </w:t>
      </w:r>
      <w:r w:rsidR="00D801C5">
        <w:t>W</w:t>
      </w:r>
      <w:r w:rsidR="00CF2ED3" w:rsidRPr="00AD1AEF">
        <w:t xml:space="preserve">e </w:t>
      </w:r>
      <w:r w:rsidR="00D801C5">
        <w:t xml:space="preserve">also </w:t>
      </w:r>
      <w:r w:rsidR="00006C61" w:rsidRPr="00AD1AEF">
        <w:t>r</w:t>
      </w:r>
      <w:r w:rsidR="00006C61">
        <w:t>a</w:t>
      </w:r>
      <w:r w:rsidR="00006C61" w:rsidRPr="00AD1AEF">
        <w:t xml:space="preserve">n </w:t>
      </w:r>
      <w:r w:rsidR="00CF2ED3" w:rsidRPr="00AD1AEF">
        <w:t xml:space="preserve">regressions for the sources of funding that we </w:t>
      </w:r>
      <w:r w:rsidR="001A48C5">
        <w:t xml:space="preserve">had </w:t>
      </w:r>
      <w:r w:rsidR="00CF2ED3" w:rsidRPr="00AD1AEF">
        <w:t xml:space="preserve">excluded from the original analysis. Specifically, we </w:t>
      </w:r>
      <w:r w:rsidR="00D801C5">
        <w:t xml:space="preserve">(6) </w:t>
      </w:r>
      <w:r w:rsidR="00CF2ED3" w:rsidRPr="00AD1AEF">
        <w:t xml:space="preserve">analyzed </w:t>
      </w:r>
      <w:r w:rsidR="00CF2ED3">
        <w:t>the impact of our three spinoff-related predictors</w:t>
      </w:r>
      <w:r w:rsidR="00CF2ED3" w:rsidRPr="00AD1AEF">
        <w:t xml:space="preserve"> on</w:t>
      </w:r>
      <w:r w:rsidR="00CF2ED3">
        <w:t xml:space="preserve"> university</w:t>
      </w:r>
      <w:r w:rsidR="00CF2ED3" w:rsidRPr="00AD1AEF">
        <w:t xml:space="preserve"> income from recurrent grants and student fees and</w:t>
      </w:r>
      <w:r w:rsidR="00CF2ED3">
        <w:t>,</w:t>
      </w:r>
      <w:r w:rsidR="00CF2ED3" w:rsidRPr="00AD1AEF">
        <w:t xml:space="preserve"> as expected</w:t>
      </w:r>
      <w:r w:rsidR="00CF2ED3">
        <w:t>,</w:t>
      </w:r>
      <w:r w:rsidR="00CF2ED3" w:rsidRPr="00AD1AEF">
        <w:t xml:space="preserve"> </w:t>
      </w:r>
      <w:r w:rsidR="00CF2ED3">
        <w:t>we did</w:t>
      </w:r>
      <w:r w:rsidR="00CF2ED3" w:rsidRPr="00AD1AEF">
        <w:t xml:space="preserve"> n</w:t>
      </w:r>
      <w:r w:rsidR="006B4AA8">
        <w:t>ot find significant effects</w:t>
      </w:r>
      <w:r w:rsidR="00CF2ED3" w:rsidRPr="00AD1AEF">
        <w:t xml:space="preserve">. </w:t>
      </w:r>
    </w:p>
    <w:p w:rsidR="0076153A" w:rsidRDefault="00F260AD" w:rsidP="002724C4">
      <w:pPr>
        <w:spacing w:line="480" w:lineRule="auto"/>
        <w:ind w:firstLine="567"/>
        <w:jc w:val="both"/>
      </w:pPr>
      <w:r>
        <w:t>We also considered a</w:t>
      </w:r>
      <w:r w:rsidRPr="00AD1AEF">
        <w:t xml:space="preserve">n alternative explanation </w:t>
      </w:r>
      <w:r w:rsidR="001A48C5">
        <w:t>for</w:t>
      </w:r>
      <w:r w:rsidRPr="00AD1AEF">
        <w:t xml:space="preserve"> our results</w:t>
      </w:r>
      <w:r>
        <w:t>; it</w:t>
      </w:r>
      <w:r w:rsidRPr="00AD1AEF">
        <w:t xml:space="preserve"> might be that the increase in university research income was due to grants directly linked with its spinoffs and not via reputational benefits. We </w:t>
      </w:r>
      <w:r>
        <w:t xml:space="preserve">empirically </w:t>
      </w:r>
      <w:r w:rsidRPr="00AD1AEF">
        <w:t>explored this alternative</w:t>
      </w:r>
      <w:r w:rsidR="00006C61">
        <w:t>,</w:t>
      </w:r>
      <w:r w:rsidRPr="00AD1AEF">
        <w:t xml:space="preserve"> but it did not fit the data. We looked at the research grants that spinoffs </w:t>
      </w:r>
      <w:r w:rsidR="001A48C5">
        <w:t>attracted</w:t>
      </w:r>
      <w:r w:rsidRPr="00AD1AEF">
        <w:t xml:space="preserve">, but the amounts of money involved were negligible in comparison to the total university research income. </w:t>
      </w:r>
    </w:p>
    <w:p w:rsidR="0076153A" w:rsidRDefault="0076153A">
      <w:pPr>
        <w:spacing w:line="480" w:lineRule="auto"/>
        <w:jc w:val="both"/>
      </w:pPr>
    </w:p>
    <w:p w:rsidR="0076153A" w:rsidRDefault="0076153A">
      <w:pPr>
        <w:spacing w:line="480" w:lineRule="auto"/>
        <w:jc w:val="both"/>
      </w:pPr>
    </w:p>
    <w:p w:rsidR="0076153A" w:rsidRPr="000236D2" w:rsidRDefault="0076153A" w:rsidP="0088091D">
      <w:pPr>
        <w:spacing w:line="480" w:lineRule="auto"/>
        <w:ind w:firstLine="567"/>
        <w:jc w:val="both"/>
      </w:pPr>
    </w:p>
    <w:p w:rsidR="00344FFD" w:rsidRPr="00AD1AEF" w:rsidRDefault="00B32E6E" w:rsidP="00084ACA">
      <w:pPr>
        <w:numPr>
          <w:ilvl w:val="0"/>
          <w:numId w:val="5"/>
        </w:numPr>
        <w:spacing w:line="480" w:lineRule="auto"/>
        <w:ind w:left="426" w:hanging="426"/>
        <w:rPr>
          <w:b/>
        </w:rPr>
      </w:pPr>
      <w:r w:rsidRPr="00AD1AEF">
        <w:rPr>
          <w:b/>
        </w:rPr>
        <w:t>DISCUSSION</w:t>
      </w:r>
    </w:p>
    <w:p w:rsidR="00644C59" w:rsidRPr="00A425BA" w:rsidRDefault="004E767D" w:rsidP="002B666C">
      <w:pPr>
        <w:spacing w:line="480" w:lineRule="auto"/>
        <w:ind w:firstLine="567"/>
        <w:jc w:val="both"/>
        <w:rPr>
          <w:rFonts w:eastAsia="Times New Roman"/>
          <w:color w:val="000000"/>
        </w:rPr>
      </w:pPr>
      <w:r w:rsidRPr="00AD1AEF">
        <w:t>In this paper</w:t>
      </w:r>
      <w:r w:rsidR="007A3E64" w:rsidRPr="00AD1AEF">
        <w:t>,</w:t>
      </w:r>
      <w:r w:rsidRPr="00AD1AEF">
        <w:t xml:space="preserve"> </w:t>
      </w:r>
      <w:r w:rsidR="00D85A1B">
        <w:t xml:space="preserve">we showed that developing a reputation </w:t>
      </w:r>
      <w:r w:rsidR="004C57B3">
        <w:t>for</w:t>
      </w:r>
      <w:r w:rsidR="005F3785">
        <w:t xml:space="preserve"> </w:t>
      </w:r>
      <w:r w:rsidR="004C57B3">
        <w:t xml:space="preserve">a </w:t>
      </w:r>
      <w:r w:rsidR="005F3785">
        <w:t>peripher</w:t>
      </w:r>
      <w:r w:rsidR="00C91F11">
        <w:t>al</w:t>
      </w:r>
      <w:r w:rsidR="00D85A1B">
        <w:t xml:space="preserve"> </w:t>
      </w:r>
      <w:r w:rsidR="004C57B3">
        <w:t>activity</w:t>
      </w:r>
      <w:r w:rsidR="00D85A1B">
        <w:t xml:space="preserve"> </w:t>
      </w:r>
      <w:r w:rsidR="004C57B3">
        <w:t xml:space="preserve">via direct and refracted signals </w:t>
      </w:r>
      <w:r w:rsidR="00D85A1B">
        <w:t xml:space="preserve">can generate positive spillovers for core organizational activities. We </w:t>
      </w:r>
      <w:r w:rsidR="00006C61">
        <w:t xml:space="preserve">refer to </w:t>
      </w:r>
      <w:r w:rsidR="00D85A1B">
        <w:t xml:space="preserve">this </w:t>
      </w:r>
      <w:r w:rsidR="00D85A1B">
        <w:lastRenderedPageBreak/>
        <w:t xml:space="preserve">phenomenon </w:t>
      </w:r>
      <w:r w:rsidR="00006C61">
        <w:t xml:space="preserve">as </w:t>
      </w:r>
      <w:r w:rsidR="00D85A1B">
        <w:t xml:space="preserve">the peripheral halo effect. </w:t>
      </w:r>
      <w:r w:rsidR="007C62A9">
        <w:t>We suggest that the mechanisms driving the effect are mental</w:t>
      </w:r>
      <w:r w:rsidR="00006C61">
        <w:t xml:space="preserve"> </w:t>
      </w:r>
      <w:r w:rsidR="007C62A9">
        <w:t>shortcuts (heuristics)</w:t>
      </w:r>
      <w:r w:rsidR="006405EA">
        <w:t xml:space="preserve"> used by audiences</w:t>
      </w:r>
      <w:r w:rsidR="007C62A9">
        <w:t xml:space="preserve">. </w:t>
      </w:r>
      <w:r w:rsidR="00911995">
        <w:t xml:space="preserve">In the context of academic entrepreneurship, </w:t>
      </w:r>
      <w:r w:rsidR="00B503ED" w:rsidRPr="00AD1AEF">
        <w:t>we</w:t>
      </w:r>
      <w:r w:rsidR="00B503ED">
        <w:t xml:space="preserve"> </w:t>
      </w:r>
      <w:r w:rsidR="00B503ED" w:rsidRPr="00AD1AEF">
        <w:t>found that si</w:t>
      </w:r>
      <w:r w:rsidR="004C57B3">
        <w:t>gnals of effort and</w:t>
      </w:r>
      <w:r w:rsidR="00B503ED" w:rsidRPr="00AD1AEF">
        <w:t xml:space="preserve"> </w:t>
      </w:r>
      <w:r w:rsidR="00B503ED">
        <w:t>performance</w:t>
      </w:r>
      <w:r w:rsidR="00B503ED" w:rsidRPr="00AD1AEF">
        <w:t xml:space="preserve"> </w:t>
      </w:r>
      <w:r w:rsidR="004C57B3">
        <w:t>in creating impact via spinoffs</w:t>
      </w:r>
      <w:r w:rsidR="001154A5">
        <w:t>,</w:t>
      </w:r>
      <w:r w:rsidR="004C57B3">
        <w:t xml:space="preserve"> as well as </w:t>
      </w:r>
      <w:r w:rsidR="009206A6">
        <w:t>refracted signals generated by the media</w:t>
      </w:r>
      <w:r w:rsidR="001154A5">
        <w:t>,</w:t>
      </w:r>
      <w:r w:rsidR="00B503ED">
        <w:t xml:space="preserve"> </w:t>
      </w:r>
      <w:r w:rsidR="00A425BA">
        <w:t xml:space="preserve">influence </w:t>
      </w:r>
      <w:r w:rsidR="00B503ED" w:rsidRPr="00AD1AEF">
        <w:t xml:space="preserve">research income over and above the amount expected from </w:t>
      </w:r>
      <w:r w:rsidR="009206A6">
        <w:t>a</w:t>
      </w:r>
      <w:r w:rsidR="00B503ED" w:rsidRPr="00AD1AEF">
        <w:t xml:space="preserve"> univ</w:t>
      </w:r>
      <w:r w:rsidR="00FF224D">
        <w:t>ersity’s research performance and</w:t>
      </w:r>
      <w:r w:rsidR="00B503ED">
        <w:t xml:space="preserve"> general reputation. </w:t>
      </w:r>
      <w:r w:rsidR="00F065B8">
        <w:t xml:space="preserve">We also found that </w:t>
      </w:r>
      <w:r w:rsidR="00D60884">
        <w:t>organization</w:t>
      </w:r>
      <w:r w:rsidR="005D5D60">
        <w:t>al status</w:t>
      </w:r>
      <w:r w:rsidR="0092756B">
        <w:t xml:space="preserve"> amplifies the</w:t>
      </w:r>
      <w:r w:rsidR="00F065B8">
        <w:t xml:space="preserve"> </w:t>
      </w:r>
      <w:r w:rsidR="00F83D5C">
        <w:t xml:space="preserve">peripheral halo effect. </w:t>
      </w:r>
      <w:r w:rsidR="0092756B">
        <w:t>For high-status organizations</w:t>
      </w:r>
      <w:r w:rsidR="00F83D5C">
        <w:t xml:space="preserve"> (</w:t>
      </w:r>
      <w:r w:rsidR="0092756B">
        <w:t>in our context, universities</w:t>
      </w:r>
      <w:r w:rsidR="00F83D5C">
        <w:t xml:space="preserve"> </w:t>
      </w:r>
      <w:r w:rsidR="0076349A">
        <w:t xml:space="preserve">in </w:t>
      </w:r>
      <w:r w:rsidR="00F83D5C">
        <w:t>the Russel</w:t>
      </w:r>
      <w:r w:rsidR="001E5453">
        <w:t>l</w:t>
      </w:r>
      <w:r w:rsidR="00F83D5C">
        <w:t xml:space="preserve"> </w:t>
      </w:r>
      <w:r w:rsidR="007270E7">
        <w:t>G</w:t>
      </w:r>
      <w:r w:rsidR="00F83D5C">
        <w:t>roup)</w:t>
      </w:r>
      <w:r w:rsidR="00F065B8">
        <w:t xml:space="preserve">, the relationship between </w:t>
      </w:r>
      <w:r w:rsidR="0092756B">
        <w:t>signals for the peripheral activity (social impact</w:t>
      </w:r>
      <w:r w:rsidR="004C57B3">
        <w:t xml:space="preserve"> via spinoffs</w:t>
      </w:r>
      <w:r w:rsidR="0092756B">
        <w:t>)</w:t>
      </w:r>
      <w:r w:rsidR="00F83D5C">
        <w:t xml:space="preserve"> </w:t>
      </w:r>
      <w:r w:rsidR="00B95F82">
        <w:t xml:space="preserve">and </w:t>
      </w:r>
      <w:r w:rsidR="00BF0B1B">
        <w:t>evaluations</w:t>
      </w:r>
      <w:r w:rsidR="0092756B">
        <w:t xml:space="preserve"> for the core activity (</w:t>
      </w:r>
      <w:r w:rsidR="00B95F82">
        <w:t>research income</w:t>
      </w:r>
      <w:r w:rsidR="0092756B">
        <w:t>)</w:t>
      </w:r>
      <w:r w:rsidR="00B95F82">
        <w:t xml:space="preserve"> is</w:t>
      </w:r>
      <w:r w:rsidR="00F065B8">
        <w:t xml:space="preserve"> stronger</w:t>
      </w:r>
      <w:r w:rsidR="00C72DBB">
        <w:rPr>
          <w:vertAlign w:val="superscript"/>
        </w:rPr>
        <w:t>1</w:t>
      </w:r>
      <w:r w:rsidR="00F065B8">
        <w:t xml:space="preserve">. </w:t>
      </w:r>
      <w:r w:rsidR="00553302">
        <w:rPr>
          <w:rFonts w:eastAsia="Times New Roman"/>
          <w:color w:val="000000"/>
        </w:rPr>
        <w:t xml:space="preserve"> </w:t>
      </w:r>
    </w:p>
    <w:p w:rsidR="0091156E" w:rsidRDefault="003D1299" w:rsidP="00A425BA">
      <w:pPr>
        <w:spacing w:line="480" w:lineRule="auto"/>
        <w:ind w:firstLine="567"/>
        <w:jc w:val="both"/>
      </w:pPr>
      <w:r>
        <w:t>The study makes three major contributions</w:t>
      </w:r>
      <w:r w:rsidR="003A58BE">
        <w:t xml:space="preserve"> elaborated below.</w:t>
      </w:r>
    </w:p>
    <w:p w:rsidR="00617CE7" w:rsidRDefault="00617CE7" w:rsidP="00AA26DE">
      <w:pPr>
        <w:spacing w:line="480" w:lineRule="auto"/>
        <w:ind w:firstLine="567"/>
        <w:jc w:val="both"/>
        <w:outlineLvl w:val="0"/>
        <w:rPr>
          <w:b/>
        </w:rPr>
      </w:pPr>
    </w:p>
    <w:p w:rsidR="00AD6CD3" w:rsidRPr="00AD1AEF" w:rsidRDefault="003D1299" w:rsidP="00AA26DE">
      <w:pPr>
        <w:spacing w:line="480" w:lineRule="auto"/>
        <w:ind w:firstLine="567"/>
        <w:jc w:val="both"/>
        <w:outlineLvl w:val="0"/>
        <w:rPr>
          <w:b/>
        </w:rPr>
      </w:pPr>
      <w:r>
        <w:rPr>
          <w:b/>
        </w:rPr>
        <w:t>The peripheral halo effect</w:t>
      </w:r>
    </w:p>
    <w:p w:rsidR="003C100E" w:rsidRDefault="007C62A9" w:rsidP="002B666C">
      <w:pPr>
        <w:spacing w:line="480" w:lineRule="auto"/>
        <w:ind w:firstLine="567"/>
        <w:jc w:val="both"/>
      </w:pPr>
      <w:r>
        <w:t>First,</w:t>
      </w:r>
      <w:r w:rsidR="009F2A3C">
        <w:t xml:space="preserve"> </w:t>
      </w:r>
      <w:r w:rsidRPr="004A03BA">
        <w:t>w</w:t>
      </w:r>
      <w:r w:rsidR="009E0C52" w:rsidRPr="004A03BA">
        <w:t>e contribute to</w:t>
      </w:r>
      <w:r w:rsidR="008C2627" w:rsidRPr="004A03BA">
        <w:t xml:space="preserve"> </w:t>
      </w:r>
      <w:r w:rsidR="001B73E7">
        <w:t xml:space="preserve">management </w:t>
      </w:r>
      <w:r w:rsidR="00F36C79" w:rsidRPr="004A03BA">
        <w:t xml:space="preserve">theory </w:t>
      </w:r>
      <w:r w:rsidR="000F67DC" w:rsidRPr="004A03BA">
        <w:t xml:space="preserve">by </w:t>
      </w:r>
      <w:r w:rsidR="004A03BA">
        <w:t>providing evidence of</w:t>
      </w:r>
      <w:r w:rsidR="000F67DC" w:rsidRPr="004A03BA">
        <w:t xml:space="preserve"> the peripheral halo effect.</w:t>
      </w:r>
      <w:r w:rsidR="00F36C79" w:rsidRPr="003D1299">
        <w:t xml:space="preserve"> </w:t>
      </w:r>
      <w:r w:rsidR="000F4181">
        <w:t>The c</w:t>
      </w:r>
      <w:r w:rsidR="001763B3" w:rsidRPr="00AD1AEF">
        <w:rPr>
          <w:rStyle w:val="printonly"/>
        </w:rPr>
        <w:t xml:space="preserve">urrent literature has </w:t>
      </w:r>
      <w:r w:rsidR="002A266C">
        <w:rPr>
          <w:rStyle w:val="printonly"/>
        </w:rPr>
        <w:t>suggested</w:t>
      </w:r>
      <w:r w:rsidR="00EA2751">
        <w:rPr>
          <w:rStyle w:val="printonly"/>
        </w:rPr>
        <w:t xml:space="preserve"> that </w:t>
      </w:r>
      <w:r w:rsidR="003C100E" w:rsidRPr="00AD1AEF">
        <w:rPr>
          <w:rStyle w:val="printonly"/>
        </w:rPr>
        <w:t xml:space="preserve">reputation </w:t>
      </w:r>
      <w:r w:rsidR="000266E5">
        <w:rPr>
          <w:rStyle w:val="printonly"/>
        </w:rPr>
        <w:t xml:space="preserve">for the core </w:t>
      </w:r>
      <w:r w:rsidR="00D60884">
        <w:rPr>
          <w:rStyle w:val="printonly"/>
        </w:rPr>
        <w:t>organization</w:t>
      </w:r>
      <w:r w:rsidR="008C2627">
        <w:rPr>
          <w:rStyle w:val="printonly"/>
        </w:rPr>
        <w:t xml:space="preserve">al </w:t>
      </w:r>
      <w:r w:rsidR="000266E5">
        <w:rPr>
          <w:rStyle w:val="printonly"/>
        </w:rPr>
        <w:t xml:space="preserve">activity </w:t>
      </w:r>
      <w:r w:rsidR="00EA2751">
        <w:rPr>
          <w:rStyle w:val="printonly"/>
        </w:rPr>
        <w:t xml:space="preserve">can positively impact </w:t>
      </w:r>
      <w:r w:rsidR="00D91658" w:rsidRPr="00AD1AEF">
        <w:rPr>
          <w:rStyle w:val="printonly"/>
        </w:rPr>
        <w:t>a new initiative</w:t>
      </w:r>
      <w:r w:rsidR="008C2627">
        <w:rPr>
          <w:rStyle w:val="printonly"/>
        </w:rPr>
        <w:t>, the so</w:t>
      </w:r>
      <w:r w:rsidR="00011091">
        <w:rPr>
          <w:rStyle w:val="printonly"/>
        </w:rPr>
        <w:t>-</w:t>
      </w:r>
      <w:r w:rsidR="008C2627">
        <w:rPr>
          <w:rStyle w:val="printonly"/>
        </w:rPr>
        <w:t>called halo effect (</w:t>
      </w:r>
      <w:r w:rsidR="009D7EDB" w:rsidRPr="00AD1AEF">
        <w:rPr>
          <w:rStyle w:val="printonly"/>
        </w:rPr>
        <w:t>Merton, 196</w:t>
      </w:r>
      <w:r w:rsidR="009862E2">
        <w:rPr>
          <w:rStyle w:val="printonly"/>
        </w:rPr>
        <w:t xml:space="preserve">8; Crane, 1965; </w:t>
      </w:r>
      <w:proofErr w:type="spellStart"/>
      <w:r w:rsidR="009862E2">
        <w:rPr>
          <w:rStyle w:val="printonly"/>
        </w:rPr>
        <w:t>Perrow</w:t>
      </w:r>
      <w:proofErr w:type="spellEnd"/>
      <w:r w:rsidR="009862E2">
        <w:rPr>
          <w:rStyle w:val="printonly"/>
        </w:rPr>
        <w:t xml:space="preserve">, 1961; Sine, Shane and </w:t>
      </w:r>
      <w:proofErr w:type="spellStart"/>
      <w:r w:rsidR="009862E2">
        <w:rPr>
          <w:rStyle w:val="printonly"/>
        </w:rPr>
        <w:t>DiGre</w:t>
      </w:r>
      <w:r w:rsidR="009D7EDB" w:rsidRPr="00AD1AEF">
        <w:rPr>
          <w:rStyle w:val="printonly"/>
        </w:rPr>
        <w:t>gorio</w:t>
      </w:r>
      <w:proofErr w:type="spellEnd"/>
      <w:r w:rsidR="009D7EDB" w:rsidRPr="00AD1AEF">
        <w:rPr>
          <w:rStyle w:val="printonly"/>
        </w:rPr>
        <w:t>, 2003</w:t>
      </w:r>
      <w:r w:rsidR="002A14F5">
        <w:rPr>
          <w:rStyle w:val="printonly"/>
        </w:rPr>
        <w:t>; Souitaris and Zerbinati, 2014</w:t>
      </w:r>
      <w:r w:rsidR="009D7EDB" w:rsidRPr="00AD1AEF">
        <w:rPr>
          <w:rStyle w:val="printonly"/>
        </w:rPr>
        <w:t>)</w:t>
      </w:r>
      <w:r w:rsidR="008C2627">
        <w:rPr>
          <w:rStyle w:val="printonly"/>
        </w:rPr>
        <w:t>.</w:t>
      </w:r>
      <w:r w:rsidR="00C31F16" w:rsidRPr="00AD1AEF">
        <w:rPr>
          <w:rStyle w:val="printonly"/>
        </w:rPr>
        <w:t xml:space="preserve"> </w:t>
      </w:r>
      <w:r w:rsidR="008C2627">
        <w:rPr>
          <w:rStyle w:val="printonly"/>
        </w:rPr>
        <w:t>W</w:t>
      </w:r>
      <w:r w:rsidR="00D21C71">
        <w:rPr>
          <w:rStyle w:val="printonly"/>
        </w:rPr>
        <w:t>e</w:t>
      </w:r>
      <w:r w:rsidR="00C31F16" w:rsidRPr="00AD1AEF">
        <w:rPr>
          <w:rStyle w:val="printonly"/>
        </w:rPr>
        <w:t xml:space="preserve"> </w:t>
      </w:r>
      <w:r w:rsidR="002A266C">
        <w:rPr>
          <w:rStyle w:val="printonly"/>
        </w:rPr>
        <w:t>reveal</w:t>
      </w:r>
      <w:r w:rsidR="00EA2751">
        <w:rPr>
          <w:rStyle w:val="printonly"/>
        </w:rPr>
        <w:t xml:space="preserve"> a different</w:t>
      </w:r>
      <w:r w:rsidR="009D7EDB" w:rsidRPr="00AD1AEF">
        <w:rPr>
          <w:rStyle w:val="printonly"/>
        </w:rPr>
        <w:t xml:space="preserve"> </w:t>
      </w:r>
      <w:r w:rsidR="00D21C71">
        <w:rPr>
          <w:rStyle w:val="printonly"/>
        </w:rPr>
        <w:t>(</w:t>
      </w:r>
      <w:r w:rsidR="00B96E1B">
        <w:rPr>
          <w:rStyle w:val="printonly"/>
        </w:rPr>
        <w:t>in</w:t>
      </w:r>
      <w:r w:rsidR="00D21C71">
        <w:rPr>
          <w:rStyle w:val="printonly"/>
        </w:rPr>
        <w:t xml:space="preserve">verse) </w:t>
      </w:r>
      <w:r w:rsidR="009D7EDB" w:rsidRPr="00AD1AEF">
        <w:rPr>
          <w:rStyle w:val="printonly"/>
        </w:rPr>
        <w:t>phenomenon</w:t>
      </w:r>
      <w:r w:rsidR="008C2627">
        <w:rPr>
          <w:rStyle w:val="printonly"/>
        </w:rPr>
        <w:t xml:space="preserve">: </w:t>
      </w:r>
      <w:r w:rsidR="00E01B3E" w:rsidRPr="004A03BA">
        <w:t>Signaling a reputation for a peripheral activity</w:t>
      </w:r>
      <w:r w:rsidR="00C365EA" w:rsidRPr="004A03BA">
        <w:t xml:space="preserve"> is associated with </w:t>
      </w:r>
      <w:r w:rsidR="003D1299">
        <w:t>audience evaluations</w:t>
      </w:r>
      <w:r w:rsidR="000F67DC" w:rsidRPr="004A03BA">
        <w:t xml:space="preserve"> for the </w:t>
      </w:r>
      <w:r w:rsidR="00D60884" w:rsidRPr="004A03BA">
        <w:t>organization</w:t>
      </w:r>
      <w:r w:rsidR="000F67DC" w:rsidRPr="004A03BA">
        <w:t xml:space="preserve">’s core activity. </w:t>
      </w:r>
      <w:r w:rsidR="00F87E05">
        <w:t>By positioning status as an important moderator, we also advance theory on the boundary co</w:t>
      </w:r>
      <w:r w:rsidR="003A58BE">
        <w:t xml:space="preserve">nditions of the </w:t>
      </w:r>
      <w:r w:rsidR="00F87E05">
        <w:t>effect.</w:t>
      </w:r>
    </w:p>
    <w:p w:rsidR="00473336" w:rsidRDefault="00674FA6" w:rsidP="0088091D">
      <w:pPr>
        <w:spacing w:line="480" w:lineRule="auto"/>
        <w:ind w:firstLine="567"/>
        <w:jc w:val="both"/>
        <w:rPr>
          <w:lang w:eastAsia="en-GB"/>
        </w:rPr>
      </w:pPr>
      <w:r>
        <w:t>The peripheral halo effect</w:t>
      </w:r>
      <w:r w:rsidR="00644C59">
        <w:t xml:space="preserve"> is i</w:t>
      </w:r>
      <w:r w:rsidR="00957714">
        <w:t xml:space="preserve">mportant </w:t>
      </w:r>
      <w:r w:rsidR="001B73E7">
        <w:t>for management</w:t>
      </w:r>
      <w:r w:rsidR="00B0361F">
        <w:t>, as</w:t>
      </w:r>
      <w:r w:rsidR="00957714">
        <w:t xml:space="preserve"> </w:t>
      </w:r>
      <w:r w:rsidR="00AB72B1">
        <w:t xml:space="preserve">the </w:t>
      </w:r>
      <w:r w:rsidR="003A58BE">
        <w:t>impact</w:t>
      </w:r>
      <w:r w:rsidR="00AB72B1">
        <w:t xml:space="preserve"> </w:t>
      </w:r>
      <w:r w:rsidR="00957714">
        <w:t>of peripheral act</w:t>
      </w:r>
      <w:r w:rsidR="00AB72B1">
        <w:t xml:space="preserve">ivities </w:t>
      </w:r>
      <w:r w:rsidR="00C144E4">
        <w:t xml:space="preserve">on the organization’s core business </w:t>
      </w:r>
      <w:r w:rsidR="00957714">
        <w:t xml:space="preserve">is </w:t>
      </w:r>
      <w:r w:rsidR="00C20162">
        <w:t>a key managerial concern</w:t>
      </w:r>
      <w:r w:rsidR="00644C59">
        <w:t xml:space="preserve">. </w:t>
      </w:r>
      <w:r w:rsidR="00746DB1">
        <w:t>V</w:t>
      </w:r>
      <w:r w:rsidR="004372DA">
        <w:t>enturing</w:t>
      </w:r>
      <w:r w:rsidR="00AB72B1">
        <w:t xml:space="preserve"> into peripheral areas of activity is </w:t>
      </w:r>
      <w:r w:rsidR="00460B8C">
        <w:t xml:space="preserve">a common </w:t>
      </w:r>
      <w:r w:rsidR="004372DA">
        <w:t>organizational endeavor</w:t>
      </w:r>
      <w:r w:rsidR="00AB72B1">
        <w:t xml:space="preserve">. </w:t>
      </w:r>
      <w:r w:rsidR="00C144E4">
        <w:t>For example</w:t>
      </w:r>
      <w:r w:rsidR="00746DB1">
        <w:t>,</w:t>
      </w:r>
      <w:r w:rsidR="00AB72B1">
        <w:t xml:space="preserve"> </w:t>
      </w:r>
      <w:r w:rsidR="00C144E4">
        <w:t>companies</w:t>
      </w:r>
      <w:r w:rsidR="00E30932">
        <w:t xml:space="preserve"> </w:t>
      </w:r>
      <w:r w:rsidR="00C144E4">
        <w:t xml:space="preserve">often </w:t>
      </w:r>
      <w:r w:rsidR="00E30932">
        <w:t>act to develop new</w:t>
      </w:r>
      <w:r w:rsidR="00C144E4">
        <w:t xml:space="preserve"> and </w:t>
      </w:r>
      <w:r w:rsidR="00E30932">
        <w:t>peripheral</w:t>
      </w:r>
      <w:r w:rsidR="00C144E4">
        <w:t xml:space="preserve"> product lines; they launch</w:t>
      </w:r>
      <w:r w:rsidR="00E30932">
        <w:t xml:space="preserve"> </w:t>
      </w:r>
      <w:r w:rsidR="00C144E4">
        <w:t xml:space="preserve">corporate ventures based on </w:t>
      </w:r>
      <w:r w:rsidR="00B907E4">
        <w:t xml:space="preserve">good </w:t>
      </w:r>
      <w:r w:rsidR="00C144E4">
        <w:t xml:space="preserve">ideas that are </w:t>
      </w:r>
      <w:r w:rsidR="00B907E4">
        <w:t xml:space="preserve">off-strategy (i.e. </w:t>
      </w:r>
      <w:r w:rsidR="00C144E4">
        <w:t>not central to their strategy</w:t>
      </w:r>
      <w:r w:rsidR="00CE2AAD">
        <w:t xml:space="preserve">), </w:t>
      </w:r>
      <w:r w:rsidR="00C144E4">
        <w:t xml:space="preserve">and they </w:t>
      </w:r>
      <w:r w:rsidR="00460B8C">
        <w:t>engage in</w:t>
      </w:r>
      <w:r w:rsidR="00E30932">
        <w:t xml:space="preserve"> </w:t>
      </w:r>
      <w:r w:rsidR="00C144E4">
        <w:t>activities such as CSR initiatives</w:t>
      </w:r>
      <w:r w:rsidR="00C20162">
        <w:t xml:space="preserve"> and community engagement</w:t>
      </w:r>
      <w:r w:rsidR="00C144E4">
        <w:t xml:space="preserve">. </w:t>
      </w:r>
      <w:r>
        <w:t>Since peripheral activities entail</w:t>
      </w:r>
      <w:r w:rsidR="00C20162">
        <w:t xml:space="preserve"> cost</w:t>
      </w:r>
      <w:r>
        <w:t>s</w:t>
      </w:r>
      <w:r w:rsidR="00C20162">
        <w:t xml:space="preserve"> and risk,</w:t>
      </w:r>
      <w:r>
        <w:t xml:space="preserve"> managers</w:t>
      </w:r>
      <w:r w:rsidR="001B73E7">
        <w:t xml:space="preserve"> are</w:t>
      </w:r>
      <w:r>
        <w:t xml:space="preserve"> naturally </w:t>
      </w:r>
      <w:r w:rsidR="001B73E7">
        <w:t>concerned whether embarking</w:t>
      </w:r>
      <w:r>
        <w:t xml:space="preserve"> into the periphery </w:t>
      </w:r>
      <w:r w:rsidR="001B73E7">
        <w:t xml:space="preserve">is a good idea </w:t>
      </w:r>
      <w:r>
        <w:t xml:space="preserve">and </w:t>
      </w:r>
      <w:r w:rsidR="001B73E7">
        <w:t xml:space="preserve">specifically </w:t>
      </w:r>
      <w:r w:rsidR="00B0361F">
        <w:t>whether there are</w:t>
      </w:r>
      <w:r>
        <w:t xml:space="preserve"> implications for the</w:t>
      </w:r>
      <w:r w:rsidR="00B0361F">
        <w:t xml:space="preserve"> core-business</w:t>
      </w:r>
      <w:r>
        <w:t xml:space="preserve"> </w:t>
      </w:r>
      <w:r w:rsidR="00B907E4">
        <w:t>bottom</w:t>
      </w:r>
      <w:r w:rsidR="00CE2AAD">
        <w:t xml:space="preserve"> </w:t>
      </w:r>
      <w:r w:rsidR="00B907E4">
        <w:t>line</w:t>
      </w:r>
      <w:r>
        <w:t xml:space="preserve">. </w:t>
      </w:r>
      <w:r w:rsidR="00460B8C">
        <w:t xml:space="preserve">Our findings offer empirical evidence that reputation-developing signals related to a peripheral activity can actually positively influence evaluations for the core </w:t>
      </w:r>
      <w:r w:rsidR="00460B8C">
        <w:lastRenderedPageBreak/>
        <w:t>activity.</w:t>
      </w:r>
      <w:r w:rsidR="00F10BC9">
        <w:t xml:space="preserve"> </w:t>
      </w:r>
      <w:r w:rsidR="006208FF">
        <w:t>T</w:t>
      </w:r>
      <w:r w:rsidR="00F10BC9">
        <w:t>h</w:t>
      </w:r>
      <w:r w:rsidR="00A2126C">
        <w:t>is</w:t>
      </w:r>
      <w:r w:rsidR="00F10BC9">
        <w:t xml:space="preserve"> peripheral halo effect</w:t>
      </w:r>
      <w:r w:rsidR="006208FF">
        <w:t xml:space="preserve">, which </w:t>
      </w:r>
      <w:r w:rsidR="00F10BC9" w:rsidRPr="00AD1AEF">
        <w:t>appl</w:t>
      </w:r>
      <w:r w:rsidR="006208FF">
        <w:t>ies</w:t>
      </w:r>
      <w:r w:rsidR="00F10BC9" w:rsidRPr="00AD1AEF">
        <w:t xml:space="preserve"> to </w:t>
      </w:r>
      <w:r w:rsidR="00F10BC9">
        <w:t>a variety of</w:t>
      </w:r>
      <w:r w:rsidR="00746DB1">
        <w:t xml:space="preserve"> organizational </w:t>
      </w:r>
      <w:r w:rsidR="00F10BC9" w:rsidRPr="00AD1AEF">
        <w:t>contexts</w:t>
      </w:r>
      <w:r w:rsidR="006208FF">
        <w:t>,</w:t>
      </w:r>
      <w:r w:rsidR="00F10BC9" w:rsidRPr="00AD1AEF">
        <w:t xml:space="preserve"> </w:t>
      </w:r>
      <w:r w:rsidR="00F10BC9">
        <w:t>c</w:t>
      </w:r>
      <w:r w:rsidR="00F10BC9" w:rsidRPr="00AD1AEF">
        <w:t xml:space="preserve">ould be </w:t>
      </w:r>
      <w:r w:rsidR="00C2378A">
        <w:t xml:space="preserve">used as a </w:t>
      </w:r>
      <w:r w:rsidR="00F10BC9" w:rsidRPr="00AD1AEF">
        <w:t>strategically</w:t>
      </w:r>
      <w:r w:rsidR="00CE2AAD">
        <w:t xml:space="preserve"> </w:t>
      </w:r>
      <w:r w:rsidR="00F10BC9" w:rsidRPr="00AD1AEF">
        <w:t>managed</w:t>
      </w:r>
      <w:r w:rsidR="00F10BC9">
        <w:t xml:space="preserve"> </w:t>
      </w:r>
      <w:r w:rsidR="006208FF">
        <w:t xml:space="preserve">tool </w:t>
      </w:r>
      <w:r w:rsidR="00F10BC9">
        <w:t xml:space="preserve">to generate growth in </w:t>
      </w:r>
      <w:r w:rsidR="00746DB1">
        <w:t>the</w:t>
      </w:r>
      <w:r w:rsidR="00F10BC9">
        <w:t xml:space="preserve"> firm’s core business</w:t>
      </w:r>
      <w:r w:rsidR="00F10BC9" w:rsidRPr="00AD1AEF">
        <w:t xml:space="preserve">. </w:t>
      </w:r>
    </w:p>
    <w:p w:rsidR="00FE7503" w:rsidRPr="00726B59" w:rsidRDefault="00473336" w:rsidP="0088091D">
      <w:pPr>
        <w:spacing w:line="480" w:lineRule="auto"/>
        <w:ind w:firstLine="567"/>
        <w:jc w:val="both"/>
        <w:rPr>
          <w:lang w:val="en-GB" w:eastAsia="en-GB"/>
        </w:rPr>
      </w:pPr>
      <w:r>
        <w:rPr>
          <w:lang w:eastAsia="en-GB"/>
        </w:rPr>
        <w:t>O</w:t>
      </w:r>
      <w:r w:rsidR="00710952" w:rsidRPr="00726B59">
        <w:rPr>
          <w:lang w:val="en-GB" w:eastAsia="en-GB"/>
        </w:rPr>
        <w:t xml:space="preserve">ur conceptualisation of the peripheral halo effect </w:t>
      </w:r>
      <w:r w:rsidR="00BE7AF9" w:rsidRPr="00726B59">
        <w:rPr>
          <w:lang w:val="en-GB" w:eastAsia="en-GB"/>
        </w:rPr>
        <w:t xml:space="preserve">contributes to </w:t>
      </w:r>
      <w:r w:rsidR="00710952" w:rsidRPr="00726B59">
        <w:rPr>
          <w:lang w:val="en-GB" w:eastAsia="en-GB"/>
        </w:rPr>
        <w:t xml:space="preserve">the </w:t>
      </w:r>
      <w:r w:rsidR="001F33A8" w:rsidRPr="00726B59">
        <w:rPr>
          <w:lang w:val="en-GB" w:eastAsia="en-GB"/>
        </w:rPr>
        <w:t xml:space="preserve">literature on </w:t>
      </w:r>
      <w:r w:rsidR="00D60884" w:rsidRPr="00726B59">
        <w:rPr>
          <w:lang w:val="en-GB" w:eastAsia="en-GB"/>
        </w:rPr>
        <w:t>organization</w:t>
      </w:r>
      <w:r w:rsidR="001F33A8" w:rsidRPr="00726B59">
        <w:rPr>
          <w:lang w:val="en-GB" w:eastAsia="en-GB"/>
        </w:rPr>
        <w:t xml:space="preserve">al </w:t>
      </w:r>
      <w:r w:rsidR="00710952" w:rsidRPr="00726B59">
        <w:rPr>
          <w:lang w:val="en-GB" w:eastAsia="en-GB"/>
        </w:rPr>
        <w:t>re</w:t>
      </w:r>
      <w:r w:rsidR="001F33A8" w:rsidRPr="00726B59">
        <w:rPr>
          <w:lang w:val="en-GB" w:eastAsia="en-GB"/>
        </w:rPr>
        <w:t>putation</w:t>
      </w:r>
      <w:r w:rsidR="005A1338" w:rsidRPr="00726B59">
        <w:rPr>
          <w:lang w:val="en-GB" w:eastAsia="en-GB"/>
        </w:rPr>
        <w:t>. Scholars have</w:t>
      </w:r>
      <w:r w:rsidR="00710952" w:rsidRPr="00726B59">
        <w:rPr>
          <w:lang w:val="en-GB" w:eastAsia="en-GB"/>
        </w:rPr>
        <w:t xml:space="preserve"> called for research to disentangle </w:t>
      </w:r>
      <w:r w:rsidR="00117664">
        <w:rPr>
          <w:lang w:val="en-GB" w:eastAsia="en-GB"/>
        </w:rPr>
        <w:t xml:space="preserve">organizational </w:t>
      </w:r>
      <w:r w:rsidR="00FE7503" w:rsidRPr="00726B59">
        <w:rPr>
          <w:lang w:val="en-GB" w:eastAsia="en-GB"/>
        </w:rPr>
        <w:t xml:space="preserve">reputation </w:t>
      </w:r>
      <w:r w:rsidR="00117664">
        <w:rPr>
          <w:lang w:val="en-GB" w:eastAsia="en-GB"/>
        </w:rPr>
        <w:t>among</w:t>
      </w:r>
      <w:r w:rsidR="00117664" w:rsidRPr="00726B59">
        <w:rPr>
          <w:lang w:val="en-GB" w:eastAsia="en-GB"/>
        </w:rPr>
        <w:t xml:space="preserve"> </w:t>
      </w:r>
      <w:r w:rsidR="00FE7503" w:rsidRPr="00726B59">
        <w:rPr>
          <w:lang w:val="en-GB" w:eastAsia="en-GB"/>
        </w:rPr>
        <w:t>different domains</w:t>
      </w:r>
      <w:r w:rsidR="00710952" w:rsidRPr="00726B59">
        <w:rPr>
          <w:lang w:val="en-GB" w:eastAsia="en-GB"/>
        </w:rPr>
        <w:t xml:space="preserve"> </w:t>
      </w:r>
      <w:r w:rsidR="00C70CB4">
        <w:rPr>
          <w:lang w:val="en-GB" w:eastAsia="en-GB"/>
        </w:rPr>
        <w:t xml:space="preserve">of activity </w:t>
      </w:r>
      <w:r w:rsidR="00710952" w:rsidRPr="00726B59">
        <w:rPr>
          <w:lang w:val="en-GB" w:eastAsia="en-GB"/>
        </w:rPr>
        <w:t xml:space="preserve">and understand how reputation for </w:t>
      </w:r>
      <w:r w:rsidR="00117664">
        <w:rPr>
          <w:lang w:val="en-GB" w:eastAsia="en-GB"/>
        </w:rPr>
        <w:t>one aspect</w:t>
      </w:r>
      <w:r w:rsidR="00117664" w:rsidRPr="00726B59">
        <w:rPr>
          <w:lang w:val="en-GB" w:eastAsia="en-GB"/>
        </w:rPr>
        <w:t xml:space="preserve"> </w:t>
      </w:r>
      <w:r w:rsidR="00710952" w:rsidRPr="00726B59">
        <w:rPr>
          <w:lang w:val="en-GB" w:eastAsia="en-GB"/>
        </w:rPr>
        <w:t xml:space="preserve">affects outcomes for </w:t>
      </w:r>
      <w:r w:rsidR="00117664">
        <w:rPr>
          <w:lang w:val="en-GB" w:eastAsia="en-GB"/>
        </w:rPr>
        <w:t>another</w:t>
      </w:r>
      <w:r w:rsidR="00710952" w:rsidRPr="00726B59">
        <w:rPr>
          <w:lang w:val="en-GB" w:eastAsia="en-GB"/>
        </w:rPr>
        <w:t xml:space="preserve">. For example, Lange </w:t>
      </w:r>
      <w:r w:rsidR="00710952" w:rsidRPr="00726B59">
        <w:rPr>
          <w:i/>
          <w:lang w:val="en-GB" w:eastAsia="en-GB"/>
        </w:rPr>
        <w:t>et al</w:t>
      </w:r>
      <w:r w:rsidR="00710952" w:rsidRPr="00726B59">
        <w:rPr>
          <w:lang w:val="en-GB" w:eastAsia="en-GB"/>
        </w:rPr>
        <w:t>. (2011) suggested that</w:t>
      </w:r>
      <w:r w:rsidR="00117664">
        <w:rPr>
          <w:lang w:val="en-GB" w:eastAsia="en-GB"/>
        </w:rPr>
        <w:t>,</w:t>
      </w:r>
      <w:r w:rsidR="00710952" w:rsidRPr="00726B59">
        <w:rPr>
          <w:lang w:val="en-GB" w:eastAsia="en-GB"/>
        </w:rPr>
        <w:t xml:space="preserve"> “among the other possibilities to explore is the idea that a high degree of </w:t>
      </w:r>
      <w:r w:rsidR="00436255" w:rsidRPr="00726B59">
        <w:rPr>
          <w:lang w:val="en-GB" w:eastAsia="en-GB"/>
        </w:rPr>
        <w:t>“</w:t>
      </w:r>
      <w:r w:rsidR="00710952" w:rsidRPr="00726B59">
        <w:rPr>
          <w:iCs/>
          <w:lang w:val="en-GB" w:eastAsia="en-GB"/>
        </w:rPr>
        <w:t>being known for something</w:t>
      </w:r>
      <w:r w:rsidR="003110B3" w:rsidRPr="00726B59">
        <w:rPr>
          <w:iCs/>
          <w:lang w:val="en-GB" w:eastAsia="en-GB"/>
        </w:rPr>
        <w:t>’</w:t>
      </w:r>
      <w:r w:rsidR="00710952" w:rsidRPr="00726B59">
        <w:rPr>
          <w:i/>
          <w:iCs/>
          <w:lang w:val="en-GB" w:eastAsia="en-GB"/>
        </w:rPr>
        <w:t xml:space="preserve"> </w:t>
      </w:r>
      <w:r w:rsidR="00710952" w:rsidRPr="00726B59">
        <w:rPr>
          <w:lang w:val="en-GB" w:eastAsia="en-GB"/>
        </w:rPr>
        <w:t xml:space="preserve">may contribute to increases in the </w:t>
      </w:r>
      <w:r w:rsidR="003110B3" w:rsidRPr="00726B59">
        <w:rPr>
          <w:lang w:val="en-GB" w:eastAsia="en-GB"/>
        </w:rPr>
        <w:t>‘</w:t>
      </w:r>
      <w:r w:rsidR="00710952" w:rsidRPr="00726B59">
        <w:rPr>
          <w:iCs/>
          <w:lang w:val="en-GB" w:eastAsia="en-GB"/>
        </w:rPr>
        <w:t>being known</w:t>
      </w:r>
      <w:r w:rsidR="00710952" w:rsidRPr="00726B59">
        <w:rPr>
          <w:lang w:val="en-GB" w:eastAsia="en-GB"/>
        </w:rPr>
        <w:t xml:space="preserve"> [in general]</w:t>
      </w:r>
      <w:r w:rsidR="003110B3" w:rsidRPr="00726B59">
        <w:rPr>
          <w:lang w:val="en-GB" w:eastAsia="en-GB"/>
        </w:rPr>
        <w:t>’</w:t>
      </w:r>
      <w:r w:rsidR="00710952" w:rsidRPr="00726B59">
        <w:rPr>
          <w:lang w:val="en-GB" w:eastAsia="en-GB"/>
        </w:rPr>
        <w:t xml:space="preserve"> dimension of reputation</w:t>
      </w:r>
      <w:r w:rsidR="00436255" w:rsidRPr="00726B59">
        <w:rPr>
          <w:lang w:val="en-GB" w:eastAsia="en-GB"/>
        </w:rPr>
        <w:t>” (</w:t>
      </w:r>
      <w:r w:rsidR="00710952" w:rsidRPr="00726B59">
        <w:rPr>
          <w:lang w:val="en-GB" w:eastAsia="en-GB"/>
        </w:rPr>
        <w:t>p.168).</w:t>
      </w:r>
      <w:r w:rsidR="004916A6" w:rsidRPr="00726B59">
        <w:rPr>
          <w:lang w:val="en-GB" w:eastAsia="en-GB"/>
        </w:rPr>
        <w:t xml:space="preserve"> Our</w:t>
      </w:r>
      <w:r w:rsidR="003110B3" w:rsidRPr="00726B59">
        <w:rPr>
          <w:lang w:val="en-GB" w:eastAsia="en-GB"/>
        </w:rPr>
        <w:t xml:space="preserve"> </w:t>
      </w:r>
      <w:r w:rsidR="004916A6" w:rsidRPr="00726B59">
        <w:rPr>
          <w:lang w:val="en-GB" w:eastAsia="en-GB"/>
        </w:rPr>
        <w:t xml:space="preserve">study </w:t>
      </w:r>
      <w:r w:rsidR="00117664">
        <w:rPr>
          <w:lang w:val="en-GB" w:eastAsia="en-GB"/>
        </w:rPr>
        <w:t>t</w:t>
      </w:r>
      <w:r w:rsidR="001C46EA" w:rsidRPr="00726B59">
        <w:rPr>
          <w:lang w:val="en-GB" w:eastAsia="en-GB"/>
        </w:rPr>
        <w:t xml:space="preserve">akes a step in </w:t>
      </w:r>
      <w:r w:rsidR="004D4CBA" w:rsidRPr="00726B59">
        <w:rPr>
          <w:lang w:val="en-GB" w:eastAsia="en-GB"/>
        </w:rPr>
        <w:t>this</w:t>
      </w:r>
      <w:r w:rsidR="004916A6" w:rsidRPr="00726B59">
        <w:rPr>
          <w:lang w:val="en-GB" w:eastAsia="en-GB"/>
        </w:rPr>
        <w:t xml:space="preserve"> direction by showing that reputation </w:t>
      </w:r>
      <w:r w:rsidR="004871D7" w:rsidRPr="00726B59">
        <w:rPr>
          <w:lang w:val="en-GB" w:eastAsia="en-GB"/>
        </w:rPr>
        <w:t xml:space="preserve">for </w:t>
      </w:r>
      <w:r w:rsidR="005E29EB" w:rsidRPr="00726B59">
        <w:rPr>
          <w:lang w:val="en-GB" w:eastAsia="en-GB"/>
        </w:rPr>
        <w:t>one domain</w:t>
      </w:r>
      <w:r w:rsidR="003110B3" w:rsidRPr="00726B59">
        <w:rPr>
          <w:lang w:val="en-GB" w:eastAsia="en-GB"/>
        </w:rPr>
        <w:t xml:space="preserve"> </w:t>
      </w:r>
      <w:r w:rsidR="00C70CB4">
        <w:rPr>
          <w:lang w:val="en-GB" w:eastAsia="en-GB"/>
        </w:rPr>
        <w:t xml:space="preserve">of activity </w:t>
      </w:r>
      <w:r w:rsidR="003110B3" w:rsidRPr="00726B59">
        <w:rPr>
          <w:lang w:val="en-GB" w:eastAsia="en-GB"/>
        </w:rPr>
        <w:t>(</w:t>
      </w:r>
      <w:r w:rsidR="004871D7" w:rsidRPr="00726B59">
        <w:rPr>
          <w:lang w:val="en-GB" w:eastAsia="en-GB"/>
        </w:rPr>
        <w:t xml:space="preserve">a peripheral </w:t>
      </w:r>
      <w:r w:rsidR="008E3E7B" w:rsidRPr="00726B59">
        <w:rPr>
          <w:lang w:val="en-GB" w:eastAsia="en-GB"/>
        </w:rPr>
        <w:t>activity</w:t>
      </w:r>
      <w:r w:rsidR="003110B3" w:rsidRPr="00726B59">
        <w:rPr>
          <w:lang w:val="en-GB" w:eastAsia="en-GB"/>
        </w:rPr>
        <w:t>)</w:t>
      </w:r>
      <w:r w:rsidR="00C365EA" w:rsidRPr="00726B59">
        <w:rPr>
          <w:lang w:val="en-GB" w:eastAsia="en-GB"/>
        </w:rPr>
        <w:t xml:space="preserve"> is related </w:t>
      </w:r>
      <w:r w:rsidR="00117664">
        <w:rPr>
          <w:lang w:val="en-GB" w:eastAsia="en-GB"/>
        </w:rPr>
        <w:t>to</w:t>
      </w:r>
      <w:r w:rsidR="00117664" w:rsidRPr="00726B59">
        <w:rPr>
          <w:lang w:val="en-GB" w:eastAsia="en-GB"/>
        </w:rPr>
        <w:t xml:space="preserve"> </w:t>
      </w:r>
      <w:r w:rsidR="00460B8C" w:rsidRPr="00726B59">
        <w:rPr>
          <w:lang w:val="en-GB" w:eastAsia="en-GB"/>
        </w:rPr>
        <w:t>evaluations</w:t>
      </w:r>
      <w:r w:rsidR="004916A6" w:rsidRPr="00726B59">
        <w:rPr>
          <w:lang w:val="en-GB" w:eastAsia="en-GB"/>
        </w:rPr>
        <w:t xml:space="preserve"> for </w:t>
      </w:r>
      <w:r w:rsidR="005E29EB" w:rsidRPr="00726B59">
        <w:rPr>
          <w:lang w:val="en-GB" w:eastAsia="en-GB"/>
        </w:rPr>
        <w:t>another</w:t>
      </w:r>
      <w:r w:rsidR="00B439A5" w:rsidRPr="00726B59">
        <w:rPr>
          <w:lang w:val="en-GB" w:eastAsia="en-GB"/>
        </w:rPr>
        <w:t xml:space="preserve"> domain</w:t>
      </w:r>
      <w:r w:rsidR="003110B3" w:rsidRPr="00726B59">
        <w:rPr>
          <w:lang w:val="en-GB" w:eastAsia="en-GB"/>
        </w:rPr>
        <w:t xml:space="preserve"> (</w:t>
      </w:r>
      <w:r w:rsidR="004916A6" w:rsidRPr="00726B59">
        <w:rPr>
          <w:lang w:val="en-GB" w:eastAsia="en-GB"/>
        </w:rPr>
        <w:t xml:space="preserve">the core </w:t>
      </w:r>
      <w:r w:rsidR="004871D7" w:rsidRPr="00726B59">
        <w:rPr>
          <w:lang w:val="en-GB" w:eastAsia="en-GB"/>
        </w:rPr>
        <w:t>activity</w:t>
      </w:r>
      <w:r w:rsidR="003110B3" w:rsidRPr="00726B59">
        <w:rPr>
          <w:lang w:val="en-GB" w:eastAsia="en-GB"/>
        </w:rPr>
        <w:t>)</w:t>
      </w:r>
      <w:r w:rsidR="004871D7" w:rsidRPr="00726B59">
        <w:rPr>
          <w:lang w:val="en-GB" w:eastAsia="en-GB"/>
        </w:rPr>
        <w:t xml:space="preserve">. </w:t>
      </w:r>
    </w:p>
    <w:p w:rsidR="00710952" w:rsidRDefault="00460B8C" w:rsidP="00E01B3E">
      <w:pPr>
        <w:autoSpaceDE w:val="0"/>
        <w:autoSpaceDN w:val="0"/>
        <w:adjustRightInd w:val="0"/>
        <w:spacing w:line="480" w:lineRule="auto"/>
        <w:ind w:firstLine="567"/>
        <w:jc w:val="both"/>
        <w:rPr>
          <w:lang w:val="en-GB" w:eastAsia="en-GB"/>
        </w:rPr>
      </w:pPr>
      <w:r w:rsidRPr="00726B59">
        <w:rPr>
          <w:lang w:val="en-GB" w:eastAsia="en-GB"/>
        </w:rPr>
        <w:t>Since</w:t>
      </w:r>
      <w:r w:rsidR="00FE7503" w:rsidRPr="00726B59">
        <w:rPr>
          <w:lang w:val="en-GB" w:eastAsia="en-GB"/>
        </w:rPr>
        <w:t xml:space="preserve"> o</w:t>
      </w:r>
      <w:r w:rsidR="005D1CC1" w:rsidRPr="00726B59">
        <w:rPr>
          <w:lang w:val="en-GB" w:eastAsia="en-GB"/>
        </w:rPr>
        <w:t xml:space="preserve">ur results </w:t>
      </w:r>
      <w:r w:rsidR="003D1299" w:rsidRPr="00726B59">
        <w:rPr>
          <w:lang w:val="en-GB" w:eastAsia="en-GB"/>
        </w:rPr>
        <w:t>show</w:t>
      </w:r>
      <w:r w:rsidR="005D1CC1" w:rsidRPr="00726B59">
        <w:rPr>
          <w:lang w:val="en-GB" w:eastAsia="en-GB"/>
        </w:rPr>
        <w:t xml:space="preserve"> the transferability of reputation across domains</w:t>
      </w:r>
      <w:r w:rsidR="00C70CB4">
        <w:rPr>
          <w:lang w:val="en-GB" w:eastAsia="en-GB"/>
        </w:rPr>
        <w:t xml:space="preserve"> of activity</w:t>
      </w:r>
      <w:r w:rsidRPr="00726B59">
        <w:rPr>
          <w:lang w:val="en-GB" w:eastAsia="en-GB"/>
        </w:rPr>
        <w:t>, they</w:t>
      </w:r>
      <w:r w:rsidR="00886F67" w:rsidRPr="00726B59">
        <w:rPr>
          <w:lang w:val="en-GB" w:eastAsia="en-GB"/>
        </w:rPr>
        <w:t xml:space="preserve"> </w:t>
      </w:r>
      <w:r w:rsidR="00E01B3E" w:rsidRPr="00726B59">
        <w:rPr>
          <w:lang w:val="en-GB" w:eastAsia="en-GB"/>
        </w:rPr>
        <w:t>have implications for</w:t>
      </w:r>
      <w:r w:rsidR="005D1CC1" w:rsidRPr="00726B59">
        <w:rPr>
          <w:lang w:val="en-GB" w:eastAsia="en-GB"/>
        </w:rPr>
        <w:t xml:space="preserve"> an interesting debate in the reputation literature. </w:t>
      </w:r>
      <w:r w:rsidR="00977133" w:rsidRPr="00726B59">
        <w:rPr>
          <w:lang w:val="en-GB" w:eastAsia="en-GB"/>
        </w:rPr>
        <w:t>In a recent study</w:t>
      </w:r>
      <w:r w:rsidR="00C95E6E" w:rsidRPr="00726B59">
        <w:rPr>
          <w:lang w:val="en-GB" w:eastAsia="en-GB"/>
        </w:rPr>
        <w:t xml:space="preserve">, </w:t>
      </w:r>
      <w:proofErr w:type="spellStart"/>
      <w:r w:rsidR="00FE7503" w:rsidRPr="00726B59">
        <w:rPr>
          <w:lang w:val="en-GB" w:eastAsia="en-GB"/>
        </w:rPr>
        <w:t>Dimov</w:t>
      </w:r>
      <w:proofErr w:type="spellEnd"/>
      <w:r w:rsidR="00FE7503" w:rsidRPr="00726B59">
        <w:rPr>
          <w:lang w:val="en-GB" w:eastAsia="en-GB"/>
        </w:rPr>
        <w:t xml:space="preserve"> and </w:t>
      </w:r>
      <w:proofErr w:type="spellStart"/>
      <w:r w:rsidR="00FE7503" w:rsidRPr="00726B59">
        <w:rPr>
          <w:lang w:val="en-GB" w:eastAsia="en-GB"/>
        </w:rPr>
        <w:t>Milanov</w:t>
      </w:r>
      <w:proofErr w:type="spellEnd"/>
      <w:r w:rsidR="00FE7503" w:rsidRPr="00726B59">
        <w:rPr>
          <w:lang w:val="en-GB" w:eastAsia="en-GB"/>
        </w:rPr>
        <w:t xml:space="preserve"> (2010)</w:t>
      </w:r>
      <w:r w:rsidR="00977133" w:rsidRPr="00726B59">
        <w:rPr>
          <w:lang w:val="en-GB" w:eastAsia="en-GB"/>
        </w:rPr>
        <w:t xml:space="preserve"> </w:t>
      </w:r>
      <w:r w:rsidR="00C95E6E" w:rsidRPr="00726B59">
        <w:rPr>
          <w:lang w:val="en-GB" w:eastAsia="en-GB"/>
        </w:rPr>
        <w:t>found that</w:t>
      </w:r>
      <w:r w:rsidR="00977133" w:rsidRPr="00726B59">
        <w:rPr>
          <w:lang w:val="en-GB" w:eastAsia="en-GB"/>
        </w:rPr>
        <w:t>,</w:t>
      </w:r>
      <w:r w:rsidR="00C95E6E" w:rsidRPr="00726B59">
        <w:rPr>
          <w:lang w:val="en-GB" w:eastAsia="en-GB"/>
        </w:rPr>
        <w:t xml:space="preserve"> </w:t>
      </w:r>
      <w:r w:rsidR="00977133" w:rsidRPr="00726B59">
        <w:rPr>
          <w:lang w:val="en-GB" w:eastAsia="en-GB"/>
        </w:rPr>
        <w:t xml:space="preserve">contrary to their expectations, </w:t>
      </w:r>
      <w:r w:rsidR="00473336">
        <w:rPr>
          <w:lang w:val="en-GB" w:eastAsia="en-GB"/>
        </w:rPr>
        <w:t>v</w:t>
      </w:r>
      <w:r w:rsidR="004E4B6D">
        <w:rPr>
          <w:lang w:val="en-GB" w:eastAsia="en-GB"/>
        </w:rPr>
        <w:t xml:space="preserve">enture </w:t>
      </w:r>
      <w:r w:rsidR="00473336">
        <w:rPr>
          <w:lang w:val="en-GB" w:eastAsia="en-GB"/>
        </w:rPr>
        <w:t>c</w:t>
      </w:r>
      <w:r w:rsidR="004E4B6D">
        <w:rPr>
          <w:lang w:val="en-GB" w:eastAsia="en-GB"/>
        </w:rPr>
        <w:t>apitalists’</w:t>
      </w:r>
      <w:r w:rsidR="0050465A" w:rsidRPr="00726B59">
        <w:rPr>
          <w:lang w:val="en-GB" w:eastAsia="en-GB"/>
        </w:rPr>
        <w:t xml:space="preserve"> core reputation </w:t>
      </w:r>
      <w:r w:rsidR="00BA11D2" w:rsidRPr="00726B59">
        <w:rPr>
          <w:lang w:val="en-GB" w:eastAsia="en-GB"/>
        </w:rPr>
        <w:t xml:space="preserve">can </w:t>
      </w:r>
      <w:r w:rsidR="00C95E6E" w:rsidRPr="00726B59">
        <w:rPr>
          <w:lang w:val="en-GB" w:eastAsia="en-GB"/>
        </w:rPr>
        <w:t xml:space="preserve">hamper </w:t>
      </w:r>
      <w:r w:rsidR="0050465A" w:rsidRPr="00726B59">
        <w:rPr>
          <w:lang w:val="en-GB" w:eastAsia="en-GB"/>
        </w:rPr>
        <w:t>their ability to syndicate for novel projects</w:t>
      </w:r>
      <w:r w:rsidR="00FE7503" w:rsidRPr="00726B59">
        <w:rPr>
          <w:lang w:val="en-GB" w:eastAsia="en-GB"/>
        </w:rPr>
        <w:t>.</w:t>
      </w:r>
      <w:r w:rsidR="00C95E6E" w:rsidRPr="00726B59">
        <w:rPr>
          <w:lang w:val="en-GB" w:eastAsia="en-GB"/>
        </w:rPr>
        <w:t xml:space="preserve"> </w:t>
      </w:r>
      <w:r w:rsidR="005C48C9" w:rsidRPr="00726B59">
        <w:rPr>
          <w:lang w:val="en-GB" w:eastAsia="en-GB"/>
        </w:rPr>
        <w:t>In</w:t>
      </w:r>
      <w:r w:rsidR="00BA11D2" w:rsidRPr="00726B59">
        <w:rPr>
          <w:lang w:val="en-GB" w:eastAsia="en-GB"/>
        </w:rPr>
        <w:t xml:space="preserve"> simpler terms,</w:t>
      </w:r>
      <w:r w:rsidR="005C48C9" w:rsidRPr="00726B59">
        <w:rPr>
          <w:lang w:val="en-GB" w:eastAsia="en-GB"/>
        </w:rPr>
        <w:t xml:space="preserve"> reputation for something could </w:t>
      </w:r>
      <w:r w:rsidR="00BA11D2" w:rsidRPr="00726B59">
        <w:rPr>
          <w:lang w:val="en-GB" w:eastAsia="en-GB"/>
        </w:rPr>
        <w:t xml:space="preserve">actually </w:t>
      </w:r>
      <w:r w:rsidR="005C48C9" w:rsidRPr="00726B59">
        <w:rPr>
          <w:lang w:val="en-GB" w:eastAsia="en-GB"/>
        </w:rPr>
        <w:t>make it harder to diversify into</w:t>
      </w:r>
      <w:r w:rsidR="003D4B3D" w:rsidRPr="00726B59">
        <w:rPr>
          <w:lang w:val="en-GB" w:eastAsia="en-GB"/>
        </w:rPr>
        <w:t xml:space="preserve"> </w:t>
      </w:r>
      <w:r w:rsidR="005C48C9" w:rsidRPr="00726B59">
        <w:rPr>
          <w:lang w:val="en-GB" w:eastAsia="en-GB"/>
        </w:rPr>
        <w:t>something new</w:t>
      </w:r>
      <w:r w:rsidR="003D4B3D" w:rsidRPr="00726B59">
        <w:rPr>
          <w:lang w:val="en-GB" w:eastAsia="en-GB"/>
        </w:rPr>
        <w:t xml:space="preserve">. </w:t>
      </w:r>
      <w:r w:rsidR="00226A8D" w:rsidRPr="00726B59">
        <w:rPr>
          <w:lang w:val="en-GB" w:eastAsia="en-GB"/>
        </w:rPr>
        <w:t>We believe that the transferability of reputation across domains</w:t>
      </w:r>
      <w:r w:rsidR="000A6AD0" w:rsidRPr="00726B59">
        <w:rPr>
          <w:lang w:val="en-GB" w:eastAsia="en-GB"/>
        </w:rPr>
        <w:t xml:space="preserve"> </w:t>
      </w:r>
      <w:r w:rsidR="00C70CB4">
        <w:rPr>
          <w:lang w:val="en-GB" w:eastAsia="en-GB"/>
        </w:rPr>
        <w:t xml:space="preserve">of activity </w:t>
      </w:r>
      <w:r w:rsidR="000A6AD0" w:rsidRPr="00726B59">
        <w:rPr>
          <w:lang w:val="en-GB" w:eastAsia="en-GB"/>
        </w:rPr>
        <w:t>could</w:t>
      </w:r>
      <w:r w:rsidR="00226A8D" w:rsidRPr="00726B59">
        <w:rPr>
          <w:lang w:val="en-GB" w:eastAsia="en-GB"/>
        </w:rPr>
        <w:t xml:space="preserve"> depend on the </w:t>
      </w:r>
      <w:r w:rsidR="007F7AAE" w:rsidRPr="00726B59">
        <w:rPr>
          <w:lang w:val="en-GB" w:eastAsia="en-GB"/>
        </w:rPr>
        <w:t>nature of the domains</w:t>
      </w:r>
      <w:r w:rsidR="00FD60DF" w:rsidRPr="00726B59">
        <w:rPr>
          <w:lang w:val="en-GB" w:eastAsia="en-GB"/>
        </w:rPr>
        <w:t xml:space="preserve"> (see also Wry, </w:t>
      </w:r>
      <w:proofErr w:type="spellStart"/>
      <w:r w:rsidR="00FD60DF" w:rsidRPr="00726B59">
        <w:rPr>
          <w:lang w:val="en-GB" w:eastAsia="en-GB"/>
        </w:rPr>
        <w:t>Lounsbury</w:t>
      </w:r>
      <w:proofErr w:type="spellEnd"/>
      <w:r w:rsidR="00FD60DF" w:rsidRPr="00726B59">
        <w:rPr>
          <w:lang w:val="en-GB" w:eastAsia="en-GB"/>
        </w:rPr>
        <w:t>, Jenning</w:t>
      </w:r>
      <w:r w:rsidR="004A03BA" w:rsidRPr="00726B59">
        <w:rPr>
          <w:lang w:val="en-GB" w:eastAsia="en-GB"/>
        </w:rPr>
        <w:t>s</w:t>
      </w:r>
      <w:r w:rsidR="00FD60DF" w:rsidRPr="00726B59">
        <w:rPr>
          <w:lang w:val="en-GB" w:eastAsia="en-GB"/>
        </w:rPr>
        <w:t xml:space="preserve">, </w:t>
      </w:r>
      <w:r w:rsidR="00570EC3">
        <w:rPr>
          <w:lang w:val="en-GB" w:eastAsia="en-GB"/>
        </w:rPr>
        <w:t>2014</w:t>
      </w:r>
      <w:r w:rsidR="00FD60DF" w:rsidRPr="00726B59">
        <w:rPr>
          <w:lang w:val="en-GB" w:eastAsia="en-GB"/>
        </w:rPr>
        <w:t>)</w:t>
      </w:r>
      <w:r w:rsidR="00226A8D" w:rsidRPr="00726B59">
        <w:rPr>
          <w:lang w:val="en-GB" w:eastAsia="en-GB"/>
        </w:rPr>
        <w:t xml:space="preserve">. In situations </w:t>
      </w:r>
      <w:r w:rsidR="00117664">
        <w:rPr>
          <w:lang w:val="en-GB" w:eastAsia="en-GB"/>
        </w:rPr>
        <w:t>in which</w:t>
      </w:r>
      <w:r w:rsidR="00117664" w:rsidRPr="00726B59">
        <w:rPr>
          <w:lang w:val="en-GB" w:eastAsia="en-GB"/>
        </w:rPr>
        <w:t xml:space="preserve"> </w:t>
      </w:r>
      <w:r w:rsidR="00226A8D" w:rsidRPr="00726B59">
        <w:rPr>
          <w:lang w:val="en-GB" w:eastAsia="en-GB"/>
        </w:rPr>
        <w:t xml:space="preserve">the audience perceives that the new domain </w:t>
      </w:r>
      <w:r w:rsidR="00C70CB4">
        <w:rPr>
          <w:lang w:val="en-GB" w:eastAsia="en-GB"/>
        </w:rPr>
        <w:t xml:space="preserve">of activity </w:t>
      </w:r>
      <w:r w:rsidR="00226A8D" w:rsidRPr="00726B59">
        <w:rPr>
          <w:lang w:val="en-GB" w:eastAsia="en-GB"/>
        </w:rPr>
        <w:t xml:space="preserve">is almost in antithesis </w:t>
      </w:r>
      <w:r w:rsidR="00117664">
        <w:rPr>
          <w:lang w:val="en-GB" w:eastAsia="en-GB"/>
        </w:rPr>
        <w:t>of</w:t>
      </w:r>
      <w:r w:rsidR="00117664" w:rsidRPr="00726B59">
        <w:rPr>
          <w:lang w:val="en-GB" w:eastAsia="en-GB"/>
        </w:rPr>
        <w:t xml:space="preserve"> </w:t>
      </w:r>
      <w:r w:rsidR="00226A8D" w:rsidRPr="00726B59">
        <w:rPr>
          <w:lang w:val="en-GB" w:eastAsia="en-GB"/>
        </w:rPr>
        <w:t>the old one (i.e. actors have to unlearn what they are good at)</w:t>
      </w:r>
      <w:r w:rsidR="00117664">
        <w:rPr>
          <w:lang w:val="en-GB" w:eastAsia="en-GB"/>
        </w:rPr>
        <w:t>,</w:t>
      </w:r>
      <w:r w:rsidR="00226A8D" w:rsidRPr="00726B59">
        <w:rPr>
          <w:lang w:val="en-GB" w:eastAsia="en-GB"/>
        </w:rPr>
        <w:t xml:space="preserve"> reputation might not be transferable or even have a negative effect. </w:t>
      </w:r>
      <w:r w:rsidR="00886F67" w:rsidRPr="00726B59">
        <w:rPr>
          <w:lang w:val="en-GB" w:eastAsia="en-GB"/>
        </w:rPr>
        <w:t>However, i</w:t>
      </w:r>
      <w:r w:rsidR="0088220F" w:rsidRPr="00726B59">
        <w:rPr>
          <w:lang w:val="en-GB" w:eastAsia="en-GB"/>
        </w:rPr>
        <w:t xml:space="preserve">n situations </w:t>
      </w:r>
      <w:r w:rsidR="00117664">
        <w:rPr>
          <w:lang w:val="en-GB" w:eastAsia="en-GB"/>
        </w:rPr>
        <w:t>in which</w:t>
      </w:r>
      <w:r w:rsidR="00117664" w:rsidRPr="00726B59">
        <w:rPr>
          <w:lang w:val="en-GB" w:eastAsia="en-GB"/>
        </w:rPr>
        <w:t xml:space="preserve"> </w:t>
      </w:r>
      <w:r w:rsidR="00727AC0" w:rsidRPr="00726B59">
        <w:rPr>
          <w:lang w:val="en-GB" w:eastAsia="en-GB"/>
        </w:rPr>
        <w:t>no</w:t>
      </w:r>
      <w:r w:rsidR="00822E7F" w:rsidRPr="00726B59">
        <w:rPr>
          <w:lang w:val="en-GB" w:eastAsia="en-GB"/>
        </w:rPr>
        <w:t xml:space="preserve"> such</w:t>
      </w:r>
      <w:r w:rsidR="00727AC0" w:rsidRPr="00726B59">
        <w:rPr>
          <w:lang w:val="en-GB" w:eastAsia="en-GB"/>
        </w:rPr>
        <w:t xml:space="preserve"> perceived conflict </w:t>
      </w:r>
      <w:r w:rsidR="00117664">
        <w:rPr>
          <w:lang w:val="en-GB" w:eastAsia="en-GB"/>
        </w:rPr>
        <w:t xml:space="preserve">exists </w:t>
      </w:r>
      <w:r w:rsidR="00727AC0" w:rsidRPr="00726B59">
        <w:rPr>
          <w:lang w:val="en-GB" w:eastAsia="en-GB"/>
        </w:rPr>
        <w:t>between</w:t>
      </w:r>
      <w:r w:rsidR="00822E7F" w:rsidRPr="00726B59">
        <w:rPr>
          <w:lang w:val="en-GB" w:eastAsia="en-GB"/>
        </w:rPr>
        <w:t xml:space="preserve"> the </w:t>
      </w:r>
      <w:r w:rsidR="00226A8D" w:rsidRPr="00726B59">
        <w:rPr>
          <w:lang w:val="en-GB" w:eastAsia="en-GB"/>
        </w:rPr>
        <w:t xml:space="preserve">domains </w:t>
      </w:r>
      <w:r w:rsidR="00C70CB4">
        <w:rPr>
          <w:lang w:val="en-GB" w:eastAsia="en-GB"/>
        </w:rPr>
        <w:t xml:space="preserve">of activity </w:t>
      </w:r>
      <w:r w:rsidR="00226A8D" w:rsidRPr="00726B59">
        <w:rPr>
          <w:lang w:val="en-GB" w:eastAsia="en-GB"/>
        </w:rPr>
        <w:t>(</w:t>
      </w:r>
      <w:r w:rsidR="00727AC0" w:rsidRPr="00726B59">
        <w:rPr>
          <w:lang w:val="en-GB" w:eastAsia="en-GB"/>
        </w:rPr>
        <w:t xml:space="preserve">e.g. </w:t>
      </w:r>
      <w:r w:rsidR="0088220F" w:rsidRPr="00726B59">
        <w:rPr>
          <w:lang w:val="en-GB" w:eastAsia="en-GB"/>
        </w:rPr>
        <w:t>good research and social impact are not in antithesis</w:t>
      </w:r>
      <w:r w:rsidR="00226A8D" w:rsidRPr="00726B59">
        <w:rPr>
          <w:lang w:val="en-GB" w:eastAsia="en-GB"/>
        </w:rPr>
        <w:t>)</w:t>
      </w:r>
      <w:r w:rsidR="00886F67" w:rsidRPr="00726B59">
        <w:rPr>
          <w:lang w:val="en-GB" w:eastAsia="en-GB"/>
        </w:rPr>
        <w:t>,</w:t>
      </w:r>
      <w:r w:rsidR="00226A8D" w:rsidRPr="00726B59">
        <w:rPr>
          <w:lang w:val="en-GB" w:eastAsia="en-GB"/>
        </w:rPr>
        <w:t xml:space="preserve"> </w:t>
      </w:r>
      <w:r w:rsidR="00822E7F" w:rsidRPr="00726B59">
        <w:rPr>
          <w:lang w:val="en-GB" w:eastAsia="en-GB"/>
        </w:rPr>
        <w:t xml:space="preserve">reputation can transfer </w:t>
      </w:r>
      <w:r w:rsidR="00117664">
        <w:rPr>
          <w:lang w:val="en-GB" w:eastAsia="en-GB"/>
        </w:rPr>
        <w:t>between them</w:t>
      </w:r>
      <w:r w:rsidR="00226A8D" w:rsidRPr="00726B59">
        <w:rPr>
          <w:lang w:val="en-GB" w:eastAsia="en-GB"/>
        </w:rPr>
        <w:t xml:space="preserve">. </w:t>
      </w:r>
      <w:r w:rsidR="007F7AAE" w:rsidRPr="00726B59">
        <w:rPr>
          <w:lang w:val="en-GB" w:eastAsia="en-GB"/>
        </w:rPr>
        <w:t xml:space="preserve">Future research would be needed to confirm this thesis. </w:t>
      </w:r>
      <w:r w:rsidR="00CB370C" w:rsidRPr="00726B59">
        <w:rPr>
          <w:lang w:val="en-GB" w:eastAsia="en-GB"/>
        </w:rPr>
        <w:t>Moreover,</w:t>
      </w:r>
      <w:r w:rsidR="007F7AAE" w:rsidRPr="00726B59">
        <w:rPr>
          <w:lang w:val="en-GB" w:eastAsia="en-GB"/>
        </w:rPr>
        <w:t xml:space="preserve"> a good avenue for future research </w:t>
      </w:r>
      <w:r w:rsidR="00B371EA" w:rsidRPr="00726B59">
        <w:rPr>
          <w:lang w:val="en-GB" w:eastAsia="en-GB"/>
        </w:rPr>
        <w:t>would be</w:t>
      </w:r>
      <w:r w:rsidR="007F7AAE" w:rsidRPr="00726B59">
        <w:rPr>
          <w:lang w:val="en-GB" w:eastAsia="en-GB"/>
        </w:rPr>
        <w:t xml:space="preserve"> </w:t>
      </w:r>
      <w:r w:rsidR="00117664">
        <w:rPr>
          <w:lang w:val="en-GB" w:eastAsia="en-GB"/>
        </w:rPr>
        <w:t>the</w:t>
      </w:r>
      <w:r w:rsidR="00117664" w:rsidRPr="00726B59">
        <w:rPr>
          <w:lang w:val="en-GB" w:eastAsia="en-GB"/>
        </w:rPr>
        <w:t xml:space="preserve"> examin</w:t>
      </w:r>
      <w:r w:rsidR="00117664">
        <w:rPr>
          <w:lang w:val="en-GB" w:eastAsia="en-GB"/>
        </w:rPr>
        <w:t>ation of</w:t>
      </w:r>
      <w:r w:rsidR="00117664" w:rsidRPr="00726B59">
        <w:rPr>
          <w:lang w:val="en-GB" w:eastAsia="en-GB"/>
        </w:rPr>
        <w:t xml:space="preserve"> </w:t>
      </w:r>
      <w:r w:rsidR="00B371EA" w:rsidRPr="00726B59">
        <w:rPr>
          <w:lang w:val="en-GB" w:eastAsia="en-GB"/>
        </w:rPr>
        <w:t>whether</w:t>
      </w:r>
      <w:r w:rsidR="00CB370C" w:rsidRPr="00726B59">
        <w:rPr>
          <w:lang w:val="en-GB" w:eastAsia="en-GB"/>
        </w:rPr>
        <w:t xml:space="preserve"> the peripheral halo effect might be more </w:t>
      </w:r>
      <w:r w:rsidR="007F7AAE" w:rsidRPr="00726B59">
        <w:rPr>
          <w:lang w:val="en-GB" w:eastAsia="en-GB"/>
        </w:rPr>
        <w:t xml:space="preserve">or less </w:t>
      </w:r>
      <w:r w:rsidR="00CB370C" w:rsidRPr="00726B59">
        <w:rPr>
          <w:lang w:val="en-GB" w:eastAsia="en-GB"/>
        </w:rPr>
        <w:t xml:space="preserve">prevalent than the transfer of reputation from the core to the periphery. </w:t>
      </w:r>
      <w:r w:rsidR="00007BE7" w:rsidRPr="00726B59">
        <w:rPr>
          <w:lang w:val="en-GB" w:eastAsia="en-GB"/>
        </w:rPr>
        <w:t xml:space="preserve">We </w:t>
      </w:r>
      <w:r w:rsidR="00226A8D" w:rsidRPr="00726B59">
        <w:rPr>
          <w:lang w:val="en-GB" w:eastAsia="en-GB"/>
        </w:rPr>
        <w:t xml:space="preserve">generally </w:t>
      </w:r>
      <w:r w:rsidR="00007BE7" w:rsidRPr="00726B59">
        <w:rPr>
          <w:lang w:val="en-GB" w:eastAsia="en-GB"/>
        </w:rPr>
        <w:t xml:space="preserve">believe that </w:t>
      </w:r>
      <w:r w:rsidR="00226A8D" w:rsidRPr="00726B59">
        <w:rPr>
          <w:lang w:val="en-GB" w:eastAsia="en-GB"/>
        </w:rPr>
        <w:t xml:space="preserve">finding the nuances of the transferability of reputation across domains </w:t>
      </w:r>
      <w:r w:rsidR="00C70CB4">
        <w:rPr>
          <w:lang w:val="en-GB" w:eastAsia="en-GB"/>
        </w:rPr>
        <w:t xml:space="preserve">of activity </w:t>
      </w:r>
      <w:r w:rsidR="00226A8D" w:rsidRPr="00726B59">
        <w:rPr>
          <w:lang w:val="en-GB" w:eastAsia="en-GB"/>
        </w:rPr>
        <w:t xml:space="preserve">is a fruitful </w:t>
      </w:r>
      <w:r w:rsidR="00117664">
        <w:rPr>
          <w:lang w:val="en-GB" w:eastAsia="en-GB"/>
        </w:rPr>
        <w:t>area</w:t>
      </w:r>
      <w:r w:rsidR="00117664" w:rsidRPr="00726B59">
        <w:rPr>
          <w:lang w:val="en-GB" w:eastAsia="en-GB"/>
        </w:rPr>
        <w:t xml:space="preserve"> </w:t>
      </w:r>
      <w:r w:rsidR="00B371EA" w:rsidRPr="00726B59">
        <w:rPr>
          <w:lang w:val="en-GB" w:eastAsia="en-GB"/>
        </w:rPr>
        <w:t xml:space="preserve">for research </w:t>
      </w:r>
      <w:r w:rsidR="00226A8D" w:rsidRPr="00726B59">
        <w:rPr>
          <w:lang w:val="en-GB" w:eastAsia="en-GB"/>
        </w:rPr>
        <w:t xml:space="preserve">in the reputation literature. </w:t>
      </w:r>
      <w:r w:rsidR="0050465A" w:rsidRPr="00726B59">
        <w:rPr>
          <w:lang w:val="en-GB" w:eastAsia="en-GB"/>
        </w:rPr>
        <w:t xml:space="preserve"> </w:t>
      </w:r>
      <w:r w:rsidR="00FE7503" w:rsidRPr="00726B59">
        <w:rPr>
          <w:lang w:val="en-GB" w:eastAsia="en-GB"/>
        </w:rPr>
        <w:t xml:space="preserve"> </w:t>
      </w:r>
    </w:p>
    <w:p w:rsidR="00473336" w:rsidRPr="00726B59" w:rsidRDefault="00473336" w:rsidP="00E01B3E">
      <w:pPr>
        <w:autoSpaceDE w:val="0"/>
        <w:autoSpaceDN w:val="0"/>
        <w:adjustRightInd w:val="0"/>
        <w:spacing w:line="480" w:lineRule="auto"/>
        <w:ind w:firstLine="567"/>
        <w:jc w:val="both"/>
        <w:rPr>
          <w:lang w:val="en-GB" w:eastAsia="en-GB"/>
        </w:rPr>
      </w:pPr>
      <w:r>
        <w:rPr>
          <w:rFonts w:eastAsia="Times New Roman"/>
          <w:color w:val="000000"/>
        </w:rPr>
        <w:t xml:space="preserve">Social categorization is a dynamic process and therefore activities could fluctuate over time between the periphery and the core. For example, </w:t>
      </w:r>
      <w:r w:rsidRPr="000B6148">
        <w:rPr>
          <w:rFonts w:eastAsia="Times New Roman"/>
          <w:color w:val="000000"/>
        </w:rPr>
        <w:t xml:space="preserve">an </w:t>
      </w:r>
      <w:r>
        <w:rPr>
          <w:rFonts w:eastAsia="Times New Roman"/>
          <w:color w:val="000000"/>
        </w:rPr>
        <w:t xml:space="preserve">emergent </w:t>
      </w:r>
      <w:r w:rsidRPr="000B6148">
        <w:rPr>
          <w:rFonts w:eastAsia="Times New Roman"/>
          <w:color w:val="000000"/>
        </w:rPr>
        <w:t>ac</w:t>
      </w:r>
      <w:r>
        <w:rPr>
          <w:rFonts w:eastAsia="Times New Roman"/>
          <w:color w:val="000000"/>
        </w:rPr>
        <w:t xml:space="preserve">tivity can be peripheral for some time but </w:t>
      </w:r>
      <w:r w:rsidRPr="000B6148">
        <w:rPr>
          <w:rFonts w:eastAsia="Times New Roman"/>
          <w:color w:val="000000"/>
        </w:rPr>
        <w:t xml:space="preserve">eventually </w:t>
      </w:r>
      <w:r>
        <w:rPr>
          <w:rFonts w:eastAsia="Times New Roman"/>
          <w:color w:val="000000"/>
        </w:rPr>
        <w:t xml:space="preserve">it might </w:t>
      </w:r>
      <w:r w:rsidRPr="000B6148">
        <w:rPr>
          <w:rFonts w:eastAsia="Times New Roman"/>
          <w:color w:val="000000"/>
        </w:rPr>
        <w:t xml:space="preserve">become part of the core (e.g. </w:t>
      </w:r>
      <w:r>
        <w:rPr>
          <w:rFonts w:eastAsia="Times New Roman"/>
          <w:color w:val="000000"/>
        </w:rPr>
        <w:t xml:space="preserve">a computer company starts developing </w:t>
      </w:r>
      <w:r>
        <w:rPr>
          <w:rFonts w:eastAsia="Times New Roman"/>
          <w:color w:val="000000"/>
        </w:rPr>
        <w:lastRenderedPageBreak/>
        <w:t>music players</w:t>
      </w:r>
      <w:r w:rsidRPr="000B6148">
        <w:rPr>
          <w:rFonts w:eastAsia="Times New Roman"/>
          <w:color w:val="000000"/>
        </w:rPr>
        <w:t xml:space="preserve"> as </w:t>
      </w:r>
      <w:r>
        <w:rPr>
          <w:rFonts w:eastAsia="Times New Roman"/>
          <w:color w:val="000000"/>
        </w:rPr>
        <w:t xml:space="preserve">a </w:t>
      </w:r>
      <w:r w:rsidRPr="000B6148">
        <w:rPr>
          <w:rFonts w:eastAsia="Times New Roman"/>
          <w:color w:val="000000"/>
        </w:rPr>
        <w:t>peripheral</w:t>
      </w:r>
      <w:r>
        <w:rPr>
          <w:rFonts w:eastAsia="Times New Roman"/>
          <w:color w:val="000000"/>
        </w:rPr>
        <w:t xml:space="preserve"> activity</w:t>
      </w:r>
      <w:r w:rsidRPr="000B6148">
        <w:rPr>
          <w:rFonts w:eastAsia="Times New Roman"/>
          <w:color w:val="000000"/>
        </w:rPr>
        <w:t xml:space="preserve"> </w:t>
      </w:r>
      <w:r>
        <w:rPr>
          <w:rFonts w:eastAsia="Times New Roman"/>
          <w:color w:val="000000"/>
        </w:rPr>
        <w:t>but,</w:t>
      </w:r>
      <w:r w:rsidRPr="000B6148">
        <w:rPr>
          <w:rFonts w:eastAsia="Times New Roman"/>
          <w:color w:val="000000"/>
        </w:rPr>
        <w:t xml:space="preserve"> subsequently</w:t>
      </w:r>
      <w:r>
        <w:rPr>
          <w:rFonts w:eastAsia="Times New Roman"/>
          <w:color w:val="000000"/>
        </w:rPr>
        <w:t>, music-player development beco</w:t>
      </w:r>
      <w:r w:rsidRPr="000B6148">
        <w:rPr>
          <w:rFonts w:eastAsia="Times New Roman"/>
          <w:color w:val="000000"/>
        </w:rPr>
        <w:t>me</w:t>
      </w:r>
      <w:r>
        <w:rPr>
          <w:rFonts w:eastAsia="Times New Roman"/>
          <w:color w:val="000000"/>
        </w:rPr>
        <w:t>s</w:t>
      </w:r>
      <w:r w:rsidRPr="000B6148">
        <w:rPr>
          <w:rFonts w:eastAsia="Times New Roman"/>
          <w:color w:val="000000"/>
        </w:rPr>
        <w:t xml:space="preserve"> </w:t>
      </w:r>
      <w:r>
        <w:rPr>
          <w:rFonts w:eastAsia="Times New Roman"/>
          <w:color w:val="000000"/>
        </w:rPr>
        <w:t xml:space="preserve">part of its </w:t>
      </w:r>
      <w:r w:rsidRPr="000B6148">
        <w:rPr>
          <w:rFonts w:eastAsia="Times New Roman"/>
          <w:color w:val="000000"/>
        </w:rPr>
        <w:t xml:space="preserve">core </w:t>
      </w:r>
      <w:r>
        <w:rPr>
          <w:rFonts w:eastAsia="Times New Roman"/>
          <w:color w:val="000000"/>
        </w:rPr>
        <w:t>activities</w:t>
      </w:r>
      <w:r w:rsidRPr="000B6148">
        <w:rPr>
          <w:rFonts w:eastAsia="Times New Roman"/>
          <w:color w:val="000000"/>
        </w:rPr>
        <w:t>). In our context, social impact</w:t>
      </w:r>
      <w:r>
        <w:rPr>
          <w:rFonts w:eastAsia="Times New Roman"/>
          <w:color w:val="000000"/>
        </w:rPr>
        <w:t xml:space="preserve"> by universities via spinoffs could be</w:t>
      </w:r>
      <w:r w:rsidRPr="000B6148">
        <w:rPr>
          <w:rFonts w:eastAsia="Times New Roman"/>
          <w:color w:val="000000"/>
        </w:rPr>
        <w:t xml:space="preserve"> </w:t>
      </w:r>
      <w:r>
        <w:rPr>
          <w:rFonts w:eastAsia="Times New Roman"/>
          <w:color w:val="000000"/>
        </w:rPr>
        <w:t>such a case;</w:t>
      </w:r>
      <w:r w:rsidRPr="000B6148">
        <w:rPr>
          <w:rFonts w:eastAsia="Times New Roman"/>
          <w:color w:val="000000"/>
        </w:rPr>
        <w:t xml:space="preserve"> i.e. an em</w:t>
      </w:r>
      <w:r>
        <w:rPr>
          <w:rFonts w:eastAsia="Times New Roman"/>
          <w:color w:val="000000"/>
        </w:rPr>
        <w:t xml:space="preserve">erging activity which was peripheral </w:t>
      </w:r>
      <w:r w:rsidRPr="000B6148">
        <w:rPr>
          <w:rFonts w:eastAsia="Times New Roman"/>
          <w:color w:val="000000"/>
        </w:rPr>
        <w:t xml:space="preserve">during </w:t>
      </w:r>
      <w:r>
        <w:rPr>
          <w:rFonts w:eastAsia="Times New Roman"/>
          <w:color w:val="000000"/>
        </w:rPr>
        <w:t>our</w:t>
      </w:r>
      <w:r w:rsidRPr="000B6148">
        <w:rPr>
          <w:rFonts w:eastAsia="Times New Roman"/>
          <w:color w:val="000000"/>
        </w:rPr>
        <w:t xml:space="preserve"> observation period</w:t>
      </w:r>
      <w:r>
        <w:rPr>
          <w:rFonts w:eastAsia="Times New Roman"/>
          <w:color w:val="000000"/>
        </w:rPr>
        <w:t xml:space="preserve"> but has</w:t>
      </w:r>
      <w:r w:rsidRPr="000B6148">
        <w:rPr>
          <w:rFonts w:eastAsia="Times New Roman"/>
          <w:color w:val="000000"/>
        </w:rPr>
        <w:t xml:space="preserve"> potential to</w:t>
      </w:r>
      <w:r>
        <w:rPr>
          <w:rFonts w:eastAsia="Times New Roman"/>
          <w:color w:val="000000"/>
        </w:rPr>
        <w:t xml:space="preserve"> </w:t>
      </w:r>
      <w:r w:rsidRPr="000B6148">
        <w:rPr>
          <w:rFonts w:eastAsia="Times New Roman"/>
          <w:color w:val="000000"/>
        </w:rPr>
        <w:t xml:space="preserve">become part of </w:t>
      </w:r>
      <w:r>
        <w:rPr>
          <w:rFonts w:eastAsia="Times New Roman"/>
          <w:color w:val="000000"/>
        </w:rPr>
        <w:t xml:space="preserve">a university’s </w:t>
      </w:r>
      <w:r w:rsidRPr="000B6148">
        <w:rPr>
          <w:rFonts w:eastAsia="Times New Roman"/>
          <w:color w:val="000000"/>
        </w:rPr>
        <w:t xml:space="preserve">core </w:t>
      </w:r>
      <w:r>
        <w:rPr>
          <w:rFonts w:eastAsia="Times New Roman"/>
          <w:color w:val="000000"/>
        </w:rPr>
        <w:t>activities</w:t>
      </w:r>
      <w:r w:rsidRPr="000F4181">
        <w:rPr>
          <w:rFonts w:eastAsia="Times New Roman"/>
          <w:color w:val="000000"/>
        </w:rPr>
        <w:t xml:space="preserve"> </w:t>
      </w:r>
      <w:r>
        <w:rPr>
          <w:rFonts w:eastAsia="Times New Roman"/>
          <w:color w:val="000000"/>
        </w:rPr>
        <w:t>someday</w:t>
      </w:r>
      <w:r w:rsidRPr="000B6148">
        <w:rPr>
          <w:rFonts w:eastAsia="Times New Roman"/>
          <w:color w:val="000000"/>
        </w:rPr>
        <w:t>.</w:t>
      </w:r>
      <w:r>
        <w:rPr>
          <w:rFonts w:eastAsia="Times New Roman"/>
          <w:color w:val="000000"/>
        </w:rPr>
        <w:t xml:space="preserve"> Studying the peripheral halo effect dynamically, as an emerging activity </w:t>
      </w:r>
      <w:r w:rsidR="0035037C">
        <w:rPr>
          <w:rFonts w:eastAsia="Times New Roman"/>
          <w:color w:val="000000"/>
        </w:rPr>
        <w:t xml:space="preserve">that </w:t>
      </w:r>
      <w:r>
        <w:rPr>
          <w:rFonts w:eastAsia="Times New Roman"/>
          <w:color w:val="000000"/>
        </w:rPr>
        <w:t>might move over time from the periphery towards the core, is an interesting and challenging future research direction.</w:t>
      </w:r>
    </w:p>
    <w:p w:rsidR="003D1299" w:rsidRPr="004A03BA" w:rsidRDefault="00951698" w:rsidP="002B666C">
      <w:pPr>
        <w:spacing w:line="480" w:lineRule="auto"/>
        <w:ind w:firstLine="567"/>
        <w:jc w:val="both"/>
      </w:pPr>
      <w:r w:rsidRPr="00837046">
        <w:t>Our findings also have implications for</w:t>
      </w:r>
      <w:r w:rsidR="00C922D6" w:rsidRPr="00C6242E">
        <w:t xml:space="preserve"> signaling theory</w:t>
      </w:r>
      <w:r w:rsidR="00096D50" w:rsidRPr="00837046">
        <w:t>,</w:t>
      </w:r>
      <w:r w:rsidR="00FB77AA">
        <w:t xml:space="preserve"> as they illustrate</w:t>
      </w:r>
      <w:r w:rsidR="00C16EA3" w:rsidRPr="00C6242E">
        <w:t xml:space="preserve"> </w:t>
      </w:r>
      <w:r w:rsidR="00F36C79" w:rsidRPr="00C6242E">
        <w:t>the resource</w:t>
      </w:r>
      <w:r w:rsidR="00136D90">
        <w:t xml:space="preserve"> </w:t>
      </w:r>
      <w:r w:rsidR="00F36C79" w:rsidRPr="00C6242E">
        <w:t xml:space="preserve">benefits of signals as byproducts of </w:t>
      </w:r>
      <w:r w:rsidR="00D60884">
        <w:t>organization</w:t>
      </w:r>
      <w:r w:rsidR="00F36C79" w:rsidRPr="00C6242E">
        <w:t>al action.</w:t>
      </w:r>
      <w:r w:rsidR="00F36C79" w:rsidRPr="00AD1AEF">
        <w:t xml:space="preserve"> </w:t>
      </w:r>
      <w:r w:rsidR="003E29B8">
        <w:t>In the university</w:t>
      </w:r>
      <w:r w:rsidR="00A21C88">
        <w:t xml:space="preserve"> context, it is not clear whether spinoff portfolios were created as signaling devices</w:t>
      </w:r>
      <w:r w:rsidR="00096D50">
        <w:t>.</w:t>
      </w:r>
      <w:r w:rsidR="00A21C88">
        <w:t xml:space="preserve"> </w:t>
      </w:r>
      <w:r w:rsidR="00B6203D">
        <w:t>In fact, it is</w:t>
      </w:r>
      <w:r w:rsidR="009E0C52">
        <w:t xml:space="preserve"> </w:t>
      </w:r>
      <w:r w:rsidR="00096D50">
        <w:t>likely that</w:t>
      </w:r>
      <w:r w:rsidR="00CE6884">
        <w:t xml:space="preserve">, at least </w:t>
      </w:r>
      <w:r w:rsidR="00896340">
        <w:t xml:space="preserve">in </w:t>
      </w:r>
      <w:r w:rsidR="00CE6884">
        <w:t>the beginning,</w:t>
      </w:r>
      <w:r w:rsidR="00096D50">
        <w:t xml:space="preserve"> they </w:t>
      </w:r>
      <w:r w:rsidR="00A21C88">
        <w:t xml:space="preserve">were created </w:t>
      </w:r>
      <w:r w:rsidR="00096D50">
        <w:t xml:space="preserve">in the hope of </w:t>
      </w:r>
      <w:r w:rsidR="00117664">
        <w:t xml:space="preserve">generating </w:t>
      </w:r>
      <w:r w:rsidR="00096D50">
        <w:t>financial benefits from equity positions</w:t>
      </w:r>
      <w:r w:rsidR="00484048">
        <w:t xml:space="preserve"> (Bray and Lee, 2000</w:t>
      </w:r>
      <w:r w:rsidR="00301136">
        <w:t xml:space="preserve">; Feldman, </w:t>
      </w:r>
      <w:r w:rsidR="00B5014F">
        <w:t xml:space="preserve">Feller, Bercovitz and Burton, </w:t>
      </w:r>
      <w:r w:rsidR="00301136">
        <w:t>2002</w:t>
      </w:r>
      <w:r w:rsidR="00484048">
        <w:t>)</w:t>
      </w:r>
      <w:r w:rsidR="00096D50">
        <w:t>.</w:t>
      </w:r>
      <w:r w:rsidR="00CE6884">
        <w:t xml:space="preserve"> </w:t>
      </w:r>
      <w:r w:rsidR="001A33FA">
        <w:t xml:space="preserve">In the words of one TTO manager that we interviewed, </w:t>
      </w:r>
      <w:r w:rsidR="001A33FA" w:rsidRPr="001A33FA">
        <w:t>“what we are trying to do with spinoffs is get the money from the equity sale.”</w:t>
      </w:r>
      <w:r w:rsidR="001A33FA">
        <w:t xml:space="preserve"> </w:t>
      </w:r>
      <w:r w:rsidR="00096D50">
        <w:t>Signaling theory states that p</w:t>
      </w:r>
      <w:r w:rsidR="003003A1" w:rsidRPr="00AD1AEF">
        <w:t xml:space="preserve">arties may send a variety of signals without even being aware that they are </w:t>
      </w:r>
      <w:r w:rsidR="00C6518F">
        <w:t>signaling</w:t>
      </w:r>
      <w:r w:rsidR="003003A1" w:rsidRPr="00AD1AEF">
        <w:t xml:space="preserve"> (Spence, 2002). Signals that are not intentional or that were not the primary objective of the action (byproducts of action), have been relatively ignored in </w:t>
      </w:r>
      <w:r w:rsidR="00C6518F">
        <w:t>signaling</w:t>
      </w:r>
      <w:r w:rsidR="003003A1" w:rsidRPr="00AD1AEF">
        <w:t xml:space="preserve"> theory (Connelly </w:t>
      </w:r>
      <w:r w:rsidR="003003A1" w:rsidRPr="004B6E36">
        <w:rPr>
          <w:i/>
        </w:rPr>
        <w:t>et al</w:t>
      </w:r>
      <w:r w:rsidR="003003A1" w:rsidRPr="00AD1AEF">
        <w:t>., 2011; Janney and Folta, 200</w:t>
      </w:r>
      <w:r w:rsidR="00EE7754">
        <w:t>6</w:t>
      </w:r>
      <w:r w:rsidR="003003A1" w:rsidRPr="00AD1AEF">
        <w:t xml:space="preserve">). Our study </w:t>
      </w:r>
      <w:r w:rsidR="00473336">
        <w:t>shows</w:t>
      </w:r>
      <w:r w:rsidR="003003A1" w:rsidRPr="00AD1AEF">
        <w:t xml:space="preserve"> the</w:t>
      </w:r>
      <w:r w:rsidR="00096D50">
        <w:t xml:space="preserve"> </w:t>
      </w:r>
      <w:r w:rsidR="00EC25BC">
        <w:t>often</w:t>
      </w:r>
      <w:r w:rsidR="00EC25BC" w:rsidRPr="00AD1AEF">
        <w:t>-unanticipated</w:t>
      </w:r>
      <w:r w:rsidR="00C5784C" w:rsidRPr="00AD1AEF">
        <w:t xml:space="preserve"> </w:t>
      </w:r>
      <w:r w:rsidR="003003A1" w:rsidRPr="00AD1AEF">
        <w:t>positive benefits of such signals.</w:t>
      </w:r>
    </w:p>
    <w:p w:rsidR="007F7AAE" w:rsidRDefault="007F7AAE" w:rsidP="00E01B3E">
      <w:pPr>
        <w:spacing w:line="480" w:lineRule="auto"/>
        <w:ind w:firstLine="567"/>
        <w:jc w:val="both"/>
        <w:rPr>
          <w:b/>
        </w:rPr>
      </w:pPr>
    </w:p>
    <w:p w:rsidR="003D1299" w:rsidRPr="004A03BA" w:rsidRDefault="003D1299" w:rsidP="00E01B3E">
      <w:pPr>
        <w:spacing w:line="480" w:lineRule="auto"/>
        <w:ind w:firstLine="567"/>
        <w:jc w:val="both"/>
        <w:rPr>
          <w:b/>
        </w:rPr>
      </w:pPr>
      <w:r w:rsidRPr="004A03BA">
        <w:rPr>
          <w:b/>
        </w:rPr>
        <w:t>Reputation and status</w:t>
      </w:r>
    </w:p>
    <w:p w:rsidR="00F87E05" w:rsidRDefault="00E01B3E" w:rsidP="002B666C">
      <w:pPr>
        <w:spacing w:line="480" w:lineRule="auto"/>
        <w:ind w:firstLine="567"/>
        <w:jc w:val="both"/>
      </w:pPr>
      <w:r w:rsidRPr="004A03BA">
        <w:t xml:space="preserve">Our second contribution is </w:t>
      </w:r>
      <w:r w:rsidR="00473336">
        <w:t>to</w:t>
      </w:r>
      <w:r w:rsidR="00117664" w:rsidRPr="004A03BA">
        <w:t xml:space="preserve"> </w:t>
      </w:r>
      <w:r w:rsidRPr="004A03BA">
        <w:t xml:space="preserve">research on the </w:t>
      </w:r>
      <w:r w:rsidR="008D61CF" w:rsidRPr="004A03BA">
        <w:t>interdependency</w:t>
      </w:r>
      <w:r w:rsidRPr="004A03BA">
        <w:t xml:space="preserve"> between reputation and status. We </w:t>
      </w:r>
      <w:r w:rsidR="00473336">
        <w:t>show</w:t>
      </w:r>
      <w:r w:rsidRPr="004A03BA">
        <w:t xml:space="preserve"> that</w:t>
      </w:r>
      <w:r w:rsidR="00C365EA" w:rsidRPr="004A03BA">
        <w:t xml:space="preserve"> </w:t>
      </w:r>
      <w:r w:rsidR="00B439A5">
        <w:t xml:space="preserve">reputation-building </w:t>
      </w:r>
      <w:r w:rsidR="00C365EA" w:rsidRPr="004A03BA">
        <w:t>signal</w:t>
      </w:r>
      <w:r w:rsidR="00B439A5">
        <w:t>s</w:t>
      </w:r>
      <w:r w:rsidRPr="004A03BA">
        <w:t xml:space="preserve"> are interpreted differently depending on the status of the sender.</w:t>
      </w:r>
      <w:r>
        <w:t xml:space="preserve"> </w:t>
      </w:r>
      <w:r w:rsidR="00AE0A0E">
        <w:t xml:space="preserve">Specifically, reputation-building signals from high-status senders are more credible and consequently have a higher impact on </w:t>
      </w:r>
      <w:r w:rsidR="00DD7CBE">
        <w:t>audience evaluations.</w:t>
      </w:r>
    </w:p>
    <w:p w:rsidR="002023F2" w:rsidRDefault="002023F2" w:rsidP="00E01B3E">
      <w:pPr>
        <w:spacing w:line="480" w:lineRule="auto"/>
        <w:ind w:firstLine="567"/>
        <w:jc w:val="both"/>
      </w:pPr>
      <w:r w:rsidRPr="00FE1FB2">
        <w:t>Recently</w:t>
      </w:r>
      <w:r>
        <w:t>,</w:t>
      </w:r>
      <w:r w:rsidRPr="00FE1FB2">
        <w:t xml:space="preserve"> scholars have attempted to investigate the </w:t>
      </w:r>
      <w:r w:rsidRPr="00C86818">
        <w:t>concurrent</w:t>
      </w:r>
      <w:r w:rsidRPr="00FE1FB2">
        <w:t xml:space="preserve"> role of status and reputation on organizational outcomes both </w:t>
      </w:r>
      <w:r w:rsidRPr="00C844D8">
        <w:rPr>
          <w:i/>
        </w:rPr>
        <w:t>independently</w:t>
      </w:r>
      <w:r w:rsidRPr="00FE1FB2">
        <w:t xml:space="preserve"> (</w:t>
      </w:r>
      <w:proofErr w:type="spellStart"/>
      <w:r>
        <w:t>Dimov</w:t>
      </w:r>
      <w:proofErr w:type="spellEnd"/>
      <w:r>
        <w:t xml:space="preserve"> and </w:t>
      </w:r>
      <w:proofErr w:type="spellStart"/>
      <w:r>
        <w:t>Milanov</w:t>
      </w:r>
      <w:proofErr w:type="spellEnd"/>
      <w:r>
        <w:t xml:space="preserve">, 2010; </w:t>
      </w:r>
      <w:r w:rsidRPr="00FE1FB2">
        <w:t xml:space="preserve">Washington and </w:t>
      </w:r>
      <w:proofErr w:type="spellStart"/>
      <w:r w:rsidRPr="00FE1FB2">
        <w:t>Zajac</w:t>
      </w:r>
      <w:proofErr w:type="spellEnd"/>
      <w:r w:rsidRPr="00FE1FB2">
        <w:t xml:space="preserve">, 2005) and </w:t>
      </w:r>
      <w:r w:rsidRPr="00C844D8">
        <w:rPr>
          <w:i/>
        </w:rPr>
        <w:t>sequentially</w:t>
      </w:r>
      <w:r w:rsidRPr="00FE1FB2">
        <w:t xml:space="preserve"> (Jensen and Roy, 2008).</w:t>
      </w:r>
      <w:r>
        <w:t xml:space="preserve"> </w:t>
      </w:r>
      <w:r w:rsidRPr="00FE1FB2">
        <w:t xml:space="preserve">Washington and </w:t>
      </w:r>
      <w:proofErr w:type="spellStart"/>
      <w:r w:rsidRPr="00FE1FB2">
        <w:t>Zajac</w:t>
      </w:r>
      <w:proofErr w:type="spellEnd"/>
      <w:r w:rsidRPr="00FE1FB2">
        <w:t xml:space="preserve"> (2005) showed that reputation and status had independent effects on the selection of basketball teams to participate in the National Collegiate Athletic Association</w:t>
      </w:r>
      <w:r w:rsidR="00117664" w:rsidRPr="00117664">
        <w:t xml:space="preserve"> </w:t>
      </w:r>
      <w:r w:rsidR="00117664">
        <w:t>(</w:t>
      </w:r>
      <w:r w:rsidR="00117664" w:rsidRPr="00FE1FB2">
        <w:t>NCAA</w:t>
      </w:r>
      <w:r w:rsidRPr="00FE1FB2">
        <w:t xml:space="preserve">) postseason tournament. In a different study, Jensen and Roy (2008) argued that status and reputation are used sequentially when choosing exchange partners, with </w:t>
      </w:r>
      <w:r w:rsidRPr="00FE1FB2">
        <w:lastRenderedPageBreak/>
        <w:t xml:space="preserve">organizations first using status to screen prospective firms and then using reputation to select a partner within a particular status bracket. </w:t>
      </w:r>
    </w:p>
    <w:p w:rsidR="00E01B3E" w:rsidRDefault="002023F2">
      <w:pPr>
        <w:spacing w:line="480" w:lineRule="auto"/>
        <w:ind w:firstLine="567"/>
        <w:jc w:val="both"/>
      </w:pPr>
      <w:r>
        <w:t xml:space="preserve">However, an </w:t>
      </w:r>
      <w:r w:rsidRPr="00921506">
        <w:rPr>
          <w:i/>
        </w:rPr>
        <w:t>integrated</w:t>
      </w:r>
      <w:r>
        <w:t xml:space="preserve"> understanding of the potential role of status and reputation in organizational phenomena is </w:t>
      </w:r>
      <w:r w:rsidR="00AE0A0E">
        <w:t xml:space="preserve">still </w:t>
      </w:r>
      <w:r>
        <w:t>missing (</w:t>
      </w:r>
      <w:proofErr w:type="spellStart"/>
      <w:r>
        <w:t>Ertug</w:t>
      </w:r>
      <w:proofErr w:type="spellEnd"/>
      <w:r>
        <w:t xml:space="preserve"> and </w:t>
      </w:r>
      <w:proofErr w:type="spellStart"/>
      <w:r>
        <w:t>Castellucci</w:t>
      </w:r>
      <w:proofErr w:type="spellEnd"/>
      <w:r>
        <w:t xml:space="preserve">, 2013). </w:t>
      </w:r>
      <w:r w:rsidRPr="00FE1FB2">
        <w:t>In this study</w:t>
      </w:r>
      <w:r>
        <w:t>,</w:t>
      </w:r>
      <w:r w:rsidRPr="00FE1FB2">
        <w:t xml:space="preserve"> we examine the </w:t>
      </w:r>
      <w:r w:rsidRPr="00FE1FB2">
        <w:rPr>
          <w:i/>
        </w:rPr>
        <w:t>interdependent</w:t>
      </w:r>
      <w:r w:rsidRPr="00FE1FB2">
        <w:t xml:space="preserve"> effects of status and reputation </w:t>
      </w:r>
      <w:r w:rsidR="00AE0A0E">
        <w:t>on</w:t>
      </w:r>
      <w:r>
        <w:t xml:space="preserve"> audience evaluations</w:t>
      </w:r>
      <w:r w:rsidRPr="00FE1FB2">
        <w:t xml:space="preserve">. </w:t>
      </w:r>
      <w:r>
        <w:t>W</w:t>
      </w:r>
      <w:r w:rsidR="00E01B3E">
        <w:t xml:space="preserve">e find that high status moderates the relationship between </w:t>
      </w:r>
      <w:r w:rsidR="00B439A5">
        <w:t xml:space="preserve">reputation-building </w:t>
      </w:r>
      <w:r w:rsidR="00E01B3E">
        <w:t>signals for a per</w:t>
      </w:r>
      <w:r w:rsidR="004A2BA7">
        <w:t>ipheral activity and evaluations</w:t>
      </w:r>
      <w:r w:rsidR="00E01B3E">
        <w:t xml:space="preserve"> for the core activity.</w:t>
      </w:r>
      <w:r w:rsidR="008D61CF">
        <w:t xml:space="preserve"> </w:t>
      </w:r>
      <w:r>
        <w:t xml:space="preserve">Specifically, signals from high-status senders have a stronger </w:t>
      </w:r>
      <w:r w:rsidR="008E306B">
        <w:t xml:space="preserve">effect on </w:t>
      </w:r>
      <w:r w:rsidR="00B439A5">
        <w:t>audience evaluations</w:t>
      </w:r>
      <w:r>
        <w:t xml:space="preserve"> than signals from low-status senders. Therefore, we </w:t>
      </w:r>
      <w:r w:rsidR="00473336">
        <w:t>show</w:t>
      </w:r>
      <w:r w:rsidRPr="00FE1FB2">
        <w:t xml:space="preserve"> that </w:t>
      </w:r>
      <w:r>
        <w:t>signals building a reputation for a peripheral activity are interpreted differently</w:t>
      </w:r>
      <w:r w:rsidR="003A58BE">
        <w:t xml:space="preserve"> and have a different effect on outcomes</w:t>
      </w:r>
      <w:r>
        <w:t xml:space="preserve"> depending on the status of the sender. </w:t>
      </w:r>
      <w:r w:rsidR="004E4B6D">
        <w:t>This suggests that high-status organizations are likely to benefit much more from building a reputation for their peripheral activities. They may have a greater incentive to engage in such activities as a result. On the contrary, low-status organizations would need to try much harder to increase their benefits from the peripheral halo effect.</w:t>
      </w:r>
    </w:p>
    <w:p w:rsidR="003D1299" w:rsidRDefault="003D1299" w:rsidP="00E01B3E">
      <w:pPr>
        <w:spacing w:line="480" w:lineRule="auto"/>
        <w:ind w:firstLine="567"/>
        <w:jc w:val="both"/>
      </w:pPr>
    </w:p>
    <w:p w:rsidR="003D1299" w:rsidRPr="004A03BA" w:rsidRDefault="003D1299" w:rsidP="00E01B3E">
      <w:pPr>
        <w:spacing w:line="480" w:lineRule="auto"/>
        <w:ind w:firstLine="567"/>
        <w:jc w:val="both"/>
        <w:rPr>
          <w:b/>
        </w:rPr>
      </w:pPr>
      <w:r w:rsidRPr="004A03BA">
        <w:rPr>
          <w:b/>
        </w:rPr>
        <w:t>Academic entrepreneurship</w:t>
      </w:r>
    </w:p>
    <w:p w:rsidR="003C100E" w:rsidRPr="00246C17" w:rsidRDefault="00B67BB2" w:rsidP="00FB77AA">
      <w:pPr>
        <w:spacing w:line="480" w:lineRule="auto"/>
        <w:ind w:firstLine="567"/>
        <w:jc w:val="both"/>
      </w:pPr>
      <w:r>
        <w:t>A</w:t>
      </w:r>
      <w:r w:rsidRPr="004A03BA">
        <w:t xml:space="preserve"> </w:t>
      </w:r>
      <w:r w:rsidR="00E01B3E" w:rsidRPr="004A03BA">
        <w:t>third</w:t>
      </w:r>
      <w:r w:rsidR="009D511A" w:rsidRPr="004A03BA">
        <w:t xml:space="preserve"> and equally important</w:t>
      </w:r>
      <w:r w:rsidR="0048081F" w:rsidRPr="004A03BA">
        <w:t xml:space="preserve"> contribution </w:t>
      </w:r>
      <w:r>
        <w:t xml:space="preserve">of our work </w:t>
      </w:r>
      <w:r w:rsidR="0048081F" w:rsidRPr="004A03BA">
        <w:t>is</w:t>
      </w:r>
      <w:r w:rsidR="00710952" w:rsidRPr="004A03BA">
        <w:t xml:space="preserve"> </w:t>
      </w:r>
      <w:r>
        <w:t>within</w:t>
      </w:r>
      <w:r w:rsidRPr="004A03BA">
        <w:t xml:space="preserve"> </w:t>
      </w:r>
      <w:r w:rsidR="00710952" w:rsidRPr="004A03BA">
        <w:t>the literature on academic entrepreneurship</w:t>
      </w:r>
      <w:r w:rsidR="00710952" w:rsidRPr="00837046">
        <w:rPr>
          <w:i/>
        </w:rPr>
        <w:t xml:space="preserve"> </w:t>
      </w:r>
      <w:r w:rsidR="00710952" w:rsidRPr="00136D90">
        <w:t xml:space="preserve">(O’Shea </w:t>
      </w:r>
      <w:r w:rsidR="00710952" w:rsidRPr="004B6E36">
        <w:rPr>
          <w:i/>
        </w:rPr>
        <w:t>et al</w:t>
      </w:r>
      <w:r w:rsidR="00710952" w:rsidRPr="00136D90">
        <w:t xml:space="preserve">., 2008; </w:t>
      </w:r>
      <w:proofErr w:type="spellStart"/>
      <w:r w:rsidR="00710952" w:rsidRPr="00136D90">
        <w:t>Djokovic</w:t>
      </w:r>
      <w:proofErr w:type="spellEnd"/>
      <w:r w:rsidR="00710952" w:rsidRPr="00136D90">
        <w:t xml:space="preserve"> and Souitaris, 2008; </w:t>
      </w:r>
      <w:proofErr w:type="spellStart"/>
      <w:r w:rsidR="00710952" w:rsidRPr="00136D90">
        <w:t>Rothaermel</w:t>
      </w:r>
      <w:proofErr w:type="spellEnd"/>
      <w:r w:rsidR="002F2850" w:rsidRPr="00136D90">
        <w:t xml:space="preserve"> </w:t>
      </w:r>
      <w:r w:rsidR="002F2850" w:rsidRPr="00136D90">
        <w:rPr>
          <w:i/>
        </w:rPr>
        <w:t>et al</w:t>
      </w:r>
      <w:r w:rsidR="00E64062">
        <w:rPr>
          <w:i/>
        </w:rPr>
        <w:t>.</w:t>
      </w:r>
      <w:r w:rsidR="00710952" w:rsidRPr="00136D90">
        <w:t>, 2007)</w:t>
      </w:r>
      <w:r w:rsidR="0048081F">
        <w:rPr>
          <w:i/>
        </w:rPr>
        <w:t xml:space="preserve">. </w:t>
      </w:r>
      <w:r w:rsidR="0048081F" w:rsidRPr="004A03BA">
        <w:t>We illustrate</w:t>
      </w:r>
      <w:r w:rsidR="00710952" w:rsidRPr="004A03BA">
        <w:t xml:space="preserve"> that</w:t>
      </w:r>
      <w:r w:rsidR="00D44C37" w:rsidRPr="004A03BA">
        <w:t xml:space="preserve"> </w:t>
      </w:r>
      <w:r w:rsidR="00246C17" w:rsidRPr="004A03BA">
        <w:t xml:space="preserve">characteristics of the </w:t>
      </w:r>
      <w:r w:rsidR="000317F9" w:rsidRPr="004A03BA">
        <w:t xml:space="preserve">university </w:t>
      </w:r>
      <w:r w:rsidR="00246C17" w:rsidRPr="004A03BA">
        <w:t>spinoff portfolio</w:t>
      </w:r>
      <w:r w:rsidR="00C365EA" w:rsidRPr="004A03BA">
        <w:t xml:space="preserve"> are associated with</w:t>
      </w:r>
      <w:r w:rsidR="00710952" w:rsidRPr="004A03BA">
        <w:t xml:space="preserve"> university research income.</w:t>
      </w:r>
      <w:r w:rsidR="00710952">
        <w:t xml:space="preserve"> Our findings are</w:t>
      </w:r>
      <w:r w:rsidR="00710952" w:rsidRPr="00AD1AEF">
        <w:t xml:space="preserve"> important for the academic entrepreneurship literature because they respond to </w:t>
      </w:r>
      <w:r>
        <w:t>the</w:t>
      </w:r>
      <w:r w:rsidRPr="00AD1AEF">
        <w:t xml:space="preserve"> </w:t>
      </w:r>
      <w:r w:rsidR="00710952" w:rsidRPr="00AD1AEF">
        <w:t xml:space="preserve">enduring gap in our knowledge </w:t>
      </w:r>
      <w:r>
        <w:t>regarding</w:t>
      </w:r>
      <w:r w:rsidRPr="00AD1AEF">
        <w:t xml:space="preserve"> </w:t>
      </w:r>
      <w:r w:rsidR="00710952" w:rsidRPr="00AD1AEF">
        <w:t xml:space="preserve">whether entrepreneurial universities benefit from </w:t>
      </w:r>
      <w:r w:rsidR="00710952">
        <w:t>spinoff activities (Shane, 2004</w:t>
      </w:r>
      <w:r w:rsidR="00710952" w:rsidRPr="00AD1AEF">
        <w:t xml:space="preserve">). </w:t>
      </w:r>
      <w:r w:rsidR="00E1652E">
        <w:t xml:space="preserve">Our study </w:t>
      </w:r>
      <w:r w:rsidR="003D34D8">
        <w:t xml:space="preserve">joins and </w:t>
      </w:r>
      <w:r w:rsidR="00B278C3">
        <w:t xml:space="preserve">extends an emerging stream of research which redirects the attention of the literature </w:t>
      </w:r>
      <w:r w:rsidR="00D12F46">
        <w:t>from how universities can help spinoffs to</w:t>
      </w:r>
      <w:r w:rsidR="00B278C3">
        <w:t xml:space="preserve"> </w:t>
      </w:r>
      <w:r w:rsidR="00D12F46">
        <w:t>how spinoffs can affect</w:t>
      </w:r>
      <w:r w:rsidR="001C27CB">
        <w:t xml:space="preserve"> academic indicators such as</w:t>
      </w:r>
      <w:r w:rsidR="00B278C3">
        <w:t xml:space="preserve"> </w:t>
      </w:r>
      <w:r w:rsidR="001C27CB">
        <w:t>research productivity (</w:t>
      </w:r>
      <w:proofErr w:type="spellStart"/>
      <w:r w:rsidR="001C27CB">
        <w:t>Buenstorf</w:t>
      </w:r>
      <w:proofErr w:type="spellEnd"/>
      <w:r w:rsidR="001C27CB">
        <w:t>, 2009; Lowe and Gonzales-</w:t>
      </w:r>
      <w:proofErr w:type="spellStart"/>
      <w:r w:rsidR="001C27CB">
        <w:t>Brambila</w:t>
      </w:r>
      <w:proofErr w:type="spellEnd"/>
      <w:r w:rsidR="001C27CB">
        <w:t>, 2007;</w:t>
      </w:r>
      <w:r w:rsidR="002A6CEA" w:rsidRPr="002A6CEA">
        <w:t xml:space="preserve"> </w:t>
      </w:r>
      <w:r w:rsidR="002A6CEA">
        <w:t xml:space="preserve">Toole and </w:t>
      </w:r>
      <w:proofErr w:type="spellStart"/>
      <w:r w:rsidR="002A6CEA">
        <w:t>Czarnitzki</w:t>
      </w:r>
      <w:proofErr w:type="spellEnd"/>
      <w:r w:rsidR="002A6CEA">
        <w:t>, 2010</w:t>
      </w:r>
      <w:r w:rsidR="001C27CB">
        <w:t>)</w:t>
      </w:r>
      <w:r w:rsidR="0010059E">
        <w:t xml:space="preserve">, faculty learning </w:t>
      </w:r>
      <w:r w:rsidR="001C27CB">
        <w:t>and</w:t>
      </w:r>
      <w:r w:rsidR="0010059E">
        <w:t xml:space="preserve"> creativity (Perkmann and Walsh, 2009) and faculty retention</w:t>
      </w:r>
      <w:r w:rsidR="001C27CB">
        <w:t xml:space="preserve"> (</w:t>
      </w:r>
      <w:r w:rsidR="00B278C3">
        <w:t xml:space="preserve">Nicolaou and Souitaris, 2013). </w:t>
      </w:r>
      <w:r w:rsidR="00246C17">
        <w:t>To our knowledge, this is the first study to demonstrate</w:t>
      </w:r>
      <w:r w:rsidR="00246C17" w:rsidRPr="00246C17">
        <w:t xml:space="preserve"> that spinoff activity </w:t>
      </w:r>
      <w:r w:rsidR="00517F44">
        <w:t>contributes financially to universities</w:t>
      </w:r>
      <w:r w:rsidR="00246C17" w:rsidRPr="00246C17">
        <w:t xml:space="preserve"> </w:t>
      </w:r>
      <w:r w:rsidR="00C365EA">
        <w:t>by raising</w:t>
      </w:r>
      <w:r w:rsidR="00246C17">
        <w:t xml:space="preserve"> </w:t>
      </w:r>
      <w:r w:rsidR="00246C17" w:rsidRPr="00246C17">
        <w:t>research income</w:t>
      </w:r>
      <w:r w:rsidR="00246C17">
        <w:t xml:space="preserve"> over and above the amount expected by </w:t>
      </w:r>
      <w:r w:rsidR="00F62EC4">
        <w:t xml:space="preserve">university </w:t>
      </w:r>
      <w:r w:rsidR="00246C17">
        <w:t>scientif</w:t>
      </w:r>
      <w:r w:rsidR="00865557">
        <w:t>ic eminence and general reputation</w:t>
      </w:r>
      <w:r w:rsidR="00246C17" w:rsidRPr="00246C17">
        <w:t>.</w:t>
      </w:r>
    </w:p>
    <w:p w:rsidR="008038D2" w:rsidRDefault="008038D2" w:rsidP="008038D2">
      <w:pPr>
        <w:spacing w:line="480" w:lineRule="auto"/>
        <w:ind w:firstLine="567"/>
        <w:jc w:val="both"/>
      </w:pPr>
      <w:r>
        <w:lastRenderedPageBreak/>
        <w:t>Apart from establishing statistical significance, we</w:t>
      </w:r>
      <w:r w:rsidRPr="00260EA2">
        <w:t xml:space="preserve"> </w:t>
      </w:r>
      <w:r>
        <w:t xml:space="preserve">also </w:t>
      </w:r>
      <w:r w:rsidRPr="00260EA2">
        <w:t>evaluated the economic si</w:t>
      </w:r>
      <w:r>
        <w:t>gnificance of our findings</w:t>
      </w:r>
      <w:r w:rsidRPr="00260EA2">
        <w:t>. We note</w:t>
      </w:r>
      <w:r>
        <w:t>d</w:t>
      </w:r>
      <w:r w:rsidRPr="00260EA2">
        <w:t xml:space="preserve"> that the average annual competitive research income of a university was £</w:t>
      </w:r>
      <w:r>
        <w:t>18,300,000</w:t>
      </w:r>
      <w:r w:rsidRPr="00260EA2">
        <w:t xml:space="preserve"> (</w:t>
      </w:r>
      <w:r w:rsidR="002E3464">
        <w:t>2013</w:t>
      </w:r>
      <w:r w:rsidRPr="00260EA2">
        <w:t xml:space="preserve"> values). From our basic model, we calculated that</w:t>
      </w:r>
      <w:r>
        <w:t xml:space="preserve"> (1</w:t>
      </w:r>
      <w:r w:rsidRPr="00260EA2">
        <w:t>) One additional spinoff in the university’s portfolio increases university annual income by £</w:t>
      </w:r>
      <w:r>
        <w:t>1,</w:t>
      </w:r>
      <w:r w:rsidR="004D28CE">
        <w:t>028</w:t>
      </w:r>
      <w:r>
        <w:t>,</w:t>
      </w:r>
      <w:r w:rsidR="004D28CE">
        <w:t>292</w:t>
      </w:r>
      <w:r w:rsidRPr="00260EA2">
        <w:t xml:space="preserve"> (</w:t>
      </w:r>
      <w:r w:rsidR="004D28CE">
        <w:t>5</w:t>
      </w:r>
      <w:r w:rsidR="003E6770">
        <w:t>.</w:t>
      </w:r>
      <w:r w:rsidR="00E62310">
        <w:t>62</w:t>
      </w:r>
      <w:r w:rsidRPr="00260EA2">
        <w:t>% of the average income),</w:t>
      </w:r>
      <w:r>
        <w:t xml:space="preserve"> </w:t>
      </w:r>
      <w:r w:rsidRPr="00260EA2">
        <w:t>(2) One additional million pounds of spinoff revenue (for the whole live portfolio) increases university research income by £</w:t>
      </w:r>
      <w:r w:rsidR="004D28CE">
        <w:t>88</w:t>
      </w:r>
      <w:r>
        <w:t>,</w:t>
      </w:r>
      <w:r w:rsidR="004D28CE">
        <w:t>014</w:t>
      </w:r>
      <w:r w:rsidRPr="00260EA2">
        <w:t xml:space="preserve"> (0.</w:t>
      </w:r>
      <w:r w:rsidR="004D28CE">
        <w:t>48</w:t>
      </w:r>
      <w:r w:rsidRPr="00260EA2">
        <w:t>% of the average inco</w:t>
      </w:r>
      <w:r>
        <w:t xml:space="preserve">me), </w:t>
      </w:r>
      <w:r w:rsidRPr="00260EA2">
        <w:t>(3) One additional media hit increases research income by £</w:t>
      </w:r>
      <w:r w:rsidR="004D28CE">
        <w:t>91</w:t>
      </w:r>
      <w:r>
        <w:t>,</w:t>
      </w:r>
      <w:r w:rsidR="004D28CE">
        <w:t>094</w:t>
      </w:r>
      <w:r w:rsidRPr="00260EA2">
        <w:t xml:space="preserve"> (</w:t>
      </w:r>
      <w:r w:rsidR="00E62310">
        <w:t>0.50</w:t>
      </w:r>
      <w:r w:rsidRPr="00260EA2">
        <w:t xml:space="preserve">% </w:t>
      </w:r>
      <w:r>
        <w:t>of the average income</w:t>
      </w:r>
      <w:r w:rsidRPr="00260EA2">
        <w:t xml:space="preserve">). The </w:t>
      </w:r>
      <w:r>
        <w:t xml:space="preserve">combined </w:t>
      </w:r>
      <w:r w:rsidRPr="00260EA2">
        <w:t>increase in research income (£</w:t>
      </w:r>
      <w:r>
        <w:t>1,</w:t>
      </w:r>
      <w:r w:rsidR="004D28CE">
        <w:t>207</w:t>
      </w:r>
      <w:r>
        <w:t>,</w:t>
      </w:r>
      <w:r w:rsidR="004D28CE">
        <w:t>400</w:t>
      </w:r>
      <w:r w:rsidRPr="00260EA2">
        <w:t xml:space="preserve"> in </w:t>
      </w:r>
      <w:r w:rsidR="000311B0">
        <w:t xml:space="preserve">2013 </w:t>
      </w:r>
      <w:r w:rsidRPr="00260EA2">
        <w:t xml:space="preserve">values) for </w:t>
      </w:r>
      <w:r>
        <w:t xml:space="preserve">the three characteristics </w:t>
      </w:r>
      <w:r w:rsidRPr="00260EA2">
        <w:t xml:space="preserve">of the spinoff portfolio is </w:t>
      </w:r>
      <w:r w:rsidR="004D28CE">
        <w:t>6</w:t>
      </w:r>
      <w:r>
        <w:t>.</w:t>
      </w:r>
      <w:r w:rsidR="00E62310">
        <w:t>60</w:t>
      </w:r>
      <w:r w:rsidRPr="00260EA2">
        <w:t>% of the mean income.</w:t>
      </w:r>
    </w:p>
    <w:p w:rsidR="008038D2" w:rsidRDefault="008038D2" w:rsidP="008038D2">
      <w:pPr>
        <w:spacing w:line="480" w:lineRule="auto"/>
        <w:ind w:firstLine="567"/>
        <w:jc w:val="both"/>
      </w:pPr>
      <w:r w:rsidRPr="00260EA2">
        <w:t xml:space="preserve">We also </w:t>
      </w:r>
      <w:r>
        <w:t>estimated</w:t>
      </w:r>
      <w:r w:rsidRPr="00260EA2">
        <w:t xml:space="preserve"> that</w:t>
      </w:r>
      <w:r>
        <w:t xml:space="preserve"> </w:t>
      </w:r>
      <w:r w:rsidRPr="00260EA2">
        <w:t>(1) An increase of one standard deviation in portfolio size (10.25 spinoffs) raises income by £</w:t>
      </w:r>
      <w:r w:rsidR="004D28CE">
        <w:t>10</w:t>
      </w:r>
      <w:r>
        <w:t>,</w:t>
      </w:r>
      <w:r w:rsidR="00E62310">
        <w:t>540</w:t>
      </w:r>
      <w:r>
        <w:t>,</w:t>
      </w:r>
      <w:r w:rsidR="00E62310">
        <w:t>000</w:t>
      </w:r>
      <w:r w:rsidRPr="00260EA2">
        <w:t xml:space="preserve"> (</w:t>
      </w:r>
      <w:r w:rsidR="004D28CE">
        <w:t>57</w:t>
      </w:r>
      <w:r w:rsidR="001750FE">
        <w:t>.</w:t>
      </w:r>
      <w:r w:rsidR="00E62310">
        <w:t>60</w:t>
      </w:r>
      <w:r w:rsidRPr="00260EA2">
        <w:t>% increase over the mean)</w:t>
      </w:r>
      <w:r>
        <w:t xml:space="preserve">, </w:t>
      </w:r>
      <w:r w:rsidRPr="00260EA2">
        <w:t>(2) An increase of one standard deviation in portfolio quality (£</w:t>
      </w:r>
      <w:r>
        <w:t>28,200,000</w:t>
      </w:r>
      <w:r w:rsidRPr="00260EA2">
        <w:t>) raises research income by £</w:t>
      </w:r>
      <w:r w:rsidR="003E6770">
        <w:t>2,</w:t>
      </w:r>
      <w:r w:rsidR="00E62310">
        <w:t>482</w:t>
      </w:r>
      <w:r>
        <w:t>,</w:t>
      </w:r>
      <w:r w:rsidR="00E62310">
        <w:t>000</w:t>
      </w:r>
      <w:r w:rsidRPr="00260EA2">
        <w:t xml:space="preserve"> (</w:t>
      </w:r>
      <w:r w:rsidR="001750FE">
        <w:t>1</w:t>
      </w:r>
      <w:r w:rsidR="004D28CE">
        <w:t>3</w:t>
      </w:r>
      <w:r w:rsidR="001750FE">
        <w:t>.</w:t>
      </w:r>
      <w:r w:rsidR="004D28CE">
        <w:t>56</w:t>
      </w:r>
      <w:r w:rsidRPr="00260EA2">
        <w:t>% increase over the mean) and (3) An increase of one standard deviation in portfolio media (26.5 articles) increases research income by £</w:t>
      </w:r>
      <w:r w:rsidR="004D28CE">
        <w:t>2</w:t>
      </w:r>
      <w:r>
        <w:t>,</w:t>
      </w:r>
      <w:r w:rsidR="00E62310">
        <w:t>414</w:t>
      </w:r>
      <w:r w:rsidR="003E6770">
        <w:t>,</w:t>
      </w:r>
      <w:r w:rsidR="00E62310">
        <w:t>000</w:t>
      </w:r>
      <w:r w:rsidR="003E6770">
        <w:t xml:space="preserve"> </w:t>
      </w:r>
      <w:r w:rsidRPr="00260EA2">
        <w:t>(</w:t>
      </w:r>
      <w:r w:rsidR="004D28CE">
        <w:t>13</w:t>
      </w:r>
      <w:r>
        <w:t>.</w:t>
      </w:r>
      <w:r w:rsidR="004D28CE">
        <w:t>19</w:t>
      </w:r>
      <w:r w:rsidRPr="00260EA2">
        <w:t>% increase over the mean). The total increase in research income (£</w:t>
      </w:r>
      <w:r w:rsidR="004D28CE">
        <w:t>15</w:t>
      </w:r>
      <w:r>
        <w:t>,</w:t>
      </w:r>
      <w:r w:rsidR="00E62310">
        <w:t>436</w:t>
      </w:r>
      <w:r>
        <w:t>,</w:t>
      </w:r>
      <w:r w:rsidR="00E62310">
        <w:t>000</w:t>
      </w:r>
      <w:r w:rsidRPr="00260EA2">
        <w:t xml:space="preserve"> in </w:t>
      </w:r>
      <w:r w:rsidR="004E4B6D">
        <w:t>2013</w:t>
      </w:r>
      <w:r>
        <w:t xml:space="preserve"> prices</w:t>
      </w:r>
      <w:r w:rsidRPr="00260EA2">
        <w:t xml:space="preserve">) for one standard deviation increase across all 3 characteristics of the spinoff portfolio is </w:t>
      </w:r>
      <w:r w:rsidR="00E62310">
        <w:t>84.35</w:t>
      </w:r>
      <w:r w:rsidRPr="00260EA2">
        <w:t xml:space="preserve">% of the mean income. </w:t>
      </w:r>
    </w:p>
    <w:p w:rsidR="008038D2" w:rsidRDefault="008038D2" w:rsidP="008038D2">
      <w:pPr>
        <w:spacing w:line="480" w:lineRule="auto"/>
        <w:ind w:firstLine="720"/>
        <w:jc w:val="both"/>
      </w:pPr>
      <w:r w:rsidRPr="00260EA2">
        <w:t xml:space="preserve">Moreover, we compared the </w:t>
      </w:r>
      <w:r>
        <w:t>increase</w:t>
      </w:r>
      <w:r w:rsidRPr="00260EA2">
        <w:t xml:space="preserve"> in research income by a single spinoff firm to the yearly average university income from sales of spinoff shares and the yearly average income from licensing. From the Business and Community Interaction survey</w:t>
      </w:r>
      <w:r>
        <w:t xml:space="preserve"> (HEFCE, 2008)</w:t>
      </w:r>
      <w:r w:rsidRPr="00260EA2">
        <w:t>, we found that</w:t>
      </w:r>
      <w:r w:rsidR="00B67BB2">
        <w:t>,</w:t>
      </w:r>
      <w:r w:rsidRPr="00260EA2">
        <w:t xml:space="preserve"> for 2006-07</w:t>
      </w:r>
      <w:r w:rsidR="00B67BB2">
        <w:t>,</w:t>
      </w:r>
      <w:r w:rsidRPr="00260EA2">
        <w:t xml:space="preserve"> the 113 universities in Engla</w:t>
      </w:r>
      <w:r>
        <w:t>nd and Scotland</w:t>
      </w:r>
      <w:r w:rsidRPr="00260EA2">
        <w:t xml:space="preserve"> made on average £154,814 (in </w:t>
      </w:r>
      <w:r>
        <w:t>current</w:t>
      </w:r>
      <w:r w:rsidRPr="00260EA2">
        <w:t xml:space="preserve"> prices) from sales of spinoff shares and £339,265 (in </w:t>
      </w:r>
      <w:r>
        <w:t>current</w:t>
      </w:r>
      <w:r w:rsidRPr="00260EA2">
        <w:t xml:space="preserve"> prices) from licensing. Instead, from our model, a single spinoff can indirectly raise research income by £</w:t>
      </w:r>
      <w:r w:rsidR="001750FE">
        <w:t>1,</w:t>
      </w:r>
      <w:r w:rsidR="00F42898">
        <w:t>028,292</w:t>
      </w:r>
      <w:r w:rsidR="00F42898" w:rsidRPr="00260EA2">
        <w:t xml:space="preserve"> </w:t>
      </w:r>
      <w:r w:rsidRPr="00260EA2">
        <w:t xml:space="preserve">in </w:t>
      </w:r>
      <w:r>
        <w:t>current</w:t>
      </w:r>
      <w:r w:rsidRPr="00260EA2">
        <w:t xml:space="preserve"> prices. </w:t>
      </w:r>
    </w:p>
    <w:p w:rsidR="008038D2" w:rsidRDefault="008038D2" w:rsidP="008038D2">
      <w:pPr>
        <w:spacing w:line="480" w:lineRule="auto"/>
        <w:ind w:firstLine="567"/>
        <w:jc w:val="both"/>
      </w:pPr>
      <w:r>
        <w:t>Based on the results as a whole, w</w:t>
      </w:r>
      <w:r w:rsidRPr="00260EA2">
        <w:t>e conclude</w:t>
      </w:r>
      <w:r>
        <w:t>d</w:t>
      </w:r>
      <w:r w:rsidRPr="00260EA2">
        <w:t xml:space="preserve"> that spinoff activ</w:t>
      </w:r>
      <w:r>
        <w:t>ity is, as expected,</w:t>
      </w:r>
      <w:r w:rsidRPr="00260EA2">
        <w:t xml:space="preserve"> not the main driver of research income. It is a peripheral activit</w:t>
      </w:r>
      <w:r>
        <w:t xml:space="preserve">y that </w:t>
      </w:r>
      <w:r w:rsidRPr="00260EA2">
        <w:t>explain</w:t>
      </w:r>
      <w:r>
        <w:t>s about 13%</w:t>
      </w:r>
      <w:r w:rsidRPr="00260EA2">
        <w:t xml:space="preserve"> of the variance in university competitive research funding</w:t>
      </w:r>
      <w:r>
        <w:t>. However, the</w:t>
      </w:r>
      <w:r w:rsidRPr="00260EA2">
        <w:t xml:space="preserve"> figures</w:t>
      </w:r>
      <w:r>
        <w:t xml:space="preserve"> above showed that the</w:t>
      </w:r>
      <w:r w:rsidRPr="00260EA2">
        <w:t xml:space="preserve"> effects of spinoff-portfolio characteristics on research income are not only statistically but also economically significant. </w:t>
      </w:r>
      <w:r>
        <w:t>F</w:t>
      </w:r>
      <w:r w:rsidRPr="00260EA2">
        <w:t>or a pe</w:t>
      </w:r>
      <w:r>
        <w:t>ripheral activity, spinoffs have</w:t>
      </w:r>
      <w:r w:rsidRPr="00260EA2">
        <w:t xml:space="preserve"> a substantial </w:t>
      </w:r>
      <w:r>
        <w:t xml:space="preserve">and meaningful </w:t>
      </w:r>
      <w:r w:rsidRPr="00260EA2">
        <w:t xml:space="preserve">economic effect on </w:t>
      </w:r>
      <w:r>
        <w:t>research income, over and above</w:t>
      </w:r>
      <w:r w:rsidR="00D53A0E">
        <w:t xml:space="preserve"> the effect of research performance</w:t>
      </w:r>
      <w:r>
        <w:t xml:space="preserve"> and general reputation.</w:t>
      </w:r>
    </w:p>
    <w:p w:rsidR="00012120" w:rsidRPr="00AD1AEF" w:rsidRDefault="00A31B70" w:rsidP="002B666C">
      <w:pPr>
        <w:spacing w:line="480" w:lineRule="auto"/>
        <w:ind w:firstLine="567"/>
        <w:jc w:val="both"/>
      </w:pPr>
      <w:r w:rsidRPr="00AD1AEF">
        <w:lastRenderedPageBreak/>
        <w:t>Th</w:t>
      </w:r>
      <w:r w:rsidR="00BE7AF9">
        <w:t>is</w:t>
      </w:r>
      <w:r w:rsidR="003D14AF" w:rsidRPr="00AD1AEF">
        <w:t xml:space="preserve"> evidence </w:t>
      </w:r>
      <w:r w:rsidR="00B67BB2">
        <w:t>for</w:t>
      </w:r>
      <w:r w:rsidR="00B67BB2" w:rsidRPr="00AD1AEF">
        <w:t xml:space="preserve"> </w:t>
      </w:r>
      <w:r w:rsidR="003D14AF" w:rsidRPr="00AD1AEF">
        <w:t>the impact of academic spinoffs on university income</w:t>
      </w:r>
      <w:r w:rsidR="004B4A0A">
        <w:t xml:space="preserve"> </w:t>
      </w:r>
      <w:r w:rsidR="00F36C79" w:rsidRPr="00AD1AEF">
        <w:t>is particularly important</w:t>
      </w:r>
      <w:r w:rsidR="00C7411D" w:rsidRPr="00AD1AEF">
        <w:t xml:space="preserve"> for university managers</w:t>
      </w:r>
      <w:r w:rsidR="00F36C79" w:rsidRPr="00AD1AEF">
        <w:t>. Considering the amount of money and effort put into spinoffs by universities worldwide, it is crucial for university leaders to arrive at true estimates of the economic returns</w:t>
      </w:r>
      <w:r w:rsidR="00517F44">
        <w:t xml:space="preserve"> of these ventures</w:t>
      </w:r>
      <w:r w:rsidR="00F36C79" w:rsidRPr="00AD1AEF">
        <w:t>. Given that direct returns from university equity positions in spinoffs have proved negligible (Bok, 2003;</w:t>
      </w:r>
      <w:r w:rsidR="00A44F8C">
        <w:t xml:space="preserve"> Shane, 2004</w:t>
      </w:r>
      <w:r w:rsidR="004D7116">
        <w:t>;</w:t>
      </w:r>
      <w:r w:rsidR="004D7116" w:rsidRPr="004D7116">
        <w:t xml:space="preserve"> </w:t>
      </w:r>
      <w:r w:rsidR="004D7116">
        <w:t>Slaughter</w:t>
      </w:r>
      <w:r w:rsidR="004D7116" w:rsidRPr="004D7116">
        <w:t xml:space="preserve"> </w:t>
      </w:r>
      <w:r w:rsidR="004D7116">
        <w:t>and Leslie, 1997</w:t>
      </w:r>
      <w:r w:rsidR="00F36C79" w:rsidRPr="00AD1AEF">
        <w:t>), the reputation perspective</w:t>
      </w:r>
      <w:r w:rsidR="00012120" w:rsidRPr="00AD1AEF">
        <w:t xml:space="preserve"> allowed us to demonstrate</w:t>
      </w:r>
      <w:r w:rsidR="00C365EA">
        <w:t xml:space="preserve"> the</w:t>
      </w:r>
      <w:r w:rsidR="00F36C79" w:rsidRPr="00AD1AEF">
        <w:t xml:space="preserve"> indire</w:t>
      </w:r>
      <w:r w:rsidR="00C365EA">
        <w:t xml:space="preserve">ct association of spinoffs with </w:t>
      </w:r>
      <w:r w:rsidR="00012120" w:rsidRPr="00AD1AEF">
        <w:t>university income</w:t>
      </w:r>
      <w:r w:rsidR="00F36C79" w:rsidRPr="00AD1AEF">
        <w:t>.</w:t>
      </w:r>
      <w:r w:rsidR="00023F67" w:rsidRPr="00AD1AEF">
        <w:t xml:space="preserve"> We </w:t>
      </w:r>
      <w:r w:rsidR="00C05002" w:rsidRPr="00AD1AEF">
        <w:t>advis</w:t>
      </w:r>
      <w:r w:rsidR="00023F67" w:rsidRPr="00AD1AEF">
        <w:t>e university executives to concentrate more on demonstrating the social impact by building a sizeable, w</w:t>
      </w:r>
      <w:r w:rsidR="0011215D">
        <w:t>ell</w:t>
      </w:r>
      <w:r w:rsidR="00B67BB2">
        <w:t>-</w:t>
      </w:r>
      <w:r w:rsidR="0011215D">
        <w:t>performing and well</w:t>
      </w:r>
      <w:r w:rsidR="00B67BB2">
        <w:t>-</w:t>
      </w:r>
      <w:r w:rsidR="00136D90">
        <w:t>publiciz</w:t>
      </w:r>
      <w:r w:rsidR="00136D90" w:rsidRPr="00AD1AEF">
        <w:t>ed</w:t>
      </w:r>
      <w:r w:rsidR="00023F67" w:rsidRPr="00AD1AEF">
        <w:t xml:space="preserve"> spinoff portfolio, than negotiating hard on the equity split.</w:t>
      </w:r>
    </w:p>
    <w:p w:rsidR="00D019C7" w:rsidRDefault="00A76EF9" w:rsidP="00692A62">
      <w:pPr>
        <w:spacing w:line="480" w:lineRule="auto"/>
        <w:ind w:firstLine="567"/>
        <w:jc w:val="both"/>
      </w:pPr>
      <w:r w:rsidRPr="00AD1AEF">
        <w:t>Th</w:t>
      </w:r>
      <w:r w:rsidR="004B4A0A">
        <w:t>e findings</w:t>
      </w:r>
      <w:r w:rsidR="0080153D" w:rsidRPr="00AD1AEF">
        <w:t xml:space="preserve"> also ha</w:t>
      </w:r>
      <w:r w:rsidR="004B4A0A">
        <w:t>ve</w:t>
      </w:r>
      <w:r w:rsidR="0080153D" w:rsidRPr="00AD1AEF">
        <w:t xml:space="preserve"> implications for government officials </w:t>
      </w:r>
      <w:r w:rsidR="00B67BB2">
        <w:t>who</w:t>
      </w:r>
      <w:r w:rsidR="00B67BB2" w:rsidRPr="00AD1AEF">
        <w:t xml:space="preserve"> </w:t>
      </w:r>
      <w:r w:rsidR="0080153D" w:rsidRPr="00AD1AEF">
        <w:t xml:space="preserve">design </w:t>
      </w:r>
      <w:r w:rsidR="00402AE5" w:rsidRPr="00AD1AEF">
        <w:t xml:space="preserve">innovation policies. </w:t>
      </w:r>
      <w:r w:rsidR="001C4D18">
        <w:t xml:space="preserve">We </w:t>
      </w:r>
      <w:r w:rsidR="00EC25BC">
        <w:t>show</w:t>
      </w:r>
      <w:r w:rsidR="0080153D" w:rsidRPr="00AD1AEF">
        <w:t>ed</w:t>
      </w:r>
      <w:r w:rsidRPr="00AD1AEF">
        <w:t xml:space="preserve"> that </w:t>
      </w:r>
      <w:r w:rsidR="00EB6B88">
        <w:t xml:space="preserve">the </w:t>
      </w:r>
      <w:r w:rsidR="00136D90">
        <w:t>institutionaliz</w:t>
      </w:r>
      <w:r w:rsidR="00136D90" w:rsidRPr="00AD1AEF">
        <w:t>ation</w:t>
      </w:r>
      <w:r w:rsidR="001C4D18">
        <w:t xml:space="preserve"> of academic</w:t>
      </w:r>
      <w:r w:rsidR="00C5784C" w:rsidRPr="00AD1AEF">
        <w:t xml:space="preserve"> spinoffs </w:t>
      </w:r>
      <w:r w:rsidR="00EC25BC">
        <w:t>led</w:t>
      </w:r>
      <w:r w:rsidRPr="00AD1AEF">
        <w:t xml:space="preserve"> publi</w:t>
      </w:r>
      <w:r w:rsidR="009E44D7" w:rsidRPr="00AD1AEF">
        <w:t xml:space="preserve">c and private </w:t>
      </w:r>
      <w:r w:rsidR="00A31B70" w:rsidRPr="00AD1AEF">
        <w:t>resource holders</w:t>
      </w:r>
      <w:r w:rsidR="009E44D7" w:rsidRPr="00AD1AEF">
        <w:t xml:space="preserve"> to </w:t>
      </w:r>
      <w:r w:rsidR="00695592" w:rsidRPr="00AD1AEF">
        <w:t>fund</w:t>
      </w:r>
      <w:r w:rsidR="00D936EF" w:rsidRPr="00AD1AEF">
        <w:t xml:space="preserve"> </w:t>
      </w:r>
      <w:r w:rsidR="00EC25BC">
        <w:t xml:space="preserve">those </w:t>
      </w:r>
      <w:r w:rsidR="00D936EF" w:rsidRPr="00AD1AEF">
        <w:t xml:space="preserve">universities that </w:t>
      </w:r>
      <w:r w:rsidR="002740E2" w:rsidRPr="00AD1AEF">
        <w:t>signaled their compliance</w:t>
      </w:r>
      <w:r w:rsidR="00D936EF" w:rsidRPr="00AD1AEF">
        <w:t xml:space="preserve"> with the new </w:t>
      </w:r>
      <w:r w:rsidR="008D7470" w:rsidRPr="00AD1AEF">
        <w:t>social</w:t>
      </w:r>
      <w:r w:rsidR="00C56D40">
        <w:t xml:space="preserve"> </w:t>
      </w:r>
      <w:r w:rsidR="00D936EF" w:rsidRPr="00AD1AEF">
        <w:t>mandate</w:t>
      </w:r>
      <w:r w:rsidRPr="00AD1AEF">
        <w:t xml:space="preserve">. </w:t>
      </w:r>
      <w:r w:rsidR="00D936EF" w:rsidRPr="00AD1AEF">
        <w:t xml:space="preserve">Therefore, </w:t>
      </w:r>
      <w:r w:rsidR="00402AE5" w:rsidRPr="00AD1AEF">
        <w:t>policy makers</w:t>
      </w:r>
      <w:r w:rsidR="00695592" w:rsidRPr="00AD1AEF">
        <w:t xml:space="preserve"> </w:t>
      </w:r>
      <w:r w:rsidR="00F93B81" w:rsidRPr="00AD1AEF">
        <w:t>c</w:t>
      </w:r>
      <w:r w:rsidR="00D936EF" w:rsidRPr="00AD1AEF">
        <w:t>ould engineer and maintain healthy social</w:t>
      </w:r>
      <w:r w:rsidR="00B67BB2">
        <w:t xml:space="preserve"> </w:t>
      </w:r>
      <w:r w:rsidR="00D936EF" w:rsidRPr="00AD1AEF">
        <w:t xml:space="preserve">pressure to universities to contribute </w:t>
      </w:r>
      <w:r w:rsidR="00B47C8B" w:rsidRPr="00AD1AEF">
        <w:t xml:space="preserve">directly </w:t>
      </w:r>
      <w:r w:rsidR="00695592" w:rsidRPr="00AD1AEF">
        <w:t>to society via</w:t>
      </w:r>
      <w:r w:rsidR="00D936EF" w:rsidRPr="00AD1AEF">
        <w:t xml:space="preserve"> </w:t>
      </w:r>
      <w:r w:rsidR="00136D90">
        <w:t>commercializ</w:t>
      </w:r>
      <w:r w:rsidR="00136D90" w:rsidRPr="00AD1AEF">
        <w:t>ation</w:t>
      </w:r>
      <w:r w:rsidR="00A31B70" w:rsidRPr="00AD1AEF">
        <w:t xml:space="preserve"> of</w:t>
      </w:r>
      <w:r w:rsidR="00D936EF" w:rsidRPr="00AD1AEF">
        <w:t xml:space="preserve"> academic research.</w:t>
      </w:r>
      <w:r w:rsidR="00DA343E" w:rsidRPr="00AD1AEF">
        <w:t xml:space="preserve"> </w:t>
      </w:r>
      <w:r w:rsidR="001C4D18">
        <w:t>In summary, p</w:t>
      </w:r>
      <w:r w:rsidR="002740E2" w:rsidRPr="00AD1AEF">
        <w:t>olicy</w:t>
      </w:r>
      <w:r w:rsidR="0013198D" w:rsidRPr="00AD1AEF">
        <w:t xml:space="preserve"> rhetoric</w:t>
      </w:r>
      <w:r w:rsidR="002740E2" w:rsidRPr="00AD1AEF">
        <w:t xml:space="preserve"> </w:t>
      </w:r>
      <w:r w:rsidR="0013198D" w:rsidRPr="00AD1AEF">
        <w:t>guide</w:t>
      </w:r>
      <w:r w:rsidR="00F93B81" w:rsidRPr="00AD1AEF">
        <w:t>s</w:t>
      </w:r>
      <w:r w:rsidR="0013198D" w:rsidRPr="00AD1AEF">
        <w:t xml:space="preserve"> the </w:t>
      </w:r>
      <w:r w:rsidR="00136D90">
        <w:t>behavior</w:t>
      </w:r>
      <w:r w:rsidR="0013198D" w:rsidRPr="00AD1AEF">
        <w:t xml:space="preserve"> of </w:t>
      </w:r>
      <w:r w:rsidR="002740E2" w:rsidRPr="00AD1AEF">
        <w:t>research funders and indirectly</w:t>
      </w:r>
      <w:r w:rsidR="00EB6B88">
        <w:t xml:space="preserve"> </w:t>
      </w:r>
      <w:r w:rsidR="00136D90">
        <w:t>incentiviz</w:t>
      </w:r>
      <w:r w:rsidR="00136D90" w:rsidRPr="00AD1AEF">
        <w:t>es</w:t>
      </w:r>
      <w:r w:rsidR="00924C92" w:rsidRPr="00AD1AEF">
        <w:t xml:space="preserve"> universities to engage in</w:t>
      </w:r>
      <w:r w:rsidR="002740E2" w:rsidRPr="00AD1AEF">
        <w:t xml:space="preserve"> technology transfer</w:t>
      </w:r>
      <w:r w:rsidR="0013198D" w:rsidRPr="00AD1AEF">
        <w:t xml:space="preserve">. </w:t>
      </w:r>
    </w:p>
    <w:p w:rsidR="00872058" w:rsidRDefault="00872058" w:rsidP="00872058">
      <w:pPr>
        <w:spacing w:line="480" w:lineRule="auto"/>
        <w:ind w:firstLine="567"/>
        <w:jc w:val="both"/>
      </w:pPr>
      <w:r w:rsidRPr="00AD1AEF">
        <w:t xml:space="preserve">An interesting theme for future research </w:t>
      </w:r>
      <w:r>
        <w:t xml:space="preserve">in academic entrepreneurship </w:t>
      </w:r>
      <w:r w:rsidRPr="00AD1AEF">
        <w:t>would be to examine the impact of spinoff companies on other intangible university assets. For instance, it might be worth</w:t>
      </w:r>
      <w:r w:rsidR="00B67BB2">
        <w:t>while to</w:t>
      </w:r>
      <w:r w:rsidRPr="00AD1AEF">
        <w:t xml:space="preserve"> </w:t>
      </w:r>
      <w:r w:rsidR="00B67BB2" w:rsidRPr="00AD1AEF">
        <w:t>examin</w:t>
      </w:r>
      <w:r w:rsidR="00B67BB2">
        <w:t>e</w:t>
      </w:r>
      <w:r w:rsidR="00B67BB2" w:rsidRPr="00AD1AEF">
        <w:t xml:space="preserve"> </w:t>
      </w:r>
      <w:r w:rsidRPr="00AD1AEF">
        <w:t xml:space="preserve">the impact of spinoffs </w:t>
      </w:r>
      <w:r>
        <w:t>on universities’</w:t>
      </w:r>
      <w:r w:rsidRPr="00AD1AEF">
        <w:t xml:space="preserve"> general reputation</w:t>
      </w:r>
      <w:r>
        <w:t>s</w:t>
      </w:r>
      <w:r w:rsidRPr="00AD1AEF">
        <w:t xml:space="preserve"> (the rankings)</w:t>
      </w:r>
      <w:r>
        <w:t xml:space="preserve"> </w:t>
      </w:r>
      <w:r w:rsidRPr="00AD1AEF">
        <w:t xml:space="preserve">and on the recruitment of faculty members and PhD researchers. Discussions with Technology Transfer Officers during </w:t>
      </w:r>
      <w:r>
        <w:t>our</w:t>
      </w:r>
      <w:r w:rsidRPr="00AD1AEF">
        <w:t xml:space="preserve"> study revealed that there have been cases </w:t>
      </w:r>
      <w:r w:rsidR="00B67BB2">
        <w:t>in which</w:t>
      </w:r>
      <w:r w:rsidR="00B67BB2" w:rsidRPr="00AD1AEF">
        <w:t xml:space="preserve"> </w:t>
      </w:r>
      <w:r w:rsidRPr="00AD1AEF">
        <w:t>faculty teams moved to another university because they found appealing the prospect of working on spinoff-related projects.</w:t>
      </w:r>
    </w:p>
    <w:p w:rsidR="00872058" w:rsidRDefault="00872058" w:rsidP="00872058">
      <w:pPr>
        <w:spacing w:line="480" w:lineRule="auto"/>
        <w:ind w:firstLine="567"/>
        <w:jc w:val="both"/>
      </w:pPr>
    </w:p>
    <w:p w:rsidR="00C17663" w:rsidRPr="00AD1AEF" w:rsidRDefault="002E4821" w:rsidP="00AA26DE">
      <w:pPr>
        <w:spacing w:line="480" w:lineRule="auto"/>
        <w:ind w:firstLine="567"/>
        <w:jc w:val="both"/>
        <w:outlineLvl w:val="0"/>
        <w:rPr>
          <w:b/>
        </w:rPr>
      </w:pPr>
      <w:r w:rsidRPr="00AD1AEF">
        <w:rPr>
          <w:b/>
        </w:rPr>
        <w:t>L</w:t>
      </w:r>
      <w:r w:rsidR="00C17663" w:rsidRPr="00AD1AEF">
        <w:rPr>
          <w:b/>
        </w:rPr>
        <w:t>imitations</w:t>
      </w:r>
      <w:r w:rsidR="00DA343E" w:rsidRPr="00AD1AEF">
        <w:rPr>
          <w:b/>
        </w:rPr>
        <w:t xml:space="preserve"> </w:t>
      </w:r>
    </w:p>
    <w:p w:rsidR="003F088A" w:rsidRPr="00AD1AEF" w:rsidRDefault="00EC25BC" w:rsidP="00EE5343">
      <w:pPr>
        <w:autoSpaceDE w:val="0"/>
        <w:autoSpaceDN w:val="0"/>
        <w:adjustRightInd w:val="0"/>
        <w:spacing w:line="480" w:lineRule="auto"/>
        <w:ind w:firstLine="567"/>
        <w:jc w:val="both"/>
      </w:pPr>
      <w:r>
        <w:t xml:space="preserve">Our study has a number of limitations. Following </w:t>
      </w:r>
      <w:r w:rsidR="00EE5343" w:rsidRPr="00AD1AEF">
        <w:t>previous research</w:t>
      </w:r>
      <w:r w:rsidR="00B67BB2">
        <w:t>,</w:t>
      </w:r>
      <w:r w:rsidR="00EE5343" w:rsidRPr="00AD1AEF">
        <w:t xml:space="preserve"> we </w:t>
      </w:r>
      <w:r w:rsidR="003F088A" w:rsidRPr="00AD1AEF">
        <w:t>infer the unobservable effects of</w:t>
      </w:r>
      <w:r w:rsidR="00EE5343" w:rsidRPr="00AD1AEF">
        <w:t xml:space="preserve"> </w:t>
      </w:r>
      <w:r w:rsidR="003F088A" w:rsidRPr="00AD1AEF">
        <w:t xml:space="preserve">reputation by </w:t>
      </w:r>
      <w:r w:rsidR="009974DE" w:rsidRPr="00AD1AEF">
        <w:t>studying</w:t>
      </w:r>
      <w:r w:rsidR="003F088A" w:rsidRPr="00AD1AEF">
        <w:t xml:space="preserve"> </w:t>
      </w:r>
      <w:r w:rsidR="00EE5343" w:rsidRPr="00AD1AEF">
        <w:t xml:space="preserve">the direct effects of </w:t>
      </w:r>
      <w:r w:rsidR="003F088A" w:rsidRPr="00AD1AEF">
        <w:t>obse</w:t>
      </w:r>
      <w:r w:rsidR="00EE5343" w:rsidRPr="00AD1AEF">
        <w:t xml:space="preserve">rvable </w:t>
      </w:r>
      <w:r w:rsidR="000311B0">
        <w:t xml:space="preserve">signals, namely </w:t>
      </w:r>
      <w:r w:rsidR="00D60884">
        <w:t>organization</w:t>
      </w:r>
      <w:r w:rsidR="00AA5FED">
        <w:t>al a</w:t>
      </w:r>
      <w:r w:rsidR="00DB3F87">
        <w:t>ctions,</w:t>
      </w:r>
      <w:r w:rsidR="00C00C26">
        <w:t xml:space="preserve"> performance </w:t>
      </w:r>
      <w:r w:rsidR="00DB3F87" w:rsidRPr="00AD1AEF">
        <w:t xml:space="preserve">and </w:t>
      </w:r>
      <w:r w:rsidR="000311B0">
        <w:t>media coverage</w:t>
      </w:r>
      <w:r w:rsidR="00AA5FED">
        <w:t xml:space="preserve"> </w:t>
      </w:r>
      <w:r w:rsidR="00EE5343" w:rsidRPr="00AD1AEF">
        <w:t xml:space="preserve">on </w:t>
      </w:r>
      <w:r w:rsidR="003F088A" w:rsidRPr="00AD1AEF">
        <w:t>performance outcomes (e.g., Rao, 1994; Stuart,</w:t>
      </w:r>
      <w:r w:rsidR="00EE5343" w:rsidRPr="00AD1AEF">
        <w:t xml:space="preserve"> </w:t>
      </w:r>
      <w:r w:rsidR="003F088A" w:rsidRPr="00AD1AEF">
        <w:t xml:space="preserve">2000). </w:t>
      </w:r>
      <w:r w:rsidR="00EE5343" w:rsidRPr="00AD1AEF">
        <w:t>Direct measurement of reputation</w:t>
      </w:r>
      <w:r w:rsidR="00393372">
        <w:t xml:space="preserve"> for impact</w:t>
      </w:r>
      <w:r w:rsidR="00EE5343" w:rsidRPr="00AD1AEF">
        <w:t xml:space="preserve"> </w:t>
      </w:r>
      <w:r w:rsidR="009974DE" w:rsidRPr="00AD1AEF">
        <w:t xml:space="preserve">was not </w:t>
      </w:r>
      <w:r w:rsidR="008D7470" w:rsidRPr="00AD1AEF">
        <w:t>possible</w:t>
      </w:r>
      <w:r w:rsidR="00EE5343" w:rsidRPr="00AD1AEF">
        <w:t xml:space="preserve"> because of the lack of </w:t>
      </w:r>
      <w:r w:rsidR="000C472B">
        <w:t xml:space="preserve">original </w:t>
      </w:r>
      <w:r w:rsidR="00C56D40">
        <w:t xml:space="preserve">and contemporary </w:t>
      </w:r>
      <w:r w:rsidR="000C472B">
        <w:t>audience</w:t>
      </w:r>
      <w:r w:rsidR="008E4DC7" w:rsidRPr="00AD1AEF">
        <w:t xml:space="preserve"> evaluation</w:t>
      </w:r>
      <w:r w:rsidR="009974DE" w:rsidRPr="00AD1AEF">
        <w:t>s</w:t>
      </w:r>
      <w:r w:rsidR="008E4DC7" w:rsidRPr="00AD1AEF">
        <w:t xml:space="preserve"> of the universities</w:t>
      </w:r>
      <w:r w:rsidR="009974DE" w:rsidRPr="00AD1AEF">
        <w:t>’ ability to spinoff</w:t>
      </w:r>
      <w:r w:rsidR="008E4DC7" w:rsidRPr="00AD1AEF">
        <w:t xml:space="preserve">. </w:t>
      </w:r>
      <w:r w:rsidR="009974DE" w:rsidRPr="00AD1AEF">
        <w:t xml:space="preserve">While this is a </w:t>
      </w:r>
      <w:r w:rsidR="009974DE" w:rsidRPr="00AD1AEF">
        <w:lastRenderedPageBreak/>
        <w:t>methodological limitation (</w:t>
      </w:r>
      <w:proofErr w:type="spellStart"/>
      <w:r w:rsidR="003F088A" w:rsidRPr="00AD1AEF">
        <w:t>Rindova</w:t>
      </w:r>
      <w:proofErr w:type="spellEnd"/>
      <w:r w:rsidR="009974DE" w:rsidRPr="00AD1AEF">
        <w:t xml:space="preserve"> </w:t>
      </w:r>
      <w:r w:rsidR="009974DE" w:rsidRPr="004B6E36">
        <w:rPr>
          <w:i/>
        </w:rPr>
        <w:t>et al</w:t>
      </w:r>
      <w:r w:rsidR="009974DE" w:rsidRPr="00AD1AEF">
        <w:t>., 2005)</w:t>
      </w:r>
      <w:r w:rsidR="00EB6B88">
        <w:t>,</w:t>
      </w:r>
      <w:r w:rsidR="009974DE" w:rsidRPr="00AD1AEF">
        <w:t xml:space="preserve"> signals </w:t>
      </w:r>
      <w:r w:rsidR="00C00C26">
        <w:t xml:space="preserve">and media endorsement </w:t>
      </w:r>
      <w:r w:rsidR="009974DE" w:rsidRPr="00AD1AEF">
        <w:t xml:space="preserve">are commonly used in the literature as proxies of reputation (see for example Dimov </w:t>
      </w:r>
      <w:r w:rsidR="009974DE" w:rsidRPr="004B6E36">
        <w:rPr>
          <w:i/>
        </w:rPr>
        <w:t>et al</w:t>
      </w:r>
      <w:r w:rsidR="009974DE" w:rsidRPr="00AD1AEF">
        <w:t>.</w:t>
      </w:r>
      <w:r w:rsidR="00EB6B88">
        <w:t>,</w:t>
      </w:r>
      <w:r w:rsidR="009974DE" w:rsidRPr="00AD1AEF">
        <w:t xml:space="preserve"> 2007). </w:t>
      </w:r>
    </w:p>
    <w:p w:rsidR="00C17663" w:rsidRPr="00AD1AEF" w:rsidRDefault="00C5784C" w:rsidP="00330A3C">
      <w:pPr>
        <w:spacing w:line="480" w:lineRule="auto"/>
        <w:ind w:firstLine="567"/>
        <w:jc w:val="both"/>
      </w:pPr>
      <w:r w:rsidRPr="00AD1AEF">
        <w:t>Secondly, o</w:t>
      </w:r>
      <w:r w:rsidR="00330A3C" w:rsidRPr="00AD1AEF">
        <w:t xml:space="preserve">ur findings are based on the UK experience. Further research is needed to confirm </w:t>
      </w:r>
      <w:r w:rsidR="00271054" w:rsidRPr="00AD1AEF">
        <w:t xml:space="preserve">whether </w:t>
      </w:r>
      <w:r w:rsidR="00EB6B88">
        <w:t xml:space="preserve">they </w:t>
      </w:r>
      <w:r w:rsidR="006C2F54">
        <w:t>generaliz</w:t>
      </w:r>
      <w:r w:rsidR="006C2F54" w:rsidRPr="00AD1AEF">
        <w:t>e</w:t>
      </w:r>
      <w:r w:rsidR="00330A3C" w:rsidRPr="00AD1AEF">
        <w:t xml:space="preserve"> to other regions and countries. We believe that the findings would </w:t>
      </w:r>
      <w:r w:rsidR="00E71F53" w:rsidRPr="00AD1AEF">
        <w:t>apply elsewhere</w:t>
      </w:r>
      <w:r w:rsidR="006A0802" w:rsidRPr="00AD1AEF">
        <w:t xml:space="preserve"> because,</w:t>
      </w:r>
      <w:r w:rsidR="00330A3C" w:rsidRPr="00AD1AEF">
        <w:t xml:space="preserve"> </w:t>
      </w:r>
      <w:r w:rsidR="006A0802" w:rsidRPr="00AD1AEF">
        <w:t>i</w:t>
      </w:r>
      <w:r w:rsidR="00330A3C" w:rsidRPr="00AD1AEF">
        <w:t xml:space="preserve">n historical terms, </w:t>
      </w:r>
      <w:r w:rsidR="00EB6B88">
        <w:t xml:space="preserve">the conditions that </w:t>
      </w:r>
      <w:r w:rsidR="006C2F54">
        <w:t>characteriz</w:t>
      </w:r>
      <w:r w:rsidR="006C2F54" w:rsidRPr="00AD1AEF">
        <w:t>ed</w:t>
      </w:r>
      <w:r w:rsidR="00330A3C" w:rsidRPr="00AD1AEF">
        <w:t xml:space="preserve"> </w:t>
      </w:r>
      <w:r w:rsidR="00E71F53" w:rsidRPr="00AD1AEF">
        <w:t>the spinoff phenomenon</w:t>
      </w:r>
      <w:r w:rsidR="00330A3C" w:rsidRPr="00AD1AEF">
        <w:t xml:space="preserve"> in the UK </w:t>
      </w:r>
      <w:r w:rsidR="00E71F53" w:rsidRPr="00AD1AEF">
        <w:t>were</w:t>
      </w:r>
      <w:r w:rsidR="00076DE3">
        <w:t xml:space="preserve"> not </w:t>
      </w:r>
      <w:r w:rsidR="00B67BB2">
        <w:t xml:space="preserve">significantly </w:t>
      </w:r>
      <w:r w:rsidR="00076DE3">
        <w:t>different</w:t>
      </w:r>
      <w:r w:rsidR="00E71F53" w:rsidRPr="00AD1AEF">
        <w:t xml:space="preserve"> elsewhere. I</w:t>
      </w:r>
      <w:r w:rsidR="00330A3C" w:rsidRPr="00AD1AEF">
        <w:t>nitial</w:t>
      </w:r>
      <w:r w:rsidR="00E71F53" w:rsidRPr="00AD1AEF">
        <w:t>ly</w:t>
      </w:r>
      <w:r w:rsidR="00896340">
        <w:t>,</w:t>
      </w:r>
      <w:r w:rsidR="00E71F53" w:rsidRPr="00AD1AEF">
        <w:t xml:space="preserve"> universities had little experience in commercial activities (spinoffs were</w:t>
      </w:r>
      <w:r w:rsidR="00330A3C" w:rsidRPr="00AD1AEF">
        <w:t xml:space="preserve"> </w:t>
      </w:r>
      <w:r w:rsidR="00E71F53" w:rsidRPr="00AD1AEF">
        <w:t>seen as illegitimate</w:t>
      </w:r>
      <w:r w:rsidR="00330A3C" w:rsidRPr="00AD1AEF">
        <w:t xml:space="preserve"> </w:t>
      </w:r>
      <w:r w:rsidR="00E71F53" w:rsidRPr="00AD1AEF">
        <w:t>by part of the academic world)</w:t>
      </w:r>
      <w:r w:rsidR="00B67BB2">
        <w:t>,</w:t>
      </w:r>
      <w:r w:rsidR="00E71F53" w:rsidRPr="00AD1AEF">
        <w:t xml:space="preserve"> but </w:t>
      </w:r>
      <w:r w:rsidR="00330A3C" w:rsidRPr="00AD1AEF">
        <w:t>government</w:t>
      </w:r>
      <w:r w:rsidR="00E71F53" w:rsidRPr="00AD1AEF">
        <w:t>s</w:t>
      </w:r>
      <w:r w:rsidR="00330A3C" w:rsidRPr="00AD1AEF">
        <w:t xml:space="preserve"> </w:t>
      </w:r>
      <w:r w:rsidR="00E71F53" w:rsidRPr="00AD1AEF">
        <w:t xml:space="preserve">applied </w:t>
      </w:r>
      <w:r w:rsidR="00330A3C" w:rsidRPr="00AD1AEF">
        <w:t>social pressure to create impact from research</w:t>
      </w:r>
      <w:r w:rsidRPr="00AD1AEF">
        <w:t xml:space="preserve"> (Bok, </w:t>
      </w:r>
      <w:r w:rsidR="005335B5">
        <w:t>2003</w:t>
      </w:r>
      <w:r w:rsidRPr="00AD1AEF">
        <w:t>)</w:t>
      </w:r>
      <w:r w:rsidR="00330A3C" w:rsidRPr="00AD1AEF">
        <w:t xml:space="preserve">. </w:t>
      </w:r>
      <w:r w:rsidR="00271054" w:rsidRPr="00AD1AEF">
        <w:t>In this new institutional</w:t>
      </w:r>
      <w:r w:rsidRPr="00AD1AEF">
        <w:t xml:space="preserve"> </w:t>
      </w:r>
      <w:r w:rsidR="00271054" w:rsidRPr="00AD1AEF">
        <w:t>environment where impact matters, rese</w:t>
      </w:r>
      <w:r w:rsidR="00393372">
        <w:t xml:space="preserve">arch-funding bodies should </w:t>
      </w:r>
      <w:r w:rsidR="00B67BB2">
        <w:t>select</w:t>
      </w:r>
      <w:r w:rsidR="00271054" w:rsidRPr="00AD1AEF">
        <w:t xml:space="preserve"> signals of university spinoff</w:t>
      </w:r>
      <w:r w:rsidR="00B67BB2">
        <w:t xml:space="preserve"> </w:t>
      </w:r>
      <w:r w:rsidR="00271054" w:rsidRPr="00AD1AEF">
        <w:t>acti</w:t>
      </w:r>
      <w:r w:rsidR="00393372">
        <w:t>vity and use</w:t>
      </w:r>
      <w:r w:rsidR="00271054" w:rsidRPr="00AD1AEF">
        <w:t xml:space="preserve"> them in their evaluations of research proposals.  </w:t>
      </w:r>
    </w:p>
    <w:p w:rsidR="00C17663" w:rsidRDefault="00C56D40" w:rsidP="00C17663">
      <w:pPr>
        <w:spacing w:line="480" w:lineRule="auto"/>
        <w:ind w:firstLine="567"/>
        <w:jc w:val="both"/>
      </w:pPr>
      <w:r>
        <w:t>Further</w:t>
      </w:r>
      <w:r w:rsidR="00B67BB2">
        <w:t>more</w:t>
      </w:r>
      <w:r>
        <w:t>, w</w:t>
      </w:r>
      <w:r w:rsidR="00C17663" w:rsidRPr="00AD1AEF">
        <w:t xml:space="preserve">e treated </w:t>
      </w:r>
      <w:r w:rsidR="006E2C7F" w:rsidRPr="00AD1AEF">
        <w:t xml:space="preserve">the </w:t>
      </w:r>
      <w:r w:rsidR="00C17663" w:rsidRPr="00AD1AEF">
        <w:t>universit</w:t>
      </w:r>
      <w:r w:rsidR="00665533" w:rsidRPr="00AD1AEF">
        <w:t xml:space="preserve">y </w:t>
      </w:r>
      <w:r w:rsidR="00C17663" w:rsidRPr="00AD1AEF">
        <w:t>as the unit of analysis</w:t>
      </w:r>
      <w:r w:rsidR="00164623" w:rsidRPr="00AD1AEF">
        <w:t>,</w:t>
      </w:r>
      <w:r w:rsidR="00C17663" w:rsidRPr="00AD1AEF">
        <w:t xml:space="preserve"> </w:t>
      </w:r>
      <w:r w:rsidR="00164623" w:rsidRPr="00AD1AEF">
        <w:t>although</w:t>
      </w:r>
      <w:r w:rsidR="006E2C7F" w:rsidRPr="00AD1AEF">
        <w:t xml:space="preserve"> there is potential</w:t>
      </w:r>
      <w:r w:rsidR="00C17663" w:rsidRPr="00AD1AEF">
        <w:t xml:space="preserve"> variation </w:t>
      </w:r>
      <w:r w:rsidR="003960A9" w:rsidRPr="00AD1AEF">
        <w:t>between</w:t>
      </w:r>
      <w:r w:rsidR="00EA7D33" w:rsidRPr="00AD1AEF">
        <w:t xml:space="preserve"> </w:t>
      </w:r>
      <w:r w:rsidR="00665533" w:rsidRPr="00AD1AEF">
        <w:t>departments</w:t>
      </w:r>
      <w:r w:rsidR="00EA7D33" w:rsidRPr="00AD1AEF">
        <w:t xml:space="preserve">. </w:t>
      </w:r>
      <w:r w:rsidR="006E2C7F" w:rsidRPr="00AD1AEF">
        <w:t>S</w:t>
      </w:r>
      <w:r w:rsidR="00665533" w:rsidRPr="00AD1AEF">
        <w:t xml:space="preserve">pinoffs </w:t>
      </w:r>
      <w:r w:rsidR="006E2C7F" w:rsidRPr="00AD1AEF">
        <w:t xml:space="preserve">are more likely to derive from </w:t>
      </w:r>
      <w:r w:rsidR="00665533" w:rsidRPr="00AD1AEF">
        <w:t xml:space="preserve">medical </w:t>
      </w:r>
      <w:r w:rsidR="006E2C7F" w:rsidRPr="00AD1AEF">
        <w:t>and</w:t>
      </w:r>
      <w:r w:rsidR="00C17663" w:rsidRPr="00AD1AEF">
        <w:t xml:space="preserve"> engineering departments </w:t>
      </w:r>
      <w:r w:rsidR="002E3392" w:rsidRPr="00AD1AEF">
        <w:t>than from</w:t>
      </w:r>
      <w:r w:rsidR="006E2C7F" w:rsidRPr="00AD1AEF">
        <w:t xml:space="preserve"> </w:t>
      </w:r>
      <w:r w:rsidR="00C17663" w:rsidRPr="00AD1AEF">
        <w:t>other faculties (</w:t>
      </w:r>
      <w:r w:rsidR="00D51C93" w:rsidRPr="00AD1AEF">
        <w:t>similar effects have been observed in the technology transfer literature</w:t>
      </w:r>
      <w:r w:rsidR="0043528F">
        <w:t>;</w:t>
      </w:r>
      <w:r w:rsidR="0043528F" w:rsidRPr="00AD1AEF">
        <w:t xml:space="preserve"> </w:t>
      </w:r>
      <w:r w:rsidR="00D51C93" w:rsidRPr="00AD1AEF">
        <w:t xml:space="preserve">e.g. </w:t>
      </w:r>
      <w:r w:rsidR="00C17663" w:rsidRPr="00AD1AEF">
        <w:t xml:space="preserve">Jong, 2006; O’Shea </w:t>
      </w:r>
      <w:r w:rsidR="00C17663" w:rsidRPr="00AD1AEF">
        <w:rPr>
          <w:i/>
        </w:rPr>
        <w:t>et al.</w:t>
      </w:r>
      <w:r w:rsidR="00C17663" w:rsidRPr="00AD1AEF">
        <w:t>, 2005</w:t>
      </w:r>
      <w:r w:rsidR="00D51C93" w:rsidRPr="00AD1AEF">
        <w:t>; Shane and Stuart, 2002</w:t>
      </w:r>
      <w:r w:rsidR="00C17663" w:rsidRPr="00AD1AEF">
        <w:t xml:space="preserve">). </w:t>
      </w:r>
      <w:r w:rsidR="006E2C7F" w:rsidRPr="00AD1AEF">
        <w:t xml:space="preserve">In turn, </w:t>
      </w:r>
      <w:r w:rsidR="000406CD" w:rsidRPr="00AD1AEF">
        <w:t xml:space="preserve">there is </w:t>
      </w:r>
      <w:r w:rsidR="00B76918" w:rsidRPr="00AD1AEF">
        <w:t xml:space="preserve">usually </w:t>
      </w:r>
      <w:r w:rsidR="000406CD" w:rsidRPr="00AD1AEF">
        <w:t>variation</w:t>
      </w:r>
      <w:r w:rsidR="00C17663" w:rsidRPr="00AD1AEF">
        <w:t xml:space="preserve"> in the distribution of </w:t>
      </w:r>
      <w:r w:rsidR="000406CD" w:rsidRPr="00AD1AEF">
        <w:t xml:space="preserve">university </w:t>
      </w:r>
      <w:r w:rsidR="006E2C7F" w:rsidRPr="00AD1AEF">
        <w:t>res</w:t>
      </w:r>
      <w:r w:rsidR="000406CD" w:rsidRPr="00AD1AEF">
        <w:t>earch-</w:t>
      </w:r>
      <w:r w:rsidR="006E2C7F" w:rsidRPr="00AD1AEF">
        <w:t>income</w:t>
      </w:r>
      <w:r w:rsidR="003960A9" w:rsidRPr="00AD1AEF">
        <w:t xml:space="preserve"> across</w:t>
      </w:r>
      <w:r w:rsidR="000406CD" w:rsidRPr="00AD1AEF">
        <w:t xml:space="preserve"> </w:t>
      </w:r>
      <w:r w:rsidR="00C17663" w:rsidRPr="00AD1AEF">
        <w:t xml:space="preserve">departments. </w:t>
      </w:r>
      <w:r w:rsidR="006E2C7F" w:rsidRPr="00AD1AEF">
        <w:t>W</w:t>
      </w:r>
      <w:r w:rsidR="00665533" w:rsidRPr="00AD1AEF">
        <w:t xml:space="preserve">e </w:t>
      </w:r>
      <w:r w:rsidR="006E2C7F" w:rsidRPr="00AD1AEF">
        <w:t xml:space="preserve">were constrained to the </w:t>
      </w:r>
      <w:r w:rsidR="000406CD" w:rsidRPr="00AD1AEF">
        <w:t xml:space="preserve">aggregate </w:t>
      </w:r>
      <w:r w:rsidR="006E2C7F" w:rsidRPr="00AD1AEF">
        <w:t>university</w:t>
      </w:r>
      <w:r w:rsidR="0043528F">
        <w:t xml:space="preserve"> </w:t>
      </w:r>
      <w:r w:rsidR="006E2C7F" w:rsidRPr="00AD1AEF">
        <w:t xml:space="preserve">level because of the unavailability of </w:t>
      </w:r>
      <w:r w:rsidR="000406CD" w:rsidRPr="00AD1AEF">
        <w:t>specific</w:t>
      </w:r>
      <w:r w:rsidR="00665533" w:rsidRPr="00AD1AEF">
        <w:t xml:space="preserve"> </w:t>
      </w:r>
      <w:r w:rsidR="00C17663" w:rsidRPr="00AD1AEF">
        <w:t>funding</w:t>
      </w:r>
      <w:r w:rsidR="005E1BF7" w:rsidRPr="00AD1AEF">
        <w:t xml:space="preserve"> </w:t>
      </w:r>
      <w:r w:rsidR="00C17663" w:rsidRPr="00AD1AEF">
        <w:t xml:space="preserve">figures </w:t>
      </w:r>
      <w:r w:rsidR="003960A9" w:rsidRPr="00AD1AEF">
        <w:t>for departments</w:t>
      </w:r>
      <w:r w:rsidR="00665533" w:rsidRPr="00AD1AEF">
        <w:t xml:space="preserve">. </w:t>
      </w:r>
      <w:r w:rsidR="003960A9" w:rsidRPr="00AD1AEF">
        <w:t xml:space="preserve">Assuming </w:t>
      </w:r>
      <w:r w:rsidR="00076DE3">
        <w:t xml:space="preserve">that </w:t>
      </w:r>
      <w:r w:rsidR="003960A9" w:rsidRPr="00AD1AEF">
        <w:t>such data bec</w:t>
      </w:r>
      <w:r w:rsidR="00076DE3">
        <w:t>a</w:t>
      </w:r>
      <w:r w:rsidR="003960A9" w:rsidRPr="00AD1AEF">
        <w:t>me available, f</w:t>
      </w:r>
      <w:r w:rsidR="00EA7D33" w:rsidRPr="00AD1AEF">
        <w:t xml:space="preserve">uture research could </w:t>
      </w:r>
      <w:r w:rsidR="0072172C" w:rsidRPr="00AD1AEF">
        <w:t>highlight</w:t>
      </w:r>
      <w:r w:rsidR="00EA7D33" w:rsidRPr="00AD1AEF">
        <w:t xml:space="preserve"> </w:t>
      </w:r>
      <w:r w:rsidR="0072172C" w:rsidRPr="00AD1AEF">
        <w:t>more specific</w:t>
      </w:r>
      <w:r w:rsidR="00EA7D33" w:rsidRPr="00AD1AEF">
        <w:t xml:space="preserve"> linkages between </w:t>
      </w:r>
      <w:r w:rsidR="0072172C" w:rsidRPr="00AD1AEF">
        <w:t xml:space="preserve">spinoff </w:t>
      </w:r>
      <w:r w:rsidR="00076DE3">
        <w:t>creation</w:t>
      </w:r>
      <w:r w:rsidR="0072172C" w:rsidRPr="00AD1AEF">
        <w:t xml:space="preserve"> and </w:t>
      </w:r>
      <w:r w:rsidR="00EA7D33" w:rsidRPr="00AD1AEF">
        <w:t>department</w:t>
      </w:r>
      <w:r w:rsidR="0072172C" w:rsidRPr="00AD1AEF">
        <w:t>al</w:t>
      </w:r>
      <w:r w:rsidR="00EA7D33" w:rsidRPr="00AD1AEF">
        <w:t xml:space="preserve"> </w:t>
      </w:r>
      <w:r w:rsidR="0072172C" w:rsidRPr="00AD1AEF">
        <w:t>income</w:t>
      </w:r>
      <w:r w:rsidR="00EA7D33" w:rsidRPr="00AD1AEF">
        <w:t xml:space="preserve">. </w:t>
      </w:r>
    </w:p>
    <w:p w:rsidR="004032DA" w:rsidRPr="004032DA" w:rsidRDefault="00B37869">
      <w:pPr>
        <w:spacing w:line="480" w:lineRule="auto"/>
        <w:ind w:firstLine="567"/>
        <w:jc w:val="both"/>
        <w:rPr>
          <w:szCs w:val="24"/>
        </w:rPr>
      </w:pPr>
      <w:r>
        <w:t xml:space="preserve">Finally, </w:t>
      </w:r>
      <w:r w:rsidR="00564BAE">
        <w:t xml:space="preserve">we concentrated on academic spinoffs </w:t>
      </w:r>
      <w:r w:rsidR="00076DE3">
        <w:t>and excluded</w:t>
      </w:r>
      <w:r w:rsidR="00564BAE">
        <w:t xml:space="preserve"> licensing </w:t>
      </w:r>
      <w:r w:rsidR="00076DE3">
        <w:t xml:space="preserve">activities, </w:t>
      </w:r>
      <w:r w:rsidR="00564BAE">
        <w:t xml:space="preserve">which </w:t>
      </w:r>
      <w:r w:rsidR="0043528F">
        <w:t xml:space="preserve">present </w:t>
      </w:r>
      <w:r w:rsidR="00564BAE">
        <w:t xml:space="preserve">an alternative way to create social impact from academic research. </w:t>
      </w:r>
      <w:r>
        <w:rPr>
          <w:szCs w:val="24"/>
        </w:rPr>
        <w:t xml:space="preserve">We </w:t>
      </w:r>
      <w:r w:rsidR="00564BAE">
        <w:rPr>
          <w:szCs w:val="24"/>
        </w:rPr>
        <w:t>believe</w:t>
      </w:r>
      <w:r w:rsidRPr="00BB320E">
        <w:rPr>
          <w:szCs w:val="24"/>
        </w:rPr>
        <w:t xml:space="preserve"> </w:t>
      </w:r>
      <w:r w:rsidR="00CA5808">
        <w:rPr>
          <w:szCs w:val="24"/>
        </w:rPr>
        <w:t>that excluding</w:t>
      </w:r>
      <w:r w:rsidRPr="00BB320E">
        <w:rPr>
          <w:szCs w:val="24"/>
        </w:rPr>
        <w:t xml:space="preserve"> licensing activit</w:t>
      </w:r>
      <w:r w:rsidR="00076DE3">
        <w:rPr>
          <w:szCs w:val="24"/>
        </w:rPr>
        <w:t>ies</w:t>
      </w:r>
      <w:r w:rsidRPr="00BB320E">
        <w:rPr>
          <w:szCs w:val="24"/>
        </w:rPr>
        <w:t xml:space="preserve"> generates more conservative results. Since licensing </w:t>
      </w:r>
      <w:r w:rsidR="00076DE3">
        <w:rPr>
          <w:szCs w:val="24"/>
        </w:rPr>
        <w:t>is</w:t>
      </w:r>
      <w:r w:rsidRPr="00BB320E">
        <w:rPr>
          <w:szCs w:val="24"/>
        </w:rPr>
        <w:t xml:space="preserve"> another signal of social impact from research, our finding that spinoff portfolio characteristics alone have a signific</w:t>
      </w:r>
      <w:r w:rsidR="00564BAE">
        <w:rPr>
          <w:szCs w:val="24"/>
        </w:rPr>
        <w:t>ant effect on research income is</w:t>
      </w:r>
      <w:r w:rsidRPr="00BB320E">
        <w:rPr>
          <w:szCs w:val="24"/>
        </w:rPr>
        <w:t xml:space="preserve"> conservative (i.e. the effect could be enhanced if we also included licensing activity).  </w:t>
      </w:r>
    </w:p>
    <w:p w:rsidR="001447BB" w:rsidRPr="00AD1AEF" w:rsidRDefault="001447BB" w:rsidP="00AA26DE">
      <w:pPr>
        <w:spacing w:line="480" w:lineRule="auto"/>
        <w:ind w:firstLine="567"/>
        <w:jc w:val="both"/>
        <w:outlineLvl w:val="0"/>
        <w:rPr>
          <w:b/>
        </w:rPr>
      </w:pPr>
      <w:r w:rsidRPr="00AD1AEF">
        <w:rPr>
          <w:b/>
        </w:rPr>
        <w:t>Conclusion</w:t>
      </w:r>
    </w:p>
    <w:p w:rsidR="00377F44" w:rsidRDefault="0044283E" w:rsidP="00181318">
      <w:pPr>
        <w:autoSpaceDE w:val="0"/>
        <w:autoSpaceDN w:val="0"/>
        <w:adjustRightInd w:val="0"/>
        <w:spacing w:line="480" w:lineRule="auto"/>
        <w:ind w:firstLine="567"/>
        <w:jc w:val="both"/>
      </w:pPr>
      <w:r>
        <w:t xml:space="preserve">Our </w:t>
      </w:r>
      <w:r w:rsidR="007912C0">
        <w:t xml:space="preserve">study </w:t>
      </w:r>
      <w:r w:rsidR="00FB3F1C">
        <w:t>provides empirical evidence</w:t>
      </w:r>
      <w:r w:rsidR="007912C0">
        <w:t xml:space="preserve"> </w:t>
      </w:r>
      <w:r w:rsidR="007912C0" w:rsidRPr="004A1968">
        <w:t xml:space="preserve">that </w:t>
      </w:r>
      <w:r w:rsidR="007912C0">
        <w:t xml:space="preserve">the halo effect of </w:t>
      </w:r>
      <w:r w:rsidR="007912C0" w:rsidRPr="004A1968">
        <w:t xml:space="preserve">reputation does not work </w:t>
      </w:r>
      <w:r w:rsidR="007912C0">
        <w:t xml:space="preserve">only </w:t>
      </w:r>
      <w:r w:rsidR="007912C0" w:rsidRPr="004A1968">
        <w:t xml:space="preserve">in one direction </w:t>
      </w:r>
      <w:r w:rsidR="0043528F">
        <w:t>–</w:t>
      </w:r>
      <w:r w:rsidR="0043528F" w:rsidRPr="004A1968">
        <w:t xml:space="preserve"> </w:t>
      </w:r>
      <w:r w:rsidR="007912C0" w:rsidRPr="004A1968">
        <w:t>fr</w:t>
      </w:r>
      <w:r w:rsidR="007912C0">
        <w:t>om the centre to the periphery</w:t>
      </w:r>
      <w:r w:rsidR="006C2F54">
        <w:t xml:space="preserve"> </w:t>
      </w:r>
      <w:r w:rsidR="0043528F">
        <w:t xml:space="preserve">– </w:t>
      </w:r>
      <w:r w:rsidR="007912C0" w:rsidRPr="004A1968">
        <w:t>but can also exert the opposite effect working from the periphery (</w:t>
      </w:r>
      <w:r w:rsidR="004E4B6D">
        <w:t>secondary</w:t>
      </w:r>
      <w:r w:rsidR="007912C0" w:rsidRPr="004A1968">
        <w:t xml:space="preserve"> </w:t>
      </w:r>
      <w:r w:rsidR="007912C0">
        <w:t>activity</w:t>
      </w:r>
      <w:r w:rsidR="007912C0" w:rsidRPr="004A1968">
        <w:t>) to the centre (core activit</w:t>
      </w:r>
      <w:r w:rsidR="007912C0">
        <w:t>y</w:t>
      </w:r>
      <w:r w:rsidR="007912C0" w:rsidRPr="004A1968">
        <w:t xml:space="preserve">). </w:t>
      </w:r>
      <w:r w:rsidR="00FB3F1C">
        <w:t xml:space="preserve">This is important for management </w:t>
      </w:r>
      <w:r w:rsidR="00FB3F1C">
        <w:lastRenderedPageBreak/>
        <w:t>research and practice</w:t>
      </w:r>
      <w:r w:rsidR="0043528F">
        <w:t>,</w:t>
      </w:r>
      <w:r w:rsidR="00FB3F1C">
        <w:t xml:space="preserve"> because it means that</w:t>
      </w:r>
      <w:r w:rsidR="007912C0" w:rsidRPr="004A1968">
        <w:t xml:space="preserve"> </w:t>
      </w:r>
      <w:r w:rsidR="001B134E">
        <w:t xml:space="preserve">venturing into </w:t>
      </w:r>
      <w:r w:rsidR="00DB3F87">
        <w:t>peripheral</w:t>
      </w:r>
      <w:r w:rsidR="00FB3F1C">
        <w:t xml:space="preserve"> </w:t>
      </w:r>
      <w:r w:rsidR="00977927">
        <w:t>activities</w:t>
      </w:r>
      <w:r w:rsidR="001B134E">
        <w:t>, which is</w:t>
      </w:r>
      <w:r w:rsidR="00977927">
        <w:t xml:space="preserve"> a common organizational endeavor</w:t>
      </w:r>
      <w:r w:rsidR="001B134E">
        <w:t>,</w:t>
      </w:r>
      <w:r w:rsidR="00977927">
        <w:t xml:space="preserve"> </w:t>
      </w:r>
      <w:r w:rsidR="007912C0" w:rsidRPr="004A1968">
        <w:t>can generate positive spillovers for</w:t>
      </w:r>
      <w:r w:rsidR="007912C0">
        <w:t xml:space="preserve"> </w:t>
      </w:r>
      <w:r w:rsidR="007912C0" w:rsidRPr="004A1968">
        <w:t>established activities</w:t>
      </w:r>
      <w:r w:rsidR="000317F9">
        <w:t>. We also find that th</w:t>
      </w:r>
      <w:r w:rsidR="00977927">
        <w:t>is</w:t>
      </w:r>
      <w:r w:rsidR="000317F9">
        <w:t xml:space="preserve"> peripheral halo effect is amplified by organizational status. </w:t>
      </w:r>
    </w:p>
    <w:p w:rsidR="00AF045B" w:rsidRDefault="007912C0" w:rsidP="00727D17">
      <w:pPr>
        <w:autoSpaceDE w:val="0"/>
        <w:autoSpaceDN w:val="0"/>
        <w:adjustRightInd w:val="0"/>
        <w:spacing w:line="480" w:lineRule="auto"/>
        <w:ind w:firstLine="567"/>
        <w:jc w:val="both"/>
      </w:pPr>
      <w:r>
        <w:t>In the context of academic spinoffs, o</w:t>
      </w:r>
      <w:r w:rsidR="00C41478" w:rsidRPr="00AD1AEF">
        <w:t>ur results</w:t>
      </w:r>
      <w:r w:rsidR="002A2783">
        <w:t xml:space="preserve"> show that the size, quality</w:t>
      </w:r>
      <w:r w:rsidR="00C41478" w:rsidRPr="00AD1AEF">
        <w:t xml:space="preserve"> and media coverage of </w:t>
      </w:r>
      <w:r w:rsidR="00217AB4" w:rsidRPr="00AD1AEF">
        <w:t xml:space="preserve">a university’s </w:t>
      </w:r>
      <w:r w:rsidR="00C41478" w:rsidRPr="00AD1AEF">
        <w:t xml:space="preserve">spinoff </w:t>
      </w:r>
      <w:r w:rsidR="00217AB4" w:rsidRPr="00AD1AEF">
        <w:t>portfolio</w:t>
      </w:r>
      <w:r w:rsidR="008805F4" w:rsidRPr="00AD1AEF">
        <w:t xml:space="preserve"> </w:t>
      </w:r>
      <w:r w:rsidR="00C365EA">
        <w:t>are associated with</w:t>
      </w:r>
      <w:r w:rsidR="00217AB4" w:rsidRPr="00AD1AEF">
        <w:t xml:space="preserve"> </w:t>
      </w:r>
      <w:r w:rsidR="00330C40" w:rsidRPr="00AD1AEF">
        <w:t>universi</w:t>
      </w:r>
      <w:r w:rsidR="000311B0">
        <w:t>ty</w:t>
      </w:r>
      <w:r w:rsidR="009D4AF2" w:rsidRPr="00AD1AEF">
        <w:t xml:space="preserve"> </w:t>
      </w:r>
      <w:r w:rsidR="003F2895" w:rsidRPr="00AD1AEF">
        <w:t>research</w:t>
      </w:r>
      <w:r w:rsidR="0043528F">
        <w:t xml:space="preserve"> </w:t>
      </w:r>
      <w:r w:rsidR="00C41478" w:rsidRPr="00AD1AEF">
        <w:t>income</w:t>
      </w:r>
      <w:r w:rsidR="00217AB4" w:rsidRPr="00AD1AEF">
        <w:t xml:space="preserve"> from public and private sources. </w:t>
      </w:r>
      <w:r w:rsidR="003960A9" w:rsidRPr="00AD1AEF">
        <w:t>We explain</w:t>
      </w:r>
      <w:r w:rsidR="002B2DFB" w:rsidRPr="00AD1AEF">
        <w:t xml:space="preserve"> tha</w:t>
      </w:r>
      <w:r w:rsidR="003960A9" w:rsidRPr="00AD1AEF">
        <w:t>t this happens</w:t>
      </w:r>
      <w:r w:rsidR="009D4AF2" w:rsidRPr="00AD1AEF">
        <w:t xml:space="preserve"> via</w:t>
      </w:r>
      <w:r w:rsidR="00C41478" w:rsidRPr="00AD1AEF">
        <w:t xml:space="preserve"> </w:t>
      </w:r>
      <w:r w:rsidR="00C00C26">
        <w:t>developing</w:t>
      </w:r>
      <w:r w:rsidR="00C41478" w:rsidRPr="00AD1AEF">
        <w:t xml:space="preserve"> </w:t>
      </w:r>
      <w:r w:rsidR="00833428">
        <w:t xml:space="preserve">a </w:t>
      </w:r>
      <w:r w:rsidR="00C41478" w:rsidRPr="00AD1AEF">
        <w:t>uni</w:t>
      </w:r>
      <w:r w:rsidR="000C472B">
        <w:t>versity</w:t>
      </w:r>
      <w:r w:rsidR="006C2F54">
        <w:t xml:space="preserve"> </w:t>
      </w:r>
      <w:r w:rsidR="000C472B">
        <w:t xml:space="preserve">reputation as a </w:t>
      </w:r>
      <w:r w:rsidR="00DB3F87">
        <w:t>socially</w:t>
      </w:r>
      <w:r w:rsidR="0043528F">
        <w:t xml:space="preserve"> </w:t>
      </w:r>
      <w:r w:rsidR="00C41478" w:rsidRPr="00AD1AEF">
        <w:t>impactful institution</w:t>
      </w:r>
      <w:r w:rsidR="00833428">
        <w:t>, which affects the decision making of research evaluators (enacting heuristics)</w:t>
      </w:r>
      <w:r w:rsidR="002B2DFB" w:rsidRPr="00AD1AEF">
        <w:t xml:space="preserve">. </w:t>
      </w:r>
      <w:r w:rsidR="00F364B3">
        <w:t>The study</w:t>
      </w:r>
      <w:r w:rsidRPr="00AD1AEF">
        <w:t xml:space="preserve"> extends our knowledge on the financial implica</w:t>
      </w:r>
      <w:r>
        <w:t>tions of</w:t>
      </w:r>
      <w:r w:rsidRPr="00AD1AEF">
        <w:t xml:space="preserve"> academic spinoffs for the</w:t>
      </w:r>
      <w:r w:rsidR="00F364B3">
        <w:t xml:space="preserve"> universities that create them and </w:t>
      </w:r>
      <w:r w:rsidR="00E0294D">
        <w:t xml:space="preserve">has clear practical </w:t>
      </w:r>
      <w:r w:rsidR="00330C40" w:rsidRPr="00AD1AEF">
        <w:t>implication</w:t>
      </w:r>
      <w:r w:rsidR="00E0294D">
        <w:t>s</w:t>
      </w:r>
      <w:r w:rsidR="00330C40" w:rsidRPr="00AD1AEF">
        <w:t xml:space="preserve"> for </w:t>
      </w:r>
      <w:r w:rsidR="003F2895" w:rsidRPr="00AD1AEF">
        <w:t xml:space="preserve">university managers and </w:t>
      </w:r>
      <w:r w:rsidR="000311B0">
        <w:t>policymakers who</w:t>
      </w:r>
      <w:r w:rsidR="00330C40" w:rsidRPr="00AD1AEF">
        <w:t xml:space="preserve"> are responsible for the design and execution of university incubation </w:t>
      </w:r>
      <w:r w:rsidR="002B2DFB" w:rsidRPr="00AD1AEF">
        <w:t>strategies</w:t>
      </w:r>
      <w:r w:rsidR="00263940">
        <w:t>.</w:t>
      </w:r>
    </w:p>
    <w:p w:rsidR="00727D17" w:rsidRDefault="00727D17">
      <w:pPr>
        <w:autoSpaceDE w:val="0"/>
        <w:autoSpaceDN w:val="0"/>
        <w:adjustRightInd w:val="0"/>
        <w:spacing w:line="480" w:lineRule="auto"/>
        <w:ind w:firstLine="567"/>
        <w:jc w:val="both"/>
      </w:pPr>
    </w:p>
    <w:p w:rsidR="005F0819" w:rsidRPr="00EF4FEF" w:rsidRDefault="0076153A" w:rsidP="0088091D">
      <w:pPr>
        <w:autoSpaceDE w:val="0"/>
        <w:autoSpaceDN w:val="0"/>
        <w:adjustRightInd w:val="0"/>
        <w:spacing w:line="480" w:lineRule="auto"/>
        <w:ind w:firstLine="567"/>
        <w:jc w:val="both"/>
      </w:pPr>
      <w:r>
        <w:rPr>
          <w:b/>
        </w:rPr>
        <w:t>END</w:t>
      </w:r>
      <w:r w:rsidR="00A36E6F" w:rsidRPr="00BD7D18">
        <w:rPr>
          <w:b/>
        </w:rPr>
        <w:t>NOTE</w:t>
      </w:r>
    </w:p>
    <w:p w:rsidR="00A36E6F" w:rsidRPr="00AD1AEF" w:rsidRDefault="0028007F" w:rsidP="0088091D">
      <w:pPr>
        <w:jc w:val="both"/>
      </w:pPr>
      <w:r>
        <w:t>1</w:t>
      </w:r>
      <w:r w:rsidR="0036268E">
        <w:t>.</w:t>
      </w:r>
      <w:r w:rsidR="00CF7433">
        <w:t xml:space="preserve"> </w:t>
      </w:r>
      <w:r w:rsidR="00892E9A">
        <w:t>We are grate</w:t>
      </w:r>
      <w:r w:rsidR="00FB4497">
        <w:t xml:space="preserve">ful to the </w:t>
      </w:r>
      <w:r w:rsidR="00924EC1">
        <w:t xml:space="preserve">editor and the </w:t>
      </w:r>
      <w:r w:rsidR="00FB4497">
        <w:t xml:space="preserve">reviewers for suggesting </w:t>
      </w:r>
      <w:r w:rsidR="0043528F">
        <w:t xml:space="preserve">that we </w:t>
      </w:r>
      <w:r w:rsidR="00FB4497">
        <w:t xml:space="preserve">test for moderating effects and for pointing to </w:t>
      </w:r>
      <w:r w:rsidR="00E90C5B">
        <w:t xml:space="preserve">the </w:t>
      </w:r>
      <w:r w:rsidR="00FB4497">
        <w:t>potential effects of the Russell group.</w:t>
      </w:r>
      <w:r w:rsidR="00202CE9">
        <w:t xml:space="preserve"> </w:t>
      </w:r>
      <w:r w:rsidR="006B603E">
        <w:br w:type="page"/>
      </w:r>
    </w:p>
    <w:p w:rsidR="008C1FD9" w:rsidRPr="005870F0" w:rsidRDefault="00C06585" w:rsidP="00EC48DA">
      <w:pPr>
        <w:spacing w:line="480" w:lineRule="auto"/>
        <w:jc w:val="center"/>
        <w:outlineLvl w:val="0"/>
        <w:rPr>
          <w:lang w:val="en-GB"/>
        </w:rPr>
      </w:pPr>
      <w:r w:rsidRPr="009A4D2F">
        <w:rPr>
          <w:b/>
        </w:rPr>
        <w:lastRenderedPageBreak/>
        <w:t>REFERENCES</w:t>
      </w:r>
    </w:p>
    <w:p w:rsidR="00C06585" w:rsidRDefault="00C06585" w:rsidP="00F54F14">
      <w:pPr>
        <w:pStyle w:val="Header"/>
        <w:tabs>
          <w:tab w:val="clear" w:pos="4513"/>
          <w:tab w:val="clear" w:pos="9026"/>
          <w:tab w:val="center" w:pos="-3544"/>
          <w:tab w:val="center" w:pos="4320"/>
          <w:tab w:val="right" w:pos="8640"/>
        </w:tabs>
        <w:autoSpaceDE w:val="0"/>
        <w:autoSpaceDN w:val="0"/>
        <w:adjustRightInd w:val="0"/>
        <w:spacing w:line="480" w:lineRule="auto"/>
        <w:ind w:left="272"/>
        <w:jc w:val="both"/>
        <w:rPr>
          <w:lang w:val="en-GB" w:eastAsia="en-GB"/>
        </w:rPr>
      </w:pPr>
      <w:r>
        <w:rPr>
          <w:lang w:val="en-GB" w:eastAsia="en-GB"/>
        </w:rPr>
        <w:tab/>
      </w:r>
      <w:proofErr w:type="spellStart"/>
      <w:r w:rsidRPr="009A4D2F">
        <w:rPr>
          <w:lang w:val="en-GB" w:eastAsia="en-GB"/>
        </w:rPr>
        <w:t>Basdeo</w:t>
      </w:r>
      <w:proofErr w:type="spellEnd"/>
      <w:r w:rsidRPr="009A4D2F">
        <w:rPr>
          <w:lang w:val="en-GB" w:eastAsia="en-GB"/>
        </w:rPr>
        <w:t xml:space="preserve">, D.K., Smith, K.G., Grimm, C.M., </w:t>
      </w:r>
      <w:proofErr w:type="spellStart"/>
      <w:r w:rsidRPr="009A4D2F">
        <w:rPr>
          <w:lang w:val="en-GB" w:eastAsia="en-GB"/>
        </w:rPr>
        <w:t>Rindova</w:t>
      </w:r>
      <w:proofErr w:type="spellEnd"/>
      <w:r w:rsidRPr="009A4D2F">
        <w:rPr>
          <w:lang w:val="en-GB" w:eastAsia="en-GB"/>
        </w:rPr>
        <w:t>, V.P.</w:t>
      </w:r>
      <w:r w:rsidR="002364D6">
        <w:rPr>
          <w:lang w:val="en-GB" w:eastAsia="en-GB"/>
        </w:rPr>
        <w:t xml:space="preserve"> </w:t>
      </w:r>
      <w:r>
        <w:rPr>
          <w:lang w:val="en-GB" w:eastAsia="en-GB"/>
        </w:rPr>
        <w:t>and</w:t>
      </w:r>
      <w:r w:rsidR="002364D6">
        <w:rPr>
          <w:lang w:val="en-GB" w:eastAsia="en-GB"/>
        </w:rPr>
        <w:t xml:space="preserve"> </w:t>
      </w:r>
      <w:proofErr w:type="spellStart"/>
      <w:r w:rsidRPr="009A4D2F">
        <w:rPr>
          <w:lang w:val="en-GB" w:eastAsia="en-GB"/>
        </w:rPr>
        <w:t>Derfus</w:t>
      </w:r>
      <w:proofErr w:type="spellEnd"/>
      <w:r w:rsidRPr="009A4D2F">
        <w:rPr>
          <w:lang w:val="en-GB" w:eastAsia="en-GB"/>
        </w:rPr>
        <w:t xml:space="preserve">, P.J. </w:t>
      </w:r>
      <w:r>
        <w:rPr>
          <w:lang w:val="en-GB" w:eastAsia="en-GB"/>
        </w:rPr>
        <w:t>(</w:t>
      </w:r>
      <w:r w:rsidRPr="009A4D2F">
        <w:rPr>
          <w:lang w:val="en-GB" w:eastAsia="en-GB"/>
        </w:rPr>
        <w:t>2006</w:t>
      </w:r>
      <w:r>
        <w:rPr>
          <w:lang w:val="en-GB" w:eastAsia="en-GB"/>
        </w:rPr>
        <w:t>)</w:t>
      </w:r>
      <w:r w:rsidRPr="009A4D2F">
        <w:rPr>
          <w:lang w:val="en-GB" w:eastAsia="en-GB"/>
        </w:rPr>
        <w:t xml:space="preserve">. </w:t>
      </w:r>
      <w:r>
        <w:rPr>
          <w:lang w:val="en-GB" w:eastAsia="en-GB"/>
        </w:rPr>
        <w:t>‘</w:t>
      </w:r>
      <w:r w:rsidRPr="009A4D2F">
        <w:rPr>
          <w:lang w:val="en-GB" w:eastAsia="en-GB"/>
        </w:rPr>
        <w:t xml:space="preserve">The impact of </w:t>
      </w:r>
    </w:p>
    <w:p w:rsidR="00A201F2" w:rsidRDefault="00C06585" w:rsidP="00F54F14">
      <w:pPr>
        <w:pStyle w:val="Header"/>
        <w:tabs>
          <w:tab w:val="clear" w:pos="4513"/>
          <w:tab w:val="clear" w:pos="9026"/>
          <w:tab w:val="center" w:pos="-3544"/>
          <w:tab w:val="center" w:pos="4320"/>
          <w:tab w:val="right" w:pos="8640"/>
        </w:tabs>
        <w:autoSpaceDE w:val="0"/>
        <w:autoSpaceDN w:val="0"/>
        <w:adjustRightInd w:val="0"/>
        <w:spacing w:line="480" w:lineRule="auto"/>
        <w:ind w:left="272" w:firstLine="448"/>
        <w:jc w:val="both"/>
        <w:rPr>
          <w:lang w:val="en-GB" w:eastAsia="en-GB"/>
        </w:rPr>
      </w:pPr>
      <w:r>
        <w:rPr>
          <w:lang w:val="en-GB" w:eastAsia="en-GB"/>
        </w:rPr>
        <w:tab/>
      </w:r>
      <w:r w:rsidRPr="009A4D2F">
        <w:rPr>
          <w:lang w:val="en-GB" w:eastAsia="en-GB"/>
        </w:rPr>
        <w:t>market actions on firm reputation</w:t>
      </w:r>
      <w:r>
        <w:rPr>
          <w:lang w:val="en-GB" w:eastAsia="en-GB"/>
        </w:rPr>
        <w:t>’</w:t>
      </w:r>
      <w:r w:rsidRPr="009A4D2F">
        <w:rPr>
          <w:lang w:val="en-GB" w:eastAsia="en-GB"/>
        </w:rPr>
        <w:t xml:space="preserve">. </w:t>
      </w:r>
      <w:r w:rsidRPr="009A4D2F">
        <w:rPr>
          <w:i/>
          <w:iCs/>
          <w:lang w:val="en-GB" w:eastAsia="en-GB"/>
        </w:rPr>
        <w:t xml:space="preserve">Strategic Management Journal, </w:t>
      </w:r>
      <w:r w:rsidRPr="009A4D2F">
        <w:rPr>
          <w:b/>
          <w:lang w:val="en-GB" w:eastAsia="en-GB"/>
        </w:rPr>
        <w:t>27</w:t>
      </w:r>
      <w:r>
        <w:rPr>
          <w:lang w:val="en-GB" w:eastAsia="en-GB"/>
        </w:rPr>
        <w:t>,</w:t>
      </w:r>
      <w:r w:rsidRPr="009A4D2F">
        <w:rPr>
          <w:lang w:val="en-GB" w:eastAsia="en-GB"/>
        </w:rPr>
        <w:t xml:space="preserve"> 1205-1219</w:t>
      </w:r>
      <w:r>
        <w:rPr>
          <w:lang w:val="en-GB" w:eastAsia="en-GB"/>
        </w:rPr>
        <w:t>.</w:t>
      </w:r>
    </w:p>
    <w:p w:rsidR="00445478" w:rsidRDefault="00445478" w:rsidP="00F54F14">
      <w:pPr>
        <w:pStyle w:val="Header"/>
        <w:tabs>
          <w:tab w:val="clear" w:pos="4513"/>
          <w:tab w:val="clear" w:pos="9026"/>
          <w:tab w:val="center" w:pos="-3544"/>
          <w:tab w:val="center" w:pos="426"/>
          <w:tab w:val="center" w:pos="4320"/>
          <w:tab w:val="right" w:pos="8640"/>
        </w:tabs>
        <w:autoSpaceDE w:val="0"/>
        <w:autoSpaceDN w:val="0"/>
        <w:adjustRightInd w:val="0"/>
        <w:spacing w:line="480" w:lineRule="auto"/>
        <w:ind w:left="709" w:hanging="425"/>
        <w:jc w:val="both"/>
        <w:rPr>
          <w:lang w:val="en-GB" w:eastAsia="en-GB"/>
        </w:rPr>
      </w:pPr>
      <w:r w:rsidRPr="004F2DD5">
        <w:rPr>
          <w:lang w:eastAsia="en-GB"/>
        </w:rPr>
        <w:t>Benner, M.</w:t>
      </w:r>
      <w:r w:rsidR="008C1FD9">
        <w:rPr>
          <w:lang w:val="en-GB" w:eastAsia="en-GB"/>
        </w:rPr>
        <w:t xml:space="preserve"> and</w:t>
      </w:r>
      <w:r w:rsidRPr="004F2DD5">
        <w:rPr>
          <w:lang w:eastAsia="en-GB"/>
        </w:rPr>
        <w:t xml:space="preserve"> Sandstro</w:t>
      </w:r>
      <w:r>
        <w:rPr>
          <w:lang w:eastAsia="en-GB"/>
        </w:rPr>
        <w:t xml:space="preserve">m, U. </w:t>
      </w:r>
      <w:r w:rsidR="00D671CD">
        <w:rPr>
          <w:lang w:val="en-GB" w:eastAsia="en-GB"/>
        </w:rPr>
        <w:t>(</w:t>
      </w:r>
      <w:r>
        <w:rPr>
          <w:lang w:eastAsia="en-GB"/>
        </w:rPr>
        <w:t>2000</w:t>
      </w:r>
      <w:r w:rsidR="00D671CD">
        <w:rPr>
          <w:lang w:val="en-GB" w:eastAsia="en-GB"/>
        </w:rPr>
        <w:t>)</w:t>
      </w:r>
      <w:r w:rsidRPr="004F2DD5">
        <w:rPr>
          <w:lang w:eastAsia="en-GB"/>
        </w:rPr>
        <w:t xml:space="preserve">. </w:t>
      </w:r>
      <w:r w:rsidR="002E1334">
        <w:rPr>
          <w:lang w:val="en-GB" w:eastAsia="en-GB"/>
        </w:rPr>
        <w:t>‘</w:t>
      </w:r>
      <w:r w:rsidRPr="004F2DD5">
        <w:rPr>
          <w:lang w:eastAsia="en-GB"/>
        </w:rPr>
        <w:t>Institutionalizing the Triple Helix: research funding and norms in the academic system</w:t>
      </w:r>
      <w:r w:rsidR="002E1334">
        <w:rPr>
          <w:lang w:val="en-GB" w:eastAsia="en-GB"/>
        </w:rPr>
        <w:t>’.</w:t>
      </w:r>
      <w:r>
        <w:rPr>
          <w:lang w:eastAsia="en-GB"/>
        </w:rPr>
        <w:t xml:space="preserve"> </w:t>
      </w:r>
      <w:r w:rsidRPr="005870F0">
        <w:rPr>
          <w:i/>
          <w:lang w:eastAsia="en-GB"/>
        </w:rPr>
        <w:t>Research Policy</w:t>
      </w:r>
      <w:r w:rsidR="008C1FD9">
        <w:rPr>
          <w:i/>
          <w:lang w:val="en-GB" w:eastAsia="en-GB"/>
        </w:rPr>
        <w:t>,</w:t>
      </w:r>
      <w:r w:rsidRPr="004F2DD5">
        <w:rPr>
          <w:lang w:eastAsia="en-GB"/>
        </w:rPr>
        <w:t xml:space="preserve"> </w:t>
      </w:r>
      <w:r w:rsidRPr="006F38C4">
        <w:rPr>
          <w:b/>
          <w:lang w:eastAsia="en-GB"/>
        </w:rPr>
        <w:t>29</w:t>
      </w:r>
      <w:r w:rsidR="008C1FD9">
        <w:rPr>
          <w:b/>
          <w:lang w:val="en-GB" w:eastAsia="en-GB"/>
        </w:rPr>
        <w:t>,</w:t>
      </w:r>
      <w:r w:rsidRPr="004F2DD5">
        <w:rPr>
          <w:lang w:eastAsia="en-GB"/>
        </w:rPr>
        <w:t xml:space="preserve"> 291–301</w:t>
      </w:r>
      <w:r w:rsidR="008C1FD9">
        <w:rPr>
          <w:lang w:val="en-GB" w:eastAsia="en-GB"/>
        </w:rPr>
        <w:t>.</w:t>
      </w:r>
    </w:p>
    <w:p w:rsidR="002E1334" w:rsidRPr="005870F0" w:rsidRDefault="002E1334" w:rsidP="00F54F14">
      <w:pPr>
        <w:tabs>
          <w:tab w:val="center" w:pos="-3544"/>
        </w:tabs>
        <w:autoSpaceDE w:val="0"/>
        <w:autoSpaceDN w:val="0"/>
        <w:adjustRightInd w:val="0"/>
        <w:spacing w:line="480" w:lineRule="auto"/>
        <w:ind w:left="709" w:hanging="425"/>
        <w:rPr>
          <w:rFonts w:ascii="Memphis-Bold" w:hAnsi="Memphis-Bold" w:cs="Memphis-Bold"/>
          <w:b/>
          <w:bCs/>
          <w:sz w:val="28"/>
          <w:szCs w:val="28"/>
          <w:lang w:val="en-GB"/>
        </w:rPr>
      </w:pPr>
      <w:proofErr w:type="spellStart"/>
      <w:r>
        <w:rPr>
          <w:lang w:val="en-GB" w:eastAsia="en-GB"/>
        </w:rPr>
        <w:t>Bitektine</w:t>
      </w:r>
      <w:proofErr w:type="spellEnd"/>
      <w:r>
        <w:rPr>
          <w:lang w:val="en-GB" w:eastAsia="en-GB"/>
        </w:rPr>
        <w:t xml:space="preserve">, A. (2011). ‘Toward a theory of social judgements of organizations: The case of legitimacy, reputation, and status’. </w:t>
      </w:r>
      <w:r w:rsidRPr="005870F0">
        <w:rPr>
          <w:i/>
          <w:lang w:val="en-GB" w:eastAsia="en-GB"/>
        </w:rPr>
        <w:t>Academy of Management Review</w:t>
      </w:r>
      <w:r>
        <w:rPr>
          <w:lang w:val="en-GB" w:eastAsia="en-GB"/>
        </w:rPr>
        <w:t xml:space="preserve">, </w:t>
      </w:r>
      <w:r w:rsidRPr="005870F0">
        <w:rPr>
          <w:b/>
          <w:lang w:val="en-GB" w:eastAsia="en-GB"/>
        </w:rPr>
        <w:t>36</w:t>
      </w:r>
      <w:r>
        <w:rPr>
          <w:lang w:val="en-GB" w:eastAsia="en-GB"/>
        </w:rPr>
        <w:t>, 151-179.</w:t>
      </w:r>
    </w:p>
    <w:p w:rsidR="00C06585" w:rsidRDefault="00C06585" w:rsidP="00F54F14">
      <w:pPr>
        <w:pStyle w:val="Header"/>
        <w:tabs>
          <w:tab w:val="clear" w:pos="4513"/>
          <w:tab w:val="clear" w:pos="9026"/>
          <w:tab w:val="center" w:pos="-3544"/>
          <w:tab w:val="center" w:pos="4320"/>
          <w:tab w:val="right" w:pos="8640"/>
        </w:tabs>
        <w:autoSpaceDE w:val="0"/>
        <w:autoSpaceDN w:val="0"/>
        <w:adjustRightInd w:val="0"/>
        <w:spacing w:line="480" w:lineRule="auto"/>
        <w:ind w:left="272"/>
        <w:jc w:val="both"/>
      </w:pPr>
      <w:r w:rsidRPr="009A4D2F">
        <w:t>Bok</w:t>
      </w:r>
      <w:r w:rsidR="003A19C0">
        <w:rPr>
          <w:lang w:val="en-GB"/>
        </w:rPr>
        <w:t>,</w:t>
      </w:r>
      <w:r w:rsidRPr="009A4D2F">
        <w:t xml:space="preserve"> D. (2003).</w:t>
      </w:r>
      <w:r w:rsidRPr="009A4D2F">
        <w:rPr>
          <w:i/>
        </w:rPr>
        <w:t xml:space="preserve">Universities in the </w:t>
      </w:r>
      <w:r>
        <w:rPr>
          <w:i/>
        </w:rPr>
        <w:t>M</w:t>
      </w:r>
      <w:r w:rsidRPr="009A4D2F">
        <w:rPr>
          <w:i/>
        </w:rPr>
        <w:t>arketplace.</w:t>
      </w:r>
      <w:r w:rsidR="002364D6">
        <w:rPr>
          <w:i/>
        </w:rPr>
        <w:t xml:space="preserve"> </w:t>
      </w:r>
      <w:r w:rsidRPr="009A4D2F">
        <w:rPr>
          <w:i/>
        </w:rPr>
        <w:t xml:space="preserve">The </w:t>
      </w:r>
      <w:r>
        <w:rPr>
          <w:i/>
        </w:rPr>
        <w:t>C</w:t>
      </w:r>
      <w:r w:rsidRPr="009A4D2F">
        <w:rPr>
          <w:i/>
        </w:rPr>
        <w:t>ommercialization of Higher Education</w:t>
      </w:r>
      <w:r w:rsidRPr="009A4D2F">
        <w:t xml:space="preserve">. NJ: </w:t>
      </w:r>
    </w:p>
    <w:p w:rsidR="00C06585" w:rsidRDefault="00C06585" w:rsidP="00F54F14">
      <w:pPr>
        <w:pStyle w:val="Header"/>
        <w:tabs>
          <w:tab w:val="clear" w:pos="4513"/>
          <w:tab w:val="clear" w:pos="9026"/>
          <w:tab w:val="center" w:pos="-3544"/>
          <w:tab w:val="center" w:pos="4320"/>
          <w:tab w:val="right" w:pos="8640"/>
        </w:tabs>
        <w:autoSpaceDE w:val="0"/>
        <w:autoSpaceDN w:val="0"/>
        <w:adjustRightInd w:val="0"/>
        <w:spacing w:line="480" w:lineRule="auto"/>
        <w:ind w:left="272" w:firstLine="448"/>
        <w:jc w:val="both"/>
      </w:pPr>
      <w:r w:rsidRPr="009A4D2F">
        <w:t>Princeton University Press</w:t>
      </w:r>
      <w:r>
        <w:t>.</w:t>
      </w:r>
    </w:p>
    <w:p w:rsidR="000C213E" w:rsidRDefault="000C213E" w:rsidP="00F54F14">
      <w:pPr>
        <w:pStyle w:val="Header"/>
        <w:tabs>
          <w:tab w:val="clear" w:pos="4513"/>
          <w:tab w:val="clear" w:pos="9026"/>
          <w:tab w:val="center" w:pos="-3544"/>
          <w:tab w:val="center" w:pos="709"/>
          <w:tab w:val="center" w:pos="4320"/>
          <w:tab w:val="right" w:pos="8640"/>
        </w:tabs>
        <w:autoSpaceDE w:val="0"/>
        <w:autoSpaceDN w:val="0"/>
        <w:adjustRightInd w:val="0"/>
        <w:spacing w:line="480" w:lineRule="auto"/>
        <w:ind w:left="709" w:hanging="425"/>
        <w:jc w:val="both"/>
        <w:rPr>
          <w:lang w:val="en-GB"/>
        </w:rPr>
      </w:pPr>
      <w:r>
        <w:tab/>
        <w:t>Bray, M.J. and</w:t>
      </w:r>
      <w:r w:rsidRPr="000C213E">
        <w:t xml:space="preserve"> Lee, J.N. </w:t>
      </w:r>
      <w:r>
        <w:t>(</w:t>
      </w:r>
      <w:r w:rsidRPr="000C213E">
        <w:t>2000</w:t>
      </w:r>
      <w:r>
        <w:t>)</w:t>
      </w:r>
      <w:r w:rsidRPr="000C213E">
        <w:t xml:space="preserve">. </w:t>
      </w:r>
      <w:r>
        <w:t>‘</w:t>
      </w:r>
      <w:r w:rsidRPr="000C213E">
        <w:t>University revenues from technology</w:t>
      </w:r>
      <w:r>
        <w:t xml:space="preserve"> </w:t>
      </w:r>
      <w:r w:rsidRPr="000C213E">
        <w:t>transfer: licensing fees vs. equity positions</w:t>
      </w:r>
      <w:r>
        <w:t>’</w:t>
      </w:r>
      <w:r w:rsidRPr="000C213E">
        <w:t>.</w:t>
      </w:r>
      <w:r>
        <w:t xml:space="preserve"> </w:t>
      </w:r>
      <w:r w:rsidRPr="000C213E">
        <w:rPr>
          <w:i/>
        </w:rPr>
        <w:t>Journal of Business Venturing</w:t>
      </w:r>
      <w:r w:rsidR="008C1FD9">
        <w:rPr>
          <w:i/>
          <w:lang w:val="en-GB"/>
        </w:rPr>
        <w:t>,</w:t>
      </w:r>
      <w:r w:rsidRPr="000C213E">
        <w:t xml:space="preserve"> </w:t>
      </w:r>
      <w:r w:rsidRPr="000C213E">
        <w:rPr>
          <w:b/>
        </w:rPr>
        <w:t>15</w:t>
      </w:r>
      <w:r w:rsidR="008C1FD9">
        <w:rPr>
          <w:lang w:val="en-GB"/>
        </w:rPr>
        <w:t>,</w:t>
      </w:r>
      <w:r w:rsidRPr="000C213E">
        <w:t xml:space="preserve"> 385-392</w:t>
      </w:r>
      <w:r>
        <w:t>.</w:t>
      </w:r>
    </w:p>
    <w:p w:rsidR="00960513" w:rsidRPr="005870F0" w:rsidRDefault="00960513" w:rsidP="00F54F14">
      <w:pPr>
        <w:pStyle w:val="Header"/>
        <w:tabs>
          <w:tab w:val="clear" w:pos="4513"/>
          <w:tab w:val="clear" w:pos="9026"/>
          <w:tab w:val="center" w:pos="-3544"/>
          <w:tab w:val="center" w:pos="709"/>
          <w:tab w:val="center" w:pos="4320"/>
          <w:tab w:val="right" w:pos="8640"/>
        </w:tabs>
        <w:autoSpaceDE w:val="0"/>
        <w:autoSpaceDN w:val="0"/>
        <w:adjustRightInd w:val="0"/>
        <w:spacing w:line="480" w:lineRule="auto"/>
        <w:ind w:left="709" w:hanging="425"/>
        <w:jc w:val="both"/>
        <w:rPr>
          <w:lang w:val="en-GB"/>
        </w:rPr>
      </w:pPr>
      <w:r w:rsidRPr="00A82B6C">
        <w:rPr>
          <w:lang w:val="en-GB"/>
        </w:rPr>
        <w:t>Brown</w:t>
      </w:r>
      <w:r w:rsidR="008C1FD9">
        <w:rPr>
          <w:lang w:val="en-GB"/>
        </w:rPr>
        <w:t>, B.</w:t>
      </w:r>
      <w:r w:rsidRPr="00A82B6C">
        <w:rPr>
          <w:lang w:val="en-GB"/>
        </w:rPr>
        <w:t xml:space="preserve"> and Perry</w:t>
      </w:r>
      <w:r w:rsidR="008C1FD9">
        <w:rPr>
          <w:lang w:val="en-GB"/>
        </w:rPr>
        <w:t>, S</w:t>
      </w:r>
      <w:r w:rsidRPr="00A82B6C">
        <w:rPr>
          <w:lang w:val="en-GB"/>
        </w:rPr>
        <w:t xml:space="preserve">. </w:t>
      </w:r>
      <w:r w:rsidR="008C1FD9" w:rsidRPr="008C1FD9">
        <w:rPr>
          <w:lang w:val="en-GB"/>
        </w:rPr>
        <w:t>(</w:t>
      </w:r>
      <w:r w:rsidRPr="008C1FD9">
        <w:rPr>
          <w:lang w:val="en-GB"/>
        </w:rPr>
        <w:t>19</w:t>
      </w:r>
      <w:r w:rsidRPr="005870F0">
        <w:rPr>
          <w:lang w:val="en-GB"/>
        </w:rPr>
        <w:t>94</w:t>
      </w:r>
      <w:r w:rsidR="008C1FD9" w:rsidRPr="005870F0">
        <w:rPr>
          <w:lang w:val="en-GB"/>
        </w:rPr>
        <w:t>).</w:t>
      </w:r>
      <w:r w:rsidRPr="005870F0">
        <w:rPr>
          <w:lang w:val="en-GB"/>
        </w:rPr>
        <w:t xml:space="preserve"> </w:t>
      </w:r>
      <w:r w:rsidR="008C1FD9">
        <w:rPr>
          <w:lang w:val="en-GB"/>
        </w:rPr>
        <w:t>‘</w:t>
      </w:r>
      <w:r w:rsidR="008C1FD9" w:rsidRPr="005870F0">
        <w:rPr>
          <w:lang w:val="en-GB"/>
        </w:rPr>
        <w:t>Removing the financial performance halo from Fortune’s ‘most admired’ companies</w:t>
      </w:r>
      <w:r w:rsidR="008C1FD9">
        <w:rPr>
          <w:lang w:val="en-GB"/>
        </w:rPr>
        <w:t>’</w:t>
      </w:r>
      <w:r w:rsidR="008C1FD9" w:rsidRPr="005870F0">
        <w:rPr>
          <w:lang w:val="en-GB"/>
        </w:rPr>
        <w:t xml:space="preserve">. </w:t>
      </w:r>
      <w:r w:rsidRPr="005870F0">
        <w:rPr>
          <w:i/>
          <w:lang w:val="en-GB"/>
        </w:rPr>
        <w:t>Academy of Management Journal</w:t>
      </w:r>
      <w:r w:rsidR="008C1FD9">
        <w:rPr>
          <w:i/>
          <w:lang w:val="en-GB"/>
        </w:rPr>
        <w:t>,</w:t>
      </w:r>
      <w:r w:rsidRPr="005870F0">
        <w:rPr>
          <w:lang w:val="en-GB"/>
        </w:rPr>
        <w:t xml:space="preserve"> </w:t>
      </w:r>
      <w:r w:rsidRPr="005870F0">
        <w:rPr>
          <w:b/>
          <w:lang w:val="en-GB"/>
        </w:rPr>
        <w:t>37</w:t>
      </w:r>
      <w:r w:rsidRPr="005870F0">
        <w:rPr>
          <w:lang w:val="en-GB"/>
        </w:rPr>
        <w:t>, 1347-1359</w:t>
      </w:r>
      <w:r w:rsidR="008C1FD9" w:rsidRPr="005870F0">
        <w:rPr>
          <w:lang w:val="en-GB"/>
        </w:rPr>
        <w:t>.</w:t>
      </w:r>
    </w:p>
    <w:p w:rsidR="003A19C0" w:rsidRDefault="003A19C0" w:rsidP="00F54F14">
      <w:pPr>
        <w:tabs>
          <w:tab w:val="center" w:pos="-3544"/>
        </w:tabs>
        <w:autoSpaceDE w:val="0"/>
        <w:autoSpaceDN w:val="0"/>
        <w:adjustRightInd w:val="0"/>
        <w:spacing w:line="480" w:lineRule="auto"/>
        <w:ind w:left="709" w:hanging="425"/>
        <w:jc w:val="both"/>
        <w:rPr>
          <w:lang w:val="en-GB" w:eastAsia="en-GB"/>
        </w:rPr>
      </w:pPr>
      <w:proofErr w:type="spellStart"/>
      <w:r w:rsidRPr="003A19C0">
        <w:rPr>
          <w:lang w:val="en-GB" w:eastAsia="en-GB"/>
        </w:rPr>
        <w:t>Buenstorf</w:t>
      </w:r>
      <w:proofErr w:type="spellEnd"/>
      <w:r w:rsidRPr="003A19C0">
        <w:rPr>
          <w:lang w:val="en-GB" w:eastAsia="en-GB"/>
        </w:rPr>
        <w:t>, G. (2009)</w:t>
      </w:r>
      <w:r w:rsidR="008C1FD9">
        <w:rPr>
          <w:lang w:val="en-GB" w:eastAsia="en-GB"/>
        </w:rPr>
        <w:t>.</w:t>
      </w:r>
      <w:r w:rsidRPr="003A19C0">
        <w:rPr>
          <w:lang w:val="en-GB" w:eastAsia="en-GB"/>
        </w:rPr>
        <w:t xml:space="preserve"> </w:t>
      </w:r>
      <w:r w:rsidR="008C1FD9">
        <w:rPr>
          <w:lang w:val="en-GB" w:eastAsia="en-GB"/>
        </w:rPr>
        <w:t>‘</w:t>
      </w:r>
      <w:r w:rsidRPr="003A19C0">
        <w:rPr>
          <w:lang w:val="en-GB" w:eastAsia="en-GB"/>
        </w:rPr>
        <w:t>Is commercialization good or bad for science? Individual-level evidence from the Max Planck Society</w:t>
      </w:r>
      <w:r w:rsidR="008C1FD9">
        <w:rPr>
          <w:lang w:val="en-GB" w:eastAsia="en-GB"/>
        </w:rPr>
        <w:t>’.</w:t>
      </w:r>
      <w:r w:rsidRPr="003A19C0">
        <w:rPr>
          <w:lang w:val="en-GB" w:eastAsia="en-GB"/>
        </w:rPr>
        <w:t xml:space="preserve"> </w:t>
      </w:r>
      <w:r w:rsidRPr="003A19C0">
        <w:rPr>
          <w:i/>
          <w:iCs/>
          <w:lang w:val="en-GB" w:eastAsia="en-GB"/>
        </w:rPr>
        <w:t>Research Policy</w:t>
      </w:r>
      <w:r w:rsidRPr="003A19C0">
        <w:rPr>
          <w:lang w:val="en-GB" w:eastAsia="en-GB"/>
        </w:rPr>
        <w:t xml:space="preserve">, </w:t>
      </w:r>
      <w:r w:rsidRPr="003A19C0">
        <w:rPr>
          <w:b/>
          <w:lang w:val="en-GB" w:eastAsia="en-GB"/>
        </w:rPr>
        <w:t>38</w:t>
      </w:r>
      <w:r w:rsidRPr="003A19C0">
        <w:rPr>
          <w:lang w:val="en-GB" w:eastAsia="en-GB"/>
        </w:rPr>
        <w:t>, 281-292.</w:t>
      </w:r>
    </w:p>
    <w:p w:rsidR="0002071F" w:rsidRDefault="0002071F" w:rsidP="00F54F14">
      <w:pPr>
        <w:tabs>
          <w:tab w:val="center" w:pos="-3544"/>
        </w:tabs>
        <w:autoSpaceDE w:val="0"/>
        <w:autoSpaceDN w:val="0"/>
        <w:adjustRightInd w:val="0"/>
        <w:spacing w:line="480" w:lineRule="auto"/>
        <w:ind w:left="709" w:hanging="425"/>
        <w:jc w:val="both"/>
        <w:rPr>
          <w:lang w:val="en-GB" w:eastAsia="en-GB"/>
        </w:rPr>
      </w:pPr>
      <w:proofErr w:type="spellStart"/>
      <w:r w:rsidRPr="0002071F">
        <w:rPr>
          <w:lang w:val="en-GB" w:eastAsia="en-GB"/>
        </w:rPr>
        <w:t>Buenstorf</w:t>
      </w:r>
      <w:proofErr w:type="spellEnd"/>
      <w:r w:rsidRPr="0002071F">
        <w:rPr>
          <w:lang w:val="en-GB" w:eastAsia="en-GB"/>
        </w:rPr>
        <w:t>, G</w:t>
      </w:r>
      <w:r>
        <w:rPr>
          <w:lang w:val="en-GB" w:eastAsia="en-GB"/>
        </w:rPr>
        <w:t>., Fritsch, M. and Medrano, L.F. (</w:t>
      </w:r>
      <w:r w:rsidR="00517799">
        <w:rPr>
          <w:lang w:val="en-GB" w:eastAsia="en-GB"/>
        </w:rPr>
        <w:t>forthcoming</w:t>
      </w:r>
      <w:r>
        <w:rPr>
          <w:lang w:val="en-GB" w:eastAsia="en-GB"/>
        </w:rPr>
        <w:t>)</w:t>
      </w:r>
      <w:r w:rsidRPr="0002071F">
        <w:rPr>
          <w:lang w:val="en-GB" w:eastAsia="en-GB"/>
        </w:rPr>
        <w:t xml:space="preserve"> </w:t>
      </w:r>
      <w:r w:rsidR="008C1FD9">
        <w:rPr>
          <w:lang w:val="en-GB" w:eastAsia="en-GB"/>
        </w:rPr>
        <w:t>‘</w:t>
      </w:r>
      <w:r w:rsidRPr="0002071F">
        <w:rPr>
          <w:lang w:val="en-GB" w:eastAsia="en-GB"/>
        </w:rPr>
        <w:t xml:space="preserve">Regional knowledge, </w:t>
      </w:r>
      <w:r w:rsidR="00D60884">
        <w:rPr>
          <w:lang w:val="en-GB" w:eastAsia="en-GB"/>
        </w:rPr>
        <w:t>organization</w:t>
      </w:r>
      <w:r w:rsidRPr="0002071F">
        <w:rPr>
          <w:lang w:val="en-GB" w:eastAsia="en-GB"/>
        </w:rPr>
        <w:t>al capabilities,</w:t>
      </w:r>
      <w:r>
        <w:rPr>
          <w:lang w:val="en-GB" w:eastAsia="en-GB"/>
        </w:rPr>
        <w:t xml:space="preserve"> </w:t>
      </w:r>
      <w:r w:rsidRPr="0002071F">
        <w:rPr>
          <w:lang w:val="en-GB" w:eastAsia="en-GB"/>
        </w:rPr>
        <w:t>and the emergence of the West German laser systems industry, 1975–2005</w:t>
      </w:r>
      <w:r w:rsidR="008C1FD9">
        <w:rPr>
          <w:lang w:val="en-GB" w:eastAsia="en-GB"/>
        </w:rPr>
        <w:t>’</w:t>
      </w:r>
      <w:r w:rsidRPr="0002071F">
        <w:rPr>
          <w:lang w:val="en-GB" w:eastAsia="en-GB"/>
        </w:rPr>
        <w:t xml:space="preserve">, </w:t>
      </w:r>
      <w:r w:rsidRPr="0002071F">
        <w:rPr>
          <w:i/>
          <w:lang w:val="en-GB" w:eastAsia="en-GB"/>
        </w:rPr>
        <w:t>Regional Studies</w:t>
      </w:r>
      <w:r w:rsidR="00517799">
        <w:rPr>
          <w:lang w:val="en-GB" w:eastAsia="en-GB"/>
        </w:rPr>
        <w:t>.</w:t>
      </w:r>
      <w:r>
        <w:rPr>
          <w:lang w:val="en-GB" w:eastAsia="en-GB"/>
        </w:rPr>
        <w:t xml:space="preserve"> </w:t>
      </w:r>
    </w:p>
    <w:p w:rsidR="002267B2" w:rsidRDefault="003717C3" w:rsidP="00F54F14">
      <w:pPr>
        <w:tabs>
          <w:tab w:val="center" w:pos="-3544"/>
        </w:tabs>
        <w:autoSpaceDE w:val="0"/>
        <w:autoSpaceDN w:val="0"/>
        <w:adjustRightInd w:val="0"/>
        <w:spacing w:line="480" w:lineRule="auto"/>
        <w:ind w:left="709" w:hanging="425"/>
        <w:jc w:val="both"/>
        <w:rPr>
          <w:lang w:val="en-GB" w:eastAsia="en-GB"/>
        </w:rPr>
      </w:pPr>
      <w:proofErr w:type="spellStart"/>
      <w:r>
        <w:rPr>
          <w:lang w:val="en-GB" w:eastAsia="en-GB"/>
        </w:rPr>
        <w:t>Buenstorf</w:t>
      </w:r>
      <w:proofErr w:type="spellEnd"/>
      <w:r>
        <w:rPr>
          <w:lang w:val="en-GB" w:eastAsia="en-GB"/>
        </w:rPr>
        <w:t xml:space="preserve">, G. and </w:t>
      </w:r>
      <w:proofErr w:type="spellStart"/>
      <w:r w:rsidR="002267B2" w:rsidRPr="002267B2">
        <w:rPr>
          <w:lang w:val="en-GB" w:eastAsia="en-GB"/>
        </w:rPr>
        <w:t>Klepper</w:t>
      </w:r>
      <w:proofErr w:type="spellEnd"/>
      <w:r>
        <w:rPr>
          <w:lang w:val="en-GB" w:eastAsia="en-GB"/>
        </w:rPr>
        <w:t>, S. (2009)</w:t>
      </w:r>
      <w:r w:rsidR="005D5309">
        <w:rPr>
          <w:lang w:val="en-GB" w:eastAsia="en-GB"/>
        </w:rPr>
        <w:t>.</w:t>
      </w:r>
      <w:r w:rsidR="002267B2" w:rsidRPr="002267B2">
        <w:rPr>
          <w:lang w:val="en-GB" w:eastAsia="en-GB"/>
        </w:rPr>
        <w:t xml:space="preserve"> </w:t>
      </w:r>
      <w:r w:rsidR="005D5309">
        <w:rPr>
          <w:lang w:val="en-GB" w:eastAsia="en-GB"/>
        </w:rPr>
        <w:t>‘</w:t>
      </w:r>
      <w:r w:rsidR="002267B2" w:rsidRPr="002267B2">
        <w:rPr>
          <w:lang w:val="en-GB" w:eastAsia="en-GB"/>
        </w:rPr>
        <w:t>Heritage and agglom</w:t>
      </w:r>
      <w:r>
        <w:rPr>
          <w:lang w:val="en-GB" w:eastAsia="en-GB"/>
        </w:rPr>
        <w:t xml:space="preserve">eration: the Akron tyre cluster </w:t>
      </w:r>
      <w:r w:rsidR="002267B2" w:rsidRPr="002267B2">
        <w:rPr>
          <w:lang w:val="en-GB" w:eastAsia="en-GB"/>
        </w:rPr>
        <w:t>revisited</w:t>
      </w:r>
      <w:r w:rsidR="005D5309">
        <w:rPr>
          <w:lang w:val="en-GB" w:eastAsia="en-GB"/>
        </w:rPr>
        <w:t>’.</w:t>
      </w:r>
      <w:r w:rsidR="002267B2" w:rsidRPr="002267B2">
        <w:rPr>
          <w:lang w:val="en-GB" w:eastAsia="en-GB"/>
        </w:rPr>
        <w:t xml:space="preserve"> </w:t>
      </w:r>
      <w:r w:rsidR="002267B2" w:rsidRPr="003717C3">
        <w:rPr>
          <w:i/>
          <w:lang w:val="en-GB" w:eastAsia="en-GB"/>
        </w:rPr>
        <w:t>The</w:t>
      </w:r>
      <w:r w:rsidRPr="003717C3">
        <w:rPr>
          <w:i/>
          <w:lang w:val="en-GB" w:eastAsia="en-GB"/>
        </w:rPr>
        <w:t xml:space="preserve"> Economic Journal</w:t>
      </w:r>
      <w:r>
        <w:rPr>
          <w:lang w:val="en-GB" w:eastAsia="en-GB"/>
        </w:rPr>
        <w:t xml:space="preserve">, </w:t>
      </w:r>
      <w:r w:rsidRPr="003717C3">
        <w:rPr>
          <w:b/>
          <w:lang w:val="en-GB" w:eastAsia="en-GB"/>
        </w:rPr>
        <w:t>119</w:t>
      </w:r>
      <w:r>
        <w:rPr>
          <w:lang w:val="en-GB" w:eastAsia="en-GB"/>
        </w:rPr>
        <w:t>,</w:t>
      </w:r>
      <w:r w:rsidR="002267B2" w:rsidRPr="002267B2">
        <w:rPr>
          <w:lang w:val="en-GB" w:eastAsia="en-GB"/>
        </w:rPr>
        <w:t xml:space="preserve"> 705-733.</w:t>
      </w:r>
    </w:p>
    <w:p w:rsidR="00004B4A" w:rsidRDefault="008B1432" w:rsidP="00F54F14">
      <w:pPr>
        <w:tabs>
          <w:tab w:val="center" w:pos="-3544"/>
        </w:tabs>
        <w:autoSpaceDE w:val="0"/>
        <w:autoSpaceDN w:val="0"/>
        <w:adjustRightInd w:val="0"/>
        <w:spacing w:line="480" w:lineRule="auto"/>
        <w:ind w:left="709" w:hanging="425"/>
        <w:jc w:val="both"/>
        <w:rPr>
          <w:lang w:val="en-GB" w:eastAsia="en-GB"/>
        </w:rPr>
      </w:pPr>
      <w:proofErr w:type="spellStart"/>
      <w:r>
        <w:rPr>
          <w:lang w:val="en-GB" w:eastAsia="en-GB"/>
        </w:rPr>
        <w:t>Buenstorf</w:t>
      </w:r>
      <w:proofErr w:type="spellEnd"/>
      <w:r>
        <w:rPr>
          <w:lang w:val="en-GB" w:eastAsia="en-GB"/>
        </w:rPr>
        <w:t xml:space="preserve">, G. and </w:t>
      </w:r>
      <w:proofErr w:type="spellStart"/>
      <w:r w:rsidR="002267B2" w:rsidRPr="00004B4A">
        <w:rPr>
          <w:lang w:val="en-GB" w:eastAsia="en-GB"/>
        </w:rPr>
        <w:t>Klepper</w:t>
      </w:r>
      <w:proofErr w:type="spellEnd"/>
      <w:r>
        <w:rPr>
          <w:lang w:val="en-GB" w:eastAsia="en-GB"/>
        </w:rPr>
        <w:t>, S. (2010)</w:t>
      </w:r>
      <w:r w:rsidR="005D5309">
        <w:rPr>
          <w:lang w:val="en-GB" w:eastAsia="en-GB"/>
        </w:rPr>
        <w:t>.</w:t>
      </w:r>
      <w:r w:rsidR="002267B2" w:rsidRPr="00004B4A">
        <w:rPr>
          <w:lang w:val="en-GB" w:eastAsia="en-GB"/>
        </w:rPr>
        <w:t xml:space="preserve"> </w:t>
      </w:r>
      <w:r w:rsidR="005D5309">
        <w:rPr>
          <w:lang w:val="en-GB" w:eastAsia="en-GB"/>
        </w:rPr>
        <w:t>‘</w:t>
      </w:r>
      <w:r w:rsidR="002267B2" w:rsidRPr="00004B4A">
        <w:rPr>
          <w:lang w:val="en-GB" w:eastAsia="en-GB"/>
        </w:rPr>
        <w:t>Why does entry cluster geographically? Evidence from the U.S.</w:t>
      </w:r>
      <w:r w:rsidR="00004B4A" w:rsidRPr="00004B4A">
        <w:rPr>
          <w:lang w:val="en-GB" w:eastAsia="en-GB"/>
        </w:rPr>
        <w:t xml:space="preserve"> </w:t>
      </w:r>
      <w:r w:rsidR="002267B2" w:rsidRPr="00004B4A">
        <w:rPr>
          <w:lang w:val="en-GB" w:eastAsia="en-GB"/>
        </w:rPr>
        <w:t>tire industry</w:t>
      </w:r>
      <w:r w:rsidR="005D5309">
        <w:rPr>
          <w:lang w:val="en-GB" w:eastAsia="en-GB"/>
        </w:rPr>
        <w:t>’.</w:t>
      </w:r>
      <w:r w:rsidR="002267B2" w:rsidRPr="00004B4A">
        <w:rPr>
          <w:lang w:val="en-GB" w:eastAsia="en-GB"/>
        </w:rPr>
        <w:t xml:space="preserve"> </w:t>
      </w:r>
      <w:r w:rsidR="002267B2" w:rsidRPr="00004B4A">
        <w:rPr>
          <w:i/>
          <w:iCs/>
          <w:lang w:val="en-GB" w:eastAsia="en-GB"/>
        </w:rPr>
        <w:t>Journal of Urban Economics</w:t>
      </w:r>
      <w:r>
        <w:rPr>
          <w:lang w:val="en-GB" w:eastAsia="en-GB"/>
        </w:rPr>
        <w:t xml:space="preserve">, </w:t>
      </w:r>
      <w:r w:rsidRPr="008B1432">
        <w:rPr>
          <w:b/>
          <w:lang w:val="en-GB" w:eastAsia="en-GB"/>
        </w:rPr>
        <w:t>68</w:t>
      </w:r>
      <w:r w:rsidR="005D5309">
        <w:rPr>
          <w:lang w:val="en-GB" w:eastAsia="en-GB"/>
        </w:rPr>
        <w:t>,</w:t>
      </w:r>
      <w:r w:rsidR="002267B2" w:rsidRPr="00004B4A">
        <w:rPr>
          <w:lang w:val="en-GB" w:eastAsia="en-GB"/>
        </w:rPr>
        <w:t xml:space="preserve"> 103-114.</w:t>
      </w:r>
    </w:p>
    <w:p w:rsidR="00C06585" w:rsidRDefault="00C06585" w:rsidP="00F54F14">
      <w:pPr>
        <w:pStyle w:val="Header"/>
        <w:tabs>
          <w:tab w:val="clear" w:pos="4513"/>
          <w:tab w:val="clear" w:pos="9026"/>
          <w:tab w:val="center" w:pos="-3544"/>
          <w:tab w:val="center" w:pos="851"/>
          <w:tab w:val="center" w:pos="4320"/>
          <w:tab w:val="right" w:pos="8640"/>
        </w:tabs>
        <w:spacing w:line="480" w:lineRule="auto"/>
        <w:ind w:left="709" w:hanging="425"/>
        <w:jc w:val="both"/>
        <w:rPr>
          <w:color w:val="231F20"/>
          <w:lang w:val="en-GB" w:eastAsia="en-GB"/>
        </w:rPr>
      </w:pPr>
      <w:r w:rsidRPr="009A4D2F">
        <w:rPr>
          <w:color w:val="231F20"/>
          <w:lang w:val="en-GB" w:eastAsia="en-GB"/>
        </w:rPr>
        <w:t>Carter, S</w:t>
      </w:r>
      <w:r>
        <w:rPr>
          <w:color w:val="231F20"/>
          <w:lang w:val="en-GB" w:eastAsia="en-GB"/>
        </w:rPr>
        <w:t>.</w:t>
      </w:r>
      <w:r w:rsidRPr="009A4D2F">
        <w:rPr>
          <w:color w:val="231F20"/>
          <w:lang w:val="en-GB" w:eastAsia="en-GB"/>
        </w:rPr>
        <w:t>M. and Deephouse, D</w:t>
      </w:r>
      <w:r>
        <w:rPr>
          <w:color w:val="231F20"/>
          <w:lang w:val="en-GB" w:eastAsia="en-GB"/>
        </w:rPr>
        <w:t>.</w:t>
      </w:r>
      <w:r w:rsidR="000A474C">
        <w:rPr>
          <w:color w:val="231F20"/>
          <w:lang w:val="en-GB" w:eastAsia="en-GB"/>
        </w:rPr>
        <w:t>L. (1999).</w:t>
      </w:r>
      <w:r w:rsidR="005D5309">
        <w:rPr>
          <w:color w:val="231F20"/>
          <w:lang w:val="en-GB" w:eastAsia="en-GB"/>
        </w:rPr>
        <w:t xml:space="preserve"> ‘“</w:t>
      </w:r>
      <w:r w:rsidRPr="009A4D2F">
        <w:rPr>
          <w:color w:val="231F20"/>
          <w:lang w:val="en-GB" w:eastAsia="en-GB"/>
        </w:rPr>
        <w:t xml:space="preserve">Tough </w:t>
      </w:r>
      <w:r>
        <w:rPr>
          <w:color w:val="231F20"/>
          <w:lang w:val="en-GB" w:eastAsia="en-GB"/>
        </w:rPr>
        <w:t>t</w:t>
      </w:r>
      <w:r w:rsidRPr="009A4D2F">
        <w:rPr>
          <w:color w:val="231F20"/>
          <w:lang w:val="en-GB" w:eastAsia="en-GB"/>
        </w:rPr>
        <w:t>alk</w:t>
      </w:r>
      <w:r>
        <w:rPr>
          <w:color w:val="231F20"/>
          <w:lang w:val="en-GB" w:eastAsia="en-GB"/>
        </w:rPr>
        <w:t>”</w:t>
      </w:r>
      <w:r w:rsidRPr="009A4D2F">
        <w:rPr>
          <w:color w:val="231F20"/>
          <w:lang w:val="en-GB" w:eastAsia="en-GB"/>
        </w:rPr>
        <w:t xml:space="preserve"> or </w:t>
      </w:r>
      <w:r>
        <w:rPr>
          <w:color w:val="231F20"/>
          <w:lang w:val="en-GB" w:eastAsia="en-GB"/>
        </w:rPr>
        <w:t>“s</w:t>
      </w:r>
      <w:r w:rsidRPr="009A4D2F">
        <w:rPr>
          <w:color w:val="231F20"/>
          <w:lang w:val="en-GB" w:eastAsia="en-GB"/>
        </w:rPr>
        <w:t xml:space="preserve">oothing </w:t>
      </w:r>
      <w:r>
        <w:rPr>
          <w:color w:val="231F20"/>
          <w:lang w:val="en-GB" w:eastAsia="en-GB"/>
        </w:rPr>
        <w:t>s</w:t>
      </w:r>
      <w:r w:rsidRPr="009A4D2F">
        <w:rPr>
          <w:color w:val="231F20"/>
          <w:lang w:val="en-GB" w:eastAsia="en-GB"/>
        </w:rPr>
        <w:t>peech</w:t>
      </w:r>
      <w:r>
        <w:rPr>
          <w:color w:val="231F20"/>
          <w:lang w:val="en-GB" w:eastAsia="en-GB"/>
        </w:rPr>
        <w:t>”</w:t>
      </w:r>
      <w:r w:rsidRPr="009A4D2F">
        <w:rPr>
          <w:color w:val="231F20"/>
          <w:lang w:val="en-GB" w:eastAsia="en-GB"/>
        </w:rPr>
        <w:t>: Managing</w:t>
      </w:r>
      <w:r w:rsidR="00C06CC8">
        <w:rPr>
          <w:color w:val="231F20"/>
          <w:lang w:val="en-GB" w:eastAsia="en-GB"/>
        </w:rPr>
        <w:t xml:space="preserve"> </w:t>
      </w:r>
      <w:r>
        <w:rPr>
          <w:color w:val="231F20"/>
          <w:lang w:val="en-GB" w:eastAsia="en-GB"/>
        </w:rPr>
        <w:t>r</w:t>
      </w:r>
      <w:r w:rsidRPr="009A4D2F">
        <w:rPr>
          <w:color w:val="231F20"/>
          <w:lang w:val="en-GB" w:eastAsia="en-GB"/>
        </w:rPr>
        <w:t xml:space="preserve">eputations for </w:t>
      </w:r>
      <w:r>
        <w:rPr>
          <w:color w:val="231F20"/>
          <w:lang w:val="en-GB" w:eastAsia="en-GB"/>
        </w:rPr>
        <w:t>b</w:t>
      </w:r>
      <w:r w:rsidRPr="009A4D2F">
        <w:rPr>
          <w:color w:val="231F20"/>
          <w:lang w:val="en-GB" w:eastAsia="en-GB"/>
        </w:rPr>
        <w:t xml:space="preserve">eing </w:t>
      </w:r>
      <w:r>
        <w:rPr>
          <w:color w:val="231F20"/>
          <w:lang w:val="en-GB" w:eastAsia="en-GB"/>
        </w:rPr>
        <w:t>t</w:t>
      </w:r>
      <w:r w:rsidRPr="009A4D2F">
        <w:rPr>
          <w:color w:val="231F20"/>
          <w:lang w:val="en-GB" w:eastAsia="en-GB"/>
        </w:rPr>
        <w:t xml:space="preserve">ough and for </w:t>
      </w:r>
      <w:r>
        <w:rPr>
          <w:color w:val="231F20"/>
          <w:lang w:val="en-GB" w:eastAsia="en-GB"/>
        </w:rPr>
        <w:t>b</w:t>
      </w:r>
      <w:r w:rsidRPr="009A4D2F">
        <w:rPr>
          <w:color w:val="231F20"/>
          <w:lang w:val="en-GB" w:eastAsia="en-GB"/>
        </w:rPr>
        <w:t xml:space="preserve">eing </w:t>
      </w:r>
      <w:r>
        <w:rPr>
          <w:color w:val="231F20"/>
          <w:lang w:val="en-GB" w:eastAsia="en-GB"/>
        </w:rPr>
        <w:t>g</w:t>
      </w:r>
      <w:r w:rsidRPr="009A4D2F">
        <w:rPr>
          <w:color w:val="231F20"/>
          <w:lang w:val="en-GB" w:eastAsia="en-GB"/>
        </w:rPr>
        <w:t>ood</w:t>
      </w:r>
      <w:r>
        <w:rPr>
          <w:color w:val="231F20"/>
          <w:lang w:val="en-GB" w:eastAsia="en-GB"/>
        </w:rPr>
        <w:t>’.</w:t>
      </w:r>
      <w:r w:rsidR="000A474C">
        <w:rPr>
          <w:color w:val="231F20"/>
          <w:lang w:val="en-GB" w:eastAsia="en-GB"/>
        </w:rPr>
        <w:t xml:space="preserve"> </w:t>
      </w:r>
      <w:r w:rsidRPr="009A4D2F">
        <w:rPr>
          <w:i/>
          <w:iCs/>
          <w:color w:val="231F20"/>
          <w:lang w:val="en-GB" w:eastAsia="en-GB"/>
        </w:rPr>
        <w:t>Corporate Reputation Review</w:t>
      </w:r>
      <w:r w:rsidR="005D5309">
        <w:rPr>
          <w:i/>
          <w:iCs/>
          <w:color w:val="231F20"/>
          <w:lang w:val="en-GB" w:eastAsia="en-GB"/>
        </w:rPr>
        <w:t>,</w:t>
      </w:r>
      <w:r w:rsidRPr="009A4D2F">
        <w:rPr>
          <w:i/>
          <w:iCs/>
          <w:color w:val="231F20"/>
          <w:lang w:val="en-GB" w:eastAsia="en-GB"/>
        </w:rPr>
        <w:t xml:space="preserve"> </w:t>
      </w:r>
      <w:r w:rsidRPr="009A4D2F">
        <w:rPr>
          <w:b/>
          <w:color w:val="231F20"/>
          <w:lang w:val="en-GB" w:eastAsia="en-GB"/>
        </w:rPr>
        <w:t>2</w:t>
      </w:r>
      <w:r>
        <w:rPr>
          <w:color w:val="231F20"/>
          <w:lang w:val="en-GB" w:eastAsia="en-GB"/>
        </w:rPr>
        <w:t>,</w:t>
      </w:r>
      <w:r w:rsidRPr="009A4D2F">
        <w:rPr>
          <w:color w:val="231F20"/>
          <w:lang w:val="en-GB" w:eastAsia="en-GB"/>
        </w:rPr>
        <w:t xml:space="preserve"> 308</w:t>
      </w:r>
      <w:r w:rsidR="0043528F">
        <w:rPr>
          <w:color w:val="231F20"/>
          <w:lang w:val="en-GB" w:eastAsia="en-GB"/>
        </w:rPr>
        <w:t>-</w:t>
      </w:r>
      <w:r w:rsidRPr="009A4D2F">
        <w:rPr>
          <w:color w:val="231F20"/>
          <w:lang w:val="en-GB" w:eastAsia="en-GB"/>
        </w:rPr>
        <w:t>32.</w:t>
      </w:r>
    </w:p>
    <w:p w:rsidR="00021000" w:rsidRDefault="00021000" w:rsidP="00F54F14">
      <w:pPr>
        <w:tabs>
          <w:tab w:val="center" w:pos="-3544"/>
        </w:tabs>
        <w:autoSpaceDE w:val="0"/>
        <w:autoSpaceDN w:val="0"/>
        <w:adjustRightInd w:val="0"/>
        <w:spacing w:line="480" w:lineRule="auto"/>
        <w:ind w:left="709" w:hanging="425"/>
        <w:jc w:val="both"/>
        <w:rPr>
          <w:lang w:val="en-GB"/>
        </w:rPr>
      </w:pPr>
      <w:r w:rsidRPr="00021000">
        <w:rPr>
          <w:color w:val="231F20"/>
          <w:lang w:val="en-GB" w:eastAsia="en-GB"/>
        </w:rPr>
        <w:t xml:space="preserve">Chen, </w:t>
      </w:r>
      <w:r>
        <w:rPr>
          <w:color w:val="231F20"/>
          <w:lang w:val="en-GB" w:eastAsia="en-GB"/>
        </w:rPr>
        <w:t xml:space="preserve">Y.S. </w:t>
      </w:r>
      <w:r w:rsidRPr="00021000">
        <w:rPr>
          <w:color w:val="231F20"/>
          <w:lang w:val="en-GB" w:eastAsia="en-GB"/>
        </w:rPr>
        <w:t>and Chang</w:t>
      </w:r>
      <w:r>
        <w:rPr>
          <w:color w:val="231F20"/>
          <w:lang w:val="en-GB" w:eastAsia="en-GB"/>
        </w:rPr>
        <w:t>, C.H.</w:t>
      </w:r>
      <w:r w:rsidRPr="00021000">
        <w:rPr>
          <w:color w:val="231F20"/>
          <w:lang w:val="en-GB" w:eastAsia="en-GB"/>
        </w:rPr>
        <w:t xml:space="preserve"> (2013)</w:t>
      </w:r>
      <w:r>
        <w:rPr>
          <w:color w:val="231F20"/>
          <w:lang w:val="en-GB" w:eastAsia="en-GB"/>
        </w:rPr>
        <w:t>.</w:t>
      </w:r>
      <w:r w:rsidRPr="00021000">
        <w:rPr>
          <w:color w:val="231F20"/>
          <w:lang w:val="en-GB" w:eastAsia="en-GB"/>
        </w:rPr>
        <w:t xml:space="preserve"> </w:t>
      </w:r>
      <w:r w:rsidR="005D5309">
        <w:rPr>
          <w:color w:val="231F20"/>
          <w:lang w:val="en-GB" w:eastAsia="en-GB"/>
        </w:rPr>
        <w:t>‘</w:t>
      </w:r>
      <w:r>
        <w:rPr>
          <w:lang w:val="en-GB"/>
        </w:rPr>
        <w:t xml:space="preserve">Greenwash and </w:t>
      </w:r>
      <w:r w:rsidR="0043528F">
        <w:rPr>
          <w:lang w:val="en-GB"/>
        </w:rPr>
        <w:t>G</w:t>
      </w:r>
      <w:r>
        <w:rPr>
          <w:lang w:val="en-GB"/>
        </w:rPr>
        <w:t>reen Trust: The mediation effects of g</w:t>
      </w:r>
      <w:r w:rsidRPr="00021000">
        <w:rPr>
          <w:lang w:val="en-GB"/>
        </w:rPr>
        <w:t xml:space="preserve">reen </w:t>
      </w:r>
      <w:r>
        <w:rPr>
          <w:lang w:val="en-GB"/>
        </w:rPr>
        <w:t>consumer confusion and green perceived r</w:t>
      </w:r>
      <w:r w:rsidRPr="00021000">
        <w:rPr>
          <w:lang w:val="en-GB"/>
        </w:rPr>
        <w:t>isk</w:t>
      </w:r>
      <w:r w:rsidR="005D5309">
        <w:rPr>
          <w:lang w:val="en-GB"/>
        </w:rPr>
        <w:t>’</w:t>
      </w:r>
      <w:r w:rsidRPr="00021000">
        <w:rPr>
          <w:lang w:val="en-GB"/>
        </w:rPr>
        <w:t xml:space="preserve">. </w:t>
      </w:r>
      <w:r w:rsidRPr="00021000">
        <w:rPr>
          <w:i/>
          <w:lang w:val="en-GB"/>
        </w:rPr>
        <w:t>Journal of Business Ethics</w:t>
      </w:r>
      <w:r>
        <w:rPr>
          <w:lang w:val="en-GB"/>
        </w:rPr>
        <w:t>,</w:t>
      </w:r>
      <w:r w:rsidRPr="00021000">
        <w:rPr>
          <w:lang w:val="en-GB"/>
        </w:rPr>
        <w:t xml:space="preserve"> </w:t>
      </w:r>
      <w:r w:rsidRPr="00021000">
        <w:rPr>
          <w:b/>
          <w:lang w:val="en-GB"/>
        </w:rPr>
        <w:t>114</w:t>
      </w:r>
      <w:r w:rsidR="005D5309">
        <w:rPr>
          <w:lang w:val="en-GB"/>
        </w:rPr>
        <w:t xml:space="preserve">, </w:t>
      </w:r>
      <w:r w:rsidRPr="00021000">
        <w:rPr>
          <w:lang w:val="en-GB"/>
        </w:rPr>
        <w:t>489</w:t>
      </w:r>
      <w:r w:rsidR="0043528F">
        <w:rPr>
          <w:lang w:val="en-GB"/>
        </w:rPr>
        <w:t>-</w:t>
      </w:r>
      <w:r w:rsidRPr="00021000">
        <w:rPr>
          <w:lang w:val="en-GB"/>
        </w:rPr>
        <w:t>500</w:t>
      </w:r>
      <w:r>
        <w:rPr>
          <w:lang w:val="en-GB"/>
        </w:rPr>
        <w:t>.</w:t>
      </w:r>
    </w:p>
    <w:p w:rsidR="0090266C" w:rsidRPr="0090266C" w:rsidRDefault="0090266C" w:rsidP="00F54F14">
      <w:pPr>
        <w:tabs>
          <w:tab w:val="center" w:pos="-3544"/>
        </w:tabs>
        <w:autoSpaceDE w:val="0"/>
        <w:autoSpaceDN w:val="0"/>
        <w:adjustRightInd w:val="0"/>
        <w:spacing w:line="480" w:lineRule="auto"/>
        <w:ind w:left="709" w:hanging="425"/>
        <w:jc w:val="both"/>
        <w:rPr>
          <w:color w:val="231F20"/>
          <w:lang w:val="en-GB" w:eastAsia="en-GB"/>
        </w:rPr>
      </w:pPr>
      <w:proofErr w:type="spellStart"/>
      <w:r>
        <w:rPr>
          <w:color w:val="231F20"/>
          <w:lang w:val="en-GB" w:eastAsia="en-GB"/>
        </w:rPr>
        <w:t>Chugh</w:t>
      </w:r>
      <w:proofErr w:type="spellEnd"/>
      <w:r>
        <w:rPr>
          <w:color w:val="231F20"/>
          <w:lang w:val="en-GB" w:eastAsia="en-GB"/>
        </w:rPr>
        <w:t>, H., Nicolaou, N.</w:t>
      </w:r>
      <w:r w:rsidR="007633A5">
        <w:rPr>
          <w:color w:val="231F20"/>
          <w:lang w:val="en-GB" w:eastAsia="en-GB"/>
        </w:rPr>
        <w:t xml:space="preserve"> and</w:t>
      </w:r>
      <w:r>
        <w:rPr>
          <w:color w:val="231F20"/>
          <w:lang w:val="en-GB" w:eastAsia="en-GB"/>
        </w:rPr>
        <w:t xml:space="preserve"> Barnes, S. </w:t>
      </w:r>
      <w:r w:rsidR="005D5309">
        <w:rPr>
          <w:color w:val="231F20"/>
          <w:lang w:val="en-GB" w:eastAsia="en-GB"/>
        </w:rPr>
        <w:t>(</w:t>
      </w:r>
      <w:r>
        <w:rPr>
          <w:color w:val="231F20"/>
          <w:lang w:val="en-GB" w:eastAsia="en-GB"/>
        </w:rPr>
        <w:t>2011</w:t>
      </w:r>
      <w:r w:rsidR="005D5309">
        <w:rPr>
          <w:color w:val="231F20"/>
          <w:lang w:val="en-GB" w:eastAsia="en-GB"/>
        </w:rPr>
        <w:t>)</w:t>
      </w:r>
      <w:r>
        <w:rPr>
          <w:color w:val="231F20"/>
          <w:lang w:val="en-GB" w:eastAsia="en-GB"/>
        </w:rPr>
        <w:t>. ‘How does VC feedback affect start-ups</w:t>
      </w:r>
      <w:r w:rsidR="005D5309">
        <w:rPr>
          <w:color w:val="231F20"/>
          <w:lang w:val="en-GB" w:eastAsia="en-GB"/>
        </w:rPr>
        <w:t>’</w:t>
      </w:r>
      <w:r>
        <w:rPr>
          <w:color w:val="231F20"/>
          <w:lang w:val="en-GB" w:eastAsia="en-GB"/>
        </w:rPr>
        <w:t xml:space="preserve">? </w:t>
      </w:r>
      <w:hyperlink r:id="rId12" w:history="1">
        <w:r w:rsidRPr="00F71570">
          <w:rPr>
            <w:i/>
            <w:color w:val="231F20"/>
            <w:lang w:val="en-GB" w:eastAsia="en-GB"/>
          </w:rPr>
          <w:t>Venture Capital: An International Journal of Entrepreneurial Finance</w:t>
        </w:r>
      </w:hyperlink>
      <w:r>
        <w:rPr>
          <w:color w:val="231F20"/>
          <w:lang w:val="en-GB" w:eastAsia="en-GB"/>
        </w:rPr>
        <w:t xml:space="preserve">, </w:t>
      </w:r>
      <w:r w:rsidRPr="0090266C">
        <w:rPr>
          <w:b/>
          <w:color w:val="231F20"/>
          <w:lang w:val="en-GB" w:eastAsia="en-GB"/>
        </w:rPr>
        <w:t>13</w:t>
      </w:r>
      <w:r w:rsidRPr="0090266C">
        <w:rPr>
          <w:color w:val="231F20"/>
          <w:lang w:val="en-GB" w:eastAsia="en-GB"/>
        </w:rPr>
        <w:t>, 243-265</w:t>
      </w:r>
      <w:r>
        <w:rPr>
          <w:color w:val="231F20"/>
          <w:lang w:val="en-GB" w:eastAsia="en-GB"/>
        </w:rP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rPr>
          <w:color w:val="231F20"/>
          <w:lang w:val="en-GB" w:eastAsia="en-GB"/>
        </w:rPr>
      </w:pPr>
      <w:r w:rsidRPr="009A4D2F">
        <w:rPr>
          <w:color w:val="231F20"/>
          <w:lang w:val="en-GB" w:eastAsia="en-GB"/>
        </w:rPr>
        <w:lastRenderedPageBreak/>
        <w:t>Clark, B</w:t>
      </w:r>
      <w:r>
        <w:rPr>
          <w:color w:val="231F20"/>
          <w:lang w:val="en-GB" w:eastAsia="en-GB"/>
        </w:rPr>
        <w:t>.</w:t>
      </w:r>
      <w:r w:rsidRPr="009A4D2F">
        <w:rPr>
          <w:color w:val="231F20"/>
          <w:lang w:val="en-GB" w:eastAsia="en-GB"/>
        </w:rPr>
        <w:t>H. and Montgomery, D</w:t>
      </w:r>
      <w:r>
        <w:rPr>
          <w:color w:val="231F20"/>
          <w:lang w:val="en-GB" w:eastAsia="en-GB"/>
        </w:rPr>
        <w:t>.</w:t>
      </w:r>
      <w:r w:rsidRPr="009A4D2F">
        <w:rPr>
          <w:color w:val="231F20"/>
          <w:lang w:val="en-GB" w:eastAsia="en-GB"/>
        </w:rPr>
        <w:t xml:space="preserve">B. (1998).‘Deterrence, </w:t>
      </w:r>
      <w:r>
        <w:rPr>
          <w:color w:val="231F20"/>
          <w:lang w:val="en-GB" w:eastAsia="en-GB"/>
        </w:rPr>
        <w:t>r</w:t>
      </w:r>
      <w:r w:rsidRPr="009A4D2F">
        <w:rPr>
          <w:color w:val="231F20"/>
          <w:lang w:val="en-GB" w:eastAsia="en-GB"/>
        </w:rPr>
        <w:t xml:space="preserve">eputations, and </w:t>
      </w:r>
      <w:r>
        <w:rPr>
          <w:color w:val="231F20"/>
          <w:lang w:val="en-GB" w:eastAsia="en-GB"/>
        </w:rPr>
        <w:t>c</w:t>
      </w:r>
      <w:r w:rsidRPr="009A4D2F">
        <w:rPr>
          <w:color w:val="231F20"/>
          <w:lang w:val="en-GB" w:eastAsia="en-GB"/>
        </w:rPr>
        <w:t>ompetitive</w:t>
      </w:r>
      <w:r>
        <w:rPr>
          <w:color w:val="231F20"/>
          <w:lang w:val="en-GB" w:eastAsia="en-GB"/>
        </w:rPr>
        <w:t xml:space="preserve"> c</w:t>
      </w:r>
      <w:r w:rsidRPr="009A4D2F">
        <w:rPr>
          <w:color w:val="231F20"/>
          <w:lang w:val="en-GB" w:eastAsia="en-GB"/>
        </w:rPr>
        <w:t>ognition’</w:t>
      </w:r>
      <w:r>
        <w:rPr>
          <w:color w:val="231F20"/>
          <w:lang w:val="en-GB" w:eastAsia="en-GB"/>
        </w:rPr>
        <w:t>.</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pPr>
      <w:r w:rsidRPr="009A4D2F">
        <w:rPr>
          <w:i/>
          <w:iCs/>
          <w:color w:val="231F20"/>
          <w:lang w:val="en-GB" w:eastAsia="en-GB"/>
        </w:rPr>
        <w:t>Management Science</w:t>
      </w:r>
      <w:r>
        <w:rPr>
          <w:i/>
          <w:iCs/>
          <w:color w:val="231F20"/>
          <w:lang w:val="en-GB" w:eastAsia="en-GB"/>
        </w:rPr>
        <w:t>,</w:t>
      </w:r>
      <w:r w:rsidR="000A474C">
        <w:rPr>
          <w:i/>
          <w:iCs/>
          <w:color w:val="231F20"/>
          <w:lang w:val="en-GB" w:eastAsia="en-GB"/>
        </w:rPr>
        <w:t xml:space="preserve"> </w:t>
      </w:r>
      <w:r w:rsidRPr="009A4D2F">
        <w:rPr>
          <w:b/>
          <w:color w:val="231F20"/>
          <w:lang w:val="en-GB" w:eastAsia="en-GB"/>
        </w:rPr>
        <w:t>44</w:t>
      </w:r>
      <w:r>
        <w:rPr>
          <w:b/>
          <w:color w:val="231F20"/>
          <w:lang w:val="en-GB" w:eastAsia="en-GB"/>
        </w:rPr>
        <w:t>,</w:t>
      </w:r>
      <w:r w:rsidRPr="009A4D2F">
        <w:rPr>
          <w:color w:val="231F20"/>
          <w:lang w:val="en-GB" w:eastAsia="en-GB"/>
        </w:rPr>
        <w:t xml:space="preserve"> 62</w:t>
      </w:r>
      <w:r w:rsidR="0043528F">
        <w:rPr>
          <w:color w:val="231F20"/>
          <w:lang w:val="en-GB" w:eastAsia="en-GB"/>
        </w:rPr>
        <w:t>-</w:t>
      </w:r>
      <w:r w:rsidRPr="009A4D2F">
        <w:rPr>
          <w:color w:val="231F20"/>
          <w:lang w:val="en-GB" w:eastAsia="en-GB"/>
        </w:rPr>
        <w:t>82</w:t>
      </w:r>
      <w:r w:rsidR="000A474C">
        <w:rPr>
          <w:color w:val="231F20"/>
          <w:lang w:val="en-GB" w:eastAsia="en-GB"/>
        </w:rPr>
        <w:t>.</w:t>
      </w:r>
    </w:p>
    <w:p w:rsidR="00C06585" w:rsidRPr="00602004" w:rsidRDefault="00C06585" w:rsidP="00F54F14">
      <w:pPr>
        <w:pStyle w:val="Header"/>
        <w:tabs>
          <w:tab w:val="clear" w:pos="4513"/>
          <w:tab w:val="clear" w:pos="9026"/>
          <w:tab w:val="center" w:pos="-3544"/>
          <w:tab w:val="center" w:pos="4320"/>
          <w:tab w:val="right" w:pos="8640"/>
        </w:tabs>
        <w:spacing w:line="480" w:lineRule="auto"/>
        <w:ind w:left="272"/>
        <w:jc w:val="both"/>
        <w:rPr>
          <w:bCs/>
        </w:rPr>
      </w:pPr>
      <w:r w:rsidRPr="00602004">
        <w:rPr>
          <w:color w:val="231F20"/>
          <w:lang w:val="en-GB" w:eastAsia="en-GB"/>
        </w:rPr>
        <w:t>Clarysse, B., Bruneel, J. and Wright, M. (2011).</w:t>
      </w:r>
      <w:r w:rsidR="005D5309" w:rsidRPr="00602004">
        <w:rPr>
          <w:color w:val="231F20"/>
          <w:lang w:val="en-GB" w:eastAsia="en-GB"/>
        </w:rPr>
        <w:t xml:space="preserve"> </w:t>
      </w:r>
      <w:r w:rsidRPr="00602004">
        <w:rPr>
          <w:color w:val="231F20"/>
          <w:lang w:val="en-GB" w:eastAsia="en-GB"/>
        </w:rPr>
        <w:t>‘</w:t>
      </w:r>
      <w:r w:rsidRPr="00602004">
        <w:rPr>
          <w:bCs/>
        </w:rPr>
        <w:t>Explaining growth paths of young technology-</w:t>
      </w:r>
    </w:p>
    <w:p w:rsidR="00C06585" w:rsidRPr="00602004" w:rsidRDefault="00C06585" w:rsidP="00F54F14">
      <w:pPr>
        <w:pStyle w:val="Header"/>
        <w:tabs>
          <w:tab w:val="clear" w:pos="4513"/>
          <w:tab w:val="clear" w:pos="9026"/>
          <w:tab w:val="center" w:pos="-3544"/>
          <w:tab w:val="center" w:pos="4320"/>
          <w:tab w:val="right" w:pos="8640"/>
        </w:tabs>
        <w:spacing w:line="480" w:lineRule="auto"/>
        <w:ind w:left="720"/>
        <w:jc w:val="both"/>
        <w:rPr>
          <w:bCs/>
        </w:rPr>
      </w:pPr>
      <w:r w:rsidRPr="00602004">
        <w:rPr>
          <w:color w:val="231F20"/>
          <w:lang w:val="en-GB" w:eastAsia="en-GB"/>
        </w:rPr>
        <w:tab/>
      </w:r>
      <w:r w:rsidRPr="00602004">
        <w:rPr>
          <w:bCs/>
        </w:rPr>
        <w:t xml:space="preserve">based firms: Structuring resource portfolios in different competitive environments’. </w:t>
      </w:r>
      <w:r w:rsidRPr="00602004">
        <w:rPr>
          <w:bCs/>
          <w:i/>
        </w:rPr>
        <w:t>Strategic Entrepreneurship Journal</w:t>
      </w:r>
      <w:r w:rsidRPr="00602004">
        <w:rPr>
          <w:bCs/>
        </w:rPr>
        <w:t xml:space="preserve">, </w:t>
      </w:r>
      <w:r w:rsidRPr="00602004">
        <w:rPr>
          <w:b/>
          <w:bCs/>
        </w:rPr>
        <w:t>4</w:t>
      </w:r>
      <w:r w:rsidRPr="00602004">
        <w:rPr>
          <w:bCs/>
        </w:rPr>
        <w:t>, 137-157.</w:t>
      </w:r>
    </w:p>
    <w:p w:rsidR="00602004" w:rsidRPr="00602004" w:rsidRDefault="00FC2BDB" w:rsidP="00F54F14">
      <w:pPr>
        <w:pStyle w:val="Header"/>
        <w:tabs>
          <w:tab w:val="clear" w:pos="4513"/>
          <w:tab w:val="clear" w:pos="9026"/>
          <w:tab w:val="center" w:pos="-3544"/>
          <w:tab w:val="center" w:pos="709"/>
          <w:tab w:val="center" w:pos="4320"/>
          <w:tab w:val="right" w:pos="8640"/>
        </w:tabs>
        <w:spacing w:line="480" w:lineRule="auto"/>
        <w:ind w:left="709" w:hanging="425"/>
        <w:jc w:val="both"/>
        <w:rPr>
          <w:lang w:val="en-GB"/>
        </w:rPr>
      </w:pPr>
      <w:r w:rsidRPr="00602004">
        <w:t>Clarysse B., Tartari, V. and Salter, A. (2011). ‘</w:t>
      </w:r>
      <w:r w:rsidRPr="00602004">
        <w:rPr>
          <w:bCs/>
        </w:rPr>
        <w:t xml:space="preserve">The impact of entrepreneurial capacity, experience and </w:t>
      </w:r>
      <w:r w:rsidR="00D60884" w:rsidRPr="00602004">
        <w:rPr>
          <w:bCs/>
        </w:rPr>
        <w:t>organization</w:t>
      </w:r>
      <w:r w:rsidRPr="00602004">
        <w:rPr>
          <w:bCs/>
        </w:rPr>
        <w:t>al support on academic entrepreneurship’</w:t>
      </w:r>
      <w:r w:rsidR="005D5309" w:rsidRPr="00602004">
        <w:rPr>
          <w:lang w:val="en-GB"/>
        </w:rPr>
        <w:t>.</w:t>
      </w:r>
      <w:r w:rsidRPr="00602004">
        <w:t xml:space="preserve"> </w:t>
      </w:r>
      <w:r w:rsidRPr="00602004">
        <w:rPr>
          <w:i/>
        </w:rPr>
        <w:t>Research Policy</w:t>
      </w:r>
      <w:r w:rsidRPr="00602004">
        <w:t xml:space="preserve">, </w:t>
      </w:r>
      <w:r w:rsidRPr="00602004">
        <w:rPr>
          <w:b/>
        </w:rPr>
        <w:t>40</w:t>
      </w:r>
      <w:r w:rsidRPr="00602004">
        <w:t>, 1084-1093.</w:t>
      </w:r>
    </w:p>
    <w:p w:rsidR="00602004" w:rsidRPr="00602004" w:rsidRDefault="00602004" w:rsidP="00F54F14">
      <w:pPr>
        <w:pStyle w:val="Header"/>
        <w:tabs>
          <w:tab w:val="clear" w:pos="4513"/>
          <w:tab w:val="clear" w:pos="9026"/>
          <w:tab w:val="center" w:pos="-3544"/>
          <w:tab w:val="center" w:pos="709"/>
          <w:tab w:val="center" w:pos="4320"/>
          <w:tab w:val="right" w:pos="8640"/>
        </w:tabs>
        <w:spacing w:line="480" w:lineRule="auto"/>
        <w:ind w:left="709" w:hanging="425"/>
        <w:jc w:val="both"/>
        <w:rPr>
          <w:lang w:val="en-GB"/>
        </w:rPr>
      </w:pPr>
      <w:r w:rsidRPr="00602004">
        <w:rPr>
          <w:rFonts w:eastAsia="Times New Roman"/>
          <w:color w:val="252525"/>
          <w:lang w:val="en-GB" w:eastAsia="en-GB"/>
        </w:rPr>
        <w:t xml:space="preserve">Clarysse, B, Wright, M, Lockett, A, Van de </w:t>
      </w:r>
      <w:proofErr w:type="spellStart"/>
      <w:r w:rsidR="00B03F17">
        <w:rPr>
          <w:rFonts w:eastAsia="Times New Roman"/>
          <w:color w:val="252525"/>
          <w:lang w:val="en-GB" w:eastAsia="en-GB"/>
        </w:rPr>
        <w:t>Ve</w:t>
      </w:r>
      <w:r w:rsidRPr="00602004">
        <w:rPr>
          <w:rFonts w:eastAsia="Times New Roman"/>
          <w:color w:val="252525"/>
          <w:lang w:val="en-GB" w:eastAsia="en-GB"/>
        </w:rPr>
        <w:t>lde</w:t>
      </w:r>
      <w:proofErr w:type="spellEnd"/>
      <w:r w:rsidRPr="00602004">
        <w:rPr>
          <w:rFonts w:eastAsia="Times New Roman"/>
          <w:color w:val="252525"/>
          <w:lang w:val="en-GB" w:eastAsia="en-GB"/>
        </w:rPr>
        <w:t xml:space="preserve">, E, and </w:t>
      </w:r>
      <w:proofErr w:type="spellStart"/>
      <w:r w:rsidRPr="00602004">
        <w:rPr>
          <w:rFonts w:eastAsia="Times New Roman"/>
          <w:color w:val="252525"/>
          <w:lang w:val="en-GB" w:eastAsia="en-GB"/>
        </w:rPr>
        <w:t>Vohora</w:t>
      </w:r>
      <w:proofErr w:type="spellEnd"/>
      <w:r w:rsidRPr="00602004">
        <w:rPr>
          <w:rFonts w:eastAsia="Times New Roman"/>
          <w:color w:val="252525"/>
          <w:lang w:val="en-GB" w:eastAsia="en-GB"/>
        </w:rPr>
        <w:t xml:space="preserve">, A. (2005). </w:t>
      </w:r>
      <w:r>
        <w:rPr>
          <w:rFonts w:eastAsia="Times New Roman"/>
          <w:color w:val="252525"/>
          <w:lang w:val="en-GB" w:eastAsia="en-GB"/>
        </w:rPr>
        <w:t>‘</w:t>
      </w:r>
      <w:r w:rsidRPr="00602004">
        <w:rPr>
          <w:rFonts w:eastAsia="Times New Roman"/>
          <w:color w:val="252525"/>
          <w:lang w:val="en-GB" w:eastAsia="en-GB"/>
        </w:rPr>
        <w:t>Spinning Out New Ventures: A Typology of Incubation Strategies from European Research Institutions</w:t>
      </w:r>
      <w:r>
        <w:rPr>
          <w:rFonts w:eastAsia="Times New Roman"/>
          <w:color w:val="252525"/>
          <w:lang w:val="en-GB" w:eastAsia="en-GB"/>
        </w:rPr>
        <w:t>’</w:t>
      </w:r>
      <w:r w:rsidRPr="00602004">
        <w:rPr>
          <w:rFonts w:eastAsia="Times New Roman"/>
          <w:color w:val="252525"/>
          <w:lang w:val="en-GB" w:eastAsia="en-GB"/>
        </w:rPr>
        <w:t xml:space="preserve">. </w:t>
      </w:r>
      <w:r w:rsidRPr="00602004">
        <w:rPr>
          <w:rFonts w:eastAsia="Times New Roman"/>
          <w:i/>
          <w:color w:val="252525"/>
          <w:lang w:val="en-GB" w:eastAsia="en-GB"/>
        </w:rPr>
        <w:t>Journal of Business Venturing</w:t>
      </w:r>
      <w:r w:rsidR="00761795">
        <w:rPr>
          <w:rFonts w:eastAsia="Times New Roman"/>
          <w:b/>
          <w:color w:val="252525"/>
          <w:lang w:val="en-GB" w:eastAsia="en-GB"/>
        </w:rPr>
        <w:t xml:space="preserve">, 20, </w:t>
      </w:r>
      <w:r w:rsidRPr="00602004">
        <w:rPr>
          <w:rFonts w:eastAsia="Times New Roman"/>
          <w:color w:val="252525"/>
          <w:lang w:val="en-GB" w:eastAsia="en-GB"/>
        </w:rPr>
        <w:t>183–216.</w:t>
      </w:r>
    </w:p>
    <w:p w:rsidR="00C06585" w:rsidRPr="00602004" w:rsidRDefault="00602004" w:rsidP="00F54F14">
      <w:pPr>
        <w:pStyle w:val="Header"/>
        <w:tabs>
          <w:tab w:val="clear" w:pos="4513"/>
          <w:tab w:val="clear" w:pos="9026"/>
          <w:tab w:val="center" w:pos="-3544"/>
          <w:tab w:val="center" w:pos="709"/>
          <w:tab w:val="center" w:pos="4320"/>
          <w:tab w:val="right" w:pos="8640"/>
        </w:tabs>
        <w:spacing w:line="480" w:lineRule="auto"/>
        <w:ind w:left="709" w:hanging="425"/>
        <w:jc w:val="both"/>
      </w:pPr>
      <w:r w:rsidRPr="00602004">
        <w:rPr>
          <w:lang w:val="en-GB"/>
        </w:rPr>
        <w:t xml:space="preserve"> </w:t>
      </w:r>
      <w:r w:rsidR="00C06585" w:rsidRPr="00602004">
        <w:t xml:space="preserve">Colyvas, J. (2007). ‘From divergent meanings to common practices: The early institutionalization </w:t>
      </w:r>
    </w:p>
    <w:p w:rsidR="00C06585" w:rsidRPr="00602004" w:rsidRDefault="00C06585" w:rsidP="00F54F14">
      <w:pPr>
        <w:pStyle w:val="Header"/>
        <w:tabs>
          <w:tab w:val="clear" w:pos="4513"/>
          <w:tab w:val="clear" w:pos="9026"/>
          <w:tab w:val="center" w:pos="-3544"/>
          <w:tab w:val="center" w:pos="4320"/>
          <w:tab w:val="right" w:pos="8640"/>
        </w:tabs>
        <w:spacing w:line="480" w:lineRule="auto"/>
        <w:ind w:left="720"/>
        <w:jc w:val="both"/>
      </w:pPr>
      <w:r w:rsidRPr="00602004">
        <w:tab/>
        <w:t>of technology transfer in the life sciences at Stanford University’.</w:t>
      </w:r>
      <w:r w:rsidRPr="00602004">
        <w:rPr>
          <w:i/>
        </w:rPr>
        <w:t xml:space="preserve"> Research Policy</w:t>
      </w:r>
      <w:r w:rsidRPr="00602004">
        <w:t>,</w:t>
      </w:r>
      <w:r w:rsidRPr="00602004">
        <w:rPr>
          <w:b/>
        </w:rPr>
        <w:t xml:space="preserve"> 36</w:t>
      </w:r>
      <w:r w:rsidRPr="00602004">
        <w:t>, 456-476.</w:t>
      </w:r>
    </w:p>
    <w:p w:rsidR="00C06585" w:rsidRPr="00602004" w:rsidRDefault="00C06585" w:rsidP="00F54F14">
      <w:pPr>
        <w:pStyle w:val="Header"/>
        <w:tabs>
          <w:tab w:val="clear" w:pos="4513"/>
          <w:tab w:val="clear" w:pos="9026"/>
          <w:tab w:val="center" w:pos="-3544"/>
          <w:tab w:val="center" w:pos="4320"/>
          <w:tab w:val="right" w:pos="8640"/>
        </w:tabs>
        <w:spacing w:line="480" w:lineRule="auto"/>
        <w:ind w:left="272"/>
        <w:jc w:val="both"/>
      </w:pPr>
      <w:r w:rsidRPr="00602004">
        <w:t>Connelly, B.L., Certo, S.T., Ireland, R.D. and Reutzel, C.R. (2011).</w:t>
      </w:r>
      <w:r w:rsidR="005D5309" w:rsidRPr="00602004">
        <w:rPr>
          <w:lang w:val="en-GB"/>
        </w:rPr>
        <w:t xml:space="preserve"> </w:t>
      </w:r>
      <w:r w:rsidRPr="00602004">
        <w:t xml:space="preserve">‘Signaling theory: A review </w:t>
      </w:r>
    </w:p>
    <w:p w:rsidR="001C7361" w:rsidRPr="00602004" w:rsidRDefault="00C06585" w:rsidP="00F54F14">
      <w:pPr>
        <w:pStyle w:val="Header"/>
        <w:tabs>
          <w:tab w:val="clear" w:pos="4513"/>
          <w:tab w:val="clear" w:pos="9026"/>
          <w:tab w:val="center" w:pos="-3544"/>
          <w:tab w:val="center" w:pos="4320"/>
          <w:tab w:val="right" w:pos="8640"/>
        </w:tabs>
        <w:spacing w:line="480" w:lineRule="auto"/>
        <w:ind w:left="272" w:firstLine="448"/>
        <w:jc w:val="both"/>
      </w:pPr>
      <w:r w:rsidRPr="00602004">
        <w:t xml:space="preserve">and assessment’. </w:t>
      </w:r>
      <w:r w:rsidRPr="00602004">
        <w:rPr>
          <w:i/>
        </w:rPr>
        <w:t>Journal of Management</w:t>
      </w:r>
      <w:r w:rsidRPr="00602004">
        <w:t xml:space="preserve">, </w:t>
      </w:r>
      <w:r w:rsidRPr="00602004">
        <w:rPr>
          <w:b/>
        </w:rPr>
        <w:t>37</w:t>
      </w:r>
      <w:r w:rsidRPr="00602004">
        <w:t>, 39-67.</w:t>
      </w:r>
    </w:p>
    <w:p w:rsidR="00921506" w:rsidRDefault="001C7361" w:rsidP="00F54F14">
      <w:pPr>
        <w:pStyle w:val="Header"/>
        <w:tabs>
          <w:tab w:val="clear" w:pos="4513"/>
          <w:tab w:val="clear" w:pos="9026"/>
          <w:tab w:val="center" w:pos="-3544"/>
          <w:tab w:val="center" w:pos="4320"/>
          <w:tab w:val="right" w:pos="8640"/>
        </w:tabs>
        <w:spacing w:line="480" w:lineRule="auto"/>
        <w:ind w:left="284"/>
        <w:jc w:val="both"/>
      </w:pPr>
      <w:r w:rsidRPr="00D83B75">
        <w:t>Cooper, W.H. (1981a</w:t>
      </w:r>
      <w:r>
        <w:t>)</w:t>
      </w:r>
      <w:r w:rsidR="005D5309">
        <w:rPr>
          <w:lang w:val="en-GB"/>
        </w:rPr>
        <w:t>.</w:t>
      </w:r>
      <w:r>
        <w:t xml:space="preserve"> ‘Ubiquitous Halo’.</w:t>
      </w:r>
      <w:r w:rsidRPr="00D83B75">
        <w:t xml:space="preserve"> </w:t>
      </w:r>
      <w:r w:rsidRPr="00D83B75">
        <w:rPr>
          <w:i/>
          <w:iCs/>
        </w:rPr>
        <w:t xml:space="preserve">Psychological Bulletin, </w:t>
      </w:r>
      <w:r w:rsidR="00921506" w:rsidRPr="00921506">
        <w:rPr>
          <w:b/>
        </w:rPr>
        <w:t>90</w:t>
      </w:r>
      <w:r w:rsidRPr="00D83B75">
        <w:t>, 218</w:t>
      </w:r>
      <w:r w:rsidR="0043528F">
        <w:t>-</w:t>
      </w:r>
      <w:r w:rsidRPr="00D83B75">
        <w:t>244.</w:t>
      </w:r>
    </w:p>
    <w:p w:rsidR="00921506" w:rsidRDefault="001C7361" w:rsidP="00F54F14">
      <w:pPr>
        <w:pStyle w:val="Header"/>
        <w:tabs>
          <w:tab w:val="clear" w:pos="4513"/>
          <w:tab w:val="clear" w:pos="9026"/>
          <w:tab w:val="center" w:pos="-3544"/>
          <w:tab w:val="center" w:pos="4320"/>
          <w:tab w:val="right" w:pos="8640"/>
        </w:tabs>
        <w:spacing w:line="480" w:lineRule="auto"/>
        <w:ind w:left="284"/>
        <w:jc w:val="both"/>
      </w:pPr>
      <w:r w:rsidRPr="00D83B75">
        <w:rPr>
          <w:spacing w:val="-3"/>
        </w:rPr>
        <w:t>Cooper, W</w:t>
      </w:r>
      <w:r w:rsidR="005D5309">
        <w:rPr>
          <w:spacing w:val="-3"/>
          <w:lang w:val="en-GB"/>
        </w:rPr>
        <w:t>.</w:t>
      </w:r>
      <w:r w:rsidRPr="00D83B75">
        <w:rPr>
          <w:spacing w:val="-3"/>
        </w:rPr>
        <w:t>H. (1981b</w:t>
      </w:r>
      <w:r>
        <w:rPr>
          <w:spacing w:val="-3"/>
        </w:rPr>
        <w:t>)</w:t>
      </w:r>
      <w:r w:rsidR="005D5309">
        <w:rPr>
          <w:spacing w:val="-3"/>
          <w:lang w:val="en-GB"/>
        </w:rPr>
        <w:t>.</w:t>
      </w:r>
      <w:r>
        <w:rPr>
          <w:spacing w:val="-3"/>
        </w:rPr>
        <w:t xml:space="preserve"> ‘</w:t>
      </w:r>
      <w:r w:rsidRPr="00D83B75">
        <w:rPr>
          <w:spacing w:val="-3"/>
        </w:rPr>
        <w:t xml:space="preserve">Conceptual Similarity as a Source of Illusory </w:t>
      </w:r>
      <w:r>
        <w:rPr>
          <w:spacing w:val="-3"/>
        </w:rPr>
        <w:t>Halo in Job Performance Ratings’.</w:t>
      </w:r>
      <w:r w:rsidRPr="00D83B75">
        <w:rPr>
          <w:spacing w:val="-3"/>
        </w:rPr>
        <w:t xml:space="preserve"> </w:t>
      </w:r>
      <w:r w:rsidR="00921506" w:rsidRPr="00921506">
        <w:rPr>
          <w:i/>
          <w:spacing w:val="-3"/>
        </w:rPr>
        <w:t>Journal of Applied Psychology</w:t>
      </w:r>
      <w:r w:rsidRPr="00D83B75">
        <w:rPr>
          <w:spacing w:val="-3"/>
        </w:rPr>
        <w:t xml:space="preserve">, </w:t>
      </w:r>
      <w:r w:rsidR="00921506" w:rsidRPr="00921506">
        <w:rPr>
          <w:b/>
          <w:spacing w:val="-3"/>
        </w:rPr>
        <w:t>66</w:t>
      </w:r>
      <w:r w:rsidRPr="00D83B75">
        <w:rPr>
          <w:spacing w:val="-3"/>
        </w:rPr>
        <w:t>, 302-307.</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rPr>
          <w:lang w:val="en-GB" w:eastAsia="en-GB"/>
        </w:rPr>
      </w:pPr>
      <w:r w:rsidRPr="009A4D2F">
        <w:rPr>
          <w:lang w:val="en-GB" w:eastAsia="en-GB"/>
        </w:rPr>
        <w:t xml:space="preserve">Crane, D. (1965). </w:t>
      </w:r>
      <w:r>
        <w:rPr>
          <w:lang w:val="en-GB" w:eastAsia="en-GB"/>
        </w:rPr>
        <w:t>‘</w:t>
      </w:r>
      <w:r w:rsidRPr="009A4D2F">
        <w:rPr>
          <w:lang w:val="en-GB" w:eastAsia="en-GB"/>
        </w:rPr>
        <w:t>Scientists at major and minor universities: A study</w:t>
      </w:r>
      <w:r w:rsidR="002364D6">
        <w:rPr>
          <w:lang w:val="en-GB" w:eastAsia="en-GB"/>
        </w:rPr>
        <w:t xml:space="preserve"> </w:t>
      </w:r>
      <w:r w:rsidRPr="009A4D2F">
        <w:rPr>
          <w:lang w:val="en-GB" w:eastAsia="en-GB"/>
        </w:rPr>
        <w:t xml:space="preserve">of productivity and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pPr>
      <w:r w:rsidRPr="009A4D2F">
        <w:rPr>
          <w:lang w:val="en-GB" w:eastAsia="en-GB"/>
        </w:rPr>
        <w:t>recognition</w:t>
      </w:r>
      <w:r>
        <w:rPr>
          <w:lang w:val="en-GB" w:eastAsia="en-GB"/>
        </w:rPr>
        <w:t>’</w:t>
      </w:r>
      <w:r w:rsidRPr="009A4D2F">
        <w:rPr>
          <w:lang w:val="en-GB" w:eastAsia="en-GB"/>
        </w:rPr>
        <w:t xml:space="preserve">. </w:t>
      </w:r>
      <w:r w:rsidRPr="009A4D2F">
        <w:rPr>
          <w:i/>
          <w:iCs/>
          <w:lang w:val="en-GB" w:eastAsia="en-GB"/>
        </w:rPr>
        <w:t xml:space="preserve">American Sociological Review, </w:t>
      </w:r>
      <w:r w:rsidRPr="009A4D2F">
        <w:rPr>
          <w:b/>
          <w:lang w:val="en-GB" w:eastAsia="en-GB"/>
        </w:rPr>
        <w:t>30</w:t>
      </w:r>
      <w:r>
        <w:rPr>
          <w:lang w:val="en-GB" w:eastAsia="en-GB"/>
        </w:rPr>
        <w:t>,</w:t>
      </w:r>
      <w:r w:rsidRPr="009A4D2F">
        <w:rPr>
          <w:lang w:val="en-GB" w:eastAsia="en-GB"/>
        </w:rPr>
        <w:t xml:space="preserve"> 699</w:t>
      </w:r>
      <w:r w:rsidR="0043528F">
        <w:rPr>
          <w:lang w:val="en-GB" w:eastAsia="en-GB"/>
        </w:rPr>
        <w:t>-</w:t>
      </w:r>
      <w:r w:rsidRPr="009A4D2F">
        <w:rPr>
          <w:lang w:val="en-GB" w:eastAsia="en-GB"/>
        </w:rPr>
        <w:t>714</w:t>
      </w:r>
      <w:r>
        <w:rPr>
          <w:lang w:val="en-GB" w:eastAsia="en-GB"/>
        </w:rP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Deephouse</w:t>
      </w:r>
      <w:r>
        <w:t>,</w:t>
      </w:r>
      <w:r w:rsidRPr="009A4D2F">
        <w:t xml:space="preserve"> D</w:t>
      </w:r>
      <w:r>
        <w:t>.</w:t>
      </w:r>
      <w:r w:rsidRPr="009A4D2F">
        <w:t xml:space="preserve">L. (2000). </w:t>
      </w:r>
      <w:r>
        <w:t>‘</w:t>
      </w:r>
      <w:r w:rsidRPr="009A4D2F">
        <w:t xml:space="preserve">Media reputation as a strategic resource: </w:t>
      </w:r>
      <w:r>
        <w:t>A</w:t>
      </w:r>
      <w:r w:rsidRPr="009A4D2F">
        <w:t xml:space="preserve">n integration of mass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pPr>
      <w:r w:rsidRPr="009A4D2F">
        <w:t>communication and resource-based theories</w:t>
      </w:r>
      <w:r>
        <w:t>’</w:t>
      </w:r>
      <w:r w:rsidRPr="009A4D2F">
        <w:t xml:space="preserve">. </w:t>
      </w:r>
      <w:r w:rsidRPr="009A4D2F">
        <w:rPr>
          <w:i/>
        </w:rPr>
        <w:t>Journal of Management,</w:t>
      </w:r>
      <w:r>
        <w:rPr>
          <w:i/>
        </w:rPr>
        <w:t xml:space="preserve"> </w:t>
      </w:r>
      <w:r w:rsidRPr="009A4D2F">
        <w:rPr>
          <w:b/>
        </w:rPr>
        <w:t>26</w:t>
      </w:r>
      <w:r>
        <w:t>,</w:t>
      </w:r>
      <w:r w:rsidRPr="009A4D2F">
        <w:t xml:space="preserve"> 1091-1112</w:t>
      </w:r>
      <w: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Deephouse</w:t>
      </w:r>
      <w:r>
        <w:t>,</w:t>
      </w:r>
      <w:r w:rsidRPr="009A4D2F">
        <w:t xml:space="preserve"> D</w:t>
      </w:r>
      <w:r>
        <w:t>.</w:t>
      </w:r>
      <w:r w:rsidRPr="009A4D2F">
        <w:t>L</w:t>
      </w:r>
      <w:r>
        <w:t>.</w:t>
      </w:r>
      <w:r w:rsidRPr="009A4D2F">
        <w:t xml:space="preserve"> and Carter</w:t>
      </w:r>
      <w:r>
        <w:t>,</w:t>
      </w:r>
      <w:r w:rsidRPr="009A4D2F">
        <w:t xml:space="preserve"> S</w:t>
      </w:r>
      <w:r>
        <w:t>.</w:t>
      </w:r>
      <w:r w:rsidRPr="009A4D2F">
        <w:t>M. (2005).</w:t>
      </w:r>
      <w:r>
        <w:t>‘</w:t>
      </w:r>
      <w:r w:rsidRPr="009A4D2F">
        <w:t xml:space="preserve">An examination of differences between </w:t>
      </w:r>
      <w:r w:rsidR="00D60884">
        <w:t>organization</w:t>
      </w:r>
      <w:r w:rsidRPr="009A4D2F">
        <w:t xml:space="preserve">al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rPr>
          <w:lang w:val="en-GB"/>
        </w:rPr>
      </w:pPr>
      <w:r w:rsidRPr="009A4D2F">
        <w:t xml:space="preserve">legitimacy and </w:t>
      </w:r>
      <w:r w:rsidR="00D60884">
        <w:t>organization</w:t>
      </w:r>
      <w:r w:rsidRPr="009A4D2F">
        <w:t>al reputation.</w:t>
      </w:r>
      <w:r>
        <w:t xml:space="preserve">’ </w:t>
      </w:r>
      <w:r w:rsidRPr="009A4D2F">
        <w:rPr>
          <w:i/>
        </w:rPr>
        <w:t>Journal of Management Studies,</w:t>
      </w:r>
      <w:r>
        <w:rPr>
          <w:i/>
        </w:rPr>
        <w:t xml:space="preserve"> </w:t>
      </w:r>
      <w:r w:rsidRPr="009A4D2F">
        <w:rPr>
          <w:b/>
        </w:rPr>
        <w:t>42</w:t>
      </w:r>
      <w:r>
        <w:t>,</w:t>
      </w:r>
      <w:r w:rsidRPr="009A4D2F">
        <w:t xml:space="preserve"> 329-360</w:t>
      </w:r>
      <w:r>
        <w:t>.</w:t>
      </w:r>
    </w:p>
    <w:p w:rsidR="00C27DBF" w:rsidRPr="00C27DBF" w:rsidRDefault="00C27DBF" w:rsidP="00F54F14">
      <w:pPr>
        <w:tabs>
          <w:tab w:val="center" w:pos="-3544"/>
        </w:tabs>
        <w:autoSpaceDE w:val="0"/>
        <w:autoSpaceDN w:val="0"/>
        <w:adjustRightInd w:val="0"/>
        <w:spacing w:line="480" w:lineRule="auto"/>
        <w:ind w:left="709" w:hanging="425"/>
        <w:jc w:val="both"/>
        <w:rPr>
          <w:lang w:val="en-GB" w:eastAsia="en-GB"/>
        </w:rPr>
      </w:pPr>
      <w:r w:rsidRPr="00C27DBF">
        <w:rPr>
          <w:lang w:val="en-GB" w:eastAsia="en-GB"/>
        </w:rPr>
        <w:t>Deutsch, Y.</w:t>
      </w:r>
      <w:r w:rsidR="007633A5">
        <w:rPr>
          <w:lang w:val="en-GB" w:eastAsia="en-GB"/>
        </w:rPr>
        <w:t xml:space="preserve"> and</w:t>
      </w:r>
      <w:r w:rsidRPr="00C27DBF">
        <w:rPr>
          <w:lang w:val="en-GB" w:eastAsia="en-GB"/>
        </w:rPr>
        <w:t xml:space="preserve"> Ross, T.W. </w:t>
      </w:r>
      <w:r w:rsidR="00767B1D">
        <w:rPr>
          <w:lang w:val="en-GB" w:eastAsia="en-GB"/>
        </w:rPr>
        <w:t>(</w:t>
      </w:r>
      <w:r w:rsidRPr="00C27DBF">
        <w:rPr>
          <w:lang w:val="en-GB" w:eastAsia="en-GB"/>
        </w:rPr>
        <w:t>2003</w:t>
      </w:r>
      <w:r w:rsidR="00767B1D">
        <w:rPr>
          <w:lang w:val="en-GB" w:eastAsia="en-GB"/>
        </w:rPr>
        <w:t>)</w:t>
      </w:r>
      <w:r w:rsidRPr="00C27DBF">
        <w:rPr>
          <w:lang w:val="en-GB" w:eastAsia="en-GB"/>
        </w:rPr>
        <w:t xml:space="preserve">. </w:t>
      </w:r>
      <w:r w:rsidR="00767B1D">
        <w:rPr>
          <w:lang w:val="en-GB" w:eastAsia="en-GB"/>
        </w:rPr>
        <w:t>‘</w:t>
      </w:r>
      <w:r w:rsidRPr="00C27DBF">
        <w:rPr>
          <w:lang w:val="en-GB" w:eastAsia="en-GB"/>
        </w:rPr>
        <w:t xml:space="preserve">You are known by the directors you keep: Reputable directors as a </w:t>
      </w:r>
      <w:proofErr w:type="spellStart"/>
      <w:r w:rsidR="00533E82">
        <w:rPr>
          <w:lang w:val="en-GB" w:eastAsia="en-GB"/>
        </w:rPr>
        <w:t>signaling</w:t>
      </w:r>
      <w:proofErr w:type="spellEnd"/>
      <w:r w:rsidRPr="00C27DBF">
        <w:rPr>
          <w:lang w:val="en-GB" w:eastAsia="en-GB"/>
        </w:rPr>
        <w:t xml:space="preserve"> mechanism for young firms.</w:t>
      </w:r>
      <w:r w:rsidR="00767B1D">
        <w:rPr>
          <w:lang w:val="en-GB" w:eastAsia="en-GB"/>
        </w:rPr>
        <w:t>’</w:t>
      </w:r>
      <w:r w:rsidRPr="00C27DBF">
        <w:rPr>
          <w:lang w:val="en-GB" w:eastAsia="en-GB"/>
        </w:rPr>
        <w:t xml:space="preserve"> </w:t>
      </w:r>
      <w:r w:rsidRPr="00C27DBF">
        <w:rPr>
          <w:i/>
          <w:iCs/>
          <w:lang w:val="en-GB" w:eastAsia="en-GB"/>
        </w:rPr>
        <w:t xml:space="preserve">Management Science, </w:t>
      </w:r>
      <w:r w:rsidRPr="00767B1D">
        <w:rPr>
          <w:b/>
          <w:lang w:val="en-GB" w:eastAsia="en-GB"/>
        </w:rPr>
        <w:t>49</w:t>
      </w:r>
      <w:r w:rsidR="005D5309">
        <w:rPr>
          <w:lang w:val="en-GB" w:eastAsia="en-GB"/>
        </w:rPr>
        <w:t>,</w:t>
      </w:r>
      <w:r w:rsidRPr="00C27DBF">
        <w:rPr>
          <w:lang w:val="en-GB" w:eastAsia="en-GB"/>
        </w:rPr>
        <w:t xml:space="preserve"> 1003-1017.</w:t>
      </w:r>
    </w:p>
    <w:p w:rsidR="00C06585" w:rsidRDefault="00E200E4" w:rsidP="00F54F14">
      <w:pPr>
        <w:pStyle w:val="Header"/>
        <w:tabs>
          <w:tab w:val="clear" w:pos="4513"/>
          <w:tab w:val="clear" w:pos="9026"/>
          <w:tab w:val="center" w:pos="-3544"/>
          <w:tab w:val="center" w:pos="4320"/>
          <w:tab w:val="right" w:pos="8640"/>
        </w:tabs>
        <w:spacing w:line="480" w:lineRule="auto"/>
        <w:ind w:left="272"/>
        <w:jc w:val="both"/>
      </w:pPr>
      <w:proofErr w:type="spellStart"/>
      <w:r>
        <w:t>Di</w:t>
      </w:r>
      <w:r w:rsidR="00C06585" w:rsidRPr="009A4D2F">
        <w:t>Gregorio</w:t>
      </w:r>
      <w:proofErr w:type="spellEnd"/>
      <w:r w:rsidR="00C06585">
        <w:t>,</w:t>
      </w:r>
      <w:r w:rsidR="00C06585" w:rsidRPr="009A4D2F">
        <w:t xml:space="preserve"> D</w:t>
      </w:r>
      <w:r w:rsidR="00C06585">
        <w:t>.</w:t>
      </w:r>
      <w:r w:rsidR="00C06585" w:rsidRPr="009A4D2F">
        <w:t xml:space="preserve"> and Shane</w:t>
      </w:r>
      <w:r w:rsidR="00C06585">
        <w:t>,</w:t>
      </w:r>
      <w:r w:rsidR="00C06585" w:rsidRPr="009A4D2F">
        <w:t xml:space="preserve"> S. (2003). </w:t>
      </w:r>
      <w:r w:rsidR="00C06585">
        <w:t>‘</w:t>
      </w:r>
      <w:r w:rsidR="00C06585" w:rsidRPr="009A4D2F">
        <w:t xml:space="preserve">Why do some universities generate more start-ups than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rPr>
          <w:lang w:val="en-GB"/>
        </w:rPr>
      </w:pPr>
      <w:r w:rsidRPr="009A4D2F">
        <w:t>others?</w:t>
      </w:r>
      <w:r>
        <w:t>’</w:t>
      </w:r>
      <w:r w:rsidR="005D5309">
        <w:rPr>
          <w:lang w:val="en-GB"/>
        </w:rPr>
        <w:t xml:space="preserve"> </w:t>
      </w:r>
      <w:r w:rsidRPr="009A4D2F">
        <w:rPr>
          <w:i/>
        </w:rPr>
        <w:t>Research Policy,</w:t>
      </w:r>
      <w:r>
        <w:rPr>
          <w:i/>
        </w:rPr>
        <w:t xml:space="preserve"> </w:t>
      </w:r>
      <w:r w:rsidRPr="009A4D2F">
        <w:rPr>
          <w:b/>
        </w:rPr>
        <w:t>32</w:t>
      </w:r>
      <w:r>
        <w:t>,</w:t>
      </w:r>
      <w:r w:rsidRPr="009A4D2F">
        <w:t xml:space="preserve"> 209-227</w:t>
      </w:r>
      <w:r>
        <w:t>.</w:t>
      </w:r>
    </w:p>
    <w:p w:rsidR="000B607C" w:rsidRPr="000B607C" w:rsidRDefault="00154692" w:rsidP="00F54F14">
      <w:pPr>
        <w:pStyle w:val="Header"/>
        <w:tabs>
          <w:tab w:val="clear" w:pos="4513"/>
          <w:tab w:val="clear" w:pos="9026"/>
          <w:tab w:val="center" w:pos="-3544"/>
          <w:tab w:val="center" w:pos="709"/>
          <w:tab w:val="center" w:pos="4320"/>
          <w:tab w:val="right" w:pos="8640"/>
        </w:tabs>
        <w:spacing w:line="480" w:lineRule="auto"/>
        <w:ind w:left="709" w:hanging="425"/>
        <w:jc w:val="both"/>
        <w:rPr>
          <w:lang w:val="en-GB"/>
        </w:rPr>
      </w:pPr>
      <w:r>
        <w:rPr>
          <w:rStyle w:val="citation"/>
        </w:rPr>
        <w:lastRenderedPageBreak/>
        <w:t xml:space="preserve">Dion, K., Berscheid, E. and Walster, E. (1972). ‘What is beautiful is good’. </w:t>
      </w:r>
      <w:r>
        <w:rPr>
          <w:rStyle w:val="citation"/>
          <w:i/>
          <w:iCs/>
        </w:rPr>
        <w:t xml:space="preserve">Journal of </w:t>
      </w:r>
      <w:r w:rsidR="0043528F">
        <w:rPr>
          <w:rStyle w:val="citation"/>
          <w:i/>
          <w:iCs/>
        </w:rPr>
        <w:t>P</w:t>
      </w:r>
      <w:r>
        <w:rPr>
          <w:rStyle w:val="citation"/>
          <w:i/>
          <w:iCs/>
        </w:rPr>
        <w:t xml:space="preserve">ersonality and </w:t>
      </w:r>
      <w:r w:rsidR="0043528F">
        <w:rPr>
          <w:rStyle w:val="citation"/>
          <w:i/>
          <w:iCs/>
        </w:rPr>
        <w:t>S</w:t>
      </w:r>
      <w:r>
        <w:rPr>
          <w:rStyle w:val="citation"/>
          <w:i/>
          <w:iCs/>
        </w:rPr>
        <w:t xml:space="preserve">ocial </w:t>
      </w:r>
      <w:r w:rsidR="0043528F">
        <w:rPr>
          <w:rStyle w:val="citation"/>
          <w:i/>
          <w:iCs/>
        </w:rPr>
        <w:t>P</w:t>
      </w:r>
      <w:r>
        <w:rPr>
          <w:rStyle w:val="citation"/>
          <w:i/>
          <w:iCs/>
        </w:rPr>
        <w:t>sychology</w:t>
      </w:r>
      <w:r w:rsidR="005D5309">
        <w:rPr>
          <w:rStyle w:val="citation"/>
          <w:i/>
          <w:iCs/>
          <w:lang w:val="en-GB"/>
        </w:rPr>
        <w:t>,</w:t>
      </w:r>
      <w:r>
        <w:rPr>
          <w:rStyle w:val="citation"/>
        </w:rPr>
        <w:t xml:space="preserve"> </w:t>
      </w:r>
      <w:r>
        <w:rPr>
          <w:rStyle w:val="citation"/>
          <w:b/>
          <w:bCs/>
        </w:rPr>
        <w:t>24</w:t>
      </w:r>
      <w:r w:rsidR="00CC6606">
        <w:rPr>
          <w:rStyle w:val="citation"/>
        </w:rPr>
        <w:t>,</w:t>
      </w:r>
      <w:r>
        <w:rPr>
          <w:rStyle w:val="citation"/>
        </w:rPr>
        <w:t xml:space="preserve"> 285</w:t>
      </w:r>
      <w:r w:rsidR="0043528F">
        <w:rPr>
          <w:rStyle w:val="citation"/>
        </w:rPr>
        <w:t>-</w:t>
      </w:r>
      <w:r>
        <w:rPr>
          <w:rStyle w:val="citation"/>
        </w:rPr>
        <w:t>90</w:t>
      </w:r>
      <w:r w:rsidR="00CC6606">
        <w:rPr>
          <w:rStyle w:val="citation"/>
        </w:rP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rPr>
          <w:lang w:val="en-GB" w:eastAsia="en-GB"/>
        </w:rPr>
      </w:pPr>
      <w:r w:rsidRPr="009A4D2F">
        <w:rPr>
          <w:lang w:val="en-GB" w:eastAsia="en-GB"/>
        </w:rPr>
        <w:t>Dimov, D., Shepherd, D</w:t>
      </w:r>
      <w:r>
        <w:rPr>
          <w:lang w:val="en-GB" w:eastAsia="en-GB"/>
        </w:rPr>
        <w:t>.</w:t>
      </w:r>
      <w:r w:rsidRPr="009A4D2F">
        <w:rPr>
          <w:lang w:val="en-GB" w:eastAsia="en-GB"/>
        </w:rPr>
        <w:t>A. and Sutcliffe, K</w:t>
      </w:r>
      <w:r>
        <w:rPr>
          <w:lang w:val="en-GB" w:eastAsia="en-GB"/>
        </w:rPr>
        <w:t>.</w:t>
      </w:r>
      <w:r w:rsidRPr="009A4D2F">
        <w:rPr>
          <w:lang w:val="en-GB" w:eastAsia="en-GB"/>
        </w:rPr>
        <w:t>M. (2007).</w:t>
      </w:r>
      <w:r>
        <w:rPr>
          <w:lang w:val="en-GB" w:eastAsia="en-GB"/>
        </w:rPr>
        <w:t>‘</w:t>
      </w:r>
      <w:r w:rsidRPr="009A4D2F">
        <w:rPr>
          <w:lang w:val="en-GB" w:eastAsia="en-GB"/>
        </w:rPr>
        <w:t xml:space="preserve">Requisite expertise, firm reputation, and </w:t>
      </w:r>
    </w:p>
    <w:p w:rsidR="00C06585" w:rsidRDefault="00C06585" w:rsidP="00F54F14">
      <w:pPr>
        <w:pStyle w:val="Header"/>
        <w:tabs>
          <w:tab w:val="clear" w:pos="4513"/>
          <w:tab w:val="clear" w:pos="9026"/>
          <w:tab w:val="center" w:pos="-3544"/>
          <w:tab w:val="center" w:pos="4320"/>
          <w:tab w:val="right" w:pos="8640"/>
        </w:tabs>
        <w:spacing w:line="480" w:lineRule="auto"/>
        <w:ind w:left="720"/>
        <w:jc w:val="both"/>
        <w:rPr>
          <w:lang w:val="en-GB" w:eastAsia="en-GB"/>
        </w:rPr>
      </w:pPr>
      <w:r>
        <w:rPr>
          <w:lang w:val="en-GB" w:eastAsia="en-GB"/>
        </w:rPr>
        <w:tab/>
      </w:r>
      <w:r w:rsidRPr="009A4D2F">
        <w:rPr>
          <w:lang w:val="en-GB" w:eastAsia="en-GB"/>
        </w:rPr>
        <w:t>status in venture</w:t>
      </w:r>
      <w:r w:rsidR="002364D6">
        <w:rPr>
          <w:lang w:val="en-GB" w:eastAsia="en-GB"/>
        </w:rPr>
        <w:t xml:space="preserve"> </w:t>
      </w:r>
      <w:r w:rsidRPr="009A4D2F">
        <w:rPr>
          <w:lang w:val="en-GB" w:eastAsia="en-GB"/>
        </w:rPr>
        <w:t>capital investment allocation decisions</w:t>
      </w:r>
      <w:r>
        <w:rPr>
          <w:lang w:val="en-GB" w:eastAsia="en-GB"/>
        </w:rPr>
        <w:t>’</w:t>
      </w:r>
      <w:r w:rsidRPr="009A4D2F">
        <w:rPr>
          <w:lang w:val="en-GB" w:eastAsia="en-GB"/>
        </w:rPr>
        <w:t xml:space="preserve">. </w:t>
      </w:r>
      <w:r w:rsidRPr="009A4D2F">
        <w:rPr>
          <w:i/>
          <w:iCs/>
          <w:lang w:val="en-GB" w:eastAsia="en-GB"/>
        </w:rPr>
        <w:t xml:space="preserve">Journal of Business Venturing, </w:t>
      </w:r>
      <w:r w:rsidRPr="009A4D2F">
        <w:rPr>
          <w:b/>
          <w:lang w:val="en-GB" w:eastAsia="en-GB"/>
        </w:rPr>
        <w:t>22</w:t>
      </w:r>
      <w:r>
        <w:rPr>
          <w:lang w:val="en-GB" w:eastAsia="en-GB"/>
        </w:rPr>
        <w:t>,</w:t>
      </w:r>
      <w:r w:rsidRPr="009A4D2F">
        <w:rPr>
          <w:lang w:val="en-GB" w:eastAsia="en-GB"/>
        </w:rPr>
        <w:t xml:space="preserve"> 481-502.</w:t>
      </w:r>
    </w:p>
    <w:p w:rsidR="002E037B" w:rsidRPr="005D630B" w:rsidRDefault="002E037B" w:rsidP="00F54F14">
      <w:pPr>
        <w:tabs>
          <w:tab w:val="center" w:pos="-3544"/>
        </w:tabs>
        <w:autoSpaceDE w:val="0"/>
        <w:autoSpaceDN w:val="0"/>
        <w:adjustRightInd w:val="0"/>
        <w:spacing w:line="480" w:lineRule="auto"/>
        <w:ind w:left="709" w:hanging="425"/>
        <w:jc w:val="both"/>
        <w:rPr>
          <w:lang w:val="en-GB" w:eastAsia="en-GB"/>
        </w:rPr>
      </w:pPr>
      <w:r w:rsidRPr="005D630B">
        <w:rPr>
          <w:lang w:val="en-GB" w:eastAsia="en-GB"/>
        </w:rPr>
        <w:t>Dimov</w:t>
      </w:r>
      <w:r w:rsidR="005D630B" w:rsidRPr="005D630B">
        <w:rPr>
          <w:lang w:val="en-GB" w:eastAsia="en-GB"/>
        </w:rPr>
        <w:t>, D.</w:t>
      </w:r>
      <w:r w:rsidRPr="005D630B">
        <w:rPr>
          <w:lang w:val="en-GB" w:eastAsia="en-GB"/>
        </w:rPr>
        <w:t xml:space="preserve"> and </w:t>
      </w:r>
      <w:proofErr w:type="spellStart"/>
      <w:r w:rsidRPr="005D630B">
        <w:rPr>
          <w:lang w:val="en-GB" w:eastAsia="en-GB"/>
        </w:rPr>
        <w:t>Milanov</w:t>
      </w:r>
      <w:proofErr w:type="spellEnd"/>
      <w:r w:rsidR="005D630B" w:rsidRPr="005D630B">
        <w:rPr>
          <w:lang w:val="en-GB" w:eastAsia="en-GB"/>
        </w:rPr>
        <w:t>, H.</w:t>
      </w:r>
      <w:r w:rsidR="005D630B" w:rsidRPr="005D630B">
        <w:rPr>
          <w:color w:val="231F20"/>
          <w:lang w:val="en-GB" w:eastAsia="en-GB"/>
        </w:rPr>
        <w:t xml:space="preserve"> (2010). </w:t>
      </w:r>
      <w:r w:rsidR="002F598B">
        <w:rPr>
          <w:color w:val="231F20"/>
          <w:lang w:val="en-GB" w:eastAsia="en-GB"/>
        </w:rPr>
        <w:t>‘</w:t>
      </w:r>
      <w:r w:rsidR="005D630B" w:rsidRPr="005D630B">
        <w:rPr>
          <w:color w:val="231F20"/>
          <w:lang w:val="en-GB" w:eastAsia="en-GB"/>
        </w:rPr>
        <w:t>The interplay of need and opportunity in venture capital investment syndication.</w:t>
      </w:r>
      <w:r w:rsidR="002F598B">
        <w:rPr>
          <w:color w:val="231F20"/>
          <w:lang w:val="en-GB" w:eastAsia="en-GB"/>
        </w:rPr>
        <w:t>’</w:t>
      </w:r>
      <w:r w:rsidR="005D630B" w:rsidRPr="005D630B">
        <w:rPr>
          <w:color w:val="231F20"/>
          <w:lang w:val="en-GB" w:eastAsia="en-GB"/>
        </w:rPr>
        <w:t xml:space="preserve"> </w:t>
      </w:r>
      <w:r w:rsidR="005D630B" w:rsidRPr="005D630B">
        <w:rPr>
          <w:i/>
          <w:color w:val="231F20"/>
          <w:lang w:val="en-GB" w:eastAsia="en-GB"/>
        </w:rPr>
        <w:t>Journal of Business Venturing</w:t>
      </w:r>
      <w:r w:rsidR="005D630B">
        <w:rPr>
          <w:i/>
          <w:color w:val="231F20"/>
          <w:lang w:val="en-GB" w:eastAsia="en-GB"/>
        </w:rPr>
        <w:t>,</w:t>
      </w:r>
      <w:r w:rsidR="005D630B">
        <w:rPr>
          <w:color w:val="231F20"/>
          <w:lang w:val="en-GB" w:eastAsia="en-GB"/>
        </w:rPr>
        <w:t xml:space="preserve"> </w:t>
      </w:r>
      <w:r w:rsidR="005D630B" w:rsidRPr="005D630B">
        <w:rPr>
          <w:b/>
          <w:color w:val="231F20"/>
          <w:lang w:val="en-GB" w:eastAsia="en-GB"/>
        </w:rPr>
        <w:t>25</w:t>
      </w:r>
      <w:r w:rsidR="005D630B">
        <w:rPr>
          <w:color w:val="231F20"/>
          <w:lang w:val="en-GB" w:eastAsia="en-GB"/>
        </w:rPr>
        <w:t>,</w:t>
      </w:r>
      <w:r w:rsidR="005D630B" w:rsidRPr="005D630B">
        <w:rPr>
          <w:color w:val="231F20"/>
          <w:lang w:val="en-GB" w:eastAsia="en-GB"/>
        </w:rPr>
        <w:t xml:space="preserve"> 331</w:t>
      </w:r>
      <w:r w:rsidR="0043528F">
        <w:rPr>
          <w:color w:val="231F20"/>
          <w:lang w:val="en-GB" w:eastAsia="en-GB"/>
        </w:rPr>
        <w:t>-</w:t>
      </w:r>
      <w:r w:rsidR="005D630B" w:rsidRPr="005D630B">
        <w:rPr>
          <w:color w:val="231F20"/>
          <w:lang w:val="en-GB" w:eastAsia="en-GB"/>
        </w:rPr>
        <w:t>348</w:t>
      </w:r>
      <w:r w:rsidR="005D630B">
        <w:rPr>
          <w:color w:val="231F20"/>
          <w:lang w:val="en-GB" w:eastAsia="en-GB"/>
        </w:rP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rPr>
          <w:color w:val="000000"/>
        </w:rPr>
      </w:pPr>
      <w:r w:rsidRPr="009A4D2F">
        <w:rPr>
          <w:bCs/>
          <w:color w:val="000000"/>
        </w:rPr>
        <w:t>Djokovic, D.</w:t>
      </w:r>
      <w:r w:rsidRPr="009A4D2F">
        <w:rPr>
          <w:color w:val="000000"/>
        </w:rPr>
        <w:t xml:space="preserve"> and Souitaris, V. (2008).</w:t>
      </w:r>
      <w:r>
        <w:rPr>
          <w:color w:val="000000"/>
        </w:rPr>
        <w:t>‘</w:t>
      </w:r>
      <w:r w:rsidRPr="009A4D2F">
        <w:rPr>
          <w:color w:val="000000"/>
        </w:rPr>
        <w:t xml:space="preserve">Spinouts from academic institutions. A literature review </w:t>
      </w:r>
    </w:p>
    <w:p w:rsidR="00921506" w:rsidRDefault="00C06585" w:rsidP="00F54F14">
      <w:pPr>
        <w:pStyle w:val="Header"/>
        <w:tabs>
          <w:tab w:val="clear" w:pos="4513"/>
          <w:tab w:val="clear" w:pos="9026"/>
          <w:tab w:val="center" w:pos="-3544"/>
          <w:tab w:val="center" w:pos="4320"/>
          <w:tab w:val="right" w:pos="8640"/>
        </w:tabs>
        <w:spacing w:line="480" w:lineRule="auto"/>
        <w:ind w:left="272" w:firstLine="448"/>
        <w:jc w:val="both"/>
      </w:pPr>
      <w:r w:rsidRPr="009A4D2F">
        <w:rPr>
          <w:color w:val="000000"/>
        </w:rPr>
        <w:t>with suggestions for further research</w:t>
      </w:r>
      <w:r>
        <w:rPr>
          <w:color w:val="000000"/>
        </w:rPr>
        <w:t>’</w:t>
      </w:r>
      <w:r w:rsidRPr="009A4D2F">
        <w:rPr>
          <w:color w:val="000000"/>
        </w:rPr>
        <w:t xml:space="preserve">. </w:t>
      </w:r>
      <w:r w:rsidRPr="009A4D2F">
        <w:rPr>
          <w:bCs/>
          <w:i/>
          <w:color w:val="000000"/>
        </w:rPr>
        <w:t>Journal of Technology Transfer,</w:t>
      </w:r>
      <w:r w:rsidR="000A474C">
        <w:rPr>
          <w:bCs/>
          <w:i/>
          <w:color w:val="000000"/>
        </w:rPr>
        <w:t xml:space="preserve"> </w:t>
      </w:r>
      <w:r w:rsidRPr="009A4D2F">
        <w:rPr>
          <w:b/>
        </w:rPr>
        <w:t>33</w:t>
      </w:r>
      <w:r w:rsidRPr="009A4D2F">
        <w:t>, 225-247.</w:t>
      </w:r>
    </w:p>
    <w:p w:rsidR="00921506" w:rsidRDefault="001C7361" w:rsidP="00F54F14">
      <w:pPr>
        <w:pStyle w:val="Header"/>
        <w:tabs>
          <w:tab w:val="clear" w:pos="4513"/>
          <w:tab w:val="clear" w:pos="9026"/>
          <w:tab w:val="center" w:pos="-3544"/>
          <w:tab w:val="center" w:pos="709"/>
          <w:tab w:val="center" w:pos="4320"/>
          <w:tab w:val="right" w:pos="8640"/>
        </w:tabs>
        <w:spacing w:line="480" w:lineRule="auto"/>
        <w:ind w:left="709" w:hanging="425"/>
        <w:jc w:val="both"/>
      </w:pPr>
      <w:r w:rsidRPr="00D83B75">
        <w:t>Downs, C.</w:t>
      </w:r>
      <w:r w:rsidR="007633A5">
        <w:rPr>
          <w:lang w:val="en-GB"/>
        </w:rPr>
        <w:t xml:space="preserve"> and</w:t>
      </w:r>
      <w:r w:rsidRPr="00D83B75">
        <w:t xml:space="preserve"> Lyons, P. (1991). </w:t>
      </w:r>
      <w:r w:rsidR="002F598B">
        <w:t>‘</w:t>
      </w:r>
      <w:r w:rsidRPr="00D83B75">
        <w:t>Natural observations of the links between attractiveness and initial legal judgments</w:t>
      </w:r>
      <w:r w:rsidR="005D5309">
        <w:rPr>
          <w:lang w:val="en-GB"/>
        </w:rPr>
        <w:t>’</w:t>
      </w:r>
      <w:r w:rsidRPr="00D83B75">
        <w:t xml:space="preserve">. </w:t>
      </w:r>
      <w:r w:rsidRPr="00D83B75">
        <w:rPr>
          <w:i/>
        </w:rPr>
        <w:t>Personality and Social Psychology Bulletin</w:t>
      </w:r>
      <w:r w:rsidRPr="00D83B75">
        <w:t xml:space="preserve">, </w:t>
      </w:r>
      <w:r w:rsidRPr="00D83B75">
        <w:rPr>
          <w:b/>
        </w:rPr>
        <w:t>17</w:t>
      </w:r>
      <w:r w:rsidRPr="00D83B75">
        <w:t>, 541­547.</w:t>
      </w:r>
    </w:p>
    <w:p w:rsidR="00B51072" w:rsidRPr="00B51072" w:rsidRDefault="00B51072" w:rsidP="00F54F14">
      <w:pPr>
        <w:pStyle w:val="Header"/>
        <w:tabs>
          <w:tab w:val="clear" w:pos="4513"/>
          <w:tab w:val="clear" w:pos="9026"/>
          <w:tab w:val="center" w:pos="-3544"/>
          <w:tab w:val="center" w:pos="709"/>
          <w:tab w:val="center" w:pos="4320"/>
          <w:tab w:val="right" w:pos="8640"/>
        </w:tabs>
        <w:spacing w:line="480" w:lineRule="auto"/>
        <w:ind w:left="709" w:hanging="425"/>
        <w:jc w:val="both"/>
      </w:pPr>
      <w:r w:rsidRPr="00FD4349">
        <w:rPr>
          <w:color w:val="000000"/>
        </w:rPr>
        <w:t>Durand, R</w:t>
      </w:r>
      <w:r w:rsidR="007633A5">
        <w:rPr>
          <w:color w:val="000000"/>
          <w:lang w:val="en-GB"/>
        </w:rPr>
        <w:t>.</w:t>
      </w:r>
      <w:r w:rsidRPr="00FD4349">
        <w:rPr>
          <w:color w:val="000000"/>
        </w:rPr>
        <w:t xml:space="preserve"> and P</w:t>
      </w:r>
      <w:r>
        <w:rPr>
          <w:color w:val="000000"/>
        </w:rPr>
        <w:t>a</w:t>
      </w:r>
      <w:r w:rsidRPr="00FD4349">
        <w:rPr>
          <w:color w:val="000000"/>
        </w:rPr>
        <w:t xml:space="preserve">olella, L. </w:t>
      </w:r>
      <w:r w:rsidR="005D5309">
        <w:rPr>
          <w:color w:val="000000"/>
          <w:lang w:val="en-GB"/>
        </w:rPr>
        <w:t>(</w:t>
      </w:r>
      <w:r w:rsidRPr="00FD4349">
        <w:rPr>
          <w:color w:val="000000"/>
        </w:rPr>
        <w:t>2013</w:t>
      </w:r>
      <w:r w:rsidR="005D5309">
        <w:rPr>
          <w:color w:val="000000"/>
          <w:lang w:val="en-GB"/>
        </w:rPr>
        <w:t>)</w:t>
      </w:r>
      <w:r w:rsidRPr="00FD4349">
        <w:rPr>
          <w:color w:val="000000"/>
        </w:rPr>
        <w:t xml:space="preserve">. </w:t>
      </w:r>
      <w:r w:rsidR="005D5309">
        <w:rPr>
          <w:color w:val="000000"/>
          <w:lang w:val="en-GB"/>
        </w:rPr>
        <w:t>‘</w:t>
      </w:r>
      <w:r w:rsidRPr="00FD4349">
        <w:rPr>
          <w:bCs/>
          <w:color w:val="000000"/>
          <w:lang w:eastAsia="en-GB"/>
        </w:rPr>
        <w:t>Category Stretching: Reorienting Research on Categories in Strategy, Entrepreneurship and Organization Theory</w:t>
      </w:r>
      <w:r w:rsidR="005D5309">
        <w:rPr>
          <w:bCs/>
          <w:color w:val="000000"/>
          <w:lang w:val="en-GB" w:eastAsia="en-GB"/>
        </w:rPr>
        <w:t>’</w:t>
      </w:r>
      <w:r w:rsidRPr="00FD4349">
        <w:rPr>
          <w:bCs/>
          <w:color w:val="000000"/>
          <w:lang w:eastAsia="en-GB"/>
        </w:rPr>
        <w:t xml:space="preserve">. </w:t>
      </w:r>
      <w:r w:rsidRPr="00E637BB">
        <w:rPr>
          <w:bCs/>
          <w:i/>
          <w:color w:val="000000"/>
          <w:lang w:eastAsia="en-GB"/>
        </w:rPr>
        <w:t xml:space="preserve">Journal of Management </w:t>
      </w:r>
      <w:r w:rsidR="0043528F">
        <w:rPr>
          <w:bCs/>
          <w:i/>
          <w:color w:val="000000"/>
          <w:lang w:eastAsia="en-GB"/>
        </w:rPr>
        <w:t>S</w:t>
      </w:r>
      <w:r w:rsidRPr="00E637BB">
        <w:rPr>
          <w:bCs/>
          <w:i/>
          <w:color w:val="000000"/>
          <w:lang w:eastAsia="en-GB"/>
        </w:rPr>
        <w:t>tudies</w:t>
      </w:r>
      <w:r w:rsidRPr="00FD4349">
        <w:rPr>
          <w:bCs/>
          <w:color w:val="000000"/>
          <w:lang w:eastAsia="en-GB"/>
        </w:rPr>
        <w:t>,</w:t>
      </w:r>
      <w:r>
        <w:rPr>
          <w:bCs/>
          <w:color w:val="000000"/>
          <w:lang w:eastAsia="en-GB"/>
        </w:rPr>
        <w:t xml:space="preserve"> </w:t>
      </w:r>
      <w:r w:rsidRPr="006F38C4">
        <w:rPr>
          <w:b/>
          <w:bCs/>
          <w:color w:val="000000"/>
          <w:lang w:eastAsia="en-GB"/>
        </w:rPr>
        <w:t>50</w:t>
      </w:r>
      <w:r w:rsidR="00960513">
        <w:rPr>
          <w:bCs/>
          <w:color w:val="000000"/>
          <w:lang w:val="en-GB" w:eastAsia="en-GB"/>
        </w:rPr>
        <w:t>,</w:t>
      </w:r>
      <w:r>
        <w:rPr>
          <w:bCs/>
          <w:color w:val="000000"/>
          <w:lang w:eastAsia="en-GB"/>
        </w:rPr>
        <w:t xml:space="preserve"> 1100-1123.</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rPr>
          <w:i/>
        </w:rPr>
      </w:pPr>
      <w:r w:rsidRPr="009A4D2F">
        <w:t xml:space="preserve">Edinburgh University Minutes. (2004). </w:t>
      </w:r>
      <w:r w:rsidRPr="009A4D2F">
        <w:rPr>
          <w:i/>
        </w:rPr>
        <w:t xml:space="preserve">College of science and engineering: College strategy and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rPr>
          <w:lang w:val="en-GB"/>
        </w:rPr>
      </w:pPr>
      <w:r w:rsidRPr="009A4D2F">
        <w:rPr>
          <w:i/>
        </w:rPr>
        <w:t>management committee</w:t>
      </w:r>
      <w:r w:rsidRPr="009A4D2F">
        <w:t>, 8</w:t>
      </w:r>
      <w:r w:rsidRPr="009A4D2F">
        <w:rPr>
          <w:vertAlign w:val="superscript"/>
        </w:rPr>
        <w:t>th</w:t>
      </w:r>
      <w:r w:rsidRPr="009A4D2F">
        <w:t xml:space="preserve"> July 2004. </w:t>
      </w:r>
    </w:p>
    <w:p w:rsidR="005372A1" w:rsidRPr="00D77969" w:rsidRDefault="005B53F4" w:rsidP="00F54F14">
      <w:pPr>
        <w:shd w:val="clear" w:color="auto" w:fill="FFFFFF"/>
        <w:tabs>
          <w:tab w:val="center" w:pos="-3544"/>
        </w:tabs>
        <w:spacing w:before="107" w:line="480" w:lineRule="auto"/>
        <w:ind w:left="709" w:hanging="425"/>
        <w:jc w:val="both"/>
        <w:outlineLvl w:val="1"/>
        <w:rPr>
          <w:rFonts w:eastAsia="Times New Roman"/>
          <w:bCs/>
          <w:kern w:val="36"/>
          <w:lang w:eastAsia="en-GB"/>
        </w:rPr>
      </w:pPr>
      <w:hyperlink r:id="rId13" w:history="1">
        <w:proofErr w:type="spellStart"/>
        <w:r w:rsidR="005372A1" w:rsidRPr="00D77969">
          <w:rPr>
            <w:rFonts w:eastAsia="Times New Roman"/>
            <w:bCs/>
            <w:lang w:eastAsia="en-GB"/>
          </w:rPr>
          <w:t>Ertug</w:t>
        </w:r>
        <w:proofErr w:type="spellEnd"/>
      </w:hyperlink>
      <w:r w:rsidR="005372A1" w:rsidRPr="00D77969">
        <w:rPr>
          <w:rFonts w:eastAsia="Times New Roman"/>
          <w:bCs/>
          <w:lang w:eastAsia="en-GB"/>
        </w:rPr>
        <w:t>, G.</w:t>
      </w:r>
      <w:r w:rsidR="005372A1" w:rsidRPr="005372A1">
        <w:rPr>
          <w:rFonts w:eastAsia="Times New Roman"/>
          <w:bCs/>
          <w:lang w:eastAsia="en-GB"/>
        </w:rPr>
        <w:t xml:space="preserve"> and </w:t>
      </w:r>
      <w:hyperlink r:id="rId14" w:history="1">
        <w:r w:rsidR="005372A1" w:rsidRPr="00D77969">
          <w:rPr>
            <w:rFonts w:eastAsia="Times New Roman"/>
            <w:bCs/>
            <w:lang w:eastAsia="en-GB"/>
          </w:rPr>
          <w:t>Castellucci</w:t>
        </w:r>
      </w:hyperlink>
      <w:r w:rsidR="005372A1" w:rsidRPr="00D77969">
        <w:rPr>
          <w:rFonts w:eastAsia="Times New Roman"/>
          <w:bCs/>
          <w:lang w:eastAsia="en-GB"/>
        </w:rPr>
        <w:t xml:space="preserve">, F. (2013). </w:t>
      </w:r>
      <w:r w:rsidR="002F598B">
        <w:rPr>
          <w:rFonts w:eastAsia="Times New Roman"/>
          <w:bCs/>
          <w:lang w:eastAsia="en-GB"/>
        </w:rPr>
        <w:t>‘</w:t>
      </w:r>
      <w:r w:rsidR="00150711" w:rsidRPr="00D77969">
        <w:rPr>
          <w:rFonts w:eastAsia="Times New Roman"/>
          <w:bCs/>
          <w:kern w:val="36"/>
          <w:lang w:eastAsia="en-GB"/>
        </w:rPr>
        <w:t>Getting What You Need: How Reputation and Status Affect Team Performance, Hiring, and Salaries in the NBA</w:t>
      </w:r>
      <w:r w:rsidR="00D77969" w:rsidRPr="00D77969">
        <w:rPr>
          <w:rFonts w:eastAsia="Times New Roman"/>
          <w:bCs/>
          <w:kern w:val="36"/>
          <w:lang w:eastAsia="en-GB"/>
        </w:rPr>
        <w:t>.</w:t>
      </w:r>
      <w:r w:rsidR="002F598B">
        <w:rPr>
          <w:rFonts w:eastAsia="Times New Roman"/>
          <w:bCs/>
          <w:kern w:val="36"/>
          <w:lang w:eastAsia="en-GB"/>
        </w:rPr>
        <w:t>’</w:t>
      </w:r>
      <w:r w:rsidR="00D77969" w:rsidRPr="00D77969">
        <w:rPr>
          <w:rFonts w:eastAsia="Times New Roman"/>
          <w:bCs/>
          <w:kern w:val="36"/>
          <w:lang w:eastAsia="en-GB"/>
        </w:rPr>
        <w:t xml:space="preserve"> </w:t>
      </w:r>
      <w:r w:rsidR="00D77969" w:rsidRPr="00D77969">
        <w:rPr>
          <w:rFonts w:eastAsia="Times New Roman"/>
          <w:bCs/>
          <w:i/>
          <w:kern w:val="36"/>
          <w:lang w:eastAsia="en-GB"/>
        </w:rPr>
        <w:t>Academy of Management Journal</w:t>
      </w:r>
      <w:r w:rsidR="00D77969" w:rsidRPr="00D77969">
        <w:rPr>
          <w:rFonts w:eastAsia="Times New Roman"/>
          <w:bCs/>
          <w:kern w:val="36"/>
          <w:lang w:eastAsia="en-GB"/>
        </w:rPr>
        <w:t xml:space="preserve">, </w:t>
      </w:r>
      <w:r w:rsidR="00D77969" w:rsidRPr="00D77969">
        <w:rPr>
          <w:rFonts w:eastAsia="Times New Roman"/>
          <w:b/>
          <w:bCs/>
          <w:kern w:val="36"/>
          <w:lang w:eastAsia="en-GB"/>
        </w:rPr>
        <w:t>56</w:t>
      </w:r>
      <w:r w:rsidR="00D77969" w:rsidRPr="00D77969">
        <w:rPr>
          <w:rFonts w:eastAsia="Times New Roman"/>
          <w:bCs/>
          <w:kern w:val="36"/>
          <w:lang w:eastAsia="en-GB"/>
        </w:rPr>
        <w:t>, 407-431.</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Etzkowitz</w:t>
      </w:r>
      <w:r>
        <w:t>,</w:t>
      </w:r>
      <w:r w:rsidRPr="009A4D2F">
        <w:t xml:space="preserve"> H. (2003). </w:t>
      </w:r>
      <w:r>
        <w:t>‘</w:t>
      </w:r>
      <w:r w:rsidRPr="009A4D2F">
        <w:t xml:space="preserve">Research groups as </w:t>
      </w:r>
      <w:r w:rsidR="0043528F">
        <w:t>“</w:t>
      </w:r>
      <w:r w:rsidRPr="009A4D2F">
        <w:t>quasi-firms</w:t>
      </w:r>
      <w:r w:rsidR="0043528F">
        <w:t>”</w:t>
      </w:r>
      <w:r w:rsidRPr="009A4D2F">
        <w:t xml:space="preserve">: </w:t>
      </w:r>
      <w:r>
        <w:t>T</w:t>
      </w:r>
      <w:r w:rsidRPr="009A4D2F">
        <w:t xml:space="preserve">he invention of the entrepreneurial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pPr>
      <w:r w:rsidRPr="009A4D2F">
        <w:t>university</w:t>
      </w:r>
      <w:r>
        <w:t>’</w:t>
      </w:r>
      <w:r w:rsidRPr="009A4D2F">
        <w:t xml:space="preserve">. </w:t>
      </w:r>
      <w:r w:rsidRPr="009A4D2F">
        <w:rPr>
          <w:i/>
        </w:rPr>
        <w:t>Research Policy,</w:t>
      </w:r>
      <w:r>
        <w:rPr>
          <w:i/>
        </w:rPr>
        <w:t xml:space="preserve"> </w:t>
      </w:r>
      <w:r w:rsidRPr="009A4D2F">
        <w:rPr>
          <w:b/>
        </w:rPr>
        <w:t>32</w:t>
      </w:r>
      <w:r>
        <w:t>,</w:t>
      </w:r>
      <w:r w:rsidRPr="009A4D2F">
        <w:t xml:space="preserve"> 109-121</w:t>
      </w:r>
      <w:r>
        <w:t>.</w:t>
      </w:r>
    </w:p>
    <w:p w:rsidR="00B51072" w:rsidRPr="00C06CC8" w:rsidRDefault="00B51072" w:rsidP="00F54F14">
      <w:pPr>
        <w:tabs>
          <w:tab w:val="center" w:pos="-3544"/>
        </w:tabs>
        <w:autoSpaceDE w:val="0"/>
        <w:autoSpaceDN w:val="0"/>
        <w:adjustRightInd w:val="0"/>
        <w:spacing w:line="480" w:lineRule="auto"/>
        <w:ind w:left="709" w:hanging="425"/>
        <w:rPr>
          <w:lang w:val="en-GB"/>
        </w:rPr>
      </w:pPr>
      <w:proofErr w:type="spellStart"/>
      <w:r w:rsidRPr="004F2DD5">
        <w:rPr>
          <w:lang w:eastAsia="en-GB"/>
        </w:rPr>
        <w:t>Etzkowitz</w:t>
      </w:r>
      <w:proofErr w:type="spellEnd"/>
      <w:r w:rsidRPr="004F2DD5">
        <w:rPr>
          <w:lang w:eastAsia="en-GB"/>
        </w:rPr>
        <w:t xml:space="preserve">, H. </w:t>
      </w:r>
      <w:r w:rsidR="007633A5">
        <w:rPr>
          <w:lang w:eastAsia="en-GB"/>
        </w:rPr>
        <w:t xml:space="preserve">and </w:t>
      </w:r>
      <w:proofErr w:type="spellStart"/>
      <w:r w:rsidRPr="004F2DD5">
        <w:rPr>
          <w:lang w:eastAsia="en-GB"/>
        </w:rPr>
        <w:t>Leydesdorff</w:t>
      </w:r>
      <w:proofErr w:type="spellEnd"/>
      <w:r w:rsidRPr="004F2DD5">
        <w:rPr>
          <w:lang w:eastAsia="en-GB"/>
        </w:rPr>
        <w:t xml:space="preserve">, L. </w:t>
      </w:r>
      <w:r w:rsidR="005D5309">
        <w:rPr>
          <w:lang w:eastAsia="en-GB"/>
        </w:rPr>
        <w:t>(</w:t>
      </w:r>
      <w:r w:rsidRPr="004F2DD5">
        <w:rPr>
          <w:lang w:eastAsia="en-GB"/>
        </w:rPr>
        <w:t>2000</w:t>
      </w:r>
      <w:r w:rsidR="005D5309">
        <w:rPr>
          <w:lang w:eastAsia="en-GB"/>
        </w:rPr>
        <w:t>)</w:t>
      </w:r>
      <w:r>
        <w:rPr>
          <w:lang w:eastAsia="en-GB"/>
        </w:rPr>
        <w:t>.</w:t>
      </w:r>
      <w:r w:rsidRPr="004F2DD5">
        <w:rPr>
          <w:lang w:eastAsia="en-GB"/>
        </w:rPr>
        <w:t xml:space="preserve"> The dynamics of innovation: from National Systems and </w:t>
      </w:r>
      <w:r w:rsidR="0043528F">
        <w:rPr>
          <w:lang w:eastAsia="en-GB"/>
        </w:rPr>
        <w:t>“</w:t>
      </w:r>
      <w:r w:rsidRPr="004F2DD5">
        <w:rPr>
          <w:lang w:eastAsia="en-GB"/>
        </w:rPr>
        <w:t>Mode 2</w:t>
      </w:r>
      <w:r w:rsidR="0043528F">
        <w:rPr>
          <w:lang w:eastAsia="en-GB"/>
        </w:rPr>
        <w:t>”</w:t>
      </w:r>
      <w:r w:rsidRPr="004F2DD5">
        <w:rPr>
          <w:lang w:eastAsia="en-GB"/>
        </w:rPr>
        <w:t xml:space="preserve"> to a Triple Helix of university–industry–government relations. </w:t>
      </w:r>
      <w:r w:rsidRPr="004F2DD5">
        <w:rPr>
          <w:i/>
          <w:lang w:eastAsia="en-GB"/>
        </w:rPr>
        <w:t>Research Policy</w:t>
      </w:r>
      <w:r>
        <w:rPr>
          <w:i/>
          <w:lang w:eastAsia="en-GB"/>
        </w:rPr>
        <w:t>,</w:t>
      </w:r>
      <w:r w:rsidRPr="004F2DD5">
        <w:rPr>
          <w:lang w:eastAsia="en-GB"/>
        </w:rPr>
        <w:t xml:space="preserve"> </w:t>
      </w:r>
      <w:r w:rsidRPr="006F38C4">
        <w:rPr>
          <w:b/>
          <w:lang w:eastAsia="en-GB"/>
        </w:rPr>
        <w:t>29</w:t>
      </w:r>
      <w:r w:rsidR="00960513">
        <w:rPr>
          <w:rFonts w:ascii="SizedSym151" w:hAnsi="SizedSym151" w:cs="SizedSym151"/>
          <w:lang w:eastAsia="en-GB"/>
        </w:rPr>
        <w:t xml:space="preserve">, </w:t>
      </w:r>
      <w:r w:rsidRPr="004F2DD5">
        <w:rPr>
          <w:lang w:eastAsia="en-GB"/>
        </w:rPr>
        <w:t>109–123</w:t>
      </w:r>
      <w:r>
        <w:rPr>
          <w:lang w:eastAsia="en-GB"/>
        </w:rP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Feldman</w:t>
      </w:r>
      <w:r>
        <w:t>,</w:t>
      </w:r>
      <w:r w:rsidRPr="009A4D2F">
        <w:t xml:space="preserve"> M</w:t>
      </w:r>
      <w:r>
        <w:t>.</w:t>
      </w:r>
      <w:r w:rsidRPr="009A4D2F">
        <w:t>, Feller</w:t>
      </w:r>
      <w:r>
        <w:t>,</w:t>
      </w:r>
      <w:r w:rsidRPr="009A4D2F">
        <w:t xml:space="preserve"> I</w:t>
      </w:r>
      <w:r>
        <w:t>.</w:t>
      </w:r>
      <w:r w:rsidRPr="009A4D2F">
        <w:t>, Bercovitz</w:t>
      </w:r>
      <w:r>
        <w:t>,</w:t>
      </w:r>
      <w:r w:rsidRPr="009A4D2F">
        <w:t xml:space="preserve"> J</w:t>
      </w:r>
      <w:r>
        <w:t>.</w:t>
      </w:r>
      <w:r w:rsidRPr="009A4D2F">
        <w:t xml:space="preserve"> and Burton</w:t>
      </w:r>
      <w:r>
        <w:t>,</w:t>
      </w:r>
      <w:r w:rsidRPr="009A4D2F">
        <w:t xml:space="preserve"> R. (2002).</w:t>
      </w:r>
      <w:r w:rsidR="0043528F">
        <w:t xml:space="preserve"> </w:t>
      </w:r>
      <w:r>
        <w:t>‘</w:t>
      </w:r>
      <w:r w:rsidRPr="009A4D2F">
        <w:t xml:space="preserve">Equity and the technology transfer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pPr>
      <w:r w:rsidRPr="009A4D2F">
        <w:t>strategies of American research universities</w:t>
      </w:r>
      <w:r>
        <w:t>’</w:t>
      </w:r>
      <w:r w:rsidRPr="009A4D2F">
        <w:t xml:space="preserve">. </w:t>
      </w:r>
      <w:r w:rsidRPr="009A4D2F">
        <w:rPr>
          <w:i/>
        </w:rPr>
        <w:t>Management Science,</w:t>
      </w:r>
      <w:r>
        <w:rPr>
          <w:i/>
        </w:rPr>
        <w:t xml:space="preserve"> </w:t>
      </w:r>
      <w:r w:rsidRPr="009A4D2F">
        <w:rPr>
          <w:b/>
        </w:rPr>
        <w:t>48</w:t>
      </w:r>
      <w:r>
        <w:t>,</w:t>
      </w:r>
      <w:r w:rsidRPr="009A4D2F">
        <w:t xml:space="preserve"> 105-121</w:t>
      </w:r>
      <w:r>
        <w:t>.</w:t>
      </w:r>
    </w:p>
    <w:p w:rsidR="000E1D3A" w:rsidRDefault="000E1D3A" w:rsidP="00F54F14">
      <w:pPr>
        <w:pStyle w:val="Header"/>
        <w:tabs>
          <w:tab w:val="clear" w:pos="4513"/>
          <w:tab w:val="clear" w:pos="9026"/>
          <w:tab w:val="center" w:pos="-3544"/>
          <w:tab w:val="center" w:pos="709"/>
          <w:tab w:val="center" w:pos="4320"/>
          <w:tab w:val="right" w:pos="8640"/>
        </w:tabs>
        <w:spacing w:line="480" w:lineRule="auto"/>
        <w:ind w:left="709" w:hanging="425"/>
        <w:jc w:val="both"/>
        <w:rPr>
          <w:color w:val="000000"/>
          <w:lang w:val="en-GB"/>
        </w:rPr>
      </w:pPr>
      <w:r>
        <w:rPr>
          <w:color w:val="000000"/>
        </w:rPr>
        <w:lastRenderedPageBreak/>
        <w:t>Fini, R., Lacetera, N.</w:t>
      </w:r>
      <w:r w:rsidR="007633A5">
        <w:rPr>
          <w:color w:val="000000"/>
          <w:lang w:val="en-GB"/>
        </w:rPr>
        <w:t xml:space="preserve"> and</w:t>
      </w:r>
      <w:r>
        <w:rPr>
          <w:color w:val="000000"/>
        </w:rPr>
        <w:t xml:space="preserve"> Shane, S. (2010). ‘Inside or outside the IP system? Business creation in academia’. </w:t>
      </w:r>
      <w:r>
        <w:rPr>
          <w:i/>
          <w:iCs/>
          <w:color w:val="000000"/>
        </w:rPr>
        <w:t>Research Policy</w:t>
      </w:r>
      <w:r>
        <w:rPr>
          <w:color w:val="000000"/>
        </w:rPr>
        <w:t xml:space="preserve">, </w:t>
      </w:r>
      <w:r w:rsidRPr="000E1D3A">
        <w:rPr>
          <w:b/>
          <w:color w:val="000000"/>
        </w:rPr>
        <w:t>39</w:t>
      </w:r>
      <w:r>
        <w:rPr>
          <w:color w:val="000000"/>
        </w:rPr>
        <w:t>,</w:t>
      </w:r>
      <w:r w:rsidR="005D5309">
        <w:rPr>
          <w:color w:val="000000"/>
          <w:lang w:val="en-GB"/>
        </w:rPr>
        <w:t xml:space="preserve"> </w:t>
      </w:r>
      <w:r>
        <w:rPr>
          <w:color w:val="000000"/>
        </w:rPr>
        <w:t>1060-1069</w:t>
      </w:r>
      <w:r w:rsidR="000C7BBF">
        <w:rPr>
          <w:color w:val="000000"/>
          <w:lang w:val="en-GB"/>
        </w:rPr>
        <w:t>.</w:t>
      </w:r>
    </w:p>
    <w:p w:rsidR="000C7BBF" w:rsidRPr="00EE0C6C" w:rsidRDefault="000C7BBF" w:rsidP="00F54F14">
      <w:pPr>
        <w:pStyle w:val="Header"/>
        <w:tabs>
          <w:tab w:val="clear" w:pos="4513"/>
          <w:tab w:val="clear" w:pos="9026"/>
          <w:tab w:val="center" w:pos="-3544"/>
          <w:tab w:val="center" w:pos="709"/>
          <w:tab w:val="center" w:pos="4320"/>
          <w:tab w:val="right" w:pos="8640"/>
        </w:tabs>
        <w:spacing w:line="480" w:lineRule="auto"/>
        <w:ind w:left="709" w:hanging="425"/>
        <w:jc w:val="both"/>
        <w:rPr>
          <w:color w:val="231F20"/>
          <w:lang w:val="en-GB" w:eastAsia="en-GB"/>
        </w:rPr>
      </w:pPr>
      <w:r w:rsidRPr="00EE0C6C">
        <w:rPr>
          <w:color w:val="000000"/>
          <w:lang w:val="en-GB"/>
        </w:rPr>
        <w:t>Fischer</w:t>
      </w:r>
      <w:r>
        <w:rPr>
          <w:color w:val="000000"/>
          <w:lang w:val="en-GB"/>
        </w:rPr>
        <w:t>, E.</w:t>
      </w:r>
      <w:r w:rsidRPr="00EE0C6C">
        <w:rPr>
          <w:color w:val="000000"/>
          <w:lang w:val="en-GB"/>
        </w:rPr>
        <w:t xml:space="preserve"> and </w:t>
      </w:r>
      <w:proofErr w:type="spellStart"/>
      <w:r w:rsidRPr="00EE0C6C">
        <w:rPr>
          <w:color w:val="000000"/>
          <w:lang w:val="en-GB"/>
        </w:rPr>
        <w:t>Reuber</w:t>
      </w:r>
      <w:proofErr w:type="spellEnd"/>
      <w:r w:rsidRPr="00EE0C6C">
        <w:rPr>
          <w:color w:val="000000"/>
          <w:lang w:val="en-GB"/>
        </w:rPr>
        <w:t xml:space="preserve">, </w:t>
      </w:r>
      <w:r>
        <w:rPr>
          <w:color w:val="000000"/>
          <w:lang w:val="en-GB"/>
        </w:rPr>
        <w:t xml:space="preserve">R. </w:t>
      </w:r>
      <w:r w:rsidRPr="00EE0C6C">
        <w:rPr>
          <w:color w:val="000000"/>
          <w:lang w:val="en-GB"/>
        </w:rPr>
        <w:t>(2007)</w:t>
      </w:r>
      <w:r w:rsidRPr="00EE0C6C">
        <w:rPr>
          <w:bCs/>
        </w:rPr>
        <w:t xml:space="preserve"> </w:t>
      </w:r>
      <w:r>
        <w:rPr>
          <w:bCs/>
        </w:rPr>
        <w:t>‘</w:t>
      </w:r>
      <w:r w:rsidRPr="00EE0C6C">
        <w:rPr>
          <w:bCs/>
        </w:rPr>
        <w:t>The good, the bad and the unfamiliar: The challenge of reputation formation facing new firms</w:t>
      </w:r>
      <w:r>
        <w:rPr>
          <w:bCs/>
        </w:rPr>
        <w:t xml:space="preserve">.’ </w:t>
      </w:r>
      <w:r w:rsidRPr="00EE0C6C">
        <w:rPr>
          <w:i/>
        </w:rPr>
        <w:t>Entrepreneurship Theory &amp; Practice</w:t>
      </w:r>
      <w:r>
        <w:t xml:space="preserve">, </w:t>
      </w:r>
      <w:r w:rsidRPr="00EE0C6C">
        <w:rPr>
          <w:b/>
        </w:rPr>
        <w:t>31</w:t>
      </w:r>
      <w:r>
        <w:t xml:space="preserve">, </w:t>
      </w:r>
      <w:r w:rsidRPr="00EE0C6C">
        <w:t>53-75</w:t>
      </w:r>
      <w: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rPr>
          <w:color w:val="231F20"/>
          <w:lang w:val="en-GB" w:eastAsia="en-GB"/>
        </w:rPr>
      </w:pPr>
      <w:r w:rsidRPr="009A4D2F">
        <w:rPr>
          <w:color w:val="231F20"/>
          <w:lang w:val="en-GB" w:eastAsia="en-GB"/>
        </w:rPr>
        <w:t>Fiske, S</w:t>
      </w:r>
      <w:r>
        <w:rPr>
          <w:color w:val="231F20"/>
          <w:lang w:val="en-GB" w:eastAsia="en-GB"/>
        </w:rPr>
        <w:t>.</w:t>
      </w:r>
      <w:r w:rsidRPr="009A4D2F">
        <w:rPr>
          <w:color w:val="231F20"/>
          <w:lang w:val="en-GB" w:eastAsia="en-GB"/>
        </w:rPr>
        <w:t>T. and Taylor, S</w:t>
      </w:r>
      <w:r>
        <w:rPr>
          <w:color w:val="231F20"/>
          <w:lang w:val="en-GB" w:eastAsia="en-GB"/>
        </w:rPr>
        <w:t>.</w:t>
      </w:r>
      <w:r w:rsidRPr="009A4D2F">
        <w:rPr>
          <w:color w:val="231F20"/>
          <w:lang w:val="en-GB" w:eastAsia="en-GB"/>
        </w:rPr>
        <w:t>E. (1991).</w:t>
      </w:r>
      <w:r w:rsidR="008D1505">
        <w:rPr>
          <w:color w:val="231F20"/>
          <w:lang w:val="en-GB" w:eastAsia="en-GB"/>
        </w:rPr>
        <w:t xml:space="preserve"> </w:t>
      </w:r>
      <w:r w:rsidRPr="009A4D2F">
        <w:rPr>
          <w:i/>
          <w:iCs/>
          <w:color w:val="231F20"/>
          <w:lang w:val="en-GB" w:eastAsia="en-GB"/>
        </w:rPr>
        <w:t>Social Cognition</w:t>
      </w:r>
      <w:r w:rsidRPr="009A4D2F">
        <w:rPr>
          <w:color w:val="231F20"/>
          <w:lang w:val="en-GB" w:eastAsia="en-GB"/>
        </w:rPr>
        <w:t>. New York: McGraw-Hill</w:t>
      </w:r>
      <w:r>
        <w:rPr>
          <w:color w:val="231F20"/>
          <w:lang w:val="en-GB" w:eastAsia="en-GB"/>
        </w:rPr>
        <w:t>.</w:t>
      </w:r>
    </w:p>
    <w:p w:rsidR="00953AC1" w:rsidRPr="00953AC1" w:rsidRDefault="00953AC1" w:rsidP="00F54F14">
      <w:pPr>
        <w:pStyle w:val="Header"/>
        <w:tabs>
          <w:tab w:val="clear" w:pos="4513"/>
          <w:tab w:val="clear" w:pos="9026"/>
          <w:tab w:val="center" w:pos="-3544"/>
          <w:tab w:val="center" w:pos="1134"/>
          <w:tab w:val="center" w:pos="4320"/>
          <w:tab w:val="right" w:pos="8640"/>
        </w:tabs>
        <w:spacing w:line="480" w:lineRule="auto"/>
        <w:ind w:left="709" w:hanging="425"/>
        <w:jc w:val="both"/>
      </w:pPr>
      <w:proofErr w:type="spellStart"/>
      <w:r>
        <w:rPr>
          <w:lang w:val="en-GB"/>
        </w:rPr>
        <w:t>Fombrun</w:t>
      </w:r>
      <w:proofErr w:type="spellEnd"/>
      <w:r>
        <w:rPr>
          <w:lang w:val="en-GB"/>
        </w:rPr>
        <w:t>, C.</w:t>
      </w:r>
      <w:r w:rsidRPr="00953AC1">
        <w:rPr>
          <w:lang w:val="en-GB"/>
        </w:rPr>
        <w:t xml:space="preserve"> </w:t>
      </w:r>
      <w:r>
        <w:rPr>
          <w:lang w:val="en-GB"/>
        </w:rPr>
        <w:t>(</w:t>
      </w:r>
      <w:r w:rsidRPr="00953AC1">
        <w:rPr>
          <w:lang w:val="en-GB"/>
        </w:rPr>
        <w:t>1996</w:t>
      </w:r>
      <w:r>
        <w:rPr>
          <w:lang w:val="en-GB"/>
        </w:rPr>
        <w:t>)</w:t>
      </w:r>
      <w:r w:rsidRPr="00953AC1">
        <w:rPr>
          <w:lang w:val="en-GB"/>
        </w:rPr>
        <w:t xml:space="preserve">. </w:t>
      </w:r>
      <w:r>
        <w:rPr>
          <w:lang w:val="en-GB"/>
        </w:rPr>
        <w:t>‘</w:t>
      </w:r>
      <w:r w:rsidRPr="00953AC1">
        <w:rPr>
          <w:i/>
          <w:iCs/>
          <w:lang w:val="en-GB"/>
        </w:rPr>
        <w:t>Reputation: Realizing value from the corporate image</w:t>
      </w:r>
      <w:r w:rsidRPr="00953AC1">
        <w:rPr>
          <w:lang w:val="en-GB"/>
        </w:rPr>
        <w:t>.</w:t>
      </w:r>
      <w:r>
        <w:rPr>
          <w:lang w:val="en-GB"/>
        </w:rPr>
        <w:t>’</w:t>
      </w:r>
      <w:r w:rsidRPr="00953AC1">
        <w:rPr>
          <w:lang w:val="en-GB"/>
        </w:rPr>
        <w:t xml:space="preserve"> Boston: Harvard Business School Press.</w:t>
      </w:r>
    </w:p>
    <w:p w:rsidR="00C06585" w:rsidRDefault="00C06585" w:rsidP="00F54F14">
      <w:pPr>
        <w:pStyle w:val="Header"/>
        <w:tabs>
          <w:tab w:val="clear" w:pos="4513"/>
          <w:tab w:val="clear" w:pos="9026"/>
          <w:tab w:val="center" w:pos="-4820"/>
          <w:tab w:val="center" w:pos="-3544"/>
          <w:tab w:val="right" w:pos="8640"/>
        </w:tabs>
        <w:spacing w:line="480" w:lineRule="auto"/>
        <w:ind w:left="272"/>
        <w:jc w:val="both"/>
      </w:pPr>
      <w:r w:rsidRPr="009A4D2F">
        <w:t>Fombrun</w:t>
      </w:r>
      <w:r>
        <w:t>,</w:t>
      </w:r>
      <w:r w:rsidRPr="009A4D2F">
        <w:t xml:space="preserve"> C</w:t>
      </w:r>
      <w:r>
        <w:t>.</w:t>
      </w:r>
      <w:r w:rsidRPr="009A4D2F">
        <w:t xml:space="preserve"> and Shanley</w:t>
      </w:r>
      <w:r>
        <w:t>,</w:t>
      </w:r>
      <w:r w:rsidRPr="009A4D2F">
        <w:t xml:space="preserve"> M. (1990).</w:t>
      </w:r>
      <w:r w:rsidR="005D5309">
        <w:rPr>
          <w:lang w:val="en-GB"/>
        </w:rPr>
        <w:t xml:space="preserve"> </w:t>
      </w:r>
      <w:r>
        <w:t>‘</w:t>
      </w:r>
      <w:r w:rsidRPr="009A4D2F">
        <w:t xml:space="preserve">What's in a name: </w:t>
      </w:r>
      <w:r>
        <w:t>R</w:t>
      </w:r>
      <w:r w:rsidRPr="009A4D2F">
        <w:t>eputation building and corporate</w:t>
      </w:r>
    </w:p>
    <w:p w:rsidR="000C5973" w:rsidRDefault="005D5309" w:rsidP="00F54F14">
      <w:pPr>
        <w:pStyle w:val="Header"/>
        <w:tabs>
          <w:tab w:val="clear" w:pos="4513"/>
          <w:tab w:val="clear" w:pos="9026"/>
          <w:tab w:val="center" w:pos="-4820"/>
          <w:tab w:val="center" w:pos="-3544"/>
          <w:tab w:val="right" w:pos="8640"/>
        </w:tabs>
        <w:spacing w:line="480" w:lineRule="auto"/>
        <w:ind w:left="272" w:firstLine="448"/>
        <w:jc w:val="both"/>
        <w:rPr>
          <w:lang w:val="en-GB"/>
        </w:rPr>
      </w:pPr>
      <w:r w:rsidRPr="009A4D2F">
        <w:t>S</w:t>
      </w:r>
      <w:r w:rsidR="00C06585" w:rsidRPr="009A4D2F">
        <w:t>trategy</w:t>
      </w:r>
      <w:r>
        <w:rPr>
          <w:lang w:val="en-GB"/>
        </w:rPr>
        <w:t>.</w:t>
      </w:r>
      <w:r w:rsidR="00C06585">
        <w:t>’</w:t>
      </w:r>
      <w:r w:rsidR="00C06585" w:rsidRPr="009A4D2F">
        <w:t xml:space="preserve"> </w:t>
      </w:r>
      <w:r w:rsidR="00C06585" w:rsidRPr="009A4D2F">
        <w:rPr>
          <w:i/>
        </w:rPr>
        <w:t>Academy of Management Journal,</w:t>
      </w:r>
      <w:r w:rsidR="00C06585">
        <w:rPr>
          <w:i/>
        </w:rPr>
        <w:t xml:space="preserve"> </w:t>
      </w:r>
      <w:r w:rsidR="00C06585" w:rsidRPr="009A4D2F">
        <w:rPr>
          <w:b/>
        </w:rPr>
        <w:t>33</w:t>
      </w:r>
      <w:r w:rsidR="00C06585">
        <w:t>,</w:t>
      </w:r>
      <w:r w:rsidR="00C06585" w:rsidRPr="009A4D2F">
        <w:t xml:space="preserve"> 233-258</w:t>
      </w:r>
      <w:r w:rsidR="00C06585">
        <w:t>.</w:t>
      </w:r>
    </w:p>
    <w:p w:rsidR="000C5973" w:rsidRPr="008E1259" w:rsidRDefault="000C5973" w:rsidP="00F54F14">
      <w:pPr>
        <w:pStyle w:val="Header"/>
        <w:tabs>
          <w:tab w:val="clear" w:pos="4513"/>
          <w:tab w:val="clear" w:pos="9026"/>
          <w:tab w:val="center" w:pos="-4820"/>
          <w:tab w:val="center" w:pos="-3544"/>
          <w:tab w:val="center" w:pos="709"/>
          <w:tab w:val="right" w:pos="8640"/>
        </w:tabs>
        <w:spacing w:line="480" w:lineRule="auto"/>
        <w:ind w:left="709" w:hanging="425"/>
        <w:jc w:val="both"/>
        <w:rPr>
          <w:lang w:val="en-GB"/>
        </w:rPr>
      </w:pPr>
      <w:r w:rsidRPr="008E1259">
        <w:t>Fombrun,</w:t>
      </w:r>
      <w:r w:rsidRPr="008E1259">
        <w:rPr>
          <w:lang w:val="en-GB"/>
        </w:rPr>
        <w:t>C.</w:t>
      </w:r>
      <w:r w:rsidRPr="008E1259">
        <w:t xml:space="preserve"> </w:t>
      </w:r>
      <w:r w:rsidR="007633A5">
        <w:rPr>
          <w:lang w:val="en-GB"/>
        </w:rPr>
        <w:t xml:space="preserve">and </w:t>
      </w:r>
      <w:r w:rsidRPr="008E1259">
        <w:rPr>
          <w:lang w:val="en-GB"/>
        </w:rPr>
        <w:t xml:space="preserve">Van </w:t>
      </w:r>
      <w:r w:rsidRPr="008E1259">
        <w:t>Riel</w:t>
      </w:r>
      <w:r w:rsidRPr="008E1259">
        <w:rPr>
          <w:lang w:val="en-GB"/>
        </w:rPr>
        <w:t>, C</w:t>
      </w:r>
      <w:r w:rsidR="008E1259">
        <w:rPr>
          <w:lang w:val="en-GB"/>
        </w:rPr>
        <w:t>.</w:t>
      </w:r>
      <w:r w:rsidRPr="008E1259">
        <w:t xml:space="preserve"> </w:t>
      </w:r>
      <w:r w:rsidRPr="008E1259">
        <w:rPr>
          <w:lang w:val="en-GB"/>
        </w:rPr>
        <w:t xml:space="preserve">(1997). </w:t>
      </w:r>
      <w:r w:rsidR="008E1259">
        <w:rPr>
          <w:lang w:val="en-GB"/>
        </w:rPr>
        <w:t>‘</w:t>
      </w:r>
      <w:r w:rsidRPr="008E1259">
        <w:rPr>
          <w:lang w:val="en-GB"/>
        </w:rPr>
        <w:t>The reputational landscape</w:t>
      </w:r>
      <w:r w:rsidR="008E1259">
        <w:rPr>
          <w:lang w:val="en-GB"/>
        </w:rPr>
        <w:t>’</w:t>
      </w:r>
      <w:r w:rsidRPr="008E1259">
        <w:rPr>
          <w:lang w:val="en-GB"/>
        </w:rPr>
        <w:t xml:space="preserve">. </w:t>
      </w:r>
      <w:r w:rsidRPr="008E1259">
        <w:rPr>
          <w:i/>
        </w:rPr>
        <w:t xml:space="preserve">Corporate </w:t>
      </w:r>
      <w:r w:rsidRPr="008E1259">
        <w:rPr>
          <w:bCs/>
          <w:i/>
        </w:rPr>
        <w:t xml:space="preserve">reputation </w:t>
      </w:r>
      <w:r w:rsidRPr="008E1259">
        <w:rPr>
          <w:i/>
        </w:rPr>
        <w:t>review</w:t>
      </w:r>
      <w:r w:rsidRPr="008E1259">
        <w:t>,</w:t>
      </w:r>
      <w:r w:rsidR="008E1259" w:rsidRPr="008E1259">
        <w:rPr>
          <w:lang w:val="en-GB"/>
        </w:rPr>
        <w:t xml:space="preserve"> </w:t>
      </w:r>
      <w:r w:rsidR="008E1259" w:rsidRPr="008E1259">
        <w:rPr>
          <w:b/>
          <w:lang w:val="en-GB"/>
        </w:rPr>
        <w:t>1</w:t>
      </w:r>
      <w:r w:rsidR="008E1259" w:rsidRPr="008E1259">
        <w:rPr>
          <w:lang w:val="en-GB"/>
        </w:rPr>
        <w:t>, 5-13.</w:t>
      </w:r>
    </w:p>
    <w:p w:rsidR="00C06585" w:rsidRDefault="00C06585" w:rsidP="00F54F14">
      <w:pPr>
        <w:pStyle w:val="Header"/>
        <w:tabs>
          <w:tab w:val="clear" w:pos="4513"/>
          <w:tab w:val="clear" w:pos="9026"/>
          <w:tab w:val="center" w:pos="-4820"/>
          <w:tab w:val="center" w:pos="-3544"/>
          <w:tab w:val="right" w:pos="8640"/>
        </w:tabs>
        <w:spacing w:line="480" w:lineRule="auto"/>
        <w:ind w:left="272"/>
        <w:jc w:val="both"/>
      </w:pPr>
      <w:r w:rsidRPr="009A4D2F">
        <w:t>Gabbioneta, C., Ravasi, D. and Mazzola, P. (2007).</w:t>
      </w:r>
      <w:r>
        <w:t>‘</w:t>
      </w:r>
      <w:r w:rsidRPr="009A4D2F">
        <w:t>Exploring the drivers of corporate reputation.</w:t>
      </w:r>
    </w:p>
    <w:p w:rsidR="00C06585" w:rsidRDefault="00C06585" w:rsidP="00F54F14">
      <w:pPr>
        <w:pStyle w:val="Header"/>
        <w:tabs>
          <w:tab w:val="clear" w:pos="4513"/>
          <w:tab w:val="clear" w:pos="9026"/>
          <w:tab w:val="center" w:pos="-4820"/>
          <w:tab w:val="center" w:pos="-3544"/>
          <w:tab w:val="right" w:pos="8640"/>
        </w:tabs>
        <w:spacing w:line="480" w:lineRule="auto"/>
        <w:ind w:left="272" w:firstLine="448"/>
        <w:jc w:val="both"/>
        <w:rPr>
          <w:lang w:val="en-GB"/>
        </w:rPr>
      </w:pPr>
      <w:r w:rsidRPr="009A4D2F">
        <w:t>A study of Italian security analysts</w:t>
      </w:r>
      <w:r>
        <w:t>’</w:t>
      </w:r>
      <w:r w:rsidRPr="009A4D2F">
        <w:t>.</w:t>
      </w:r>
      <w:r w:rsidR="002364D6">
        <w:t xml:space="preserve"> </w:t>
      </w:r>
      <w:r w:rsidRPr="009A4D2F">
        <w:rPr>
          <w:i/>
        </w:rPr>
        <w:t>Corporate Reputation Review</w:t>
      </w:r>
      <w:r w:rsidRPr="009A4D2F">
        <w:t xml:space="preserve">, </w:t>
      </w:r>
      <w:r w:rsidRPr="009A4D2F">
        <w:rPr>
          <w:b/>
        </w:rPr>
        <w:t>10</w:t>
      </w:r>
      <w:r>
        <w:t>,</w:t>
      </w:r>
      <w:r w:rsidRPr="009A4D2F">
        <w:t xml:space="preserve"> 99-123</w:t>
      </w:r>
      <w:r>
        <w:t>.</w:t>
      </w:r>
    </w:p>
    <w:p w:rsidR="007C323C" w:rsidRPr="00726B59" w:rsidRDefault="007C323C" w:rsidP="00F54F14">
      <w:pPr>
        <w:pStyle w:val="Header"/>
        <w:tabs>
          <w:tab w:val="clear" w:pos="4513"/>
          <w:tab w:val="clear" w:pos="9026"/>
          <w:tab w:val="center" w:pos="-4820"/>
          <w:tab w:val="center" w:pos="-3544"/>
          <w:tab w:val="center" w:pos="993"/>
          <w:tab w:val="right" w:pos="8640"/>
        </w:tabs>
        <w:spacing w:line="480" w:lineRule="auto"/>
        <w:ind w:left="709" w:hanging="425"/>
        <w:jc w:val="both"/>
        <w:rPr>
          <w:lang w:val="en-GB" w:eastAsia="en-GB"/>
        </w:rPr>
      </w:pPr>
      <w:proofErr w:type="spellStart"/>
      <w:r w:rsidRPr="00C70CB4">
        <w:rPr>
          <w:lang w:val="en-GB" w:eastAsia="en-GB"/>
        </w:rPr>
        <w:t>Gerring</w:t>
      </w:r>
      <w:proofErr w:type="spellEnd"/>
      <w:r w:rsidR="003A2010" w:rsidRPr="00C70CB4">
        <w:rPr>
          <w:lang w:val="en-GB" w:eastAsia="en-GB"/>
        </w:rPr>
        <w:t>,</w:t>
      </w:r>
      <w:r w:rsidRPr="00C70CB4">
        <w:rPr>
          <w:lang w:val="en-GB" w:eastAsia="en-GB"/>
        </w:rPr>
        <w:t xml:space="preserve"> J</w:t>
      </w:r>
      <w:r w:rsidR="006706F7" w:rsidRPr="00C70CB4">
        <w:rPr>
          <w:lang w:val="en-GB" w:eastAsia="en-GB"/>
        </w:rPr>
        <w:t>.</w:t>
      </w:r>
      <w:r w:rsidRPr="00726B59">
        <w:rPr>
          <w:lang w:val="en-GB" w:eastAsia="en-GB"/>
        </w:rPr>
        <w:t>, Bond</w:t>
      </w:r>
      <w:r w:rsidR="003A2010" w:rsidRPr="00726B59">
        <w:rPr>
          <w:lang w:val="en-GB" w:eastAsia="en-GB"/>
        </w:rPr>
        <w:t>,</w:t>
      </w:r>
      <w:r w:rsidRPr="00726B59">
        <w:rPr>
          <w:lang w:val="en-GB" w:eastAsia="en-GB"/>
        </w:rPr>
        <w:t xml:space="preserve"> P</w:t>
      </w:r>
      <w:r w:rsidR="006706F7" w:rsidRPr="00726B59">
        <w:rPr>
          <w:lang w:val="en-GB" w:eastAsia="en-GB"/>
        </w:rPr>
        <w:t>.</w:t>
      </w:r>
      <w:r w:rsidRPr="00726B59">
        <w:rPr>
          <w:lang w:val="en-GB" w:eastAsia="en-GB"/>
        </w:rPr>
        <w:t xml:space="preserve">, </w:t>
      </w:r>
      <w:proofErr w:type="spellStart"/>
      <w:r w:rsidRPr="00726B59">
        <w:rPr>
          <w:lang w:val="en-GB" w:eastAsia="en-GB"/>
        </w:rPr>
        <w:t>Barndt</w:t>
      </w:r>
      <w:proofErr w:type="spellEnd"/>
      <w:r w:rsidR="003A2010" w:rsidRPr="00726B59">
        <w:rPr>
          <w:lang w:val="en-GB" w:eastAsia="en-GB"/>
        </w:rPr>
        <w:t>,</w:t>
      </w:r>
      <w:r w:rsidRPr="00726B59">
        <w:rPr>
          <w:lang w:val="en-GB" w:eastAsia="en-GB"/>
        </w:rPr>
        <w:t xml:space="preserve"> W</w:t>
      </w:r>
      <w:r w:rsidR="003A2010" w:rsidRPr="00726B59">
        <w:rPr>
          <w:lang w:val="en-GB" w:eastAsia="en-GB"/>
        </w:rPr>
        <w:t>.</w:t>
      </w:r>
      <w:r w:rsidRPr="00726B59">
        <w:rPr>
          <w:lang w:val="en-GB" w:eastAsia="en-GB"/>
        </w:rPr>
        <w:t>T</w:t>
      </w:r>
      <w:r w:rsidR="003A2010" w:rsidRPr="00726B59">
        <w:rPr>
          <w:lang w:val="en-GB" w:eastAsia="en-GB"/>
        </w:rPr>
        <w:t>.</w:t>
      </w:r>
      <w:r w:rsidRPr="00726B59">
        <w:rPr>
          <w:lang w:val="en-GB" w:eastAsia="en-GB"/>
        </w:rPr>
        <w:t xml:space="preserve"> and Moreno</w:t>
      </w:r>
      <w:r w:rsidR="003A2010" w:rsidRPr="00726B59">
        <w:rPr>
          <w:lang w:val="en-GB" w:eastAsia="en-GB"/>
        </w:rPr>
        <w:t>,</w:t>
      </w:r>
      <w:r w:rsidRPr="00726B59">
        <w:rPr>
          <w:lang w:val="en-GB" w:eastAsia="en-GB"/>
        </w:rPr>
        <w:t xml:space="preserve"> C. </w:t>
      </w:r>
      <w:r w:rsidR="005D5309" w:rsidRPr="00726B59">
        <w:rPr>
          <w:lang w:val="en-GB" w:eastAsia="en-GB"/>
        </w:rPr>
        <w:t>(</w:t>
      </w:r>
      <w:r w:rsidRPr="00726B59">
        <w:rPr>
          <w:lang w:val="en-GB" w:eastAsia="en-GB"/>
        </w:rPr>
        <w:t>2005</w:t>
      </w:r>
      <w:r w:rsidR="005D5309" w:rsidRPr="00726B59">
        <w:rPr>
          <w:lang w:val="en-GB" w:eastAsia="en-GB"/>
        </w:rPr>
        <w:t>)</w:t>
      </w:r>
      <w:r w:rsidRPr="00726B59">
        <w:rPr>
          <w:lang w:val="en-GB" w:eastAsia="en-GB"/>
        </w:rPr>
        <w:t xml:space="preserve">. </w:t>
      </w:r>
      <w:r w:rsidR="005D5309" w:rsidRPr="00726B59">
        <w:rPr>
          <w:lang w:val="en-GB" w:eastAsia="en-GB"/>
        </w:rPr>
        <w:t>‘</w:t>
      </w:r>
      <w:r w:rsidRPr="00726B59">
        <w:rPr>
          <w:lang w:val="en-GB" w:eastAsia="en-GB"/>
        </w:rPr>
        <w:t>Democracy and economic growth</w:t>
      </w:r>
      <w:r w:rsidR="005D5309" w:rsidRPr="00726B59">
        <w:rPr>
          <w:lang w:val="en-GB" w:eastAsia="en-GB"/>
        </w:rPr>
        <w:t>’</w:t>
      </w:r>
      <w:r w:rsidRPr="00726B59">
        <w:rPr>
          <w:lang w:val="en-GB" w:eastAsia="en-GB"/>
        </w:rPr>
        <w:t xml:space="preserve">. </w:t>
      </w:r>
      <w:r w:rsidRPr="00726B59">
        <w:rPr>
          <w:bCs/>
          <w:i/>
          <w:iCs/>
          <w:lang w:val="en-GB" w:eastAsia="en-GB"/>
        </w:rPr>
        <w:t>World Politics</w:t>
      </w:r>
      <w:r w:rsidRPr="00726B59">
        <w:rPr>
          <w:lang w:val="en-GB" w:eastAsia="en-GB"/>
        </w:rPr>
        <w:t xml:space="preserve">, </w:t>
      </w:r>
      <w:r w:rsidRPr="00726B59">
        <w:rPr>
          <w:b/>
          <w:lang w:val="en-GB" w:eastAsia="en-GB"/>
        </w:rPr>
        <w:t>57</w:t>
      </w:r>
      <w:r w:rsidR="006706F7" w:rsidRPr="00726B59">
        <w:rPr>
          <w:lang w:val="en-GB" w:eastAsia="en-GB"/>
        </w:rPr>
        <w:t xml:space="preserve">, </w:t>
      </w:r>
      <w:r w:rsidRPr="00726B59">
        <w:rPr>
          <w:lang w:val="en-GB" w:eastAsia="en-GB"/>
        </w:rPr>
        <w:t>323-364.</w:t>
      </w:r>
    </w:p>
    <w:p w:rsidR="003A2010" w:rsidRPr="00C70CB4" w:rsidRDefault="003A2010" w:rsidP="00F54F14">
      <w:pPr>
        <w:tabs>
          <w:tab w:val="center" w:pos="-3544"/>
        </w:tabs>
        <w:autoSpaceDE w:val="0"/>
        <w:autoSpaceDN w:val="0"/>
        <w:adjustRightInd w:val="0"/>
        <w:spacing w:line="480" w:lineRule="auto"/>
        <w:ind w:left="709" w:hanging="425"/>
        <w:rPr>
          <w:lang w:val="en-GB" w:eastAsia="en-GB"/>
        </w:rPr>
      </w:pPr>
      <w:proofErr w:type="spellStart"/>
      <w:r w:rsidRPr="00726B59">
        <w:rPr>
          <w:lang w:val="en-GB" w:eastAsia="en-GB"/>
        </w:rPr>
        <w:t>Giffin</w:t>
      </w:r>
      <w:proofErr w:type="spellEnd"/>
      <w:r w:rsidRPr="00726B59">
        <w:rPr>
          <w:lang w:val="en-GB" w:eastAsia="en-GB"/>
        </w:rPr>
        <w:t xml:space="preserve">, </w:t>
      </w:r>
      <w:r w:rsidR="004326EB" w:rsidRPr="00726B59">
        <w:rPr>
          <w:lang w:val="en-GB" w:eastAsia="en-GB"/>
        </w:rPr>
        <w:t xml:space="preserve">K. </w:t>
      </w:r>
      <w:r w:rsidRPr="00726B59">
        <w:rPr>
          <w:lang w:val="en-GB" w:eastAsia="en-GB"/>
        </w:rPr>
        <w:t>(1967). ‘</w:t>
      </w:r>
      <w:r w:rsidR="004326EB" w:rsidRPr="00726B59">
        <w:rPr>
          <w:lang w:val="en-GB" w:eastAsia="en-GB"/>
        </w:rPr>
        <w:t>The contribution of studies of source credibility to a theory of interpersonal trust in the communication process.’</w:t>
      </w:r>
      <w:r w:rsidR="004326EB" w:rsidRPr="00726B59">
        <w:rPr>
          <w:lang w:val="en-GB"/>
        </w:rPr>
        <w:t xml:space="preserve"> </w:t>
      </w:r>
      <w:r w:rsidR="004326EB" w:rsidRPr="00726B59">
        <w:rPr>
          <w:bCs/>
          <w:i/>
          <w:iCs/>
          <w:lang w:val="en-GB"/>
        </w:rPr>
        <w:t>Psychological Bulletin</w:t>
      </w:r>
      <w:r w:rsidR="004326EB" w:rsidRPr="00726B59">
        <w:rPr>
          <w:bCs/>
          <w:lang w:val="en-GB"/>
        </w:rPr>
        <w:t xml:space="preserve">, </w:t>
      </w:r>
      <w:r w:rsidR="004326EB" w:rsidRPr="00726B59">
        <w:rPr>
          <w:b/>
          <w:bCs/>
          <w:lang w:val="en-GB"/>
        </w:rPr>
        <w:t>68</w:t>
      </w:r>
      <w:r w:rsidR="006706F7" w:rsidRPr="00726B59">
        <w:rPr>
          <w:bCs/>
          <w:lang w:val="en-GB"/>
        </w:rPr>
        <w:t xml:space="preserve">, </w:t>
      </w:r>
      <w:r w:rsidR="004326EB" w:rsidRPr="00726B59">
        <w:rPr>
          <w:bCs/>
          <w:lang w:val="en-GB"/>
        </w:rPr>
        <w:t>104-120</w:t>
      </w:r>
    </w:p>
    <w:p w:rsidR="00C06585" w:rsidRDefault="00C06585" w:rsidP="00F54F14">
      <w:pPr>
        <w:pStyle w:val="Header"/>
        <w:tabs>
          <w:tab w:val="clear" w:pos="4513"/>
          <w:tab w:val="clear" w:pos="9026"/>
          <w:tab w:val="center" w:pos="-4820"/>
          <w:tab w:val="center" w:pos="-3544"/>
          <w:tab w:val="right" w:pos="8640"/>
        </w:tabs>
        <w:autoSpaceDE w:val="0"/>
        <w:autoSpaceDN w:val="0"/>
        <w:adjustRightInd w:val="0"/>
        <w:spacing w:line="480" w:lineRule="auto"/>
        <w:ind w:left="272"/>
        <w:jc w:val="both"/>
        <w:rPr>
          <w:color w:val="231F20"/>
          <w:lang w:val="en-GB" w:eastAsia="en-GB"/>
        </w:rPr>
      </w:pPr>
      <w:r w:rsidRPr="009A4D2F">
        <w:rPr>
          <w:color w:val="231F20"/>
          <w:lang w:val="en-GB" w:eastAsia="en-GB"/>
        </w:rPr>
        <w:t>Greenwood, R., Li, S</w:t>
      </w:r>
      <w:r>
        <w:rPr>
          <w:color w:val="231F20"/>
          <w:lang w:val="en-GB" w:eastAsia="en-GB"/>
        </w:rPr>
        <w:t>.</w:t>
      </w:r>
      <w:r w:rsidRPr="009A4D2F">
        <w:rPr>
          <w:color w:val="231F20"/>
          <w:lang w:val="en-GB" w:eastAsia="en-GB"/>
        </w:rPr>
        <w:t>X., Prakash, R. and Deephouse, D</w:t>
      </w:r>
      <w:r>
        <w:rPr>
          <w:color w:val="231F20"/>
          <w:lang w:val="en-GB" w:eastAsia="en-GB"/>
        </w:rPr>
        <w:t>.</w:t>
      </w:r>
      <w:r w:rsidRPr="009A4D2F">
        <w:rPr>
          <w:color w:val="231F20"/>
          <w:lang w:val="en-GB" w:eastAsia="en-GB"/>
        </w:rPr>
        <w:t xml:space="preserve">L. (2005). ‘Reputation, </w:t>
      </w:r>
      <w:r>
        <w:rPr>
          <w:color w:val="231F20"/>
          <w:lang w:val="en-GB" w:eastAsia="en-GB"/>
        </w:rPr>
        <w:t>d</w:t>
      </w:r>
      <w:r w:rsidRPr="009A4D2F">
        <w:rPr>
          <w:color w:val="231F20"/>
          <w:lang w:val="en-GB" w:eastAsia="en-GB"/>
        </w:rPr>
        <w:t xml:space="preserve">iversification, </w:t>
      </w:r>
    </w:p>
    <w:p w:rsidR="009D121C" w:rsidRDefault="002364D6" w:rsidP="00F54F14">
      <w:pPr>
        <w:pStyle w:val="Header"/>
        <w:tabs>
          <w:tab w:val="clear" w:pos="4513"/>
          <w:tab w:val="clear" w:pos="9026"/>
          <w:tab w:val="center" w:pos="-4820"/>
          <w:tab w:val="center" w:pos="-3544"/>
          <w:tab w:val="right" w:pos="8640"/>
        </w:tabs>
        <w:autoSpaceDE w:val="0"/>
        <w:autoSpaceDN w:val="0"/>
        <w:adjustRightInd w:val="0"/>
        <w:spacing w:line="480" w:lineRule="auto"/>
        <w:ind w:left="720"/>
        <w:jc w:val="both"/>
        <w:rPr>
          <w:color w:val="231F20"/>
          <w:lang w:val="en-GB" w:eastAsia="en-GB"/>
        </w:rPr>
      </w:pPr>
      <w:r>
        <w:rPr>
          <w:color w:val="231F20"/>
          <w:lang w:val="en-GB" w:eastAsia="en-GB"/>
        </w:rPr>
        <w:t>a</w:t>
      </w:r>
      <w:r w:rsidR="00C06585" w:rsidRPr="009A4D2F">
        <w:rPr>
          <w:color w:val="231F20"/>
          <w:lang w:val="en-GB" w:eastAsia="en-GB"/>
        </w:rPr>
        <w:t>nd</w:t>
      </w:r>
      <w:r>
        <w:rPr>
          <w:color w:val="231F20"/>
          <w:lang w:val="en-GB" w:eastAsia="en-GB"/>
        </w:rPr>
        <w:t xml:space="preserve"> </w:t>
      </w:r>
      <w:r w:rsidR="00D60884">
        <w:rPr>
          <w:color w:val="231F20"/>
          <w:lang w:val="en-GB" w:eastAsia="en-GB"/>
        </w:rPr>
        <w:t>organization</w:t>
      </w:r>
      <w:r w:rsidR="00C06585" w:rsidRPr="009A4D2F">
        <w:rPr>
          <w:color w:val="231F20"/>
          <w:lang w:val="en-GB" w:eastAsia="en-GB"/>
        </w:rPr>
        <w:t xml:space="preserve">al </w:t>
      </w:r>
      <w:r w:rsidR="00C06585">
        <w:rPr>
          <w:color w:val="231F20"/>
          <w:lang w:val="en-GB" w:eastAsia="en-GB"/>
        </w:rPr>
        <w:t>e</w:t>
      </w:r>
      <w:r w:rsidR="00C06585" w:rsidRPr="009A4D2F">
        <w:rPr>
          <w:color w:val="231F20"/>
          <w:lang w:val="en-GB" w:eastAsia="en-GB"/>
        </w:rPr>
        <w:t xml:space="preserve">xplanations of </w:t>
      </w:r>
      <w:r w:rsidR="00C06585">
        <w:rPr>
          <w:color w:val="231F20"/>
          <w:lang w:val="en-GB" w:eastAsia="en-GB"/>
        </w:rPr>
        <w:t>p</w:t>
      </w:r>
      <w:r w:rsidR="00C06585" w:rsidRPr="009A4D2F">
        <w:rPr>
          <w:color w:val="231F20"/>
          <w:lang w:val="en-GB" w:eastAsia="en-GB"/>
        </w:rPr>
        <w:t xml:space="preserve">erformance in </w:t>
      </w:r>
      <w:r w:rsidR="00C06585">
        <w:rPr>
          <w:color w:val="231F20"/>
          <w:lang w:val="en-GB" w:eastAsia="en-GB"/>
        </w:rPr>
        <w:t>p</w:t>
      </w:r>
      <w:r w:rsidR="00C06585" w:rsidRPr="009A4D2F">
        <w:rPr>
          <w:color w:val="231F20"/>
          <w:lang w:val="en-GB" w:eastAsia="en-GB"/>
        </w:rPr>
        <w:t xml:space="preserve">rofessional </w:t>
      </w:r>
      <w:r w:rsidR="00C06585">
        <w:rPr>
          <w:color w:val="231F20"/>
          <w:lang w:val="en-GB" w:eastAsia="en-GB"/>
        </w:rPr>
        <w:t>s</w:t>
      </w:r>
      <w:r w:rsidR="00C06585" w:rsidRPr="009A4D2F">
        <w:rPr>
          <w:color w:val="231F20"/>
          <w:lang w:val="en-GB" w:eastAsia="en-GB"/>
        </w:rPr>
        <w:t xml:space="preserve">ervice </w:t>
      </w:r>
      <w:r w:rsidR="00C06585">
        <w:rPr>
          <w:color w:val="231F20"/>
          <w:lang w:val="en-GB" w:eastAsia="en-GB"/>
        </w:rPr>
        <w:t>f</w:t>
      </w:r>
      <w:r w:rsidR="00C06585" w:rsidRPr="009A4D2F">
        <w:rPr>
          <w:color w:val="231F20"/>
          <w:lang w:val="en-GB" w:eastAsia="en-GB"/>
        </w:rPr>
        <w:t>irms’</w:t>
      </w:r>
      <w:r w:rsidR="00C06585">
        <w:rPr>
          <w:color w:val="231F20"/>
          <w:lang w:val="en-GB" w:eastAsia="en-GB"/>
        </w:rPr>
        <w:t>.</w:t>
      </w:r>
      <w:r>
        <w:rPr>
          <w:color w:val="231F20"/>
          <w:lang w:val="en-GB" w:eastAsia="en-GB"/>
        </w:rPr>
        <w:t xml:space="preserve"> </w:t>
      </w:r>
      <w:r w:rsidR="00C06585" w:rsidRPr="009A4D2F">
        <w:rPr>
          <w:i/>
          <w:iCs/>
          <w:color w:val="231F20"/>
          <w:lang w:val="en-GB" w:eastAsia="en-GB"/>
        </w:rPr>
        <w:t>Organization Science</w:t>
      </w:r>
      <w:r w:rsidR="00C06585">
        <w:rPr>
          <w:i/>
          <w:iCs/>
          <w:color w:val="231F20"/>
          <w:lang w:val="en-GB" w:eastAsia="en-GB"/>
        </w:rPr>
        <w:t>,</w:t>
      </w:r>
      <w:r w:rsidR="00C06585" w:rsidRPr="009A4D2F">
        <w:rPr>
          <w:b/>
          <w:color w:val="231F20"/>
          <w:lang w:val="en-GB" w:eastAsia="en-GB"/>
        </w:rPr>
        <w:t>16</w:t>
      </w:r>
      <w:r w:rsidR="00C06585">
        <w:rPr>
          <w:color w:val="231F20"/>
          <w:lang w:val="en-GB" w:eastAsia="en-GB"/>
        </w:rPr>
        <w:t>,</w:t>
      </w:r>
      <w:r w:rsidR="00C06585" w:rsidRPr="009A4D2F">
        <w:rPr>
          <w:color w:val="231F20"/>
          <w:lang w:val="en-GB" w:eastAsia="en-GB"/>
        </w:rPr>
        <w:t xml:space="preserve"> 661</w:t>
      </w:r>
      <w:r w:rsidR="006706F7">
        <w:rPr>
          <w:color w:val="231F20"/>
          <w:lang w:val="en-GB" w:eastAsia="en-GB"/>
        </w:rPr>
        <w:t>-</w:t>
      </w:r>
      <w:r w:rsidR="00C06585" w:rsidRPr="009A4D2F">
        <w:rPr>
          <w:color w:val="231F20"/>
          <w:lang w:val="en-GB" w:eastAsia="en-GB"/>
        </w:rPr>
        <w:t>76.</w:t>
      </w:r>
    </w:p>
    <w:p w:rsidR="009D121C" w:rsidRPr="009D121C" w:rsidRDefault="005B53F4" w:rsidP="00F54F14">
      <w:pPr>
        <w:pStyle w:val="Header"/>
        <w:tabs>
          <w:tab w:val="clear" w:pos="4513"/>
          <w:tab w:val="clear" w:pos="9026"/>
          <w:tab w:val="center" w:pos="-4820"/>
          <w:tab w:val="center" w:pos="-3544"/>
          <w:tab w:val="right" w:pos="8640"/>
        </w:tabs>
        <w:autoSpaceDE w:val="0"/>
        <w:autoSpaceDN w:val="0"/>
        <w:adjustRightInd w:val="0"/>
        <w:spacing w:line="480" w:lineRule="auto"/>
        <w:ind w:left="720" w:hanging="436"/>
        <w:jc w:val="both"/>
        <w:rPr>
          <w:color w:val="231F20"/>
          <w:lang w:val="en-GB" w:eastAsia="en-GB"/>
        </w:rPr>
      </w:pPr>
      <w:hyperlink r:id="rId15" w:history="1">
        <w:r w:rsidR="009D121C" w:rsidRPr="00E94531">
          <w:rPr>
            <w:rFonts w:eastAsia="Times New Roman"/>
            <w:lang w:eastAsia="en-GB"/>
          </w:rPr>
          <w:t>Grimaldi</w:t>
        </w:r>
      </w:hyperlink>
      <w:r w:rsidR="009D121C" w:rsidRPr="00E94531">
        <w:rPr>
          <w:rFonts w:eastAsia="Times New Roman"/>
          <w:lang w:eastAsia="en-GB"/>
        </w:rPr>
        <w:t xml:space="preserve">, R., Kenney, M., </w:t>
      </w:r>
      <w:hyperlink r:id="rId16" w:history="1">
        <w:r w:rsidR="009D121C" w:rsidRPr="00E94531">
          <w:rPr>
            <w:rFonts w:eastAsia="Times New Roman"/>
            <w:lang w:eastAsia="en-GB"/>
          </w:rPr>
          <w:t>Siegel</w:t>
        </w:r>
      </w:hyperlink>
      <w:r w:rsidR="009D121C" w:rsidRPr="00E94531">
        <w:rPr>
          <w:rFonts w:eastAsia="Times New Roman"/>
          <w:lang w:eastAsia="en-GB"/>
        </w:rPr>
        <w:t>, D.S.</w:t>
      </w:r>
      <w:r w:rsidR="007633A5">
        <w:rPr>
          <w:rFonts w:eastAsia="Times New Roman"/>
          <w:lang w:val="en-GB" w:eastAsia="en-GB"/>
        </w:rPr>
        <w:t xml:space="preserve"> and</w:t>
      </w:r>
      <w:r w:rsidR="009D121C" w:rsidRPr="00E94531">
        <w:rPr>
          <w:rFonts w:eastAsia="Times New Roman"/>
          <w:lang w:eastAsia="en-GB"/>
        </w:rPr>
        <w:t xml:space="preserve"> </w:t>
      </w:r>
      <w:hyperlink r:id="rId17" w:history="1">
        <w:r w:rsidR="009D121C" w:rsidRPr="00E94531">
          <w:rPr>
            <w:rFonts w:eastAsia="Times New Roman"/>
            <w:lang w:eastAsia="en-GB"/>
          </w:rPr>
          <w:t>Wright</w:t>
        </w:r>
      </w:hyperlink>
      <w:r w:rsidR="009D121C" w:rsidRPr="00E94531">
        <w:rPr>
          <w:rFonts w:eastAsia="Times New Roman"/>
          <w:lang w:eastAsia="en-GB"/>
        </w:rPr>
        <w:t xml:space="preserve">, M. (2011). </w:t>
      </w:r>
      <w:r w:rsidR="005D5309">
        <w:rPr>
          <w:rFonts w:eastAsia="Times New Roman"/>
          <w:lang w:val="en-GB" w:eastAsia="en-GB"/>
        </w:rPr>
        <w:t>‘</w:t>
      </w:r>
      <w:hyperlink r:id="rId18" w:history="1">
        <w:r w:rsidR="009D121C" w:rsidRPr="00E94531">
          <w:rPr>
            <w:rFonts w:eastAsia="Times New Roman"/>
            <w:lang w:eastAsia="en-GB"/>
          </w:rPr>
          <w:t xml:space="preserve">30 years after Bayh–Dole: Reassessing </w:t>
        </w:r>
        <w:r w:rsidR="009D121C" w:rsidRPr="00E94531">
          <w:rPr>
            <w:rFonts w:eastAsia="Times New Roman"/>
            <w:bCs/>
            <w:lang w:eastAsia="en-GB"/>
          </w:rPr>
          <w:t>academic entrepreneurship</w:t>
        </w:r>
      </w:hyperlink>
      <w:r w:rsidR="005D5309">
        <w:rPr>
          <w:rFonts w:eastAsia="Times New Roman"/>
          <w:bCs/>
          <w:lang w:val="en-GB" w:eastAsia="en-GB"/>
        </w:rPr>
        <w:t>’</w:t>
      </w:r>
      <w:r w:rsidR="005D5309">
        <w:rPr>
          <w:rFonts w:eastAsia="Times New Roman"/>
          <w:lang w:val="en-GB" w:eastAsia="en-GB"/>
        </w:rPr>
        <w:t>.</w:t>
      </w:r>
      <w:r w:rsidR="009D121C" w:rsidRPr="00E94531">
        <w:rPr>
          <w:rFonts w:eastAsia="Times New Roman"/>
          <w:lang w:eastAsia="en-GB"/>
        </w:rPr>
        <w:t xml:space="preserve"> </w:t>
      </w:r>
      <w:r w:rsidR="009D121C" w:rsidRPr="00E94531">
        <w:rPr>
          <w:rFonts w:eastAsia="Times New Roman"/>
          <w:i/>
          <w:lang w:eastAsia="en-GB"/>
        </w:rPr>
        <w:t>Research Policy</w:t>
      </w:r>
      <w:r w:rsidR="009D121C">
        <w:rPr>
          <w:rFonts w:eastAsia="Times New Roman"/>
          <w:lang w:eastAsia="en-GB"/>
        </w:rPr>
        <w:t xml:space="preserve">, </w:t>
      </w:r>
      <w:r w:rsidR="009D121C" w:rsidRPr="008D1505">
        <w:rPr>
          <w:rFonts w:eastAsia="Times New Roman"/>
          <w:b/>
          <w:lang w:eastAsia="en-GB"/>
        </w:rPr>
        <w:t>40</w:t>
      </w:r>
      <w:r w:rsidR="009D121C">
        <w:rPr>
          <w:rFonts w:eastAsia="Times New Roman"/>
          <w:lang w:eastAsia="en-GB"/>
        </w:rPr>
        <w:t xml:space="preserve">, 1045-1057. </w:t>
      </w:r>
    </w:p>
    <w:p w:rsidR="00CA4DDC" w:rsidRDefault="00C06585" w:rsidP="00F54F14">
      <w:pPr>
        <w:pStyle w:val="Header"/>
        <w:tabs>
          <w:tab w:val="clear" w:pos="4513"/>
          <w:tab w:val="clear" w:pos="9026"/>
          <w:tab w:val="center" w:pos="-4820"/>
          <w:tab w:val="center" w:pos="-3544"/>
          <w:tab w:val="right" w:pos="8640"/>
        </w:tabs>
        <w:spacing w:line="480" w:lineRule="auto"/>
        <w:ind w:left="272"/>
        <w:jc w:val="both"/>
      </w:pPr>
      <w:r w:rsidRPr="009A4D2F">
        <w:t>Gujarati</w:t>
      </w:r>
      <w:r>
        <w:t>,</w:t>
      </w:r>
      <w:r w:rsidRPr="009A4D2F">
        <w:t xml:space="preserve"> D</w:t>
      </w:r>
      <w:r>
        <w:t>.</w:t>
      </w:r>
      <w:r w:rsidRPr="009A4D2F">
        <w:t xml:space="preserve">N. (2003). </w:t>
      </w:r>
      <w:r w:rsidRPr="009A4D2F">
        <w:rPr>
          <w:i/>
        </w:rPr>
        <w:t>Basic Econometrics</w:t>
      </w:r>
      <w:r w:rsidRPr="009A4D2F">
        <w:t>. NY: McGraw Hill</w:t>
      </w:r>
      <w:bookmarkStart w:id="1" w:name="note8"/>
      <w:r>
        <w:t>.</w:t>
      </w:r>
    </w:p>
    <w:p w:rsidR="00CA4DDC" w:rsidRDefault="00CA4DDC" w:rsidP="00F54F14">
      <w:pPr>
        <w:pStyle w:val="Header"/>
        <w:tabs>
          <w:tab w:val="clear" w:pos="4513"/>
          <w:tab w:val="clear" w:pos="9026"/>
          <w:tab w:val="center" w:pos="-4820"/>
          <w:tab w:val="center" w:pos="-3544"/>
          <w:tab w:val="center" w:pos="851"/>
          <w:tab w:val="right" w:pos="8640"/>
        </w:tabs>
        <w:spacing w:line="480" w:lineRule="auto"/>
        <w:ind w:left="709" w:hanging="425"/>
        <w:jc w:val="both"/>
        <w:rPr>
          <w:lang w:val="en-GB"/>
        </w:rPr>
      </w:pPr>
      <w:r>
        <w:t>Gulati, R. (1995</w:t>
      </w:r>
      <w:r w:rsidRPr="00CA4DDC">
        <w:t>). ‘Does familiarity breed trust? The</w:t>
      </w:r>
      <w:r>
        <w:t xml:space="preserve"> </w:t>
      </w:r>
      <w:r w:rsidRPr="00CA4DDC">
        <w:t>implications of repeated ties for contractual choice</w:t>
      </w:r>
      <w:r>
        <w:t xml:space="preserve"> </w:t>
      </w:r>
      <w:r w:rsidRPr="00CA4DDC">
        <w:t>in alliances’</w:t>
      </w:r>
      <w:r w:rsidR="001E635A">
        <w:rPr>
          <w:lang w:val="en-GB"/>
        </w:rPr>
        <w:t>.</w:t>
      </w:r>
      <w:r w:rsidRPr="00CA4DDC">
        <w:t xml:space="preserve"> </w:t>
      </w:r>
      <w:r w:rsidRPr="00CA4DDC">
        <w:rPr>
          <w:i/>
        </w:rPr>
        <w:t>Academy of Management Journal</w:t>
      </w:r>
      <w:r w:rsidRPr="00CA4DDC">
        <w:t xml:space="preserve">, </w:t>
      </w:r>
      <w:r w:rsidRPr="00CA4DDC">
        <w:rPr>
          <w:b/>
        </w:rPr>
        <w:t>38</w:t>
      </w:r>
      <w:r w:rsidRPr="00CA4DDC">
        <w:t>, 85</w:t>
      </w:r>
      <w:r w:rsidR="006706F7">
        <w:t>-</w:t>
      </w:r>
      <w:r w:rsidRPr="00CA4DDC">
        <w:t>112.</w:t>
      </w:r>
    </w:p>
    <w:p w:rsidR="00C06585" w:rsidRDefault="00C06585" w:rsidP="00F54F14">
      <w:pPr>
        <w:pStyle w:val="Header"/>
        <w:tabs>
          <w:tab w:val="clear" w:pos="4513"/>
          <w:tab w:val="clear" w:pos="9026"/>
          <w:tab w:val="center" w:pos="-4820"/>
          <w:tab w:val="center" w:pos="-3544"/>
          <w:tab w:val="right" w:pos="8640"/>
        </w:tabs>
        <w:spacing w:line="480" w:lineRule="auto"/>
        <w:ind w:left="272"/>
        <w:jc w:val="both"/>
      </w:pPr>
      <w:r w:rsidRPr="009A4D2F">
        <w:t>Hair</w:t>
      </w:r>
      <w:r>
        <w:t>,</w:t>
      </w:r>
      <w:r w:rsidRPr="009A4D2F">
        <w:t xml:space="preserve"> J</w:t>
      </w:r>
      <w:r>
        <w:t>.</w:t>
      </w:r>
      <w:r w:rsidRPr="009A4D2F">
        <w:t>F., Anderson</w:t>
      </w:r>
      <w:r>
        <w:t>,</w:t>
      </w:r>
      <w:r w:rsidRPr="009A4D2F">
        <w:t xml:space="preserve"> R</w:t>
      </w:r>
      <w:r>
        <w:t>.</w:t>
      </w:r>
      <w:r w:rsidRPr="009A4D2F">
        <w:t>E., Tatham</w:t>
      </w:r>
      <w:r>
        <w:t>,</w:t>
      </w:r>
      <w:r w:rsidRPr="009A4D2F">
        <w:t xml:space="preserve"> R</w:t>
      </w:r>
      <w:r>
        <w:t>.</w:t>
      </w:r>
      <w:r w:rsidRPr="009A4D2F">
        <w:t>L.</w:t>
      </w:r>
      <w:r>
        <w:t xml:space="preserve"> and</w:t>
      </w:r>
      <w:r w:rsidRPr="009A4D2F">
        <w:t xml:space="preserve"> Black</w:t>
      </w:r>
      <w:r>
        <w:t>,</w:t>
      </w:r>
      <w:r w:rsidRPr="009A4D2F">
        <w:t xml:space="preserve"> W</w:t>
      </w:r>
      <w:r>
        <w:t>.</w:t>
      </w:r>
      <w:r w:rsidRPr="009A4D2F">
        <w:t>C.</w:t>
      </w:r>
      <w:r w:rsidR="008D1505">
        <w:t xml:space="preserve"> </w:t>
      </w:r>
      <w:r w:rsidRPr="009A4D2F">
        <w:t xml:space="preserve">(1998). </w:t>
      </w:r>
      <w:r w:rsidRPr="009A4D2F">
        <w:rPr>
          <w:i/>
        </w:rPr>
        <w:t>Multivariate Data Analysis</w:t>
      </w:r>
      <w:r w:rsidRPr="009A4D2F">
        <w:t xml:space="preserve">. 5th </w:t>
      </w:r>
    </w:p>
    <w:p w:rsidR="00C06585" w:rsidRDefault="00C06585" w:rsidP="00F54F14">
      <w:pPr>
        <w:pStyle w:val="Header"/>
        <w:tabs>
          <w:tab w:val="clear" w:pos="4513"/>
          <w:tab w:val="clear" w:pos="9026"/>
          <w:tab w:val="center" w:pos="-4820"/>
          <w:tab w:val="center" w:pos="-3544"/>
          <w:tab w:val="right" w:pos="8640"/>
        </w:tabs>
        <w:spacing w:line="480" w:lineRule="auto"/>
        <w:ind w:left="272" w:firstLine="448"/>
        <w:jc w:val="both"/>
        <w:rPr>
          <w:lang w:val="en-GB"/>
        </w:rPr>
      </w:pPr>
      <w:r w:rsidRPr="009A4D2F">
        <w:t>ed. NJ: Prentice Hall.</w:t>
      </w:r>
    </w:p>
    <w:p w:rsidR="000D6452" w:rsidRPr="002B666C" w:rsidRDefault="000D6452" w:rsidP="00F54F14">
      <w:pPr>
        <w:tabs>
          <w:tab w:val="center" w:pos="-3544"/>
        </w:tabs>
        <w:autoSpaceDE w:val="0"/>
        <w:autoSpaceDN w:val="0"/>
        <w:adjustRightInd w:val="0"/>
        <w:spacing w:line="480" w:lineRule="auto"/>
        <w:ind w:left="709" w:hanging="425"/>
        <w:jc w:val="both"/>
        <w:rPr>
          <w:lang w:val="en-GB"/>
        </w:rPr>
      </w:pPr>
      <w:proofErr w:type="spellStart"/>
      <w:r w:rsidRPr="00BE7AF9">
        <w:rPr>
          <w:lang w:val="en-GB"/>
        </w:rPr>
        <w:lastRenderedPageBreak/>
        <w:t>Halperin</w:t>
      </w:r>
      <w:proofErr w:type="spellEnd"/>
      <w:r w:rsidRPr="00BE7AF9">
        <w:rPr>
          <w:lang w:val="en-GB"/>
        </w:rPr>
        <w:t xml:space="preserve">, K., Snyder, C.R. </w:t>
      </w:r>
      <w:proofErr w:type="spellStart"/>
      <w:r w:rsidRPr="00BE7AF9">
        <w:rPr>
          <w:lang w:val="en-GB"/>
        </w:rPr>
        <w:t>Shenkel</w:t>
      </w:r>
      <w:proofErr w:type="spellEnd"/>
      <w:r w:rsidRPr="00BE7AF9">
        <w:rPr>
          <w:lang w:val="en-GB"/>
        </w:rPr>
        <w:t>, R.J.</w:t>
      </w:r>
      <w:r w:rsidR="007633A5">
        <w:rPr>
          <w:lang w:val="en-GB"/>
        </w:rPr>
        <w:t xml:space="preserve"> and</w:t>
      </w:r>
      <w:r w:rsidRPr="00BE7AF9">
        <w:rPr>
          <w:lang w:val="en-GB"/>
        </w:rPr>
        <w:t xml:space="preserve"> Houston, B.K.</w:t>
      </w:r>
      <w:r w:rsidR="006E6BDC" w:rsidRPr="00BE7AF9">
        <w:rPr>
          <w:lang w:val="en-GB"/>
        </w:rPr>
        <w:t xml:space="preserve"> (1976) </w:t>
      </w:r>
      <w:r w:rsidR="00B23FC2" w:rsidRPr="002B666C">
        <w:rPr>
          <w:lang w:val="en-GB"/>
        </w:rPr>
        <w:t xml:space="preserve">Effects of </w:t>
      </w:r>
      <w:r w:rsidR="00B23FC2">
        <w:rPr>
          <w:lang w:val="en-GB"/>
        </w:rPr>
        <w:t>s</w:t>
      </w:r>
      <w:r w:rsidR="00B23FC2" w:rsidRPr="002B666C">
        <w:rPr>
          <w:lang w:val="en-GB"/>
        </w:rPr>
        <w:t xml:space="preserve">ource </w:t>
      </w:r>
      <w:r w:rsidR="00B23FC2">
        <w:rPr>
          <w:lang w:val="en-GB"/>
        </w:rPr>
        <w:t>s</w:t>
      </w:r>
      <w:r w:rsidR="00B23FC2" w:rsidRPr="002B666C">
        <w:rPr>
          <w:lang w:val="en-GB"/>
        </w:rPr>
        <w:t xml:space="preserve">tatus and </w:t>
      </w:r>
      <w:r w:rsidR="00B23FC2">
        <w:rPr>
          <w:lang w:val="en-GB"/>
        </w:rPr>
        <w:t>m</w:t>
      </w:r>
      <w:r w:rsidR="00B23FC2" w:rsidRPr="002B666C">
        <w:rPr>
          <w:lang w:val="en-GB"/>
        </w:rPr>
        <w:t xml:space="preserve">essage </w:t>
      </w:r>
      <w:proofErr w:type="spellStart"/>
      <w:r w:rsidR="00B23FC2">
        <w:rPr>
          <w:lang w:val="en-GB"/>
        </w:rPr>
        <w:t>f</w:t>
      </w:r>
      <w:r w:rsidR="006E6BDC" w:rsidRPr="00BE7AF9">
        <w:rPr>
          <w:lang w:val="en-GB"/>
        </w:rPr>
        <w:t>avorability</w:t>
      </w:r>
      <w:proofErr w:type="spellEnd"/>
      <w:r w:rsidR="006E6BDC" w:rsidRPr="00BE7AF9">
        <w:rPr>
          <w:lang w:val="en-GB"/>
        </w:rPr>
        <w:t xml:space="preserve"> </w:t>
      </w:r>
      <w:r w:rsidR="00B23FC2" w:rsidRPr="002B666C">
        <w:rPr>
          <w:lang w:val="en-GB"/>
        </w:rPr>
        <w:t xml:space="preserve">on </w:t>
      </w:r>
      <w:r w:rsidR="00B23FC2">
        <w:rPr>
          <w:lang w:val="en-GB"/>
        </w:rPr>
        <w:t>a</w:t>
      </w:r>
      <w:r w:rsidR="00B23FC2" w:rsidRPr="002B666C">
        <w:rPr>
          <w:lang w:val="en-GB"/>
        </w:rPr>
        <w:t xml:space="preserve">cceptance of </w:t>
      </w:r>
      <w:r w:rsidR="00B23FC2">
        <w:rPr>
          <w:lang w:val="en-GB"/>
        </w:rPr>
        <w:t>p</w:t>
      </w:r>
      <w:r w:rsidR="00B23FC2" w:rsidRPr="002B666C">
        <w:rPr>
          <w:lang w:val="en-GB"/>
        </w:rPr>
        <w:t xml:space="preserve">ersonality </w:t>
      </w:r>
      <w:r w:rsidR="00B23FC2">
        <w:rPr>
          <w:lang w:val="en-GB"/>
        </w:rPr>
        <w:t>f</w:t>
      </w:r>
      <w:r w:rsidR="006E6BDC" w:rsidRPr="00BE7AF9">
        <w:rPr>
          <w:lang w:val="en-GB"/>
        </w:rPr>
        <w:t xml:space="preserve">eedback, </w:t>
      </w:r>
      <w:r w:rsidR="006E6BDC" w:rsidRPr="00BE7AF9">
        <w:rPr>
          <w:i/>
          <w:iCs/>
          <w:lang w:val="en-GB"/>
        </w:rPr>
        <w:t>Journal of Applied Psychology</w:t>
      </w:r>
      <w:r w:rsidR="006E6BDC" w:rsidRPr="00BE7AF9">
        <w:rPr>
          <w:lang w:val="en-GB"/>
        </w:rPr>
        <w:t xml:space="preserve">, </w:t>
      </w:r>
      <w:r w:rsidR="006E6BDC" w:rsidRPr="00BE7AF9">
        <w:rPr>
          <w:b/>
          <w:lang w:val="en-GB"/>
        </w:rPr>
        <w:t>61</w:t>
      </w:r>
      <w:r w:rsidR="006E6BDC" w:rsidRPr="00BE7AF9">
        <w:rPr>
          <w:lang w:val="en-GB"/>
        </w:rPr>
        <w:t>, 85-88.</w:t>
      </w:r>
    </w:p>
    <w:p w:rsidR="00587EFC" w:rsidRPr="00587EFC" w:rsidRDefault="00587EFC" w:rsidP="00F54F14">
      <w:pPr>
        <w:tabs>
          <w:tab w:val="center" w:pos="-3544"/>
        </w:tabs>
        <w:autoSpaceDE w:val="0"/>
        <w:autoSpaceDN w:val="0"/>
        <w:adjustRightInd w:val="0"/>
        <w:spacing w:line="480" w:lineRule="auto"/>
        <w:ind w:left="709" w:hanging="425"/>
        <w:rPr>
          <w:lang w:val="en-GB"/>
        </w:rPr>
      </w:pPr>
      <w:r w:rsidRPr="00BE7AF9">
        <w:rPr>
          <w:lang w:val="en-GB"/>
        </w:rPr>
        <w:t xml:space="preserve">Hampton, J.A. (1979). ‘Polymorphous concepts in semantic memory’. </w:t>
      </w:r>
      <w:r w:rsidRPr="00BE7AF9">
        <w:rPr>
          <w:i/>
          <w:iCs/>
          <w:lang w:val="en-GB"/>
        </w:rPr>
        <w:t xml:space="preserve">Journal of Verbal Learning and Verbal </w:t>
      </w:r>
      <w:proofErr w:type="spellStart"/>
      <w:r w:rsidRPr="00BE7AF9">
        <w:rPr>
          <w:i/>
          <w:iCs/>
          <w:lang w:val="en-GB"/>
        </w:rPr>
        <w:t>Behavior</w:t>
      </w:r>
      <w:proofErr w:type="spellEnd"/>
      <w:r w:rsidRPr="00BE7AF9">
        <w:rPr>
          <w:lang w:val="en-GB"/>
        </w:rPr>
        <w:t xml:space="preserve">, </w:t>
      </w:r>
      <w:r w:rsidRPr="00BE7AF9">
        <w:rPr>
          <w:b/>
          <w:bCs/>
          <w:lang w:val="en-GB"/>
        </w:rPr>
        <w:t>18</w:t>
      </w:r>
      <w:r w:rsidRPr="00BE7AF9">
        <w:rPr>
          <w:lang w:val="en-GB"/>
        </w:rPr>
        <w:t>, 441</w:t>
      </w:r>
      <w:r w:rsidR="006706F7">
        <w:rPr>
          <w:lang w:val="en-GB"/>
        </w:rPr>
        <w:t>-</w:t>
      </w:r>
      <w:r w:rsidRPr="00BE7AF9">
        <w:rPr>
          <w:lang w:val="en-GB"/>
        </w:rPr>
        <w:t>61.</w:t>
      </w:r>
    </w:p>
    <w:p w:rsidR="00B8111D" w:rsidRPr="00B8111D" w:rsidRDefault="00B8111D" w:rsidP="00F54F14">
      <w:pPr>
        <w:pStyle w:val="Header"/>
        <w:tabs>
          <w:tab w:val="clear" w:pos="4513"/>
          <w:tab w:val="clear" w:pos="9026"/>
          <w:tab w:val="center" w:pos="-4820"/>
          <w:tab w:val="center" w:pos="-3544"/>
          <w:tab w:val="center" w:pos="1134"/>
          <w:tab w:val="right" w:pos="8640"/>
        </w:tabs>
        <w:spacing w:line="480" w:lineRule="auto"/>
        <w:ind w:left="709" w:hanging="425"/>
        <w:jc w:val="both"/>
        <w:rPr>
          <w:lang w:val="en-GB"/>
        </w:rPr>
      </w:pPr>
      <w:r>
        <w:rPr>
          <w:lang w:val="en-GB"/>
        </w:rPr>
        <w:t xml:space="preserve">Higher Education Funding Council England (HEFCE) (2008) </w:t>
      </w:r>
      <w:r w:rsidRPr="00D6015D">
        <w:rPr>
          <w:i/>
          <w:lang w:val="en-GB"/>
        </w:rPr>
        <w:t>Report on the Higher Education Business and Community Interaction Survey, 2006-2007</w:t>
      </w:r>
      <w:r>
        <w:rPr>
          <w:lang w:val="en-GB"/>
        </w:rPr>
        <w:t xml:space="preserve">. </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rPr>
          <w:i/>
          <w:iCs/>
        </w:rPr>
      </w:pPr>
      <w:r w:rsidRPr="009A4D2F">
        <w:rPr>
          <w:snapToGrid w:val="0"/>
        </w:rPr>
        <w:t>HM Treasury. (1993)</w:t>
      </w:r>
      <w:r w:rsidRPr="009A4D2F">
        <w:rPr>
          <w:i/>
          <w:snapToGrid w:val="0"/>
        </w:rPr>
        <w:t xml:space="preserve">. </w:t>
      </w:r>
      <w:r w:rsidRPr="009A4D2F">
        <w:rPr>
          <w:i/>
          <w:iCs/>
        </w:rPr>
        <w:t xml:space="preserve">Realizing Our Potential: A Strategy for Science, Engineering and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rPr>
          <w:snapToGrid w:val="0"/>
          <w:lang w:val="en-GB"/>
        </w:rPr>
      </w:pPr>
      <w:r w:rsidRPr="009A4D2F">
        <w:rPr>
          <w:i/>
          <w:iCs/>
        </w:rPr>
        <w:t>Technology</w:t>
      </w:r>
      <w:bookmarkEnd w:id="1"/>
      <w:r w:rsidRPr="009A4D2F">
        <w:rPr>
          <w:i/>
          <w:iCs/>
        </w:rPr>
        <w:t>.</w:t>
      </w:r>
      <w:r w:rsidR="002364D6">
        <w:rPr>
          <w:i/>
          <w:iCs/>
        </w:rPr>
        <w:t xml:space="preserve"> </w:t>
      </w:r>
      <w:r w:rsidRPr="009A4D2F">
        <w:rPr>
          <w:snapToGrid w:val="0"/>
        </w:rPr>
        <w:t>Norwich: HMSO</w:t>
      </w:r>
      <w:r>
        <w:rPr>
          <w:snapToGrid w:val="0"/>
        </w:rPr>
        <w:t>.</w:t>
      </w:r>
    </w:p>
    <w:p w:rsidR="001503D8" w:rsidRDefault="001503D8" w:rsidP="00F54F14">
      <w:pPr>
        <w:tabs>
          <w:tab w:val="center" w:pos="-3544"/>
        </w:tabs>
        <w:autoSpaceDE w:val="0"/>
        <w:autoSpaceDN w:val="0"/>
        <w:adjustRightInd w:val="0"/>
        <w:spacing w:line="480" w:lineRule="auto"/>
        <w:ind w:left="709" w:hanging="425"/>
        <w:rPr>
          <w:lang w:val="en-GB"/>
        </w:rPr>
      </w:pPr>
      <w:proofErr w:type="spellStart"/>
      <w:r w:rsidRPr="005870F0">
        <w:rPr>
          <w:lang w:val="en-GB"/>
        </w:rPr>
        <w:t>Hovland</w:t>
      </w:r>
      <w:proofErr w:type="spellEnd"/>
      <w:r w:rsidRPr="005870F0">
        <w:rPr>
          <w:lang w:val="en-GB"/>
        </w:rPr>
        <w:t>, C., Janis,</w:t>
      </w:r>
      <w:r w:rsidR="007633A5">
        <w:rPr>
          <w:lang w:val="en-GB"/>
        </w:rPr>
        <w:t xml:space="preserve"> I.L</w:t>
      </w:r>
      <w:r w:rsidR="006706F7">
        <w:rPr>
          <w:lang w:val="en-GB"/>
        </w:rPr>
        <w:t>.</w:t>
      </w:r>
      <w:r w:rsidR="007633A5">
        <w:rPr>
          <w:lang w:val="en-GB"/>
        </w:rPr>
        <w:t xml:space="preserve"> and </w:t>
      </w:r>
      <w:r w:rsidRPr="005870F0">
        <w:rPr>
          <w:lang w:val="en-GB"/>
        </w:rPr>
        <w:t>Kelly</w:t>
      </w:r>
      <w:r w:rsidR="007633A5">
        <w:rPr>
          <w:lang w:val="en-GB"/>
        </w:rPr>
        <w:t>, H.H.</w:t>
      </w:r>
      <w:r w:rsidRPr="005870F0">
        <w:rPr>
          <w:lang w:val="en-GB"/>
        </w:rPr>
        <w:t xml:space="preserve"> </w:t>
      </w:r>
      <w:r w:rsidR="005D5309">
        <w:rPr>
          <w:lang w:val="en-GB"/>
        </w:rPr>
        <w:t>(</w:t>
      </w:r>
      <w:r w:rsidRPr="005870F0">
        <w:rPr>
          <w:lang w:val="en-GB"/>
        </w:rPr>
        <w:t>1953</w:t>
      </w:r>
      <w:r w:rsidR="005D5309">
        <w:rPr>
          <w:lang w:val="en-GB"/>
        </w:rPr>
        <w:t>)</w:t>
      </w:r>
      <w:r w:rsidRPr="005870F0">
        <w:rPr>
          <w:lang w:val="en-GB"/>
        </w:rPr>
        <w:t xml:space="preserve">. </w:t>
      </w:r>
      <w:r w:rsidRPr="005870F0">
        <w:rPr>
          <w:i/>
          <w:iCs/>
          <w:lang w:val="en-GB"/>
        </w:rPr>
        <w:t>Communication and Persuasion</w:t>
      </w:r>
      <w:r w:rsidRPr="005870F0">
        <w:rPr>
          <w:lang w:val="en-GB"/>
        </w:rPr>
        <w:t xml:space="preserve">. </w:t>
      </w:r>
      <w:r w:rsidRPr="00E10BE9">
        <w:rPr>
          <w:lang w:val="en-GB"/>
        </w:rPr>
        <w:t>New Haven, CT</w:t>
      </w:r>
      <w:r>
        <w:rPr>
          <w:lang w:val="en-GB"/>
        </w:rPr>
        <w:t xml:space="preserve">: </w:t>
      </w:r>
      <w:r w:rsidRPr="00C17C02">
        <w:rPr>
          <w:lang w:val="en-GB"/>
        </w:rPr>
        <w:t>Yale University Press</w:t>
      </w:r>
      <w:r>
        <w:rPr>
          <w:lang w:val="en-GB"/>
        </w:rPr>
        <w:t>.</w:t>
      </w:r>
      <w:r w:rsidRPr="005870F0">
        <w:rPr>
          <w:lang w:val="en-GB"/>
        </w:rPr>
        <w:t xml:space="preserve"> </w:t>
      </w:r>
    </w:p>
    <w:p w:rsidR="0035398C" w:rsidRPr="005870F0" w:rsidRDefault="0035398C" w:rsidP="00F54F14">
      <w:pPr>
        <w:tabs>
          <w:tab w:val="center" w:pos="-3544"/>
        </w:tabs>
        <w:autoSpaceDE w:val="0"/>
        <w:autoSpaceDN w:val="0"/>
        <w:adjustRightInd w:val="0"/>
        <w:spacing w:line="480" w:lineRule="auto"/>
        <w:ind w:left="709" w:hanging="425"/>
        <w:rPr>
          <w:lang w:val="en-GB"/>
        </w:rPr>
      </w:pPr>
      <w:r>
        <w:rPr>
          <w:lang w:val="en-GB"/>
        </w:rPr>
        <w:t xml:space="preserve">Hsu, G. and </w:t>
      </w:r>
      <w:proofErr w:type="spellStart"/>
      <w:r>
        <w:rPr>
          <w:lang w:val="en-GB"/>
        </w:rPr>
        <w:t>Hannan</w:t>
      </w:r>
      <w:proofErr w:type="spellEnd"/>
      <w:r>
        <w:rPr>
          <w:lang w:val="en-GB"/>
        </w:rPr>
        <w:t>. M.T. (2005)</w:t>
      </w:r>
      <w:r w:rsidR="00CA4DDC">
        <w:rPr>
          <w:lang w:val="en-GB"/>
        </w:rPr>
        <w:t>.</w:t>
      </w:r>
      <w:r w:rsidR="006706F7">
        <w:rPr>
          <w:lang w:val="en-GB"/>
        </w:rPr>
        <w:t xml:space="preserve"> </w:t>
      </w:r>
      <w:r>
        <w:rPr>
          <w:lang w:val="en-GB"/>
        </w:rPr>
        <w:t xml:space="preserve">‘Identities, genres and organizational forms.’ </w:t>
      </w:r>
      <w:r w:rsidRPr="005870F0">
        <w:rPr>
          <w:i/>
          <w:lang w:val="en-GB"/>
        </w:rPr>
        <w:t>Organization Science</w:t>
      </w:r>
      <w:r>
        <w:rPr>
          <w:lang w:val="en-GB"/>
        </w:rPr>
        <w:t xml:space="preserve">, </w:t>
      </w:r>
      <w:r w:rsidRPr="005870F0">
        <w:rPr>
          <w:b/>
          <w:lang w:val="en-GB"/>
        </w:rPr>
        <w:t>16</w:t>
      </w:r>
      <w:r>
        <w:rPr>
          <w:lang w:val="en-GB"/>
        </w:rPr>
        <w:t>, 474-490.</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rPr>
          <w:lang w:val="en-GB" w:eastAsia="en-GB"/>
        </w:rPr>
      </w:pPr>
      <w:r w:rsidRPr="009A4D2F">
        <w:rPr>
          <w:lang w:val="en-GB" w:eastAsia="en-GB"/>
        </w:rPr>
        <w:t>Janney, J</w:t>
      </w:r>
      <w:r>
        <w:rPr>
          <w:lang w:val="en-GB" w:eastAsia="en-GB"/>
        </w:rPr>
        <w:t>.</w:t>
      </w:r>
      <w:r w:rsidRPr="009A4D2F">
        <w:rPr>
          <w:lang w:val="en-GB" w:eastAsia="en-GB"/>
        </w:rPr>
        <w:t>J. and Folta, T</w:t>
      </w:r>
      <w:r>
        <w:rPr>
          <w:lang w:val="en-GB" w:eastAsia="en-GB"/>
        </w:rPr>
        <w:t>.</w:t>
      </w:r>
      <w:r w:rsidRPr="009A4D2F">
        <w:rPr>
          <w:lang w:val="en-GB" w:eastAsia="en-GB"/>
        </w:rPr>
        <w:t>B. (2006).</w:t>
      </w:r>
      <w:r w:rsidR="006706F7">
        <w:rPr>
          <w:lang w:val="en-GB" w:eastAsia="en-GB"/>
        </w:rPr>
        <w:t xml:space="preserve"> </w:t>
      </w:r>
      <w:r>
        <w:rPr>
          <w:lang w:val="en-GB" w:eastAsia="en-GB"/>
        </w:rPr>
        <w:t>‘</w:t>
      </w:r>
      <w:r w:rsidRPr="009A4D2F">
        <w:rPr>
          <w:lang w:val="en-GB" w:eastAsia="en-GB"/>
        </w:rPr>
        <w:t xml:space="preserve">Moderating effects of investor experience on the </w:t>
      </w:r>
      <w:proofErr w:type="spellStart"/>
      <w:r w:rsidRPr="009A4D2F">
        <w:rPr>
          <w:lang w:val="en-GB" w:eastAsia="en-GB"/>
        </w:rPr>
        <w:t>signaling</w:t>
      </w:r>
      <w:proofErr w:type="spellEnd"/>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pPr>
      <w:r w:rsidRPr="009A4D2F">
        <w:rPr>
          <w:lang w:val="en-GB" w:eastAsia="en-GB"/>
        </w:rPr>
        <w:t>value of private equity</w:t>
      </w:r>
      <w:r w:rsidR="002364D6">
        <w:rPr>
          <w:lang w:val="en-GB" w:eastAsia="en-GB"/>
        </w:rPr>
        <w:t xml:space="preserve"> </w:t>
      </w:r>
      <w:r w:rsidRPr="009A4D2F">
        <w:rPr>
          <w:lang w:val="en-GB" w:eastAsia="en-GB"/>
        </w:rPr>
        <w:t>placements</w:t>
      </w:r>
      <w:r>
        <w:rPr>
          <w:lang w:val="en-GB" w:eastAsia="en-GB"/>
        </w:rPr>
        <w:t>’</w:t>
      </w:r>
      <w:r w:rsidRPr="009A4D2F">
        <w:rPr>
          <w:lang w:val="en-GB" w:eastAsia="en-GB"/>
        </w:rPr>
        <w:t xml:space="preserve">. </w:t>
      </w:r>
      <w:r w:rsidRPr="009A4D2F">
        <w:rPr>
          <w:i/>
          <w:iCs/>
          <w:lang w:val="en-GB" w:eastAsia="en-GB"/>
        </w:rPr>
        <w:t xml:space="preserve">Journal of Business Venturing, </w:t>
      </w:r>
      <w:r w:rsidRPr="009A4D2F">
        <w:rPr>
          <w:b/>
          <w:lang w:val="en-GB" w:eastAsia="en-GB"/>
        </w:rPr>
        <w:t>21</w:t>
      </w:r>
      <w:r>
        <w:rPr>
          <w:lang w:val="en-GB" w:eastAsia="en-GB"/>
        </w:rPr>
        <w:t>,</w:t>
      </w:r>
      <w:r w:rsidRPr="009A4D2F">
        <w:rPr>
          <w:lang w:val="en-GB" w:eastAsia="en-GB"/>
        </w:rPr>
        <w:t xml:space="preserve"> 27-44.</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rPr>
          <w:lang w:val="en-GB" w:eastAsia="en-GB"/>
        </w:rPr>
      </w:pPr>
      <w:r w:rsidRPr="009A4D2F">
        <w:rPr>
          <w:lang w:val="en-GB" w:eastAsia="en-GB"/>
        </w:rPr>
        <w:t>Jensen, M. and Roy, A. (2008).</w:t>
      </w:r>
      <w:r w:rsidR="006706F7">
        <w:rPr>
          <w:lang w:val="en-GB" w:eastAsia="en-GB"/>
        </w:rPr>
        <w:t xml:space="preserve"> </w:t>
      </w:r>
      <w:r>
        <w:rPr>
          <w:lang w:val="en-GB" w:eastAsia="en-GB"/>
        </w:rPr>
        <w:t>‘</w:t>
      </w:r>
      <w:r w:rsidRPr="009A4D2F">
        <w:rPr>
          <w:lang w:val="en-GB" w:eastAsia="en-GB"/>
        </w:rPr>
        <w:t xml:space="preserve">Staging exchange partner choices: When do status and reputation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pPr>
      <w:r w:rsidRPr="009A4D2F">
        <w:rPr>
          <w:lang w:val="en-GB" w:eastAsia="en-GB"/>
        </w:rPr>
        <w:t>matter?</w:t>
      </w:r>
      <w:r>
        <w:rPr>
          <w:lang w:val="en-GB" w:eastAsia="en-GB"/>
        </w:rPr>
        <w:t>’</w:t>
      </w:r>
      <w:r w:rsidR="005D5309">
        <w:rPr>
          <w:lang w:val="en-GB" w:eastAsia="en-GB"/>
        </w:rPr>
        <w:t xml:space="preserve"> </w:t>
      </w:r>
      <w:r w:rsidRPr="009A4D2F">
        <w:rPr>
          <w:i/>
          <w:iCs/>
          <w:lang w:val="en-GB" w:eastAsia="en-GB"/>
        </w:rPr>
        <w:t>Academy of</w:t>
      </w:r>
      <w:r w:rsidR="002364D6">
        <w:rPr>
          <w:i/>
          <w:iCs/>
          <w:lang w:val="en-GB" w:eastAsia="en-GB"/>
        </w:rPr>
        <w:t xml:space="preserve"> </w:t>
      </w:r>
      <w:r w:rsidRPr="009A4D2F">
        <w:rPr>
          <w:i/>
          <w:iCs/>
          <w:lang w:val="en-GB" w:eastAsia="en-GB"/>
        </w:rPr>
        <w:t xml:space="preserve">Management Journal, </w:t>
      </w:r>
      <w:r w:rsidRPr="009A4D2F">
        <w:rPr>
          <w:b/>
          <w:lang w:val="en-GB" w:eastAsia="en-GB"/>
        </w:rPr>
        <w:t>51</w:t>
      </w:r>
      <w:r>
        <w:rPr>
          <w:lang w:val="en-GB" w:eastAsia="en-GB"/>
        </w:rPr>
        <w:t>,</w:t>
      </w:r>
      <w:r w:rsidRPr="009A4D2F">
        <w:rPr>
          <w:lang w:val="en-GB" w:eastAsia="en-GB"/>
        </w:rPr>
        <w:t xml:space="preserve"> 495-516.</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Jong</w:t>
      </w:r>
      <w:r>
        <w:t>,</w:t>
      </w:r>
      <w:r w:rsidRPr="009A4D2F">
        <w:t xml:space="preserve"> S. (2006).</w:t>
      </w:r>
      <w:r w:rsidR="005D5309">
        <w:rPr>
          <w:lang w:val="en-GB"/>
        </w:rPr>
        <w:t xml:space="preserve"> </w:t>
      </w:r>
      <w:r>
        <w:t>‘</w:t>
      </w:r>
      <w:r w:rsidRPr="009A4D2F">
        <w:t xml:space="preserve">How </w:t>
      </w:r>
      <w:r w:rsidR="00D60884">
        <w:t>organization</w:t>
      </w:r>
      <w:r w:rsidRPr="009A4D2F">
        <w:t xml:space="preserve">al structures in science shape spin-off firms: The biotechnology </w:t>
      </w:r>
    </w:p>
    <w:p w:rsidR="00C06585" w:rsidRDefault="00C06585" w:rsidP="00F54F14">
      <w:pPr>
        <w:pStyle w:val="Header"/>
        <w:tabs>
          <w:tab w:val="clear" w:pos="4513"/>
          <w:tab w:val="clear" w:pos="9026"/>
          <w:tab w:val="center" w:pos="-3544"/>
          <w:tab w:val="center" w:pos="4320"/>
          <w:tab w:val="right" w:pos="8640"/>
        </w:tabs>
        <w:spacing w:line="480" w:lineRule="auto"/>
        <w:ind w:left="720"/>
        <w:jc w:val="both"/>
      </w:pPr>
      <w:r w:rsidRPr="009A4D2F">
        <w:t>departments of Berkeley, Stanford and UCSF and the birth of the biotech industry</w:t>
      </w:r>
      <w:r>
        <w:t>’</w:t>
      </w:r>
      <w:r w:rsidRPr="009A4D2F">
        <w:t xml:space="preserve">. </w:t>
      </w:r>
      <w:r w:rsidRPr="009A4D2F">
        <w:rPr>
          <w:i/>
        </w:rPr>
        <w:t>Industrial and Corporate Change</w:t>
      </w:r>
      <w:r w:rsidRPr="009A4D2F">
        <w:t xml:space="preserve">, </w:t>
      </w:r>
      <w:r w:rsidRPr="009A4D2F">
        <w:rPr>
          <w:b/>
        </w:rPr>
        <w:t>15</w:t>
      </w:r>
      <w:r>
        <w:t>,</w:t>
      </w:r>
      <w:r w:rsidRPr="009A4D2F">
        <w:t xml:space="preserve"> 251-283</w:t>
      </w:r>
      <w: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Judge</w:t>
      </w:r>
      <w:r>
        <w:t>,</w:t>
      </w:r>
      <w:r w:rsidRPr="009A4D2F">
        <w:t xml:space="preserve"> W</w:t>
      </w:r>
      <w:r>
        <w:t>.</w:t>
      </w:r>
      <w:r w:rsidRPr="009A4D2F">
        <w:t>Q</w:t>
      </w:r>
      <w:r>
        <w:t>.</w:t>
      </w:r>
      <w:r w:rsidRPr="009A4D2F">
        <w:t>, Douglas</w:t>
      </w:r>
      <w:r>
        <w:t>,</w:t>
      </w:r>
      <w:r w:rsidRPr="009A4D2F">
        <w:t xml:space="preserve"> T</w:t>
      </w:r>
      <w:r>
        <w:t>.</w:t>
      </w:r>
      <w:r w:rsidRPr="009A4D2F">
        <w:t>J</w:t>
      </w:r>
      <w:r>
        <w:t>.</w:t>
      </w:r>
      <w:r w:rsidRPr="009A4D2F">
        <w:t xml:space="preserve"> and Kutan</w:t>
      </w:r>
      <w:r>
        <w:t>,</w:t>
      </w:r>
      <w:r w:rsidRPr="009A4D2F">
        <w:t xml:space="preserve"> A</w:t>
      </w:r>
      <w:r>
        <w:t>.</w:t>
      </w:r>
      <w:r w:rsidRPr="009A4D2F">
        <w:t>M. (2008).</w:t>
      </w:r>
      <w:r w:rsidR="006706F7">
        <w:t xml:space="preserve"> </w:t>
      </w:r>
      <w:r>
        <w:t>‘</w:t>
      </w:r>
      <w:r w:rsidRPr="009A4D2F">
        <w:t xml:space="preserve">Institutional antecedents of corporate </w:t>
      </w:r>
    </w:p>
    <w:p w:rsidR="00584595" w:rsidRDefault="00C06585" w:rsidP="00F54F14">
      <w:pPr>
        <w:pStyle w:val="Header"/>
        <w:tabs>
          <w:tab w:val="clear" w:pos="4513"/>
          <w:tab w:val="clear" w:pos="9026"/>
          <w:tab w:val="center" w:pos="-3544"/>
          <w:tab w:val="center" w:pos="4320"/>
          <w:tab w:val="right" w:pos="8640"/>
        </w:tabs>
        <w:spacing w:line="480" w:lineRule="auto"/>
        <w:ind w:left="272" w:firstLine="448"/>
        <w:jc w:val="both"/>
      </w:pPr>
      <w:r w:rsidRPr="009A4D2F">
        <w:t>governance legitimacy</w:t>
      </w:r>
      <w:r>
        <w:t>’</w:t>
      </w:r>
      <w:r w:rsidRPr="009A4D2F">
        <w:t xml:space="preserve">. </w:t>
      </w:r>
      <w:r w:rsidRPr="009A4D2F">
        <w:rPr>
          <w:i/>
        </w:rPr>
        <w:t>Journal of Management</w:t>
      </w:r>
      <w:r w:rsidRPr="009A4D2F">
        <w:t xml:space="preserve">, </w:t>
      </w:r>
      <w:r w:rsidRPr="009A4D2F">
        <w:rPr>
          <w:b/>
        </w:rPr>
        <w:t>34</w:t>
      </w:r>
      <w:r>
        <w:t>,</w:t>
      </w:r>
      <w:r w:rsidRPr="009A4D2F">
        <w:t xml:space="preserve"> 765-785</w:t>
      </w:r>
      <w:r>
        <w:t>.</w:t>
      </w:r>
    </w:p>
    <w:p w:rsidR="00584595" w:rsidRDefault="00584595" w:rsidP="00F54F14">
      <w:pPr>
        <w:pStyle w:val="Header"/>
        <w:tabs>
          <w:tab w:val="clear" w:pos="4513"/>
          <w:tab w:val="clear" w:pos="9026"/>
          <w:tab w:val="center" w:pos="-3544"/>
          <w:tab w:val="center" w:pos="4320"/>
          <w:tab w:val="right" w:pos="8640"/>
        </w:tabs>
        <w:spacing w:line="480" w:lineRule="auto"/>
        <w:jc w:val="both"/>
      </w:pPr>
      <w:r>
        <w:tab/>
        <w:t xml:space="preserve">     </w:t>
      </w:r>
      <w:r w:rsidR="00F92FEC">
        <w:t>Kahneman, D. (2011</w:t>
      </w:r>
      <w:r>
        <w:t xml:space="preserve">). </w:t>
      </w:r>
      <w:r w:rsidRPr="00584595">
        <w:rPr>
          <w:i/>
        </w:rPr>
        <w:t>Thinking, fast and slow</w:t>
      </w:r>
      <w:r>
        <w:t>. London: Penguin Books.</w:t>
      </w:r>
    </w:p>
    <w:p w:rsidR="00F3729B" w:rsidRPr="00C06CC8" w:rsidRDefault="00F3729B" w:rsidP="00F54F14">
      <w:pPr>
        <w:tabs>
          <w:tab w:val="center" w:pos="-3544"/>
        </w:tabs>
        <w:autoSpaceDE w:val="0"/>
        <w:autoSpaceDN w:val="0"/>
        <w:adjustRightInd w:val="0"/>
        <w:spacing w:line="480" w:lineRule="auto"/>
        <w:ind w:left="709" w:hanging="425"/>
        <w:rPr>
          <w:lang w:val="en-GB"/>
        </w:rPr>
      </w:pPr>
      <w:r>
        <w:rPr>
          <w:color w:val="231F20"/>
          <w:lang w:eastAsia="en-GB"/>
        </w:rPr>
        <w:t xml:space="preserve">King, B.G. and </w:t>
      </w:r>
      <w:proofErr w:type="spellStart"/>
      <w:r>
        <w:rPr>
          <w:color w:val="231F20"/>
          <w:lang w:eastAsia="en-GB"/>
        </w:rPr>
        <w:t>Whetten</w:t>
      </w:r>
      <w:proofErr w:type="spellEnd"/>
      <w:r>
        <w:rPr>
          <w:color w:val="231F20"/>
          <w:lang w:eastAsia="en-GB"/>
        </w:rPr>
        <w:t>, D.A. (2008). ‘Rethinking the relationship between reputation and legitimacy: A social actor conceptualization’</w:t>
      </w:r>
      <w:r w:rsidR="008535C7">
        <w:rPr>
          <w:color w:val="231F20"/>
          <w:lang w:eastAsia="en-GB"/>
        </w:rPr>
        <w:t>.</w:t>
      </w:r>
      <w:r>
        <w:rPr>
          <w:color w:val="231F20"/>
          <w:lang w:eastAsia="en-GB"/>
        </w:rPr>
        <w:t xml:space="preserve"> </w:t>
      </w:r>
      <w:r w:rsidRPr="005870F0">
        <w:rPr>
          <w:i/>
          <w:color w:val="231F20"/>
          <w:lang w:eastAsia="en-GB"/>
        </w:rPr>
        <w:t>Corporate Reputation Review</w:t>
      </w:r>
      <w:r>
        <w:rPr>
          <w:color w:val="231F20"/>
          <w:lang w:eastAsia="en-GB"/>
        </w:rPr>
        <w:t xml:space="preserve">, </w:t>
      </w:r>
      <w:r w:rsidRPr="005870F0">
        <w:rPr>
          <w:b/>
          <w:color w:val="231F20"/>
          <w:lang w:eastAsia="en-GB"/>
        </w:rPr>
        <w:t>11</w:t>
      </w:r>
      <w:r>
        <w:rPr>
          <w:color w:val="231F20"/>
          <w:lang w:eastAsia="en-GB"/>
        </w:rPr>
        <w:t>, 192-207.</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rPr>
          <w:i/>
        </w:rPr>
      </w:pPr>
      <w:r w:rsidRPr="009A4D2F">
        <w:t>Lange, D., Lee, P</w:t>
      </w:r>
      <w:r>
        <w:t>.</w:t>
      </w:r>
      <w:r w:rsidRPr="009A4D2F">
        <w:t>M. and Dai, Y. (2011).</w:t>
      </w:r>
      <w:r>
        <w:t>‘</w:t>
      </w:r>
      <w:r w:rsidR="00D60884">
        <w:t>Organization</w:t>
      </w:r>
      <w:r w:rsidRPr="009A4D2F">
        <w:t>al reputation: A review</w:t>
      </w:r>
      <w:r>
        <w:t>’</w:t>
      </w:r>
      <w:r w:rsidRPr="009A4D2F">
        <w:t xml:space="preserve">. </w:t>
      </w:r>
      <w:r w:rsidRPr="009A4D2F">
        <w:rPr>
          <w:i/>
        </w:rPr>
        <w:t xml:space="preserve">Journal of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pPr>
      <w:r w:rsidRPr="009A4D2F">
        <w:rPr>
          <w:i/>
        </w:rPr>
        <w:t>Management</w:t>
      </w:r>
      <w:r w:rsidRPr="009A4D2F">
        <w:t xml:space="preserve">, </w:t>
      </w:r>
      <w:r w:rsidRPr="009A4D2F">
        <w:rPr>
          <w:b/>
        </w:rPr>
        <w:t>37</w:t>
      </w:r>
      <w:r>
        <w:t>,</w:t>
      </w:r>
      <w:r w:rsidRPr="009A4D2F">
        <w:t xml:space="preserve"> 153-184</w:t>
      </w:r>
      <w: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Lockett</w:t>
      </w:r>
      <w:r>
        <w:t>,</w:t>
      </w:r>
      <w:r w:rsidRPr="009A4D2F">
        <w:t xml:space="preserve"> A</w:t>
      </w:r>
      <w:r>
        <w:t>.</w:t>
      </w:r>
      <w:r w:rsidRPr="009A4D2F">
        <w:t xml:space="preserve"> and Wright</w:t>
      </w:r>
      <w:r>
        <w:t>,</w:t>
      </w:r>
      <w:r w:rsidRPr="009A4D2F">
        <w:t xml:space="preserve"> M. (2005).</w:t>
      </w:r>
      <w:r>
        <w:t>‘</w:t>
      </w:r>
      <w:r w:rsidRPr="009A4D2F">
        <w:t xml:space="preserve">Resources, capabilities risk capital and the creation of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rPr>
          <w:lang w:val="en-GB"/>
        </w:rPr>
      </w:pPr>
      <w:r w:rsidRPr="009A4D2F">
        <w:lastRenderedPageBreak/>
        <w:t>university spinoff companies</w:t>
      </w:r>
      <w:r>
        <w:t>’</w:t>
      </w:r>
      <w:r w:rsidRPr="009A4D2F">
        <w:t xml:space="preserve">. </w:t>
      </w:r>
      <w:r w:rsidRPr="009A4D2F">
        <w:rPr>
          <w:i/>
        </w:rPr>
        <w:t>Research Policy,</w:t>
      </w:r>
      <w:r w:rsidR="002364D6">
        <w:rPr>
          <w:i/>
        </w:rPr>
        <w:t xml:space="preserve"> </w:t>
      </w:r>
      <w:r w:rsidRPr="009A4D2F">
        <w:rPr>
          <w:b/>
        </w:rPr>
        <w:t>34</w:t>
      </w:r>
      <w:r>
        <w:t>,</w:t>
      </w:r>
      <w:r w:rsidRPr="009A4D2F">
        <w:t xml:space="preserve"> 1043-1057</w:t>
      </w:r>
      <w:r>
        <w:t>.</w:t>
      </w:r>
    </w:p>
    <w:p w:rsidR="00E337AE" w:rsidRDefault="00E337AE" w:rsidP="00F54F14">
      <w:pPr>
        <w:pStyle w:val="Header"/>
        <w:tabs>
          <w:tab w:val="clear" w:pos="4513"/>
          <w:tab w:val="clear" w:pos="9026"/>
          <w:tab w:val="center" w:pos="-3544"/>
          <w:tab w:val="center" w:pos="851"/>
          <w:tab w:val="center" w:pos="4320"/>
          <w:tab w:val="right" w:pos="8640"/>
        </w:tabs>
        <w:spacing w:line="480" w:lineRule="auto"/>
        <w:ind w:left="709" w:hanging="425"/>
        <w:jc w:val="both"/>
        <w:rPr>
          <w:lang w:val="en-GB" w:eastAsia="en-GB"/>
        </w:rPr>
      </w:pPr>
      <w:r w:rsidRPr="00205C93">
        <w:rPr>
          <w:lang w:val="en-GB"/>
        </w:rPr>
        <w:t>Lowe, R.A</w:t>
      </w:r>
      <w:r w:rsidR="00E51D01">
        <w:rPr>
          <w:lang w:val="en-GB"/>
        </w:rPr>
        <w:t>.</w:t>
      </w:r>
      <w:r w:rsidRPr="00205C93">
        <w:rPr>
          <w:lang w:val="en-GB"/>
        </w:rPr>
        <w:t xml:space="preserve"> and Gonzales-</w:t>
      </w:r>
      <w:proofErr w:type="spellStart"/>
      <w:r w:rsidRPr="00205C93">
        <w:rPr>
          <w:lang w:val="en-GB"/>
        </w:rPr>
        <w:t>Brambila</w:t>
      </w:r>
      <w:proofErr w:type="spellEnd"/>
      <w:r w:rsidRPr="00205C93">
        <w:rPr>
          <w:lang w:val="en-GB"/>
        </w:rPr>
        <w:t>, C. (2007). ‘</w:t>
      </w:r>
      <w:r w:rsidRPr="00205C93">
        <w:rPr>
          <w:lang w:val="en-GB" w:eastAsia="en-GB"/>
        </w:rPr>
        <w:t>Faculty Entrepreneurs and Research Productivity’</w:t>
      </w:r>
      <w:r w:rsidR="00205C93" w:rsidRPr="00205C93">
        <w:rPr>
          <w:lang w:val="en-GB" w:eastAsia="en-GB"/>
        </w:rPr>
        <w:t xml:space="preserve">. </w:t>
      </w:r>
      <w:r w:rsidR="00205C93" w:rsidRPr="00205C93">
        <w:rPr>
          <w:i/>
          <w:lang w:val="en-GB" w:eastAsia="en-GB"/>
        </w:rPr>
        <w:t>Journal of Technology Transfer</w:t>
      </w:r>
      <w:r w:rsidR="00205C93">
        <w:rPr>
          <w:i/>
          <w:lang w:val="en-GB" w:eastAsia="en-GB"/>
        </w:rPr>
        <w:t>,</w:t>
      </w:r>
      <w:r w:rsidR="00205C93" w:rsidRPr="00205C93">
        <w:rPr>
          <w:lang w:val="en-GB" w:eastAsia="en-GB"/>
        </w:rPr>
        <w:t xml:space="preserve"> </w:t>
      </w:r>
      <w:r w:rsidR="00205C93" w:rsidRPr="00205C93">
        <w:rPr>
          <w:b/>
          <w:lang w:val="en-GB" w:eastAsia="en-GB"/>
        </w:rPr>
        <w:t>32</w:t>
      </w:r>
      <w:r w:rsidR="005D5309">
        <w:rPr>
          <w:lang w:val="en-GB" w:eastAsia="en-GB"/>
        </w:rPr>
        <w:t xml:space="preserve">, </w:t>
      </w:r>
      <w:r w:rsidR="00205C93" w:rsidRPr="00205C93">
        <w:rPr>
          <w:lang w:val="en-GB" w:eastAsia="en-GB"/>
        </w:rPr>
        <w:t>173</w:t>
      </w:r>
      <w:r w:rsidR="001275FB">
        <w:rPr>
          <w:lang w:val="en-GB" w:eastAsia="en-GB"/>
        </w:rPr>
        <w:t>-</w:t>
      </w:r>
      <w:r w:rsidR="00205C93" w:rsidRPr="00205C93">
        <w:rPr>
          <w:lang w:val="en-GB" w:eastAsia="en-GB"/>
        </w:rPr>
        <w:t>194</w:t>
      </w:r>
      <w:r w:rsidR="00180061">
        <w:rPr>
          <w:lang w:val="en-GB" w:eastAsia="en-GB"/>
        </w:rPr>
        <w:t>.</w:t>
      </w:r>
    </w:p>
    <w:p w:rsidR="00E468AC" w:rsidRPr="002B666C" w:rsidRDefault="00E468AC" w:rsidP="00F54F14">
      <w:pPr>
        <w:tabs>
          <w:tab w:val="center" w:pos="-3544"/>
        </w:tabs>
        <w:autoSpaceDE w:val="0"/>
        <w:autoSpaceDN w:val="0"/>
        <w:adjustRightInd w:val="0"/>
        <w:spacing w:line="480" w:lineRule="auto"/>
        <w:ind w:left="709" w:hanging="425"/>
        <w:rPr>
          <w:lang w:val="en-GB" w:eastAsia="en-GB"/>
        </w:rPr>
      </w:pPr>
      <w:proofErr w:type="spellStart"/>
      <w:r w:rsidRPr="002B666C">
        <w:rPr>
          <w:lang w:val="en-GB" w:eastAsia="en-GB"/>
        </w:rPr>
        <w:t>Lubell</w:t>
      </w:r>
      <w:proofErr w:type="spellEnd"/>
      <w:r w:rsidRPr="002B666C">
        <w:rPr>
          <w:lang w:val="en-GB" w:eastAsia="en-GB"/>
        </w:rPr>
        <w:t>, M. (2007) ‘</w:t>
      </w:r>
      <w:r w:rsidRPr="00BE7AF9">
        <w:rPr>
          <w:lang w:val="en-GB"/>
        </w:rPr>
        <w:t>Familiarity Breeds Trust: Collective Action in a Policy Domain’</w:t>
      </w:r>
      <w:r w:rsidRPr="002B666C">
        <w:rPr>
          <w:lang w:val="en-GB"/>
        </w:rPr>
        <w:t xml:space="preserve">. </w:t>
      </w:r>
      <w:r w:rsidRPr="00BE7AF9">
        <w:rPr>
          <w:bCs/>
          <w:i/>
          <w:iCs/>
          <w:lang w:val="en-GB"/>
        </w:rPr>
        <w:t>The Journal of Politics</w:t>
      </w:r>
      <w:r w:rsidRPr="00BE7AF9">
        <w:rPr>
          <w:b/>
          <w:bCs/>
          <w:lang w:val="en-GB"/>
        </w:rPr>
        <w:t xml:space="preserve">, </w:t>
      </w:r>
      <w:r w:rsidRPr="00BE7AF9">
        <w:rPr>
          <w:b/>
          <w:lang w:val="en-GB"/>
        </w:rPr>
        <w:t>69</w:t>
      </w:r>
      <w:r w:rsidRPr="00BE7AF9">
        <w:rPr>
          <w:lang w:val="en-GB"/>
        </w:rPr>
        <w:t>, 237</w:t>
      </w:r>
      <w:r w:rsidR="001275FB">
        <w:rPr>
          <w:lang w:val="en-GB"/>
        </w:rPr>
        <w:t>-</w:t>
      </w:r>
      <w:r w:rsidRPr="00BE7AF9">
        <w:rPr>
          <w:lang w:val="en-GB"/>
        </w:rPr>
        <w:t>250</w:t>
      </w:r>
      <w:r>
        <w:rPr>
          <w:lang w:val="en-GB"/>
        </w:rPr>
        <w:t>.</w:t>
      </w:r>
    </w:p>
    <w:p w:rsidR="001F0A74" w:rsidRPr="00BE7AF9" w:rsidRDefault="00180061" w:rsidP="00F54F14">
      <w:pPr>
        <w:tabs>
          <w:tab w:val="center" w:pos="-3544"/>
        </w:tabs>
        <w:autoSpaceDE w:val="0"/>
        <w:autoSpaceDN w:val="0"/>
        <w:adjustRightInd w:val="0"/>
        <w:spacing w:line="480" w:lineRule="auto"/>
        <w:ind w:left="709" w:hanging="425"/>
        <w:rPr>
          <w:lang w:val="en-GB"/>
        </w:rPr>
      </w:pPr>
      <w:proofErr w:type="spellStart"/>
      <w:r w:rsidRPr="002B666C">
        <w:rPr>
          <w:lang w:val="en-GB" w:eastAsia="en-GB"/>
        </w:rPr>
        <w:t>Maggetti</w:t>
      </w:r>
      <w:proofErr w:type="spellEnd"/>
      <w:r w:rsidRPr="002B666C">
        <w:rPr>
          <w:lang w:val="en-GB" w:eastAsia="en-GB"/>
        </w:rPr>
        <w:t xml:space="preserve"> M., </w:t>
      </w:r>
      <w:proofErr w:type="spellStart"/>
      <w:r w:rsidRPr="002B666C">
        <w:rPr>
          <w:lang w:val="en-GB" w:eastAsia="en-GB"/>
        </w:rPr>
        <w:t>Gilardi</w:t>
      </w:r>
      <w:proofErr w:type="spellEnd"/>
      <w:r w:rsidRPr="002B666C">
        <w:rPr>
          <w:lang w:val="en-GB" w:eastAsia="en-GB"/>
        </w:rPr>
        <w:t xml:space="preserve"> F.</w:t>
      </w:r>
      <w:r w:rsidR="00E51D01">
        <w:rPr>
          <w:lang w:val="en-GB" w:eastAsia="en-GB"/>
        </w:rPr>
        <w:t xml:space="preserve"> and</w:t>
      </w:r>
      <w:r w:rsidRPr="002B666C">
        <w:rPr>
          <w:lang w:val="en-GB" w:eastAsia="en-GB"/>
        </w:rPr>
        <w:t xml:space="preserve"> </w:t>
      </w:r>
      <w:proofErr w:type="spellStart"/>
      <w:r w:rsidRPr="002B666C">
        <w:rPr>
          <w:lang w:val="en-GB" w:eastAsia="en-GB"/>
        </w:rPr>
        <w:t>Radaelli</w:t>
      </w:r>
      <w:proofErr w:type="spellEnd"/>
      <w:r w:rsidRPr="002B666C">
        <w:rPr>
          <w:lang w:val="en-GB" w:eastAsia="en-GB"/>
        </w:rPr>
        <w:t xml:space="preserve"> C.M. </w:t>
      </w:r>
      <w:r w:rsidR="005D5309" w:rsidRPr="002B666C">
        <w:rPr>
          <w:lang w:val="en-GB" w:eastAsia="en-GB"/>
        </w:rPr>
        <w:t>(</w:t>
      </w:r>
      <w:r w:rsidRPr="002B666C">
        <w:rPr>
          <w:lang w:val="en-GB" w:eastAsia="en-GB"/>
        </w:rPr>
        <w:t>2013</w:t>
      </w:r>
      <w:r w:rsidR="005D5309" w:rsidRPr="002B666C">
        <w:rPr>
          <w:lang w:val="en-GB" w:eastAsia="en-GB"/>
        </w:rPr>
        <w:t>)</w:t>
      </w:r>
      <w:r w:rsidRPr="002B666C">
        <w:rPr>
          <w:lang w:val="en-GB" w:eastAsia="en-GB"/>
        </w:rPr>
        <w:t xml:space="preserve">. </w:t>
      </w:r>
      <w:r w:rsidRPr="002B666C">
        <w:rPr>
          <w:bCs/>
          <w:i/>
          <w:iCs/>
          <w:lang w:val="en-GB" w:eastAsia="en-GB"/>
        </w:rPr>
        <w:t>Designing Research in the Social Sciences</w:t>
      </w:r>
      <w:r w:rsidRPr="002B666C">
        <w:rPr>
          <w:lang w:val="en-GB" w:eastAsia="en-GB"/>
        </w:rPr>
        <w:t xml:space="preserve">. </w:t>
      </w:r>
      <w:r w:rsidR="00E468AC">
        <w:rPr>
          <w:lang w:val="en-GB" w:eastAsia="en-GB"/>
        </w:rPr>
        <w:t>L</w:t>
      </w:r>
      <w:r w:rsidR="005D5309" w:rsidRPr="002B666C">
        <w:rPr>
          <w:lang w:val="en-GB" w:eastAsia="en-GB"/>
        </w:rPr>
        <w:t xml:space="preserve">ondon: </w:t>
      </w:r>
      <w:r w:rsidRPr="002B666C">
        <w:rPr>
          <w:lang w:val="en-GB" w:eastAsia="en-GB"/>
        </w:rPr>
        <w:t>Sage Publications.</w:t>
      </w:r>
      <w:r w:rsidR="001F0A74" w:rsidRPr="00BE7AF9">
        <w:rPr>
          <w:lang w:val="en-GB"/>
        </w:rPr>
        <w:t xml:space="preserve"> </w:t>
      </w:r>
    </w:p>
    <w:p w:rsidR="00755B42" w:rsidRPr="005870F0" w:rsidRDefault="00755B42" w:rsidP="00F54F14">
      <w:pPr>
        <w:pStyle w:val="Header"/>
        <w:tabs>
          <w:tab w:val="clear" w:pos="4513"/>
          <w:tab w:val="clear" w:pos="9026"/>
          <w:tab w:val="center" w:pos="-3544"/>
          <w:tab w:val="center" w:pos="709"/>
          <w:tab w:val="center" w:pos="4320"/>
          <w:tab w:val="right" w:pos="8640"/>
        </w:tabs>
        <w:spacing w:line="480" w:lineRule="auto"/>
        <w:ind w:left="709" w:hanging="425"/>
        <w:jc w:val="both"/>
        <w:rPr>
          <w:lang w:val="en-GB"/>
        </w:rPr>
      </w:pPr>
      <w:r w:rsidRPr="00A82B6C">
        <w:rPr>
          <w:lang w:val="en-GB"/>
        </w:rPr>
        <w:t>McGuire, J</w:t>
      </w:r>
      <w:r>
        <w:rPr>
          <w:lang w:val="en-GB"/>
        </w:rPr>
        <w:t>.,</w:t>
      </w:r>
      <w:r w:rsidRPr="00A82B6C">
        <w:rPr>
          <w:lang w:val="en-GB"/>
        </w:rPr>
        <w:t xml:space="preserve"> </w:t>
      </w:r>
      <w:proofErr w:type="spellStart"/>
      <w:r w:rsidRPr="00A82B6C">
        <w:rPr>
          <w:lang w:val="en-GB"/>
        </w:rPr>
        <w:t>Schneeweis</w:t>
      </w:r>
      <w:proofErr w:type="spellEnd"/>
      <w:r w:rsidRPr="00A82B6C">
        <w:rPr>
          <w:lang w:val="en-GB"/>
        </w:rPr>
        <w:t>, T</w:t>
      </w:r>
      <w:r>
        <w:rPr>
          <w:lang w:val="en-GB"/>
        </w:rPr>
        <w:t>.</w:t>
      </w:r>
      <w:r w:rsidRPr="00A82B6C">
        <w:rPr>
          <w:lang w:val="en-GB"/>
        </w:rPr>
        <w:t xml:space="preserve"> </w:t>
      </w:r>
      <w:r>
        <w:rPr>
          <w:lang w:val="en-GB"/>
        </w:rPr>
        <w:t>and</w:t>
      </w:r>
      <w:r w:rsidRPr="00A82B6C">
        <w:rPr>
          <w:lang w:val="en-GB"/>
        </w:rPr>
        <w:t xml:space="preserve"> Branch, B</w:t>
      </w:r>
      <w:r>
        <w:rPr>
          <w:lang w:val="en-GB"/>
        </w:rPr>
        <w:t>.</w:t>
      </w:r>
      <w:r w:rsidRPr="005870F0">
        <w:rPr>
          <w:lang w:val="en-GB"/>
        </w:rPr>
        <w:t xml:space="preserve"> </w:t>
      </w:r>
      <w:r>
        <w:rPr>
          <w:lang w:val="en-GB"/>
        </w:rPr>
        <w:t>(</w:t>
      </w:r>
      <w:r w:rsidRPr="005870F0">
        <w:rPr>
          <w:lang w:val="en-GB"/>
        </w:rPr>
        <w:t>1990</w:t>
      </w:r>
      <w:r>
        <w:rPr>
          <w:lang w:val="en-GB"/>
        </w:rPr>
        <w:t>).</w:t>
      </w:r>
      <w:r w:rsidRPr="005870F0">
        <w:rPr>
          <w:lang w:val="en-GB"/>
        </w:rPr>
        <w:t xml:space="preserve"> </w:t>
      </w:r>
      <w:r>
        <w:rPr>
          <w:lang w:val="en-GB"/>
        </w:rPr>
        <w:t>‘</w:t>
      </w:r>
      <w:r w:rsidRPr="005870F0">
        <w:rPr>
          <w:lang w:val="en-GB"/>
        </w:rPr>
        <w:t>Perceptions of firm quality: A cause or result of firm performance</w:t>
      </w:r>
      <w:r>
        <w:rPr>
          <w:lang w:val="en-GB"/>
        </w:rPr>
        <w:t>’</w:t>
      </w:r>
      <w:r w:rsidRPr="005870F0">
        <w:rPr>
          <w:lang w:val="en-GB"/>
        </w:rPr>
        <w:t xml:space="preserve">. </w:t>
      </w:r>
      <w:r w:rsidRPr="005870F0">
        <w:rPr>
          <w:bCs/>
          <w:i/>
          <w:iCs/>
          <w:lang w:val="en-GB"/>
        </w:rPr>
        <w:t>Journal of Management</w:t>
      </w:r>
      <w:r w:rsidRPr="005870F0">
        <w:rPr>
          <w:b/>
          <w:bCs/>
          <w:i/>
          <w:iCs/>
          <w:lang w:val="en-GB"/>
        </w:rPr>
        <w:t xml:space="preserve">, </w:t>
      </w:r>
      <w:r w:rsidRPr="005870F0">
        <w:rPr>
          <w:b/>
          <w:lang w:val="en-GB"/>
        </w:rPr>
        <w:t>16</w:t>
      </w:r>
      <w:r>
        <w:rPr>
          <w:lang w:val="en-GB"/>
        </w:rPr>
        <w:t>,</w:t>
      </w:r>
      <w:r w:rsidRPr="005870F0">
        <w:rPr>
          <w:lang w:val="en-GB"/>
        </w:rPr>
        <w:t xml:space="preserve"> 167-180,</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rPr>
          <w:lang w:val="en-GB" w:eastAsia="en-GB"/>
        </w:rPr>
      </w:pPr>
      <w:r w:rsidRPr="009A4D2F">
        <w:rPr>
          <w:lang w:val="en-GB" w:eastAsia="en-GB"/>
        </w:rPr>
        <w:t xml:space="preserve">Merton, R. </w:t>
      </w:r>
      <w:r>
        <w:rPr>
          <w:lang w:val="en-GB" w:eastAsia="en-GB"/>
        </w:rPr>
        <w:t>(</w:t>
      </w:r>
      <w:r w:rsidRPr="009A4D2F">
        <w:rPr>
          <w:lang w:val="en-GB" w:eastAsia="en-GB"/>
        </w:rPr>
        <w:t>1968</w:t>
      </w:r>
      <w:r>
        <w:rPr>
          <w:lang w:val="en-GB" w:eastAsia="en-GB"/>
        </w:rPr>
        <w:t>)</w:t>
      </w:r>
      <w:r w:rsidRPr="009A4D2F">
        <w:rPr>
          <w:lang w:val="en-GB" w:eastAsia="en-GB"/>
        </w:rPr>
        <w:t xml:space="preserve">. </w:t>
      </w:r>
      <w:r>
        <w:rPr>
          <w:lang w:val="en-GB" w:eastAsia="en-GB"/>
        </w:rPr>
        <w:t>‘</w:t>
      </w:r>
      <w:r w:rsidRPr="009A4D2F">
        <w:rPr>
          <w:lang w:val="en-GB" w:eastAsia="en-GB"/>
        </w:rPr>
        <w:t>The Matthew effect in science</w:t>
      </w:r>
      <w:r>
        <w:rPr>
          <w:lang w:val="en-GB" w:eastAsia="en-GB"/>
        </w:rPr>
        <w:t>’</w:t>
      </w:r>
      <w:r w:rsidRPr="009A4D2F">
        <w:rPr>
          <w:lang w:val="en-GB" w:eastAsia="en-GB"/>
        </w:rPr>
        <w:t>.</w:t>
      </w:r>
      <w:r w:rsidR="002364D6">
        <w:rPr>
          <w:lang w:val="en-GB" w:eastAsia="en-GB"/>
        </w:rPr>
        <w:t xml:space="preserve"> </w:t>
      </w:r>
      <w:r w:rsidRPr="009A4D2F">
        <w:rPr>
          <w:i/>
          <w:iCs/>
          <w:lang w:val="en-GB" w:eastAsia="en-GB"/>
        </w:rPr>
        <w:t>Science</w:t>
      </w:r>
      <w:r>
        <w:rPr>
          <w:i/>
          <w:iCs/>
          <w:lang w:val="en-GB" w:eastAsia="en-GB"/>
        </w:rPr>
        <w:t>,</w:t>
      </w:r>
      <w:r w:rsidR="002364D6">
        <w:rPr>
          <w:i/>
          <w:iCs/>
          <w:lang w:val="en-GB" w:eastAsia="en-GB"/>
        </w:rPr>
        <w:t xml:space="preserve"> </w:t>
      </w:r>
      <w:r w:rsidRPr="009A4D2F">
        <w:rPr>
          <w:b/>
          <w:lang w:val="en-GB" w:eastAsia="en-GB"/>
        </w:rPr>
        <w:t>159</w:t>
      </w:r>
      <w:r>
        <w:rPr>
          <w:b/>
          <w:lang w:val="en-GB" w:eastAsia="en-GB"/>
        </w:rPr>
        <w:t>,</w:t>
      </w:r>
      <w:r w:rsidRPr="009A4D2F">
        <w:rPr>
          <w:lang w:val="en-GB" w:eastAsia="en-GB"/>
        </w:rPr>
        <w:t xml:space="preserve"> 56</w:t>
      </w:r>
      <w:r w:rsidR="001275FB">
        <w:rPr>
          <w:lang w:val="en-GB" w:eastAsia="en-GB"/>
        </w:rPr>
        <w:t>-</w:t>
      </w:r>
      <w:r w:rsidRPr="009A4D2F">
        <w:rPr>
          <w:lang w:val="en-GB" w:eastAsia="en-GB"/>
        </w:rPr>
        <w:t>63.</w:t>
      </w:r>
    </w:p>
    <w:p w:rsidR="001C7361" w:rsidRDefault="001C7361" w:rsidP="00F54F14">
      <w:pPr>
        <w:pStyle w:val="Header"/>
        <w:tabs>
          <w:tab w:val="clear" w:pos="4513"/>
          <w:tab w:val="clear" w:pos="9026"/>
          <w:tab w:val="center" w:pos="-3544"/>
          <w:tab w:val="center" w:pos="4320"/>
          <w:tab w:val="right" w:pos="8640"/>
        </w:tabs>
        <w:spacing w:line="480" w:lineRule="auto"/>
        <w:ind w:left="709" w:hanging="425"/>
        <w:jc w:val="both"/>
        <w:rPr>
          <w:lang w:val="en-GB" w:eastAsia="en-GB"/>
        </w:rPr>
      </w:pPr>
      <w:r w:rsidRPr="00D83B75">
        <w:t>Murphy, K</w:t>
      </w:r>
      <w:r w:rsidR="00E51D01">
        <w:rPr>
          <w:lang w:val="en-GB"/>
        </w:rPr>
        <w:t>.</w:t>
      </w:r>
      <w:r w:rsidRPr="00D83B75">
        <w:t>R</w:t>
      </w:r>
      <w:r w:rsidR="00E51D01">
        <w:rPr>
          <w:lang w:val="en-GB"/>
        </w:rPr>
        <w:t>.,</w:t>
      </w:r>
      <w:r w:rsidRPr="00D83B75">
        <w:t xml:space="preserve"> Jako, R</w:t>
      </w:r>
      <w:r w:rsidR="00E51D01">
        <w:rPr>
          <w:lang w:val="en-GB"/>
        </w:rPr>
        <w:t>.</w:t>
      </w:r>
      <w:r w:rsidRPr="00D83B75">
        <w:t>A</w:t>
      </w:r>
      <w:r w:rsidR="00E51D01">
        <w:rPr>
          <w:lang w:val="en-GB"/>
        </w:rPr>
        <w:t>.</w:t>
      </w:r>
      <w:r w:rsidRPr="00D83B75">
        <w:t xml:space="preserve"> </w:t>
      </w:r>
      <w:r w:rsidR="0053006E">
        <w:rPr>
          <w:lang w:val="en-GB"/>
        </w:rPr>
        <w:t>and</w:t>
      </w:r>
      <w:r w:rsidRPr="00D83B75">
        <w:t xml:space="preserve"> Anhalt, R</w:t>
      </w:r>
      <w:r w:rsidR="001275FB">
        <w:t>.</w:t>
      </w:r>
      <w:r w:rsidRPr="00D83B75">
        <w:t xml:space="preserve">L. (1993). </w:t>
      </w:r>
      <w:r w:rsidR="006C2F54">
        <w:t>‘</w:t>
      </w:r>
      <w:r w:rsidRPr="00D83B75">
        <w:t>Nature and consequences of halo error: A critical analysis</w:t>
      </w:r>
      <w:r w:rsidR="006C2F54">
        <w:t>’</w:t>
      </w:r>
      <w:r w:rsidRPr="00D83B75">
        <w:t xml:space="preserve">. </w:t>
      </w:r>
      <w:r w:rsidRPr="00D83B75">
        <w:rPr>
          <w:i/>
          <w:iCs/>
        </w:rPr>
        <w:t xml:space="preserve">Journal of Applied Psychology, </w:t>
      </w:r>
      <w:r w:rsidRPr="008259EC">
        <w:rPr>
          <w:b/>
          <w:iCs/>
        </w:rPr>
        <w:t>78</w:t>
      </w:r>
      <w:r w:rsidRPr="00D83B75">
        <w:rPr>
          <w:i/>
          <w:iCs/>
        </w:rPr>
        <w:t xml:space="preserve">, </w:t>
      </w:r>
      <w:r w:rsidRPr="00D83B75">
        <w:t>218-225.</w:t>
      </w:r>
    </w:p>
    <w:p w:rsidR="007B246A" w:rsidRPr="007B246A" w:rsidRDefault="007B246A" w:rsidP="00F54F14">
      <w:pPr>
        <w:tabs>
          <w:tab w:val="center" w:pos="-3544"/>
        </w:tabs>
        <w:autoSpaceDE w:val="0"/>
        <w:autoSpaceDN w:val="0"/>
        <w:adjustRightInd w:val="0"/>
        <w:spacing w:line="480" w:lineRule="auto"/>
        <w:ind w:left="709" w:hanging="425"/>
        <w:jc w:val="both"/>
      </w:pPr>
      <w:r w:rsidRPr="007B246A">
        <w:rPr>
          <w:color w:val="231F20"/>
          <w:lang w:val="en-GB" w:eastAsia="en-GB"/>
        </w:rPr>
        <w:t xml:space="preserve">Negro, G., </w:t>
      </w:r>
      <w:proofErr w:type="spellStart"/>
      <w:r w:rsidRPr="007B246A">
        <w:rPr>
          <w:color w:val="231F20"/>
          <w:lang w:val="en-GB" w:eastAsia="en-GB"/>
        </w:rPr>
        <w:t>Kocak</w:t>
      </w:r>
      <w:proofErr w:type="spellEnd"/>
      <w:r w:rsidRPr="007B246A">
        <w:rPr>
          <w:color w:val="231F20"/>
          <w:lang w:val="en-GB" w:eastAsia="en-GB"/>
        </w:rPr>
        <w:t>, O</w:t>
      </w:r>
      <w:r w:rsidR="001275FB">
        <w:rPr>
          <w:color w:val="231F20"/>
          <w:lang w:val="en-GB" w:eastAsia="en-GB"/>
        </w:rPr>
        <w:t>.</w:t>
      </w:r>
      <w:r w:rsidRPr="007B246A">
        <w:rPr>
          <w:color w:val="231F20"/>
          <w:lang w:val="en-GB" w:eastAsia="en-GB"/>
        </w:rPr>
        <w:t xml:space="preserve"> and Hsu, G. (2010)</w:t>
      </w:r>
      <w:r w:rsidR="005D5309">
        <w:rPr>
          <w:color w:val="231F20"/>
          <w:lang w:val="en-GB" w:eastAsia="en-GB"/>
        </w:rPr>
        <w:t>.</w:t>
      </w:r>
      <w:r w:rsidRPr="007B246A">
        <w:rPr>
          <w:color w:val="231F20"/>
          <w:lang w:val="en-GB" w:eastAsia="en-GB"/>
        </w:rPr>
        <w:t xml:space="preserve"> </w:t>
      </w:r>
      <w:r>
        <w:rPr>
          <w:color w:val="231F20"/>
          <w:lang w:val="en-GB" w:eastAsia="en-GB"/>
        </w:rPr>
        <w:t>‘Research on</w:t>
      </w:r>
      <w:r w:rsidRPr="007B246A">
        <w:rPr>
          <w:color w:val="231F20"/>
          <w:lang w:val="en-GB" w:eastAsia="en-GB"/>
        </w:rPr>
        <w:t xml:space="preserve"> </w:t>
      </w:r>
      <w:r>
        <w:rPr>
          <w:color w:val="231F20"/>
          <w:lang w:val="en-GB" w:eastAsia="en-GB"/>
        </w:rPr>
        <w:t xml:space="preserve">categories in the sociology of </w:t>
      </w:r>
      <w:r w:rsidR="00D60884">
        <w:rPr>
          <w:color w:val="231F20"/>
          <w:lang w:val="en-GB" w:eastAsia="en-GB"/>
        </w:rPr>
        <w:t>organization</w:t>
      </w:r>
      <w:r>
        <w:rPr>
          <w:color w:val="231F20"/>
          <w:lang w:val="en-GB" w:eastAsia="en-GB"/>
        </w:rPr>
        <w:t>s’.</w:t>
      </w:r>
      <w:r w:rsidRPr="007B246A">
        <w:rPr>
          <w:color w:val="231F20"/>
          <w:lang w:val="en-GB" w:eastAsia="en-GB"/>
        </w:rPr>
        <w:t xml:space="preserve"> </w:t>
      </w:r>
      <w:r w:rsidRPr="007B246A">
        <w:rPr>
          <w:i/>
          <w:color w:val="231F20"/>
          <w:lang w:val="en-GB" w:eastAsia="en-GB"/>
        </w:rPr>
        <w:t>Research in the Sociology of Organizations</w:t>
      </w:r>
      <w:r>
        <w:rPr>
          <w:color w:val="231F20"/>
          <w:lang w:val="en-GB" w:eastAsia="en-GB"/>
        </w:rPr>
        <w:t xml:space="preserve">, </w:t>
      </w:r>
      <w:r w:rsidRPr="007B246A">
        <w:rPr>
          <w:b/>
          <w:color w:val="231F20"/>
          <w:lang w:val="en-GB" w:eastAsia="en-GB"/>
        </w:rPr>
        <w:t>31</w:t>
      </w:r>
      <w:r w:rsidRPr="007B246A">
        <w:rPr>
          <w:color w:val="231F20"/>
          <w:lang w:val="en-GB" w:eastAsia="en-GB"/>
        </w:rPr>
        <w:t>, 3</w:t>
      </w:r>
      <w:r w:rsidR="001275FB">
        <w:rPr>
          <w:color w:val="231F20"/>
          <w:lang w:val="en-GB" w:eastAsia="en-GB"/>
        </w:rPr>
        <w:t>-</w:t>
      </w:r>
      <w:r w:rsidRPr="007B246A">
        <w:rPr>
          <w:color w:val="231F20"/>
          <w:lang w:val="en-GB" w:eastAsia="en-GB"/>
        </w:rPr>
        <w:t>35</w:t>
      </w:r>
      <w:r w:rsidR="00D134AC">
        <w:rPr>
          <w:color w:val="231F20"/>
          <w:lang w:val="en-GB" w:eastAsia="en-GB"/>
        </w:rP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Nicolaou, N</w:t>
      </w:r>
      <w:r>
        <w:t>.</w:t>
      </w:r>
      <w:r w:rsidRPr="009A4D2F">
        <w:t xml:space="preserve"> and Birley, S. (2003). </w:t>
      </w:r>
      <w:r>
        <w:t>‘</w:t>
      </w:r>
      <w:r w:rsidRPr="009A4D2F">
        <w:t>Academic networks in a trichotomous</w:t>
      </w:r>
      <w:r w:rsidR="002364D6">
        <w:t xml:space="preserve"> categorization </w:t>
      </w:r>
      <w:r w:rsidRPr="009A4D2F">
        <w:t xml:space="preserve">of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rPr>
          <w:lang w:val="en-GB"/>
        </w:rPr>
      </w:pPr>
      <w:r w:rsidRPr="009A4D2F">
        <w:t>university spinouts</w:t>
      </w:r>
      <w:r>
        <w:t>’</w:t>
      </w:r>
      <w:r w:rsidRPr="009A4D2F">
        <w:t xml:space="preserve">. </w:t>
      </w:r>
      <w:r w:rsidRPr="009A4D2F">
        <w:rPr>
          <w:i/>
        </w:rPr>
        <w:t>Journal of Business Venturing</w:t>
      </w:r>
      <w:r w:rsidRPr="009A4D2F">
        <w:t xml:space="preserve">, </w:t>
      </w:r>
      <w:r w:rsidRPr="009A4D2F">
        <w:rPr>
          <w:b/>
        </w:rPr>
        <w:t>18</w:t>
      </w:r>
      <w:r>
        <w:t>,</w:t>
      </w:r>
      <w:r w:rsidRPr="009A4D2F">
        <w:t xml:space="preserve"> 333-359</w:t>
      </w:r>
      <w:r>
        <w:t>.</w:t>
      </w:r>
    </w:p>
    <w:p w:rsidR="00D134AC" w:rsidRDefault="003A6255" w:rsidP="00F54F14">
      <w:pPr>
        <w:pStyle w:val="Header"/>
        <w:tabs>
          <w:tab w:val="clear" w:pos="4513"/>
          <w:tab w:val="clear" w:pos="9026"/>
          <w:tab w:val="center" w:pos="-3544"/>
          <w:tab w:val="center" w:pos="1134"/>
          <w:tab w:val="center" w:pos="4320"/>
          <w:tab w:val="right" w:pos="8640"/>
        </w:tabs>
        <w:spacing w:line="480" w:lineRule="auto"/>
        <w:ind w:left="709" w:hanging="425"/>
        <w:jc w:val="both"/>
        <w:rPr>
          <w:lang w:val="en-GB"/>
        </w:rPr>
      </w:pPr>
      <w:r>
        <w:rPr>
          <w:lang w:val="en-GB"/>
        </w:rPr>
        <w:t>Nicolaou, N. and Souitaris, V. (2013). ‘</w:t>
      </w:r>
      <w:r w:rsidR="00961D11">
        <w:rPr>
          <w:lang w:val="en-GB"/>
        </w:rPr>
        <w:t>Can perceived su</w:t>
      </w:r>
      <w:r w:rsidR="006B53CE">
        <w:rPr>
          <w:lang w:val="en-GB"/>
        </w:rPr>
        <w:t>pport for entrepreneurship keep</w:t>
      </w:r>
      <w:r w:rsidR="00961D11">
        <w:rPr>
          <w:lang w:val="en-GB"/>
        </w:rPr>
        <w:t xml:space="preserve"> great faculty in the face of spinouts?’ Working paper, Cass Business School.</w:t>
      </w:r>
    </w:p>
    <w:p w:rsidR="00D134AC" w:rsidRPr="00DB3D97" w:rsidRDefault="00D134AC" w:rsidP="00F54F14">
      <w:pPr>
        <w:pStyle w:val="Header"/>
        <w:tabs>
          <w:tab w:val="clear" w:pos="4513"/>
          <w:tab w:val="clear" w:pos="9026"/>
          <w:tab w:val="center" w:pos="-3544"/>
          <w:tab w:val="center" w:pos="1134"/>
          <w:tab w:val="center" w:pos="4320"/>
          <w:tab w:val="right" w:pos="8640"/>
        </w:tabs>
        <w:spacing w:line="480" w:lineRule="auto"/>
        <w:ind w:left="709" w:hanging="425"/>
        <w:jc w:val="both"/>
        <w:rPr>
          <w:lang w:val="fr-FR"/>
        </w:rPr>
      </w:pPr>
      <w:r>
        <w:rPr>
          <w:bCs/>
        </w:rPr>
        <w:t>Nisbett, R. and Wilson, T</w:t>
      </w:r>
      <w:r w:rsidRPr="00D134AC">
        <w:rPr>
          <w:bCs/>
        </w:rPr>
        <w:t xml:space="preserve">. (1977). </w:t>
      </w:r>
      <w:r>
        <w:rPr>
          <w:bCs/>
        </w:rPr>
        <w:t>‘</w:t>
      </w:r>
      <w:r w:rsidRPr="00D134AC">
        <w:rPr>
          <w:bCs/>
        </w:rPr>
        <w:t>Telling more than we can know: Verbal reports on mental processes.</w:t>
      </w:r>
      <w:r>
        <w:rPr>
          <w:bCs/>
        </w:rPr>
        <w:t>’</w:t>
      </w:r>
      <w:r w:rsidRPr="00D134AC">
        <w:rPr>
          <w:bCs/>
        </w:rPr>
        <w:t xml:space="preserve"> </w:t>
      </w:r>
      <w:r w:rsidRPr="00D134AC">
        <w:rPr>
          <w:bCs/>
          <w:i/>
          <w:iCs/>
        </w:rPr>
        <w:t xml:space="preserve">Psychological Review, </w:t>
      </w:r>
      <w:r w:rsidRPr="00D134AC">
        <w:rPr>
          <w:b/>
          <w:bCs/>
          <w:iCs/>
        </w:rPr>
        <w:t>84</w:t>
      </w:r>
      <w:r w:rsidRPr="00D134AC">
        <w:rPr>
          <w:bCs/>
          <w:i/>
          <w:iCs/>
        </w:rPr>
        <w:t>,</w:t>
      </w:r>
      <w:r w:rsidRPr="00D134AC">
        <w:rPr>
          <w:bCs/>
        </w:rPr>
        <w:t xml:space="preserve"> 231-259.</w:t>
      </w:r>
      <w:r w:rsidRPr="00D134AC">
        <w:t xml:space="preserve"> </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rPr>
          <w:lang w:val="nl-NL"/>
        </w:rPr>
        <w:t>O’Shea</w:t>
      </w:r>
      <w:r>
        <w:rPr>
          <w:lang w:val="nl-NL"/>
        </w:rPr>
        <w:t>,</w:t>
      </w:r>
      <w:r w:rsidRPr="009A4D2F">
        <w:rPr>
          <w:lang w:val="nl-NL"/>
        </w:rPr>
        <w:t xml:space="preserve"> R</w:t>
      </w:r>
      <w:r>
        <w:rPr>
          <w:lang w:val="nl-NL"/>
        </w:rPr>
        <w:t>.</w:t>
      </w:r>
      <w:r w:rsidRPr="009A4D2F">
        <w:rPr>
          <w:lang w:val="nl-NL"/>
        </w:rPr>
        <w:t>P</w:t>
      </w:r>
      <w:r>
        <w:rPr>
          <w:lang w:val="nl-NL"/>
        </w:rPr>
        <w:t>.</w:t>
      </w:r>
      <w:r w:rsidRPr="009A4D2F">
        <w:rPr>
          <w:lang w:val="nl-NL"/>
        </w:rPr>
        <w:t>, Allen</w:t>
      </w:r>
      <w:r>
        <w:rPr>
          <w:lang w:val="nl-NL"/>
        </w:rPr>
        <w:t>,</w:t>
      </w:r>
      <w:r w:rsidRPr="009A4D2F">
        <w:rPr>
          <w:lang w:val="nl-NL"/>
        </w:rPr>
        <w:t xml:space="preserve"> T</w:t>
      </w:r>
      <w:r>
        <w:rPr>
          <w:lang w:val="nl-NL"/>
        </w:rPr>
        <w:t>.</w:t>
      </w:r>
      <w:r w:rsidRPr="009A4D2F">
        <w:rPr>
          <w:lang w:val="nl-NL"/>
        </w:rPr>
        <w:t>J</w:t>
      </w:r>
      <w:r>
        <w:rPr>
          <w:lang w:val="nl-NL"/>
        </w:rPr>
        <w:t>.</w:t>
      </w:r>
      <w:r w:rsidRPr="009A4D2F">
        <w:rPr>
          <w:lang w:val="nl-NL"/>
        </w:rPr>
        <w:t>, Chevalier</w:t>
      </w:r>
      <w:r>
        <w:rPr>
          <w:lang w:val="nl-NL"/>
        </w:rPr>
        <w:t>,</w:t>
      </w:r>
      <w:r w:rsidRPr="009A4D2F">
        <w:rPr>
          <w:lang w:val="nl-NL"/>
        </w:rPr>
        <w:t xml:space="preserve"> A</w:t>
      </w:r>
      <w:r>
        <w:rPr>
          <w:lang w:val="nl-NL"/>
        </w:rPr>
        <w:t>.</w:t>
      </w:r>
      <w:r w:rsidRPr="009A4D2F">
        <w:rPr>
          <w:lang w:val="nl-NL"/>
        </w:rPr>
        <w:t xml:space="preserve"> and Roche</w:t>
      </w:r>
      <w:r>
        <w:rPr>
          <w:lang w:val="nl-NL"/>
        </w:rPr>
        <w:t>,</w:t>
      </w:r>
      <w:r w:rsidRPr="009A4D2F">
        <w:rPr>
          <w:lang w:val="nl-NL"/>
        </w:rPr>
        <w:t xml:space="preserve"> F. (2005). </w:t>
      </w:r>
      <w:r>
        <w:rPr>
          <w:lang w:val="nl-NL"/>
        </w:rPr>
        <w:t>‘</w:t>
      </w:r>
      <w:r w:rsidRPr="009A4D2F">
        <w:t xml:space="preserve">Entrepreneurial orientation, </w:t>
      </w:r>
    </w:p>
    <w:p w:rsidR="00C06585" w:rsidRDefault="00C06585" w:rsidP="00F54F14">
      <w:pPr>
        <w:pStyle w:val="Header"/>
        <w:tabs>
          <w:tab w:val="clear" w:pos="4513"/>
          <w:tab w:val="clear" w:pos="9026"/>
          <w:tab w:val="center" w:pos="-3544"/>
          <w:tab w:val="center" w:pos="4320"/>
          <w:tab w:val="right" w:pos="8640"/>
        </w:tabs>
        <w:spacing w:line="480" w:lineRule="auto"/>
        <w:ind w:left="720"/>
        <w:jc w:val="both"/>
      </w:pPr>
      <w:r w:rsidRPr="009A4D2F">
        <w:t>technology transfer and spinoff performance of US universities</w:t>
      </w:r>
      <w:r>
        <w:t>’</w:t>
      </w:r>
      <w:r w:rsidRPr="009A4D2F">
        <w:t xml:space="preserve">. </w:t>
      </w:r>
      <w:r w:rsidRPr="009A4D2F">
        <w:rPr>
          <w:i/>
        </w:rPr>
        <w:t>Research Policy</w:t>
      </w:r>
      <w:r w:rsidRPr="009A4D2F">
        <w:t xml:space="preserve">, </w:t>
      </w:r>
      <w:r w:rsidRPr="009A4D2F">
        <w:rPr>
          <w:b/>
        </w:rPr>
        <w:t>34</w:t>
      </w:r>
      <w:r>
        <w:t>,</w:t>
      </w:r>
      <w:r w:rsidRPr="009A4D2F">
        <w:t xml:space="preserve"> 994-1009</w:t>
      </w:r>
      <w: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O</w:t>
      </w:r>
      <w:r w:rsidRPr="009A4D2F">
        <w:rPr>
          <w:lang w:val="nl-NL"/>
        </w:rPr>
        <w:t>’</w:t>
      </w:r>
      <w:r w:rsidRPr="009A4D2F">
        <w:t>Shea</w:t>
      </w:r>
      <w:r>
        <w:t>,</w:t>
      </w:r>
      <w:r w:rsidRPr="009A4D2F">
        <w:t xml:space="preserve"> R</w:t>
      </w:r>
      <w:r>
        <w:t>.</w:t>
      </w:r>
      <w:r w:rsidRPr="009A4D2F">
        <w:t>P</w:t>
      </w:r>
      <w:r>
        <w:t>.</w:t>
      </w:r>
      <w:r w:rsidRPr="009A4D2F">
        <w:t>, Chugh</w:t>
      </w:r>
      <w:r>
        <w:t>,</w:t>
      </w:r>
      <w:r w:rsidRPr="009A4D2F">
        <w:t xml:space="preserve"> H. and Allen</w:t>
      </w:r>
      <w:r>
        <w:t>,</w:t>
      </w:r>
      <w:r w:rsidRPr="009A4D2F">
        <w:t xml:space="preserve"> T</w:t>
      </w:r>
      <w:r>
        <w:t>.</w:t>
      </w:r>
      <w:r w:rsidRPr="009A4D2F">
        <w:t>J</w:t>
      </w:r>
      <w:r>
        <w:t>.</w:t>
      </w:r>
      <w:r w:rsidRPr="009A4D2F">
        <w:t xml:space="preserve"> (2008).</w:t>
      </w:r>
      <w:r w:rsidR="002364D6">
        <w:t xml:space="preserve"> </w:t>
      </w:r>
      <w:r>
        <w:t>‘</w:t>
      </w:r>
      <w:r w:rsidRPr="009A4D2F">
        <w:t xml:space="preserve">Determinants and </w:t>
      </w:r>
      <w:r>
        <w:t>c</w:t>
      </w:r>
      <w:r w:rsidRPr="009A4D2F">
        <w:t xml:space="preserve">onsequences of </w:t>
      </w:r>
      <w:r>
        <w:t>u</w:t>
      </w:r>
      <w:r w:rsidRPr="009A4D2F">
        <w:t xml:space="preserve">niversity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pPr>
      <w:r>
        <w:t>s</w:t>
      </w:r>
      <w:r w:rsidRPr="009A4D2F">
        <w:t xml:space="preserve">pinoff </w:t>
      </w:r>
      <w:r>
        <w:t>a</w:t>
      </w:r>
      <w:r w:rsidRPr="009A4D2F">
        <w:t xml:space="preserve">ctivity: A </w:t>
      </w:r>
      <w:r>
        <w:t>c</w:t>
      </w:r>
      <w:r w:rsidRPr="009A4D2F">
        <w:t xml:space="preserve">onceptual </w:t>
      </w:r>
      <w:r>
        <w:t>f</w:t>
      </w:r>
      <w:r w:rsidRPr="009A4D2F">
        <w:t>ramework</w:t>
      </w:r>
      <w:r>
        <w:t>’</w:t>
      </w:r>
      <w:r w:rsidRPr="009A4D2F">
        <w:t xml:space="preserve">. </w:t>
      </w:r>
      <w:r w:rsidRPr="009A4D2F">
        <w:rPr>
          <w:i/>
          <w:iCs/>
        </w:rPr>
        <w:t>Journal of Technology Transfer</w:t>
      </w:r>
      <w:r w:rsidRPr="009A4D2F">
        <w:t xml:space="preserve">, </w:t>
      </w:r>
      <w:r w:rsidRPr="009A4D2F">
        <w:rPr>
          <w:b/>
        </w:rPr>
        <w:t>33</w:t>
      </w:r>
      <w:r>
        <w:t>,</w:t>
      </w:r>
      <w:r w:rsidRPr="009A4D2F">
        <w:t xml:space="preserve"> 653-666.</w:t>
      </w:r>
    </w:p>
    <w:p w:rsidR="0005339C" w:rsidRPr="0005339C" w:rsidRDefault="0005339C" w:rsidP="00F54F14">
      <w:pPr>
        <w:tabs>
          <w:tab w:val="center" w:pos="-3544"/>
        </w:tabs>
        <w:autoSpaceDE w:val="0"/>
        <w:autoSpaceDN w:val="0"/>
        <w:adjustRightInd w:val="0"/>
        <w:spacing w:line="480" w:lineRule="auto"/>
        <w:ind w:left="709" w:hanging="425"/>
        <w:jc w:val="both"/>
        <w:rPr>
          <w:lang w:val="en-GB"/>
        </w:rPr>
      </w:pPr>
      <w:proofErr w:type="spellStart"/>
      <w:r w:rsidRPr="0005339C">
        <w:rPr>
          <w:lang w:val="en-GB"/>
        </w:rPr>
        <w:t>Parguel</w:t>
      </w:r>
      <w:proofErr w:type="spellEnd"/>
      <w:r w:rsidRPr="0005339C">
        <w:rPr>
          <w:lang w:val="en-GB"/>
        </w:rPr>
        <w:t>, B., Benoıt-Moreau, F.</w:t>
      </w:r>
      <w:r w:rsidR="00E51D01">
        <w:rPr>
          <w:lang w:val="en-GB"/>
        </w:rPr>
        <w:t xml:space="preserve"> and</w:t>
      </w:r>
      <w:r w:rsidRPr="0005339C">
        <w:rPr>
          <w:lang w:val="en-GB"/>
        </w:rPr>
        <w:t xml:space="preserve"> </w:t>
      </w:r>
      <w:proofErr w:type="spellStart"/>
      <w:r w:rsidRPr="0005339C">
        <w:rPr>
          <w:lang w:val="en-GB"/>
        </w:rPr>
        <w:t>Larceneux</w:t>
      </w:r>
      <w:proofErr w:type="spellEnd"/>
      <w:r w:rsidRPr="0005339C">
        <w:rPr>
          <w:lang w:val="en-GB"/>
        </w:rPr>
        <w:t xml:space="preserve">, F. (2011). </w:t>
      </w:r>
      <w:r w:rsidR="0058254A">
        <w:rPr>
          <w:lang w:val="en-GB"/>
        </w:rPr>
        <w:t>‘</w:t>
      </w:r>
      <w:r w:rsidRPr="0005339C">
        <w:rPr>
          <w:lang w:val="en-GB"/>
        </w:rPr>
        <w:t>How sustainability ratings might deter ‘greenwashing’: A closer look</w:t>
      </w:r>
      <w:r>
        <w:rPr>
          <w:lang w:val="en-GB"/>
        </w:rPr>
        <w:t xml:space="preserve"> </w:t>
      </w:r>
      <w:r w:rsidRPr="0005339C">
        <w:rPr>
          <w:lang w:val="en-GB"/>
        </w:rPr>
        <w:t>at ethical corporate communication</w:t>
      </w:r>
      <w:r w:rsidR="0058254A">
        <w:rPr>
          <w:lang w:val="en-GB"/>
        </w:rPr>
        <w:t>’</w:t>
      </w:r>
      <w:r w:rsidRPr="0005339C">
        <w:rPr>
          <w:lang w:val="en-GB"/>
        </w:rPr>
        <w:t xml:space="preserve">. </w:t>
      </w:r>
      <w:r w:rsidRPr="0005339C">
        <w:rPr>
          <w:i/>
          <w:lang w:val="en-GB"/>
        </w:rPr>
        <w:t>Journal of Business Ethics</w:t>
      </w:r>
      <w:r w:rsidRPr="0005339C">
        <w:rPr>
          <w:lang w:val="en-GB"/>
        </w:rPr>
        <w:t xml:space="preserve">, </w:t>
      </w:r>
      <w:r w:rsidRPr="0005339C">
        <w:rPr>
          <w:b/>
          <w:lang w:val="en-GB"/>
        </w:rPr>
        <w:t>102</w:t>
      </w:r>
      <w:r w:rsidRPr="0005339C">
        <w:rPr>
          <w:lang w:val="en-GB"/>
        </w:rPr>
        <w:t>, 15</w:t>
      </w:r>
      <w:r w:rsidR="001275FB">
        <w:rPr>
          <w:lang w:val="en-GB"/>
        </w:rPr>
        <w:t>-</w:t>
      </w:r>
      <w:r w:rsidRPr="0005339C">
        <w:rPr>
          <w:lang w:val="en-GB"/>
        </w:rPr>
        <w:t>28.</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lastRenderedPageBreak/>
        <w:t>Perkmann</w:t>
      </w:r>
      <w:r>
        <w:t>,</w:t>
      </w:r>
      <w:r w:rsidRPr="009A4D2F">
        <w:t xml:space="preserve"> M</w:t>
      </w:r>
      <w:r>
        <w:t>.</w:t>
      </w:r>
      <w:r w:rsidRPr="009A4D2F">
        <w:t xml:space="preserve"> and Walsh</w:t>
      </w:r>
      <w:r>
        <w:t>,</w:t>
      </w:r>
      <w:r w:rsidRPr="009A4D2F">
        <w:t xml:space="preserve"> K. (2009).</w:t>
      </w:r>
      <w:r>
        <w:t>‘</w:t>
      </w:r>
      <w:r w:rsidRPr="009A4D2F">
        <w:t>The two faces of collaboration: Impacts of university-</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pPr>
      <w:r w:rsidRPr="009A4D2F">
        <w:t>industry relations on public research</w:t>
      </w:r>
      <w:r>
        <w:t>’</w:t>
      </w:r>
      <w:r w:rsidRPr="009A4D2F">
        <w:t xml:space="preserve">. </w:t>
      </w:r>
      <w:r w:rsidRPr="009A4D2F">
        <w:rPr>
          <w:i/>
        </w:rPr>
        <w:t>Industrial and Corporate Change</w:t>
      </w:r>
      <w:r w:rsidRPr="009A4D2F">
        <w:t xml:space="preserve">, </w:t>
      </w:r>
      <w:r w:rsidRPr="009A4D2F">
        <w:rPr>
          <w:b/>
        </w:rPr>
        <w:t>18</w:t>
      </w:r>
      <w:r>
        <w:t>,</w:t>
      </w:r>
      <w:r w:rsidRPr="009A4D2F">
        <w:t xml:space="preserve"> 1033-1065</w:t>
      </w:r>
      <w: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rPr>
          <w:i/>
          <w:iCs/>
          <w:lang w:val="en-GB" w:eastAsia="en-GB"/>
        </w:rPr>
      </w:pPr>
      <w:proofErr w:type="spellStart"/>
      <w:r w:rsidRPr="009A4D2F">
        <w:rPr>
          <w:lang w:val="en-GB" w:eastAsia="en-GB"/>
        </w:rPr>
        <w:t>Perrow</w:t>
      </w:r>
      <w:proofErr w:type="spellEnd"/>
      <w:r w:rsidRPr="009A4D2F">
        <w:rPr>
          <w:lang w:val="en-GB" w:eastAsia="en-GB"/>
        </w:rPr>
        <w:t xml:space="preserve">, C. (1961). </w:t>
      </w:r>
      <w:r>
        <w:rPr>
          <w:lang w:val="en-GB" w:eastAsia="en-GB"/>
        </w:rPr>
        <w:t>‘</w:t>
      </w:r>
      <w:r w:rsidR="00D60884">
        <w:rPr>
          <w:lang w:val="en-GB" w:eastAsia="en-GB"/>
        </w:rPr>
        <w:t>Organization</w:t>
      </w:r>
      <w:r w:rsidRPr="009A4D2F">
        <w:rPr>
          <w:lang w:val="en-GB" w:eastAsia="en-GB"/>
        </w:rPr>
        <w:t>al prestige: Some functions and</w:t>
      </w:r>
      <w:r w:rsidR="002364D6">
        <w:rPr>
          <w:lang w:val="en-GB" w:eastAsia="en-GB"/>
        </w:rPr>
        <w:t xml:space="preserve"> </w:t>
      </w:r>
      <w:r w:rsidRPr="009A4D2F">
        <w:rPr>
          <w:lang w:val="en-GB" w:eastAsia="en-GB"/>
        </w:rPr>
        <w:t>dysfunctions</w:t>
      </w:r>
      <w:r>
        <w:rPr>
          <w:lang w:val="en-GB" w:eastAsia="en-GB"/>
        </w:rPr>
        <w:t>’</w:t>
      </w:r>
      <w:r w:rsidRPr="009A4D2F">
        <w:rPr>
          <w:lang w:val="en-GB" w:eastAsia="en-GB"/>
        </w:rPr>
        <w:t xml:space="preserve">. </w:t>
      </w:r>
      <w:r w:rsidRPr="009A4D2F">
        <w:rPr>
          <w:i/>
          <w:iCs/>
          <w:lang w:val="en-GB" w:eastAsia="en-GB"/>
        </w:rPr>
        <w:t xml:space="preserve">American Journal </w:t>
      </w:r>
    </w:p>
    <w:p w:rsidR="001C7361" w:rsidRDefault="00C06585" w:rsidP="00F54F14">
      <w:pPr>
        <w:pStyle w:val="Header"/>
        <w:tabs>
          <w:tab w:val="clear" w:pos="4513"/>
          <w:tab w:val="clear" w:pos="9026"/>
          <w:tab w:val="center" w:pos="-3544"/>
          <w:tab w:val="center" w:pos="4320"/>
          <w:tab w:val="right" w:pos="8640"/>
        </w:tabs>
        <w:spacing w:line="480" w:lineRule="auto"/>
        <w:ind w:left="272" w:firstLine="448"/>
        <w:jc w:val="both"/>
        <w:rPr>
          <w:lang w:val="en-GB" w:eastAsia="en-GB"/>
        </w:rPr>
      </w:pPr>
      <w:r w:rsidRPr="009A4D2F">
        <w:rPr>
          <w:i/>
          <w:iCs/>
          <w:lang w:val="en-GB" w:eastAsia="en-GB"/>
        </w:rPr>
        <w:t xml:space="preserve">of Sociology, </w:t>
      </w:r>
      <w:r w:rsidRPr="009A4D2F">
        <w:rPr>
          <w:b/>
          <w:lang w:val="en-GB" w:eastAsia="en-GB"/>
        </w:rPr>
        <w:t>66</w:t>
      </w:r>
      <w:r>
        <w:rPr>
          <w:lang w:val="en-GB" w:eastAsia="en-GB"/>
        </w:rPr>
        <w:t>,</w:t>
      </w:r>
      <w:r w:rsidRPr="009A4D2F">
        <w:rPr>
          <w:lang w:val="en-GB" w:eastAsia="en-GB"/>
        </w:rPr>
        <w:t xml:space="preserve"> 335</w:t>
      </w:r>
      <w:r w:rsidR="001275FB">
        <w:rPr>
          <w:lang w:val="en-GB" w:eastAsia="en-GB"/>
        </w:rPr>
        <w:t>-</w:t>
      </w:r>
      <w:r w:rsidRPr="009A4D2F">
        <w:rPr>
          <w:lang w:val="en-GB" w:eastAsia="en-GB"/>
        </w:rPr>
        <w:t>341.</w:t>
      </w:r>
    </w:p>
    <w:p w:rsidR="0007699B" w:rsidRDefault="001C7361" w:rsidP="00F54F14">
      <w:pPr>
        <w:pStyle w:val="Header"/>
        <w:tabs>
          <w:tab w:val="clear" w:pos="4513"/>
          <w:tab w:val="clear" w:pos="9026"/>
          <w:tab w:val="center" w:pos="-3544"/>
          <w:tab w:val="center" w:pos="709"/>
          <w:tab w:val="center" w:pos="4320"/>
          <w:tab w:val="right" w:pos="8640"/>
        </w:tabs>
        <w:spacing w:line="480" w:lineRule="auto"/>
        <w:ind w:left="709" w:hanging="425"/>
        <w:jc w:val="both"/>
      </w:pPr>
      <w:r w:rsidRPr="00D83B75">
        <w:t xml:space="preserve">Peters, J.P. and Ceci, S.J. (1982). </w:t>
      </w:r>
      <w:r w:rsidR="001F0A97">
        <w:rPr>
          <w:lang w:val="en-GB"/>
        </w:rPr>
        <w:t>‘</w:t>
      </w:r>
      <w:r w:rsidRPr="00D83B75">
        <w:t>Peer-review practices of psychological journals: The fate of published articles, submitted again</w:t>
      </w:r>
      <w:r w:rsidR="001F0A97">
        <w:rPr>
          <w:lang w:val="en-GB"/>
        </w:rPr>
        <w:t>’</w:t>
      </w:r>
      <w:r w:rsidRPr="00D83B75">
        <w:t xml:space="preserve">. </w:t>
      </w:r>
      <w:r w:rsidRPr="00D83B75">
        <w:rPr>
          <w:i/>
          <w:iCs/>
        </w:rPr>
        <w:t xml:space="preserve">Behavioral and Brain Sciences, </w:t>
      </w:r>
      <w:r w:rsidRPr="00D83B75">
        <w:rPr>
          <w:b/>
        </w:rPr>
        <w:t>5</w:t>
      </w:r>
      <w:r w:rsidRPr="00D83B75">
        <w:t>, 187-255.</w:t>
      </w:r>
    </w:p>
    <w:p w:rsidR="00B91163" w:rsidRDefault="0007699B" w:rsidP="00F54F14">
      <w:pPr>
        <w:pStyle w:val="Header"/>
        <w:tabs>
          <w:tab w:val="clear" w:pos="4513"/>
          <w:tab w:val="clear" w:pos="9026"/>
          <w:tab w:val="center" w:pos="-3544"/>
          <w:tab w:val="center" w:pos="709"/>
          <w:tab w:val="center" w:pos="4320"/>
          <w:tab w:val="right" w:pos="8640"/>
        </w:tabs>
        <w:spacing w:line="480" w:lineRule="auto"/>
        <w:ind w:left="709" w:hanging="425"/>
        <w:jc w:val="both"/>
        <w:rPr>
          <w:lang w:val="en-GB"/>
        </w:rPr>
      </w:pPr>
      <w:r w:rsidRPr="00112B3A">
        <w:t>Piazza, A</w:t>
      </w:r>
      <w:r w:rsidR="00E51D01">
        <w:rPr>
          <w:lang w:val="en-GB"/>
        </w:rPr>
        <w:t>.</w:t>
      </w:r>
      <w:r w:rsidR="0053006E">
        <w:rPr>
          <w:lang w:val="en-GB"/>
        </w:rPr>
        <w:t xml:space="preserve"> and</w:t>
      </w:r>
      <w:r w:rsidRPr="00112B3A">
        <w:t xml:space="preserve"> Castellucci, F. (2014). Status in organization and management theory. </w:t>
      </w:r>
      <w:r w:rsidRPr="00112B3A">
        <w:rPr>
          <w:i/>
        </w:rPr>
        <w:t>Journal of Management</w:t>
      </w:r>
      <w:r w:rsidRPr="00112B3A">
        <w:t xml:space="preserve">, </w:t>
      </w:r>
      <w:r w:rsidRPr="00112B3A">
        <w:rPr>
          <w:b/>
        </w:rPr>
        <w:t>40</w:t>
      </w:r>
      <w:r w:rsidRPr="00112B3A">
        <w:t>, 287-315.</w:t>
      </w:r>
    </w:p>
    <w:p w:rsidR="0007699B" w:rsidRDefault="003D1052" w:rsidP="00F54F14">
      <w:pPr>
        <w:pStyle w:val="Header"/>
        <w:tabs>
          <w:tab w:val="clear" w:pos="4513"/>
          <w:tab w:val="clear" w:pos="9026"/>
          <w:tab w:val="center" w:pos="-3544"/>
          <w:tab w:val="center" w:pos="709"/>
          <w:tab w:val="center" w:pos="4320"/>
          <w:tab w:val="right" w:pos="8640"/>
        </w:tabs>
        <w:spacing w:line="480" w:lineRule="auto"/>
        <w:ind w:left="709" w:hanging="425"/>
        <w:jc w:val="both"/>
      </w:pPr>
      <w:r w:rsidRPr="00AD1AEF">
        <w:t>Podolny, J</w:t>
      </w:r>
      <w:r w:rsidR="00E51D01">
        <w:rPr>
          <w:lang w:val="en-GB"/>
        </w:rPr>
        <w:t>.</w:t>
      </w:r>
      <w:r w:rsidRPr="00AD1AEF">
        <w:t xml:space="preserve">M. (1993). </w:t>
      </w:r>
      <w:r w:rsidR="005D5309">
        <w:rPr>
          <w:lang w:val="en-GB"/>
        </w:rPr>
        <w:t>‘</w:t>
      </w:r>
      <w:r w:rsidRPr="00AD1AEF">
        <w:t>A status-based model of market competition</w:t>
      </w:r>
      <w:r w:rsidR="005D5309">
        <w:rPr>
          <w:lang w:val="en-GB"/>
        </w:rPr>
        <w:t>’</w:t>
      </w:r>
      <w:r w:rsidRPr="00AD1AEF">
        <w:t xml:space="preserve">. </w:t>
      </w:r>
      <w:r w:rsidRPr="00AD1AEF">
        <w:rPr>
          <w:i/>
        </w:rPr>
        <w:t>American Journal of Sociology</w:t>
      </w:r>
      <w:r w:rsidRPr="00AD1AEF">
        <w:t xml:space="preserve">, </w:t>
      </w:r>
      <w:r w:rsidRPr="00AD1AEF">
        <w:rPr>
          <w:b/>
        </w:rPr>
        <w:t>98</w:t>
      </w:r>
      <w:r w:rsidRPr="00AD1AEF">
        <w:t>: 829-872.</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Pollock</w:t>
      </w:r>
      <w:r>
        <w:t>,</w:t>
      </w:r>
      <w:r w:rsidRPr="009A4D2F">
        <w:t xml:space="preserve"> T</w:t>
      </w:r>
      <w:r>
        <w:t>.</w:t>
      </w:r>
      <w:r w:rsidRPr="009A4D2F">
        <w:t>G</w:t>
      </w:r>
      <w:r>
        <w:t>.</w:t>
      </w:r>
      <w:r w:rsidRPr="009A4D2F">
        <w:t xml:space="preserve"> and Rindova</w:t>
      </w:r>
      <w:r>
        <w:t>,</w:t>
      </w:r>
      <w:r w:rsidRPr="009A4D2F">
        <w:t xml:space="preserve"> V</w:t>
      </w:r>
      <w:r>
        <w:t>.</w:t>
      </w:r>
      <w:r w:rsidRPr="009A4D2F">
        <w:t>P. (2003).</w:t>
      </w:r>
      <w:r w:rsidR="005D5309">
        <w:rPr>
          <w:lang w:val="en-GB"/>
        </w:rPr>
        <w:t xml:space="preserve"> </w:t>
      </w:r>
      <w:r>
        <w:t>‘</w:t>
      </w:r>
      <w:r w:rsidRPr="009A4D2F">
        <w:t xml:space="preserve">Media legitimation effects in the market for initial public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pPr>
      <w:r w:rsidRPr="009A4D2F">
        <w:t>offerings</w:t>
      </w:r>
      <w:r>
        <w:t>’</w:t>
      </w:r>
      <w:r w:rsidRPr="009A4D2F">
        <w:t xml:space="preserve">. </w:t>
      </w:r>
      <w:r w:rsidRPr="009A4D2F">
        <w:rPr>
          <w:i/>
        </w:rPr>
        <w:t>Academy of Management Journal,</w:t>
      </w:r>
      <w:r w:rsidR="002364D6">
        <w:rPr>
          <w:i/>
        </w:rPr>
        <w:t xml:space="preserve"> </w:t>
      </w:r>
      <w:r w:rsidRPr="009A4D2F">
        <w:rPr>
          <w:b/>
        </w:rPr>
        <w:t>46</w:t>
      </w:r>
      <w:r>
        <w:t>,</w:t>
      </w:r>
      <w:r w:rsidRPr="009A4D2F">
        <w:t xml:space="preserve"> 631-643</w:t>
      </w:r>
      <w:r>
        <w:t>.</w:t>
      </w:r>
    </w:p>
    <w:p w:rsidR="001665F4" w:rsidRDefault="001665F4" w:rsidP="00F54F14">
      <w:pPr>
        <w:tabs>
          <w:tab w:val="center" w:pos="-3544"/>
        </w:tabs>
        <w:autoSpaceDE w:val="0"/>
        <w:autoSpaceDN w:val="0"/>
        <w:adjustRightInd w:val="0"/>
        <w:spacing w:line="480" w:lineRule="auto"/>
        <w:ind w:left="709" w:hanging="425"/>
        <w:jc w:val="both"/>
        <w:rPr>
          <w:lang w:val="en-GB" w:eastAsia="en-GB"/>
        </w:rPr>
      </w:pPr>
      <w:r w:rsidRPr="001665F4">
        <w:rPr>
          <w:lang w:val="en-GB"/>
        </w:rPr>
        <w:t>Powers J.B. and McDougal, P.P. (2005). ‘</w:t>
      </w:r>
      <w:r w:rsidRPr="001665F4">
        <w:rPr>
          <w:lang w:val="en-GB" w:eastAsia="en-GB"/>
        </w:rPr>
        <w:t xml:space="preserve">University start-up formation and technology licensing with firms that go public: a resource-based view of academic entrepreneurship. </w:t>
      </w:r>
      <w:r w:rsidRPr="001665F4">
        <w:rPr>
          <w:i/>
          <w:lang w:val="en-GB" w:eastAsia="en-GB"/>
        </w:rPr>
        <w:t>Journal of Business Venturing</w:t>
      </w:r>
      <w:r w:rsidR="005D5309">
        <w:rPr>
          <w:i/>
          <w:lang w:val="en-GB" w:eastAsia="en-GB"/>
        </w:rPr>
        <w:t>,</w:t>
      </w:r>
      <w:r w:rsidRPr="001665F4">
        <w:rPr>
          <w:i/>
          <w:lang w:val="en-GB" w:eastAsia="en-GB"/>
        </w:rPr>
        <w:t xml:space="preserve"> </w:t>
      </w:r>
      <w:r w:rsidRPr="001665F4">
        <w:rPr>
          <w:b/>
          <w:lang w:val="en-GB" w:eastAsia="en-GB"/>
        </w:rPr>
        <w:t>20</w:t>
      </w:r>
      <w:r w:rsidR="00180061">
        <w:rPr>
          <w:lang w:val="en-GB" w:eastAsia="en-GB"/>
        </w:rPr>
        <w:t>,</w:t>
      </w:r>
      <w:r w:rsidRPr="001665F4">
        <w:rPr>
          <w:lang w:val="en-GB" w:eastAsia="en-GB"/>
        </w:rPr>
        <w:t xml:space="preserve"> 291</w:t>
      </w:r>
      <w:r w:rsidR="001275FB">
        <w:rPr>
          <w:lang w:val="en-GB" w:eastAsia="en-GB"/>
        </w:rPr>
        <w:t>-</w:t>
      </w:r>
      <w:r w:rsidRPr="001665F4">
        <w:rPr>
          <w:lang w:val="en-GB" w:eastAsia="en-GB"/>
        </w:rPr>
        <w:t>311</w:t>
      </w:r>
      <w:r w:rsidR="005D5309">
        <w:rPr>
          <w:lang w:val="en-GB" w:eastAsia="en-GB"/>
        </w:rP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Rao</w:t>
      </w:r>
      <w:r>
        <w:t>,</w:t>
      </w:r>
      <w:r w:rsidRPr="009A4D2F">
        <w:t xml:space="preserve"> H. (1994). </w:t>
      </w:r>
      <w:r>
        <w:t>‘</w:t>
      </w:r>
      <w:r w:rsidRPr="009A4D2F">
        <w:t xml:space="preserve">The social construction of reputation: </w:t>
      </w:r>
      <w:r>
        <w:t>C</w:t>
      </w:r>
      <w:r w:rsidRPr="009A4D2F">
        <w:t xml:space="preserve">ertification contests, legitimation, and the </w:t>
      </w:r>
    </w:p>
    <w:p w:rsidR="009878B4" w:rsidRDefault="00C06585" w:rsidP="00F54F14">
      <w:pPr>
        <w:tabs>
          <w:tab w:val="center" w:pos="-3544"/>
        </w:tabs>
        <w:autoSpaceDE w:val="0"/>
        <w:autoSpaceDN w:val="0"/>
        <w:adjustRightInd w:val="0"/>
        <w:spacing w:line="480" w:lineRule="auto"/>
        <w:ind w:left="709" w:hanging="425"/>
        <w:jc w:val="both"/>
        <w:rPr>
          <w:rFonts w:eastAsia="Times New Roman"/>
        </w:rPr>
      </w:pPr>
      <w:r w:rsidRPr="009A4D2F">
        <w:t xml:space="preserve">survival of </w:t>
      </w:r>
      <w:r w:rsidR="00D60884">
        <w:t>organization</w:t>
      </w:r>
      <w:r w:rsidRPr="009A4D2F">
        <w:t>s in the American automobile industry: 1895-1912</w:t>
      </w:r>
      <w:r>
        <w:t>’</w:t>
      </w:r>
      <w:r w:rsidRPr="009A4D2F">
        <w:t xml:space="preserve">. </w:t>
      </w:r>
      <w:r w:rsidRPr="009A4D2F">
        <w:rPr>
          <w:i/>
        </w:rPr>
        <w:t>Strategic Management Journal,</w:t>
      </w:r>
      <w:r w:rsidR="002364D6">
        <w:rPr>
          <w:i/>
        </w:rPr>
        <w:t xml:space="preserve"> </w:t>
      </w:r>
      <w:r w:rsidRPr="009A4D2F">
        <w:rPr>
          <w:b/>
        </w:rPr>
        <w:t>15</w:t>
      </w:r>
      <w:r>
        <w:t>,</w:t>
      </w:r>
      <w:r w:rsidRPr="009A4D2F">
        <w:t xml:space="preserve"> 29-44</w:t>
      </w:r>
      <w:r>
        <w:t>.</w:t>
      </w:r>
      <w:r w:rsidR="009878B4" w:rsidRPr="009878B4">
        <w:rPr>
          <w:rFonts w:eastAsia="Times New Roman"/>
        </w:rPr>
        <w:t xml:space="preserve"> </w:t>
      </w:r>
    </w:p>
    <w:p w:rsidR="009878B4" w:rsidRPr="001665F4" w:rsidRDefault="009878B4" w:rsidP="00F54F14">
      <w:pPr>
        <w:tabs>
          <w:tab w:val="center" w:pos="-3544"/>
        </w:tabs>
        <w:autoSpaceDE w:val="0"/>
        <w:autoSpaceDN w:val="0"/>
        <w:adjustRightInd w:val="0"/>
        <w:spacing w:line="480" w:lineRule="auto"/>
        <w:ind w:left="709" w:hanging="425"/>
        <w:jc w:val="both"/>
        <w:rPr>
          <w:lang w:val="en-GB"/>
        </w:rPr>
      </w:pPr>
      <w:r>
        <w:rPr>
          <w:rFonts w:eastAsia="Times New Roman"/>
        </w:rPr>
        <w:t>Ravasi, D</w:t>
      </w:r>
      <w:r w:rsidR="00E51D01">
        <w:rPr>
          <w:rFonts w:eastAsia="Times New Roman"/>
        </w:rPr>
        <w:t>.</w:t>
      </w:r>
      <w:r>
        <w:rPr>
          <w:rFonts w:eastAsia="Times New Roman"/>
        </w:rPr>
        <w:t xml:space="preserve"> and Phillips, N. (2011). </w:t>
      </w:r>
      <w:r w:rsidRPr="00B2305D">
        <w:rPr>
          <w:rFonts w:eastAsia="Times New Roman"/>
        </w:rPr>
        <w:t>‘</w:t>
      </w:r>
      <w:r w:rsidRPr="005870F0">
        <w:rPr>
          <w:bCs/>
          <w:sz w:val="23"/>
          <w:szCs w:val="23"/>
        </w:rPr>
        <w:t xml:space="preserve">Strategies of alignment: Organizational identity management and strategic change at Bang &amp; </w:t>
      </w:r>
      <w:proofErr w:type="spellStart"/>
      <w:r w:rsidRPr="005870F0">
        <w:rPr>
          <w:bCs/>
          <w:sz w:val="23"/>
          <w:szCs w:val="23"/>
        </w:rPr>
        <w:t>Olufsen</w:t>
      </w:r>
      <w:proofErr w:type="spellEnd"/>
      <w:r w:rsidRPr="005870F0">
        <w:rPr>
          <w:bCs/>
          <w:sz w:val="23"/>
          <w:szCs w:val="23"/>
        </w:rPr>
        <w:t>’.</w:t>
      </w:r>
      <w:r>
        <w:rPr>
          <w:bCs/>
          <w:sz w:val="23"/>
          <w:szCs w:val="23"/>
        </w:rPr>
        <w:t xml:space="preserve"> </w:t>
      </w:r>
      <w:r w:rsidRPr="005870F0">
        <w:rPr>
          <w:bCs/>
          <w:i/>
          <w:sz w:val="23"/>
          <w:szCs w:val="23"/>
        </w:rPr>
        <w:t>Strategic Organization</w:t>
      </w:r>
      <w:r>
        <w:rPr>
          <w:bCs/>
          <w:sz w:val="23"/>
          <w:szCs w:val="23"/>
        </w:rPr>
        <w:t xml:space="preserve">, </w:t>
      </w:r>
      <w:r w:rsidRPr="005870F0">
        <w:rPr>
          <w:b/>
          <w:bCs/>
          <w:sz w:val="23"/>
          <w:szCs w:val="23"/>
        </w:rPr>
        <w:t>9</w:t>
      </w:r>
      <w:r>
        <w:rPr>
          <w:bCs/>
          <w:sz w:val="23"/>
          <w:szCs w:val="23"/>
        </w:rPr>
        <w:t>, 103-135.</w:t>
      </w:r>
    </w:p>
    <w:p w:rsidR="006C53EA" w:rsidRPr="00A82B6C" w:rsidRDefault="006C53EA" w:rsidP="00F54F14">
      <w:pPr>
        <w:tabs>
          <w:tab w:val="center" w:pos="-3544"/>
        </w:tabs>
        <w:autoSpaceDE w:val="0"/>
        <w:autoSpaceDN w:val="0"/>
        <w:adjustRightInd w:val="0"/>
        <w:spacing w:line="480" w:lineRule="auto"/>
        <w:ind w:left="709" w:hanging="425"/>
        <w:rPr>
          <w:lang w:val="en-GB"/>
        </w:rPr>
      </w:pPr>
      <w:proofErr w:type="spellStart"/>
      <w:r w:rsidRPr="005870F0">
        <w:rPr>
          <w:lang w:val="en-GB"/>
        </w:rPr>
        <w:t>Rindova</w:t>
      </w:r>
      <w:proofErr w:type="spellEnd"/>
      <w:r w:rsidRPr="005870F0">
        <w:rPr>
          <w:lang w:val="en-GB"/>
        </w:rPr>
        <w:t xml:space="preserve">, V. </w:t>
      </w:r>
      <w:r w:rsidR="001275FB">
        <w:rPr>
          <w:lang w:val="en-GB"/>
        </w:rPr>
        <w:t>(</w:t>
      </w:r>
      <w:r w:rsidRPr="005870F0">
        <w:rPr>
          <w:lang w:val="en-GB"/>
        </w:rPr>
        <w:t>1997</w:t>
      </w:r>
      <w:r w:rsidR="001275FB">
        <w:rPr>
          <w:lang w:val="en-GB"/>
        </w:rPr>
        <w:t>)</w:t>
      </w:r>
      <w:r w:rsidRPr="005870F0">
        <w:rPr>
          <w:lang w:val="en-GB"/>
        </w:rPr>
        <w:t xml:space="preserve">. </w:t>
      </w:r>
      <w:r>
        <w:rPr>
          <w:lang w:val="en-GB"/>
        </w:rPr>
        <w:t>‘</w:t>
      </w:r>
      <w:r w:rsidRPr="005870F0">
        <w:rPr>
          <w:lang w:val="en-GB"/>
        </w:rPr>
        <w:t>The image cascade and the dynamics of corporate reputations</w:t>
      </w:r>
      <w:r>
        <w:rPr>
          <w:lang w:val="en-GB"/>
        </w:rPr>
        <w:t>’</w:t>
      </w:r>
      <w:r w:rsidRPr="005870F0">
        <w:rPr>
          <w:lang w:val="en-GB"/>
        </w:rPr>
        <w:t xml:space="preserve">. </w:t>
      </w:r>
      <w:r w:rsidRPr="005870F0">
        <w:rPr>
          <w:i/>
          <w:lang w:val="en-GB"/>
        </w:rPr>
        <w:t>Corporate Reputation Review</w:t>
      </w:r>
      <w:r w:rsidRPr="00A82B6C">
        <w:rPr>
          <w:lang w:val="en-GB"/>
        </w:rPr>
        <w:t xml:space="preserve">, </w:t>
      </w:r>
      <w:r w:rsidRPr="005870F0">
        <w:rPr>
          <w:b/>
          <w:lang w:val="en-GB"/>
        </w:rPr>
        <w:t>1</w:t>
      </w:r>
      <w:r w:rsidR="001275FB">
        <w:rPr>
          <w:lang w:val="en-GB"/>
        </w:rPr>
        <w:t>,</w:t>
      </w:r>
      <w:r w:rsidR="001275FB" w:rsidRPr="005870F0">
        <w:rPr>
          <w:lang w:val="en-GB"/>
        </w:rPr>
        <w:t xml:space="preserve"> </w:t>
      </w:r>
      <w:r w:rsidRPr="005870F0">
        <w:rPr>
          <w:lang w:val="en-GB"/>
        </w:rPr>
        <w:t>188-194.</w:t>
      </w:r>
    </w:p>
    <w:p w:rsidR="001B0FEA" w:rsidRPr="005870F0" w:rsidRDefault="001B0FEA" w:rsidP="00F54F14">
      <w:pPr>
        <w:pStyle w:val="Header"/>
        <w:tabs>
          <w:tab w:val="clear" w:pos="4513"/>
          <w:tab w:val="clear" w:pos="9026"/>
          <w:tab w:val="center" w:pos="-3544"/>
          <w:tab w:val="center" w:pos="4320"/>
          <w:tab w:val="right" w:pos="8640"/>
        </w:tabs>
        <w:spacing w:line="480" w:lineRule="auto"/>
        <w:ind w:left="720" w:hanging="436"/>
        <w:jc w:val="both"/>
        <w:rPr>
          <w:lang w:val="en-GB"/>
        </w:rPr>
      </w:pPr>
      <w:proofErr w:type="spellStart"/>
      <w:r>
        <w:rPr>
          <w:lang w:val="en-GB"/>
        </w:rPr>
        <w:t>Rindova</w:t>
      </w:r>
      <w:proofErr w:type="spellEnd"/>
      <w:r>
        <w:rPr>
          <w:lang w:val="en-GB"/>
        </w:rPr>
        <w:t>, V</w:t>
      </w:r>
      <w:r w:rsidR="00E51D01">
        <w:rPr>
          <w:lang w:val="en-GB"/>
        </w:rPr>
        <w:t>.</w:t>
      </w:r>
      <w:r>
        <w:rPr>
          <w:lang w:val="en-GB"/>
        </w:rPr>
        <w:t xml:space="preserve">P. and </w:t>
      </w:r>
      <w:proofErr w:type="spellStart"/>
      <w:r>
        <w:rPr>
          <w:lang w:val="en-GB"/>
        </w:rPr>
        <w:t>Fombrun</w:t>
      </w:r>
      <w:proofErr w:type="spellEnd"/>
      <w:r>
        <w:rPr>
          <w:lang w:val="en-GB"/>
        </w:rPr>
        <w:t xml:space="preserve">, </w:t>
      </w:r>
      <w:r w:rsidR="006C53EA">
        <w:rPr>
          <w:lang w:val="en-GB"/>
        </w:rPr>
        <w:t>C</w:t>
      </w:r>
      <w:r w:rsidR="00E51D01">
        <w:rPr>
          <w:lang w:val="en-GB"/>
        </w:rPr>
        <w:t>.</w:t>
      </w:r>
      <w:r w:rsidR="006C53EA">
        <w:rPr>
          <w:lang w:val="en-GB"/>
        </w:rPr>
        <w:t xml:space="preserve">J. </w:t>
      </w:r>
      <w:r w:rsidR="005D5309">
        <w:rPr>
          <w:lang w:val="en-GB"/>
        </w:rPr>
        <w:t>(</w:t>
      </w:r>
      <w:r w:rsidR="006C53EA">
        <w:rPr>
          <w:lang w:val="en-GB"/>
        </w:rPr>
        <w:t>1999</w:t>
      </w:r>
      <w:r w:rsidR="005D5309">
        <w:rPr>
          <w:lang w:val="en-GB"/>
        </w:rPr>
        <w:t>)</w:t>
      </w:r>
      <w:r>
        <w:rPr>
          <w:lang w:val="en-GB"/>
        </w:rPr>
        <w:t xml:space="preserve">. ‘Constructing competitive advantage. The role of firm-constituent interactions’. </w:t>
      </w:r>
      <w:r w:rsidRPr="005870F0">
        <w:rPr>
          <w:i/>
          <w:lang w:val="en-GB"/>
        </w:rPr>
        <w:t>Strategic Management Journal</w:t>
      </w:r>
      <w:r>
        <w:rPr>
          <w:lang w:val="en-GB"/>
        </w:rPr>
        <w:t xml:space="preserve">, </w:t>
      </w:r>
      <w:r w:rsidRPr="005870F0">
        <w:rPr>
          <w:b/>
          <w:lang w:val="en-GB"/>
        </w:rPr>
        <w:t>20</w:t>
      </w:r>
      <w:r>
        <w:rPr>
          <w:lang w:val="en-GB"/>
        </w:rPr>
        <w:t xml:space="preserve">, 691-710. </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rPr>
          <w:lang w:val="en-GB" w:eastAsia="en-GB"/>
        </w:rPr>
      </w:pPr>
      <w:proofErr w:type="spellStart"/>
      <w:r w:rsidRPr="009A4D2F">
        <w:rPr>
          <w:lang w:val="en-GB" w:eastAsia="en-GB"/>
        </w:rPr>
        <w:t>Rindova</w:t>
      </w:r>
      <w:proofErr w:type="spellEnd"/>
      <w:r w:rsidRPr="009A4D2F">
        <w:rPr>
          <w:lang w:val="en-GB" w:eastAsia="en-GB"/>
        </w:rPr>
        <w:t>, V</w:t>
      </w:r>
      <w:r w:rsidR="00E51D01">
        <w:rPr>
          <w:lang w:val="en-GB" w:eastAsia="en-GB"/>
        </w:rPr>
        <w:t>.</w:t>
      </w:r>
      <w:r w:rsidRPr="009A4D2F">
        <w:rPr>
          <w:lang w:val="en-GB" w:eastAsia="en-GB"/>
        </w:rPr>
        <w:t>P.,</w:t>
      </w:r>
      <w:r w:rsidR="002364D6">
        <w:rPr>
          <w:lang w:val="en-GB" w:eastAsia="en-GB"/>
        </w:rPr>
        <w:t xml:space="preserve"> </w:t>
      </w:r>
      <w:proofErr w:type="spellStart"/>
      <w:r w:rsidRPr="009A4D2F">
        <w:rPr>
          <w:lang w:val="en-GB" w:eastAsia="en-GB"/>
        </w:rPr>
        <w:t>Petkova</w:t>
      </w:r>
      <w:proofErr w:type="spellEnd"/>
      <w:r w:rsidRPr="009A4D2F">
        <w:rPr>
          <w:lang w:val="en-GB" w:eastAsia="en-GB"/>
        </w:rPr>
        <w:t>, A</w:t>
      </w:r>
      <w:r w:rsidR="00E51D01">
        <w:rPr>
          <w:lang w:val="en-GB" w:eastAsia="en-GB"/>
        </w:rPr>
        <w:t>.</w:t>
      </w:r>
      <w:r w:rsidRPr="009A4D2F">
        <w:rPr>
          <w:lang w:val="en-GB" w:eastAsia="en-GB"/>
        </w:rPr>
        <w:t>P.</w:t>
      </w:r>
      <w:r w:rsidR="002364D6">
        <w:rPr>
          <w:lang w:val="en-GB" w:eastAsia="en-GB"/>
        </w:rPr>
        <w:t xml:space="preserve"> </w:t>
      </w:r>
      <w:r>
        <w:rPr>
          <w:lang w:val="en-GB" w:eastAsia="en-GB"/>
        </w:rPr>
        <w:t>and</w:t>
      </w:r>
      <w:r w:rsidRPr="009A4D2F">
        <w:rPr>
          <w:lang w:val="en-GB" w:eastAsia="en-GB"/>
        </w:rPr>
        <w:t xml:space="preserve"> </w:t>
      </w:r>
      <w:proofErr w:type="spellStart"/>
      <w:r w:rsidRPr="009A4D2F">
        <w:rPr>
          <w:lang w:val="en-GB" w:eastAsia="en-GB"/>
        </w:rPr>
        <w:t>Kotha</w:t>
      </w:r>
      <w:proofErr w:type="spellEnd"/>
      <w:r w:rsidRPr="009A4D2F">
        <w:rPr>
          <w:lang w:val="en-GB" w:eastAsia="en-GB"/>
        </w:rPr>
        <w:t xml:space="preserve">, S. (2007). ‘Standing out: How new firms in emerging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pPr>
      <w:r w:rsidRPr="009A4D2F">
        <w:rPr>
          <w:lang w:val="en-GB" w:eastAsia="en-GB"/>
        </w:rPr>
        <w:t>markets build reputation</w:t>
      </w:r>
      <w:r w:rsidR="002364D6">
        <w:rPr>
          <w:lang w:val="en-GB" w:eastAsia="en-GB"/>
        </w:rPr>
        <w:t xml:space="preserve"> </w:t>
      </w:r>
      <w:r w:rsidRPr="009A4D2F">
        <w:rPr>
          <w:lang w:val="en-GB" w:eastAsia="en-GB"/>
        </w:rPr>
        <w:t>in the media</w:t>
      </w:r>
      <w:r>
        <w:rPr>
          <w:lang w:val="en-GB" w:eastAsia="en-GB"/>
        </w:rPr>
        <w:t>’.</w:t>
      </w:r>
      <w:r w:rsidR="002364D6">
        <w:rPr>
          <w:lang w:val="en-GB" w:eastAsia="en-GB"/>
        </w:rPr>
        <w:t xml:space="preserve"> </w:t>
      </w:r>
      <w:r w:rsidRPr="009A4D2F">
        <w:rPr>
          <w:i/>
          <w:iCs/>
          <w:lang w:val="en-GB" w:eastAsia="en-GB"/>
        </w:rPr>
        <w:t>Strategic Organization</w:t>
      </w:r>
      <w:r w:rsidRPr="009A4D2F">
        <w:rPr>
          <w:lang w:val="en-GB" w:eastAsia="en-GB"/>
        </w:rPr>
        <w:t xml:space="preserve">, </w:t>
      </w:r>
      <w:r w:rsidRPr="009A4D2F">
        <w:rPr>
          <w:b/>
          <w:iCs/>
          <w:lang w:val="en-GB" w:eastAsia="en-GB"/>
        </w:rPr>
        <w:t>5</w:t>
      </w:r>
      <w:r>
        <w:rPr>
          <w:i/>
          <w:iCs/>
          <w:lang w:val="en-GB" w:eastAsia="en-GB"/>
        </w:rPr>
        <w:t>,</w:t>
      </w:r>
      <w:r w:rsidR="005D5309">
        <w:rPr>
          <w:i/>
          <w:iCs/>
          <w:lang w:val="en-GB" w:eastAsia="en-GB"/>
        </w:rPr>
        <w:t xml:space="preserve"> </w:t>
      </w:r>
      <w:r w:rsidRPr="009A4D2F">
        <w:rPr>
          <w:lang w:val="en-GB" w:eastAsia="en-GB"/>
        </w:rPr>
        <w:t>31-70.</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rPr>
          <w:bCs/>
          <w:lang w:val="en-GB" w:eastAsia="en-GB"/>
        </w:rPr>
      </w:pPr>
      <w:r w:rsidRPr="009A4D2F">
        <w:lastRenderedPageBreak/>
        <w:t>Rindova, V</w:t>
      </w:r>
      <w:r>
        <w:t>.</w:t>
      </w:r>
      <w:r w:rsidRPr="009A4D2F">
        <w:t>P., Williamson, I</w:t>
      </w:r>
      <w:r>
        <w:t>.</w:t>
      </w:r>
      <w:r w:rsidRPr="009A4D2F">
        <w:t>O. and Petkova, A</w:t>
      </w:r>
      <w:r>
        <w:t>.</w:t>
      </w:r>
      <w:r w:rsidRPr="009A4D2F">
        <w:t>P. (2010).</w:t>
      </w:r>
      <w:r>
        <w:t>‘</w:t>
      </w:r>
      <w:r w:rsidRPr="009A4D2F">
        <w:rPr>
          <w:bCs/>
          <w:lang w:val="en-GB" w:eastAsia="en-GB"/>
        </w:rPr>
        <w:t xml:space="preserve">Reputation as an intangible asset: </w:t>
      </w:r>
    </w:p>
    <w:p w:rsidR="00C06585" w:rsidRDefault="00C06585" w:rsidP="00F54F14">
      <w:pPr>
        <w:pStyle w:val="Header"/>
        <w:tabs>
          <w:tab w:val="clear" w:pos="4513"/>
          <w:tab w:val="clear" w:pos="9026"/>
          <w:tab w:val="center" w:pos="-3544"/>
          <w:tab w:val="center" w:pos="4320"/>
          <w:tab w:val="right" w:pos="8640"/>
        </w:tabs>
        <w:spacing w:line="480" w:lineRule="auto"/>
        <w:ind w:left="720"/>
        <w:jc w:val="both"/>
      </w:pPr>
      <w:r w:rsidRPr="009A4D2F">
        <w:rPr>
          <w:bCs/>
          <w:lang w:val="en-GB" w:eastAsia="en-GB"/>
        </w:rPr>
        <w:t>Reflections on theory and methods in two empirical studies of business school reputations</w:t>
      </w:r>
      <w:r>
        <w:rPr>
          <w:bCs/>
          <w:lang w:val="en-GB" w:eastAsia="en-GB"/>
        </w:rPr>
        <w:t>’</w:t>
      </w:r>
      <w:r w:rsidRPr="009A4D2F">
        <w:rPr>
          <w:bCs/>
          <w:lang w:val="en-GB" w:eastAsia="en-GB"/>
        </w:rPr>
        <w:t>.</w:t>
      </w:r>
      <w:r w:rsidR="005D5309">
        <w:rPr>
          <w:bCs/>
          <w:lang w:val="en-GB" w:eastAsia="en-GB"/>
        </w:rPr>
        <w:t xml:space="preserve"> </w:t>
      </w:r>
      <w:r w:rsidRPr="009A4D2F">
        <w:rPr>
          <w:i/>
          <w:lang w:val="en-GB" w:eastAsia="en-GB"/>
        </w:rPr>
        <w:t>Journal of Management</w:t>
      </w:r>
      <w:r w:rsidRPr="009A4D2F">
        <w:rPr>
          <w:lang w:val="en-GB" w:eastAsia="en-GB"/>
        </w:rPr>
        <w:t xml:space="preserve">, </w:t>
      </w:r>
      <w:r w:rsidRPr="009A4D2F">
        <w:rPr>
          <w:b/>
          <w:lang w:val="en-GB" w:eastAsia="en-GB"/>
        </w:rPr>
        <w:t>36</w:t>
      </w:r>
      <w:r>
        <w:rPr>
          <w:lang w:val="en-GB" w:eastAsia="en-GB"/>
        </w:rPr>
        <w:t>,</w:t>
      </w:r>
      <w:r w:rsidRPr="009A4D2F">
        <w:rPr>
          <w:lang w:val="en-GB" w:eastAsia="en-GB"/>
        </w:rPr>
        <w:t xml:space="preserve"> 610-619</w:t>
      </w:r>
      <w:r>
        <w:rPr>
          <w:lang w:val="en-GB" w:eastAsia="en-GB"/>
        </w:rP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Rindova</w:t>
      </w:r>
      <w:r>
        <w:t>,</w:t>
      </w:r>
      <w:r w:rsidRPr="009A4D2F">
        <w:t xml:space="preserve"> V</w:t>
      </w:r>
      <w:r>
        <w:t>.</w:t>
      </w:r>
      <w:r w:rsidRPr="009A4D2F">
        <w:t>P</w:t>
      </w:r>
      <w:r>
        <w:t>.</w:t>
      </w:r>
      <w:r w:rsidRPr="009A4D2F">
        <w:t>, Williamson</w:t>
      </w:r>
      <w:r>
        <w:t>,</w:t>
      </w:r>
      <w:r w:rsidRPr="009A4D2F">
        <w:t xml:space="preserve"> I</w:t>
      </w:r>
      <w:r>
        <w:t>.</w:t>
      </w:r>
      <w:r w:rsidRPr="009A4D2F">
        <w:t>O</w:t>
      </w:r>
      <w:r>
        <w:t>.</w:t>
      </w:r>
      <w:r w:rsidRPr="009A4D2F">
        <w:t>, Petkova</w:t>
      </w:r>
      <w:r>
        <w:t>,</w:t>
      </w:r>
      <w:r w:rsidRPr="009A4D2F">
        <w:t xml:space="preserve"> A</w:t>
      </w:r>
      <w:r>
        <w:t>.</w:t>
      </w:r>
      <w:r w:rsidRPr="009A4D2F">
        <w:t>P</w:t>
      </w:r>
      <w:r>
        <w:t>.</w:t>
      </w:r>
      <w:r w:rsidRPr="009A4D2F">
        <w:t xml:space="preserve"> and Sever</w:t>
      </w:r>
      <w:r>
        <w:t>,</w:t>
      </w:r>
      <w:r w:rsidRPr="009A4D2F">
        <w:t xml:space="preserve"> J</w:t>
      </w:r>
      <w:r>
        <w:t>.</w:t>
      </w:r>
      <w:r w:rsidRPr="009A4D2F">
        <w:t xml:space="preserve">M. (2005). </w:t>
      </w:r>
      <w:r>
        <w:t>‘</w:t>
      </w:r>
      <w:r w:rsidRPr="009A4D2F">
        <w:t xml:space="preserve">Being good or being </w:t>
      </w:r>
    </w:p>
    <w:p w:rsidR="00C06585" w:rsidRDefault="00C06585" w:rsidP="00F54F14">
      <w:pPr>
        <w:pStyle w:val="Header"/>
        <w:tabs>
          <w:tab w:val="clear" w:pos="4513"/>
          <w:tab w:val="clear" w:pos="9026"/>
          <w:tab w:val="center" w:pos="-3544"/>
          <w:tab w:val="center" w:pos="4320"/>
          <w:tab w:val="right" w:pos="8640"/>
        </w:tabs>
        <w:spacing w:line="480" w:lineRule="auto"/>
        <w:ind w:left="720"/>
        <w:jc w:val="both"/>
      </w:pPr>
      <w:r w:rsidRPr="009A4D2F">
        <w:t xml:space="preserve">known: An empirical examination of the dimensions, antecedents and consequences of </w:t>
      </w:r>
      <w:r w:rsidR="00D60884">
        <w:t>organization</w:t>
      </w:r>
      <w:r w:rsidRPr="009A4D2F">
        <w:t>al reputation</w:t>
      </w:r>
      <w:r>
        <w:t>’</w:t>
      </w:r>
      <w:r w:rsidRPr="009A4D2F">
        <w:t xml:space="preserve">. </w:t>
      </w:r>
      <w:r w:rsidRPr="009A4D2F">
        <w:rPr>
          <w:i/>
        </w:rPr>
        <w:t>Academy of Management Journal,</w:t>
      </w:r>
      <w:r w:rsidR="002364D6">
        <w:rPr>
          <w:i/>
        </w:rPr>
        <w:t xml:space="preserve"> </w:t>
      </w:r>
      <w:r w:rsidRPr="009A4D2F">
        <w:rPr>
          <w:b/>
        </w:rPr>
        <w:t>48</w:t>
      </w:r>
      <w:r>
        <w:t>,</w:t>
      </w:r>
      <w:r w:rsidRPr="009A4D2F">
        <w:t xml:space="preserve"> 1033-1049</w:t>
      </w:r>
      <w: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Roberts</w:t>
      </w:r>
      <w:r>
        <w:t>,</w:t>
      </w:r>
      <w:r w:rsidRPr="009A4D2F">
        <w:t xml:space="preserve"> P</w:t>
      </w:r>
      <w:r>
        <w:t>.</w:t>
      </w:r>
      <w:r w:rsidRPr="009A4D2F">
        <w:t>W</w:t>
      </w:r>
      <w:r>
        <w:t>.</w:t>
      </w:r>
      <w:r w:rsidRPr="009A4D2F">
        <w:t xml:space="preserve"> and Dowling</w:t>
      </w:r>
      <w:r>
        <w:t>,</w:t>
      </w:r>
      <w:r w:rsidRPr="009A4D2F">
        <w:t xml:space="preserve"> G</w:t>
      </w:r>
      <w:r>
        <w:t>.</w:t>
      </w:r>
      <w:r w:rsidRPr="009A4D2F">
        <w:t>R. (2002).</w:t>
      </w:r>
      <w:r>
        <w:t>‘</w:t>
      </w:r>
      <w:r w:rsidRPr="009A4D2F">
        <w:t xml:space="preserve">Corporate reputation and sustained superior financial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rPr>
          <w:lang w:val="en-GB"/>
        </w:rPr>
      </w:pPr>
      <w:r w:rsidRPr="009A4D2F">
        <w:t>performance</w:t>
      </w:r>
      <w:r>
        <w:t>’</w:t>
      </w:r>
      <w:r w:rsidRPr="009A4D2F">
        <w:t xml:space="preserve">. </w:t>
      </w:r>
      <w:r w:rsidRPr="009A4D2F">
        <w:rPr>
          <w:i/>
        </w:rPr>
        <w:t>Strategic Management Journal,</w:t>
      </w:r>
      <w:r w:rsidR="002364D6">
        <w:rPr>
          <w:i/>
        </w:rPr>
        <w:t xml:space="preserve"> </w:t>
      </w:r>
      <w:r w:rsidRPr="009A4D2F">
        <w:rPr>
          <w:b/>
        </w:rPr>
        <w:t>23</w:t>
      </w:r>
      <w:r>
        <w:t>,</w:t>
      </w:r>
      <w:r w:rsidRPr="009A4D2F">
        <w:t xml:space="preserve"> 1077-1093</w:t>
      </w:r>
      <w:r>
        <w:t>.</w:t>
      </w:r>
    </w:p>
    <w:p w:rsidR="00BF7C88" w:rsidRPr="00BF7C88" w:rsidRDefault="00BF7C88" w:rsidP="00F54F14">
      <w:pPr>
        <w:pStyle w:val="Header"/>
        <w:tabs>
          <w:tab w:val="clear" w:pos="4513"/>
          <w:tab w:val="clear" w:pos="9026"/>
          <w:tab w:val="center" w:pos="-3544"/>
          <w:tab w:val="center" w:pos="4320"/>
          <w:tab w:val="right" w:pos="8640"/>
        </w:tabs>
        <w:spacing w:line="480" w:lineRule="auto"/>
        <w:ind w:left="284"/>
        <w:jc w:val="both"/>
        <w:rPr>
          <w:lang w:val="en-GB"/>
        </w:rPr>
      </w:pPr>
      <w:proofErr w:type="spellStart"/>
      <w:r w:rsidRPr="00BE7AF9">
        <w:rPr>
          <w:lang w:val="en-GB"/>
        </w:rPr>
        <w:t>Rosch</w:t>
      </w:r>
      <w:proofErr w:type="spellEnd"/>
      <w:r w:rsidRPr="00BE7AF9">
        <w:rPr>
          <w:lang w:val="en-GB"/>
        </w:rPr>
        <w:t xml:space="preserve">, E. (1973). ‘Natural categories’. </w:t>
      </w:r>
      <w:r w:rsidRPr="00BE7AF9">
        <w:rPr>
          <w:i/>
          <w:iCs/>
          <w:lang w:val="en-GB"/>
        </w:rPr>
        <w:t>Cognitive Psychology</w:t>
      </w:r>
      <w:r w:rsidRPr="00BE7AF9">
        <w:rPr>
          <w:lang w:val="en-GB"/>
        </w:rPr>
        <w:t xml:space="preserve">, </w:t>
      </w:r>
      <w:r w:rsidRPr="00BE7AF9">
        <w:rPr>
          <w:b/>
          <w:bCs/>
          <w:lang w:val="en-GB"/>
        </w:rPr>
        <w:t>4</w:t>
      </w:r>
      <w:r w:rsidRPr="00BE7AF9">
        <w:rPr>
          <w:lang w:val="en-GB"/>
        </w:rPr>
        <w:t>, 328</w:t>
      </w:r>
      <w:r w:rsidR="001275FB">
        <w:rPr>
          <w:lang w:val="en-GB"/>
        </w:rPr>
        <w:t>-</w:t>
      </w:r>
      <w:r w:rsidRPr="00BE7AF9">
        <w:rPr>
          <w:lang w:val="en-GB"/>
        </w:rPr>
        <w:t>50.</w:t>
      </w:r>
    </w:p>
    <w:p w:rsidR="001B7DE0" w:rsidRDefault="00E71A0E" w:rsidP="00F54F14">
      <w:pPr>
        <w:tabs>
          <w:tab w:val="center" w:pos="-3544"/>
        </w:tabs>
        <w:autoSpaceDE w:val="0"/>
        <w:autoSpaceDN w:val="0"/>
        <w:adjustRightInd w:val="0"/>
        <w:spacing w:line="480" w:lineRule="auto"/>
        <w:ind w:left="709" w:hanging="425"/>
        <w:rPr>
          <w:lang w:val="en-GB"/>
        </w:rPr>
      </w:pPr>
      <w:proofErr w:type="spellStart"/>
      <w:r w:rsidRPr="00BE7AF9">
        <w:rPr>
          <w:lang w:val="en-GB"/>
        </w:rPr>
        <w:t>Rosch</w:t>
      </w:r>
      <w:proofErr w:type="spellEnd"/>
      <w:r w:rsidRPr="00BE7AF9">
        <w:rPr>
          <w:lang w:val="en-GB"/>
        </w:rPr>
        <w:t xml:space="preserve">, E. and </w:t>
      </w:r>
      <w:proofErr w:type="spellStart"/>
      <w:r w:rsidRPr="00BE7AF9">
        <w:rPr>
          <w:lang w:val="en-GB"/>
        </w:rPr>
        <w:t>Mervis</w:t>
      </w:r>
      <w:proofErr w:type="spellEnd"/>
      <w:r w:rsidRPr="00BE7AF9">
        <w:rPr>
          <w:lang w:val="en-GB"/>
        </w:rPr>
        <w:t xml:space="preserve">, C.B. (1975). ‘Family resemblances: studies in internal structure of categories’. </w:t>
      </w:r>
      <w:r w:rsidRPr="00BE7AF9">
        <w:rPr>
          <w:i/>
          <w:iCs/>
          <w:lang w:val="en-GB"/>
        </w:rPr>
        <w:t>Cognitive</w:t>
      </w:r>
      <w:r>
        <w:rPr>
          <w:i/>
          <w:iCs/>
          <w:lang w:val="en-GB"/>
        </w:rPr>
        <w:t xml:space="preserve"> </w:t>
      </w:r>
      <w:r w:rsidRPr="00BE7AF9">
        <w:rPr>
          <w:i/>
          <w:iCs/>
          <w:lang w:val="en-GB"/>
        </w:rPr>
        <w:t>Psychology</w:t>
      </w:r>
      <w:r w:rsidRPr="00BE7AF9">
        <w:rPr>
          <w:lang w:val="en-GB"/>
        </w:rPr>
        <w:t xml:space="preserve">, </w:t>
      </w:r>
      <w:r w:rsidRPr="00BE7AF9">
        <w:rPr>
          <w:b/>
          <w:bCs/>
          <w:lang w:val="en-GB"/>
        </w:rPr>
        <w:t>7</w:t>
      </w:r>
      <w:r w:rsidRPr="00BE7AF9">
        <w:rPr>
          <w:lang w:val="en-GB"/>
        </w:rPr>
        <w:t>, 573</w:t>
      </w:r>
      <w:r w:rsidR="001275FB">
        <w:rPr>
          <w:lang w:val="en-GB"/>
        </w:rPr>
        <w:t>-</w:t>
      </w:r>
      <w:r w:rsidRPr="00BE7AF9">
        <w:rPr>
          <w:lang w:val="en-GB"/>
        </w:rPr>
        <w:t>605.</w:t>
      </w:r>
    </w:p>
    <w:p w:rsidR="00277539" w:rsidRPr="00BE7AF9" w:rsidRDefault="00277539" w:rsidP="00F54F14">
      <w:pPr>
        <w:tabs>
          <w:tab w:val="center" w:pos="-3544"/>
        </w:tabs>
        <w:autoSpaceDE w:val="0"/>
        <w:autoSpaceDN w:val="0"/>
        <w:adjustRightInd w:val="0"/>
        <w:spacing w:line="480" w:lineRule="auto"/>
        <w:ind w:left="709" w:hanging="425"/>
        <w:rPr>
          <w:lang w:val="en-GB"/>
        </w:rPr>
      </w:pPr>
      <w:proofErr w:type="spellStart"/>
      <w:r w:rsidRPr="00BE7AF9">
        <w:rPr>
          <w:lang w:val="en-GB"/>
        </w:rPr>
        <w:t>Rosch</w:t>
      </w:r>
      <w:proofErr w:type="spellEnd"/>
      <w:r w:rsidRPr="00BE7AF9">
        <w:rPr>
          <w:lang w:val="en-GB"/>
        </w:rPr>
        <w:t xml:space="preserve">, E., Simpson, C. and Miller, R.S. (1976). ‘Structural bases of typicality effects’. </w:t>
      </w:r>
      <w:r w:rsidRPr="00BE7AF9">
        <w:rPr>
          <w:i/>
          <w:iCs/>
          <w:lang w:val="en-GB"/>
        </w:rPr>
        <w:t>Journal of Experimental</w:t>
      </w:r>
      <w:r>
        <w:rPr>
          <w:i/>
          <w:iCs/>
          <w:lang w:val="en-GB"/>
        </w:rPr>
        <w:t xml:space="preserve"> </w:t>
      </w:r>
      <w:r w:rsidRPr="00BE7AF9">
        <w:rPr>
          <w:i/>
          <w:iCs/>
          <w:lang w:val="en-GB"/>
        </w:rPr>
        <w:t>Psychology – Human Perception and Performance</w:t>
      </w:r>
      <w:r w:rsidRPr="00BE7AF9">
        <w:rPr>
          <w:lang w:val="en-GB"/>
        </w:rPr>
        <w:t xml:space="preserve">, </w:t>
      </w:r>
      <w:r w:rsidRPr="00BE7AF9">
        <w:rPr>
          <w:b/>
          <w:bCs/>
          <w:lang w:val="en-GB"/>
        </w:rPr>
        <w:t>2</w:t>
      </w:r>
      <w:r w:rsidRPr="00BE7AF9">
        <w:rPr>
          <w:lang w:val="en-GB"/>
        </w:rPr>
        <w:t>, 491</w:t>
      </w:r>
      <w:r w:rsidR="001275FB">
        <w:rPr>
          <w:lang w:val="en-GB"/>
        </w:rPr>
        <w:t>-</w:t>
      </w:r>
      <w:r w:rsidRPr="00BE7AF9">
        <w:rPr>
          <w:lang w:val="en-GB"/>
        </w:rPr>
        <w:t>502.</w:t>
      </w:r>
    </w:p>
    <w:p w:rsidR="00B51072" w:rsidRPr="005870F0" w:rsidRDefault="00B51072" w:rsidP="00F54F14">
      <w:pPr>
        <w:pStyle w:val="Header"/>
        <w:tabs>
          <w:tab w:val="clear" w:pos="4513"/>
          <w:tab w:val="clear" w:pos="9026"/>
          <w:tab w:val="center" w:pos="-3544"/>
          <w:tab w:val="center" w:pos="426"/>
          <w:tab w:val="center" w:pos="4320"/>
          <w:tab w:val="right" w:pos="8640"/>
        </w:tabs>
        <w:spacing w:line="480" w:lineRule="auto"/>
        <w:ind w:left="709" w:hanging="425"/>
        <w:jc w:val="both"/>
        <w:rPr>
          <w:lang w:val="en-GB"/>
        </w:rPr>
      </w:pPr>
      <w:r w:rsidRPr="007D5641">
        <w:rPr>
          <w:lang w:eastAsia="en-GB"/>
        </w:rPr>
        <w:t>Rosenberg, N.</w:t>
      </w:r>
      <w:r w:rsidR="0053006E">
        <w:rPr>
          <w:lang w:val="en-GB" w:eastAsia="en-GB"/>
        </w:rPr>
        <w:t xml:space="preserve"> and</w:t>
      </w:r>
      <w:r w:rsidRPr="007D5641">
        <w:rPr>
          <w:lang w:eastAsia="en-GB"/>
        </w:rPr>
        <w:t xml:space="preserve"> Nelson, R</w:t>
      </w:r>
      <w:r w:rsidR="00E51D01">
        <w:rPr>
          <w:lang w:val="en-GB" w:eastAsia="en-GB"/>
        </w:rPr>
        <w:t>.</w:t>
      </w:r>
      <w:r w:rsidRPr="007D5641">
        <w:rPr>
          <w:lang w:eastAsia="en-GB"/>
        </w:rPr>
        <w:t xml:space="preserve">R. </w:t>
      </w:r>
      <w:r>
        <w:rPr>
          <w:lang w:eastAsia="en-GB"/>
        </w:rPr>
        <w:t>(</w:t>
      </w:r>
      <w:r w:rsidRPr="007D5641">
        <w:rPr>
          <w:lang w:eastAsia="en-GB"/>
        </w:rPr>
        <w:t>1994</w:t>
      </w:r>
      <w:r>
        <w:rPr>
          <w:lang w:eastAsia="en-GB"/>
        </w:rPr>
        <w:t>)</w:t>
      </w:r>
      <w:r w:rsidRPr="007D5641">
        <w:rPr>
          <w:lang w:eastAsia="en-GB"/>
        </w:rPr>
        <w:t xml:space="preserve">. </w:t>
      </w:r>
      <w:r w:rsidR="005D5309">
        <w:rPr>
          <w:lang w:val="en-GB" w:eastAsia="en-GB"/>
        </w:rPr>
        <w:t>‘</w:t>
      </w:r>
      <w:r w:rsidRPr="007D5641">
        <w:rPr>
          <w:lang w:eastAsia="en-GB"/>
        </w:rPr>
        <w:t>American universities and technical advance in industry</w:t>
      </w:r>
      <w:r w:rsidR="005D5309">
        <w:rPr>
          <w:lang w:val="en-GB" w:eastAsia="en-GB"/>
        </w:rPr>
        <w:t>’</w:t>
      </w:r>
      <w:r w:rsidRPr="007D5641">
        <w:rPr>
          <w:lang w:eastAsia="en-GB"/>
        </w:rPr>
        <w:t xml:space="preserve">. </w:t>
      </w:r>
      <w:r w:rsidRPr="006F38C4">
        <w:rPr>
          <w:i/>
          <w:lang w:eastAsia="en-GB"/>
        </w:rPr>
        <w:t>Research Policy</w:t>
      </w:r>
      <w:r>
        <w:rPr>
          <w:i/>
          <w:lang w:eastAsia="en-GB"/>
        </w:rPr>
        <w:t>,</w:t>
      </w:r>
      <w:r w:rsidRPr="007D5641">
        <w:rPr>
          <w:lang w:eastAsia="en-GB"/>
        </w:rPr>
        <w:t xml:space="preserve"> </w:t>
      </w:r>
      <w:r w:rsidRPr="006F38C4">
        <w:rPr>
          <w:b/>
          <w:lang w:eastAsia="en-GB"/>
        </w:rPr>
        <w:t>23</w:t>
      </w:r>
      <w:r w:rsidR="005D5309">
        <w:rPr>
          <w:lang w:val="en-GB" w:eastAsia="en-GB"/>
        </w:rPr>
        <w:t xml:space="preserve">, </w:t>
      </w:r>
      <w:r w:rsidRPr="007D5641">
        <w:rPr>
          <w:lang w:eastAsia="en-GB"/>
        </w:rPr>
        <w:t>323</w:t>
      </w:r>
      <w:r w:rsidR="001275FB">
        <w:rPr>
          <w:lang w:eastAsia="en-GB"/>
        </w:rPr>
        <w:t>-</w:t>
      </w:r>
      <w:r w:rsidRPr="007D5641">
        <w:rPr>
          <w:lang w:eastAsia="en-GB"/>
        </w:rPr>
        <w:t>348</w:t>
      </w:r>
      <w:r w:rsidR="005D5309">
        <w:rPr>
          <w:lang w:val="en-GB" w:eastAsia="en-GB"/>
        </w:rPr>
        <w:t>.</w:t>
      </w:r>
    </w:p>
    <w:p w:rsidR="0007699B" w:rsidRDefault="00C06585" w:rsidP="00F54F14">
      <w:pPr>
        <w:pStyle w:val="Header"/>
        <w:tabs>
          <w:tab w:val="clear" w:pos="4513"/>
          <w:tab w:val="clear" w:pos="9026"/>
          <w:tab w:val="center" w:pos="-3544"/>
          <w:tab w:val="center" w:pos="709"/>
          <w:tab w:val="center" w:pos="4320"/>
          <w:tab w:val="right" w:pos="8640"/>
        </w:tabs>
        <w:spacing w:line="480" w:lineRule="auto"/>
        <w:ind w:left="709" w:hanging="425"/>
        <w:jc w:val="both"/>
      </w:pPr>
      <w:r w:rsidRPr="009A4D2F">
        <w:t>Rothaermel, F</w:t>
      </w:r>
      <w:r>
        <w:t>.</w:t>
      </w:r>
      <w:r w:rsidRPr="009A4D2F">
        <w:t>T., Agung, S</w:t>
      </w:r>
      <w:r>
        <w:t>.</w:t>
      </w:r>
      <w:r w:rsidRPr="009A4D2F">
        <w:t>D. and Jiang, L., (2007).</w:t>
      </w:r>
      <w:r>
        <w:t>‘</w:t>
      </w:r>
      <w:r w:rsidRPr="009A4D2F">
        <w:t>University entrepreneurship: A taxonomy of</w:t>
      </w:r>
      <w:r>
        <w:t xml:space="preserve"> </w:t>
      </w:r>
      <w:r w:rsidRPr="009A4D2F">
        <w:t>the literature</w:t>
      </w:r>
      <w:r>
        <w:t>’</w:t>
      </w:r>
      <w:r w:rsidRPr="009A4D2F">
        <w:t xml:space="preserve">. </w:t>
      </w:r>
      <w:r w:rsidRPr="009A4D2F">
        <w:rPr>
          <w:i/>
        </w:rPr>
        <w:t>Industrial and Corporate Change,</w:t>
      </w:r>
      <w:r w:rsidR="002364D6">
        <w:rPr>
          <w:i/>
        </w:rPr>
        <w:t xml:space="preserve"> </w:t>
      </w:r>
      <w:r w:rsidRPr="009A4D2F">
        <w:rPr>
          <w:b/>
        </w:rPr>
        <w:t>16</w:t>
      </w:r>
      <w:r w:rsidRPr="009A4D2F">
        <w:t>, 691</w:t>
      </w:r>
      <w:r w:rsidR="001275FB">
        <w:t>-</w:t>
      </w:r>
      <w:r w:rsidRPr="009A4D2F">
        <w:t>791.</w:t>
      </w:r>
    </w:p>
    <w:p w:rsidR="0007699B" w:rsidRPr="0007699B" w:rsidRDefault="0007699B" w:rsidP="00F54F14">
      <w:pPr>
        <w:pStyle w:val="Header"/>
        <w:tabs>
          <w:tab w:val="clear" w:pos="4513"/>
          <w:tab w:val="clear" w:pos="9026"/>
          <w:tab w:val="center" w:pos="-3544"/>
          <w:tab w:val="center" w:pos="709"/>
          <w:tab w:val="center" w:pos="4320"/>
          <w:tab w:val="right" w:pos="8640"/>
        </w:tabs>
        <w:spacing w:line="480" w:lineRule="auto"/>
        <w:ind w:left="709" w:hanging="425"/>
        <w:jc w:val="both"/>
      </w:pPr>
      <w:r w:rsidRPr="00112B3A">
        <w:t xml:space="preserve">Sauder, M., Lynn, F. </w:t>
      </w:r>
      <w:r w:rsidR="00E51D01">
        <w:rPr>
          <w:lang w:val="en-GB"/>
        </w:rPr>
        <w:t>and</w:t>
      </w:r>
      <w:r w:rsidRPr="00112B3A">
        <w:t xml:space="preserve"> Podolny, J.M. (2012). ‘Status: Insights from organizational sociology’. </w:t>
      </w:r>
      <w:r w:rsidRPr="00112B3A">
        <w:rPr>
          <w:i/>
          <w:iCs/>
        </w:rPr>
        <w:t>Annual Review of</w:t>
      </w:r>
      <w:r w:rsidRPr="00112B3A">
        <w:t xml:space="preserve"> </w:t>
      </w:r>
      <w:r w:rsidRPr="00112B3A">
        <w:rPr>
          <w:i/>
          <w:iCs/>
        </w:rPr>
        <w:t xml:space="preserve">Sociology, </w:t>
      </w:r>
      <w:r w:rsidRPr="00112B3A">
        <w:rPr>
          <w:b/>
        </w:rPr>
        <w:t>38</w:t>
      </w:r>
      <w:r w:rsidRPr="00112B3A">
        <w:t>, 267-283.</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Shane</w:t>
      </w:r>
      <w:r>
        <w:t>,</w:t>
      </w:r>
      <w:r w:rsidRPr="009A4D2F">
        <w:t xml:space="preserve"> S. (2004). </w:t>
      </w:r>
      <w:r w:rsidRPr="009A4D2F">
        <w:rPr>
          <w:i/>
        </w:rPr>
        <w:t xml:space="preserve">Academic Entrepreneurship: University </w:t>
      </w:r>
      <w:r>
        <w:rPr>
          <w:i/>
        </w:rPr>
        <w:t>S</w:t>
      </w:r>
      <w:r w:rsidRPr="009A4D2F">
        <w:rPr>
          <w:i/>
        </w:rPr>
        <w:t xml:space="preserve">pinoffs and </w:t>
      </w:r>
      <w:r>
        <w:rPr>
          <w:i/>
        </w:rPr>
        <w:t>W</w:t>
      </w:r>
      <w:r w:rsidRPr="009A4D2F">
        <w:rPr>
          <w:i/>
        </w:rPr>
        <w:t xml:space="preserve">ealth </w:t>
      </w:r>
      <w:r>
        <w:rPr>
          <w:i/>
        </w:rPr>
        <w:t>C</w:t>
      </w:r>
      <w:r w:rsidRPr="009A4D2F">
        <w:rPr>
          <w:i/>
        </w:rPr>
        <w:t>reation</w:t>
      </w:r>
      <w:r w:rsidRPr="009A4D2F">
        <w:t xml:space="preserve">.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pPr>
      <w:r w:rsidRPr="009A4D2F">
        <w:t>Cheltenham: Edward Elgar</w:t>
      </w:r>
      <w: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Shane</w:t>
      </w:r>
      <w:r>
        <w:t>,</w:t>
      </w:r>
      <w:r w:rsidRPr="009A4D2F">
        <w:t xml:space="preserve"> S</w:t>
      </w:r>
      <w:r>
        <w:t>.</w:t>
      </w:r>
      <w:r w:rsidRPr="009A4D2F">
        <w:t xml:space="preserve"> and Stuart</w:t>
      </w:r>
      <w:r>
        <w:t>,</w:t>
      </w:r>
      <w:r w:rsidRPr="009A4D2F">
        <w:t xml:space="preserve"> T. (2002).</w:t>
      </w:r>
      <w:r w:rsidR="001275FB">
        <w:t xml:space="preserve"> </w:t>
      </w:r>
      <w:r>
        <w:t>‘</w:t>
      </w:r>
      <w:r w:rsidR="00D60884">
        <w:t>Organization</w:t>
      </w:r>
      <w:r w:rsidRPr="009A4D2F">
        <w:t xml:space="preserve">al endowments and the performance of university </w:t>
      </w:r>
    </w:p>
    <w:p w:rsidR="009878B4" w:rsidRDefault="009878B4" w:rsidP="00F54F14">
      <w:pPr>
        <w:pStyle w:val="Header"/>
        <w:tabs>
          <w:tab w:val="center" w:pos="-3544"/>
          <w:tab w:val="center" w:pos="4320"/>
          <w:tab w:val="right" w:pos="8640"/>
        </w:tabs>
        <w:spacing w:line="480" w:lineRule="auto"/>
        <w:ind w:left="709" w:hanging="425"/>
        <w:jc w:val="both"/>
        <w:rPr>
          <w:lang w:val="en-GB"/>
        </w:rPr>
      </w:pPr>
      <w:r>
        <w:rPr>
          <w:lang w:val="en-GB"/>
        </w:rPr>
        <w:tab/>
      </w:r>
      <w:r w:rsidR="00C06585" w:rsidRPr="009A4D2F">
        <w:t>start-ups</w:t>
      </w:r>
      <w:r w:rsidR="00C06585">
        <w:t>’</w:t>
      </w:r>
      <w:r w:rsidR="00C06585" w:rsidRPr="009A4D2F">
        <w:t xml:space="preserve">. </w:t>
      </w:r>
      <w:r w:rsidR="00C06585" w:rsidRPr="009A4D2F">
        <w:rPr>
          <w:i/>
        </w:rPr>
        <w:t>Management Science,</w:t>
      </w:r>
      <w:r w:rsidR="002364D6">
        <w:rPr>
          <w:i/>
        </w:rPr>
        <w:t xml:space="preserve"> </w:t>
      </w:r>
      <w:r w:rsidR="00C06585" w:rsidRPr="009A4D2F">
        <w:rPr>
          <w:b/>
        </w:rPr>
        <w:t>48</w:t>
      </w:r>
      <w:r w:rsidR="00C06585">
        <w:t>,</w:t>
      </w:r>
      <w:r w:rsidR="00C06585" w:rsidRPr="009A4D2F">
        <w:t xml:space="preserve"> 154-170</w:t>
      </w:r>
      <w:r w:rsidR="00C06585">
        <w:t>.</w:t>
      </w:r>
      <w:r w:rsidRPr="009878B4">
        <w:t xml:space="preserve"> </w:t>
      </w:r>
    </w:p>
    <w:p w:rsidR="00C06585" w:rsidRDefault="009878B4" w:rsidP="00F54F14">
      <w:pPr>
        <w:pStyle w:val="Header"/>
        <w:tabs>
          <w:tab w:val="clear" w:pos="4513"/>
          <w:tab w:val="clear" w:pos="9026"/>
          <w:tab w:val="center" w:pos="-3544"/>
          <w:tab w:val="center" w:pos="4320"/>
          <w:tab w:val="right" w:pos="8640"/>
        </w:tabs>
        <w:spacing w:line="480" w:lineRule="auto"/>
        <w:ind w:left="272"/>
        <w:jc w:val="both"/>
      </w:pPr>
      <w:r>
        <w:rPr>
          <w:lang w:val="en-GB"/>
        </w:rPr>
        <w:tab/>
      </w:r>
      <w:r w:rsidR="00C06585" w:rsidRPr="009A4D2F">
        <w:t>Shipilov</w:t>
      </w:r>
      <w:r w:rsidR="00C06585">
        <w:t>,</w:t>
      </w:r>
      <w:r w:rsidR="00C06585" w:rsidRPr="009A4D2F">
        <w:t xml:space="preserve"> A</w:t>
      </w:r>
      <w:r w:rsidR="00C06585">
        <w:t>.</w:t>
      </w:r>
      <w:r w:rsidR="00C06585" w:rsidRPr="009A4D2F">
        <w:t>V</w:t>
      </w:r>
      <w:r w:rsidR="00C06585">
        <w:t>.</w:t>
      </w:r>
      <w:r w:rsidR="00C06585" w:rsidRPr="009A4D2F">
        <w:t>, Greve</w:t>
      </w:r>
      <w:r w:rsidR="00C06585">
        <w:t>,</w:t>
      </w:r>
      <w:r w:rsidR="00C06585" w:rsidRPr="009A4D2F">
        <w:t xml:space="preserve"> H</w:t>
      </w:r>
      <w:r w:rsidR="00C06585">
        <w:t>.</w:t>
      </w:r>
      <w:r w:rsidR="00C06585" w:rsidRPr="009A4D2F">
        <w:t>R</w:t>
      </w:r>
      <w:r w:rsidR="00C06585">
        <w:t>.</w:t>
      </w:r>
      <w:r w:rsidR="00C06585" w:rsidRPr="009A4D2F">
        <w:t xml:space="preserve"> and Rowley</w:t>
      </w:r>
      <w:r w:rsidR="00C06585">
        <w:t>,</w:t>
      </w:r>
      <w:r w:rsidR="00C06585" w:rsidRPr="009A4D2F">
        <w:t xml:space="preserve"> T</w:t>
      </w:r>
      <w:r w:rsidR="00C06585">
        <w:t>.</w:t>
      </w:r>
      <w:r w:rsidR="00C06585" w:rsidRPr="009A4D2F">
        <w:t>J. (2010).</w:t>
      </w:r>
      <w:r w:rsidR="001275FB">
        <w:t xml:space="preserve"> </w:t>
      </w:r>
      <w:r w:rsidR="00C06585">
        <w:t>‘</w:t>
      </w:r>
      <w:r w:rsidR="00C06585" w:rsidRPr="009A4D2F">
        <w:t xml:space="preserve">When do interlocks matter? Institutional </w:t>
      </w:r>
    </w:p>
    <w:p w:rsidR="00C06585" w:rsidRDefault="00C06585" w:rsidP="00F54F14">
      <w:pPr>
        <w:pStyle w:val="Header"/>
        <w:tabs>
          <w:tab w:val="clear" w:pos="4513"/>
          <w:tab w:val="clear" w:pos="9026"/>
          <w:tab w:val="center" w:pos="-3544"/>
          <w:tab w:val="center" w:pos="4320"/>
          <w:tab w:val="right" w:pos="8640"/>
        </w:tabs>
        <w:spacing w:line="480" w:lineRule="auto"/>
        <w:ind w:left="720"/>
        <w:jc w:val="both"/>
      </w:pPr>
      <w:r w:rsidRPr="009A4D2F">
        <w:t>logics and the diffusion of multiple corporate governance practices</w:t>
      </w:r>
      <w:r>
        <w:t>’</w:t>
      </w:r>
      <w:r w:rsidRPr="009A4D2F">
        <w:t xml:space="preserve">. </w:t>
      </w:r>
      <w:r w:rsidRPr="009A4D2F">
        <w:rPr>
          <w:i/>
        </w:rPr>
        <w:t>Academy of Management Journal</w:t>
      </w:r>
      <w:r w:rsidRPr="009A4D2F">
        <w:t xml:space="preserve">, </w:t>
      </w:r>
      <w:r w:rsidR="002364D6">
        <w:rPr>
          <w:b/>
        </w:rPr>
        <w:t>53</w:t>
      </w:r>
      <w:r>
        <w:rPr>
          <w:b/>
        </w:rPr>
        <w:t>,</w:t>
      </w:r>
      <w:r w:rsidRPr="009A4D2F">
        <w:t xml:space="preserve"> 846-864</w:t>
      </w:r>
      <w: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Sine</w:t>
      </w:r>
      <w:r>
        <w:t>,</w:t>
      </w:r>
      <w:r w:rsidRPr="009A4D2F">
        <w:t xml:space="preserve"> W</w:t>
      </w:r>
      <w:r>
        <w:t>.</w:t>
      </w:r>
      <w:r w:rsidRPr="009A4D2F">
        <w:t>D</w:t>
      </w:r>
      <w:r>
        <w:t>.</w:t>
      </w:r>
      <w:r w:rsidRPr="009A4D2F">
        <w:t>, Shane</w:t>
      </w:r>
      <w:r>
        <w:t>,</w:t>
      </w:r>
      <w:r w:rsidRPr="009A4D2F">
        <w:t xml:space="preserve"> S</w:t>
      </w:r>
      <w:r>
        <w:t>.</w:t>
      </w:r>
      <w:r w:rsidR="002E1776">
        <w:t xml:space="preserve"> and </w:t>
      </w:r>
      <w:proofErr w:type="spellStart"/>
      <w:r w:rsidR="002E1776">
        <w:t>Di</w:t>
      </w:r>
      <w:r w:rsidRPr="009A4D2F">
        <w:t>Gregorio</w:t>
      </w:r>
      <w:proofErr w:type="spellEnd"/>
      <w:r>
        <w:t>,</w:t>
      </w:r>
      <w:r w:rsidRPr="009A4D2F">
        <w:t xml:space="preserve"> D. (2003).</w:t>
      </w:r>
      <w:r w:rsidR="0033150D">
        <w:t xml:space="preserve"> </w:t>
      </w:r>
      <w:r>
        <w:t>‘</w:t>
      </w:r>
      <w:r w:rsidRPr="009A4D2F">
        <w:t xml:space="preserve">The halo effect and technology licensing: The </w:t>
      </w:r>
    </w:p>
    <w:p w:rsidR="00C06585" w:rsidRDefault="00C06585" w:rsidP="00F54F14">
      <w:pPr>
        <w:pStyle w:val="Header"/>
        <w:tabs>
          <w:tab w:val="clear" w:pos="4513"/>
          <w:tab w:val="clear" w:pos="9026"/>
          <w:tab w:val="center" w:pos="-3544"/>
          <w:tab w:val="center" w:pos="4320"/>
          <w:tab w:val="right" w:pos="8640"/>
        </w:tabs>
        <w:spacing w:line="480" w:lineRule="auto"/>
        <w:ind w:left="720"/>
        <w:jc w:val="both"/>
      </w:pPr>
      <w:r w:rsidRPr="009A4D2F">
        <w:lastRenderedPageBreak/>
        <w:t>influence of institutional prestige on the licensing of university inventions</w:t>
      </w:r>
      <w:r>
        <w:t>’</w:t>
      </w:r>
      <w:r w:rsidRPr="009A4D2F">
        <w:t xml:space="preserve">. </w:t>
      </w:r>
      <w:r w:rsidRPr="009A4D2F">
        <w:rPr>
          <w:i/>
        </w:rPr>
        <w:t>Management Science</w:t>
      </w:r>
      <w:r w:rsidRPr="009A4D2F">
        <w:t xml:space="preserve">, </w:t>
      </w:r>
      <w:r w:rsidRPr="009A4D2F">
        <w:rPr>
          <w:b/>
        </w:rPr>
        <w:t>49</w:t>
      </w:r>
      <w:r>
        <w:t>,</w:t>
      </w:r>
      <w:r w:rsidRPr="009A4D2F">
        <w:t xml:space="preserve"> 478-496</w:t>
      </w:r>
      <w:r>
        <w:t>.</w:t>
      </w:r>
    </w:p>
    <w:p w:rsidR="006C3EBF" w:rsidRDefault="00C06585" w:rsidP="00F54F14">
      <w:pPr>
        <w:pStyle w:val="Header"/>
        <w:tabs>
          <w:tab w:val="clear" w:pos="4513"/>
          <w:tab w:val="clear" w:pos="9026"/>
          <w:tab w:val="center" w:pos="-3544"/>
          <w:tab w:val="center" w:pos="993"/>
          <w:tab w:val="center" w:pos="4320"/>
          <w:tab w:val="right" w:pos="8640"/>
        </w:tabs>
        <w:spacing w:line="480" w:lineRule="auto"/>
        <w:ind w:left="709" w:hanging="425"/>
        <w:jc w:val="both"/>
        <w:rPr>
          <w:lang w:val="en-GB"/>
        </w:rPr>
      </w:pPr>
      <w:r w:rsidRPr="009A4D2F">
        <w:t>Slaughter</w:t>
      </w:r>
      <w:r>
        <w:t>,</w:t>
      </w:r>
      <w:r w:rsidRPr="009A4D2F">
        <w:t xml:space="preserve"> S. and Leslie</w:t>
      </w:r>
      <w:r>
        <w:t>,</w:t>
      </w:r>
      <w:r w:rsidRPr="009A4D2F">
        <w:t xml:space="preserve"> L</w:t>
      </w:r>
      <w:r>
        <w:t>.</w:t>
      </w:r>
      <w:r w:rsidRPr="009A4D2F">
        <w:t xml:space="preserve">L. (1997). </w:t>
      </w:r>
      <w:r w:rsidR="006C2F54">
        <w:t>‘</w:t>
      </w:r>
      <w:r w:rsidRPr="009A4D2F">
        <w:rPr>
          <w:i/>
        </w:rPr>
        <w:t xml:space="preserve">Academic </w:t>
      </w:r>
      <w:r>
        <w:rPr>
          <w:i/>
        </w:rPr>
        <w:t>C</w:t>
      </w:r>
      <w:r w:rsidRPr="009A4D2F">
        <w:rPr>
          <w:i/>
        </w:rPr>
        <w:t xml:space="preserve">apitalism: Politics, </w:t>
      </w:r>
      <w:r>
        <w:rPr>
          <w:i/>
        </w:rPr>
        <w:t>P</w:t>
      </w:r>
      <w:r w:rsidRPr="009A4D2F">
        <w:rPr>
          <w:i/>
        </w:rPr>
        <w:t>olicies and the</w:t>
      </w:r>
      <w:r w:rsidR="006C3EBF">
        <w:rPr>
          <w:i/>
          <w:lang w:val="en-GB"/>
        </w:rPr>
        <w:tab/>
      </w:r>
      <w:r>
        <w:rPr>
          <w:i/>
        </w:rPr>
        <w:t>E</w:t>
      </w:r>
      <w:r w:rsidRPr="009A4D2F">
        <w:rPr>
          <w:i/>
        </w:rPr>
        <w:t xml:space="preserve">ntrepreneurial </w:t>
      </w:r>
      <w:r>
        <w:rPr>
          <w:i/>
        </w:rPr>
        <w:t>U</w:t>
      </w:r>
      <w:r w:rsidRPr="009A4D2F">
        <w:rPr>
          <w:i/>
        </w:rPr>
        <w:t>niversity</w:t>
      </w:r>
      <w:r w:rsidR="006C2F54">
        <w:rPr>
          <w:i/>
        </w:rPr>
        <w:t>’</w:t>
      </w:r>
      <w:r w:rsidRPr="009A4D2F">
        <w:t>. Maryland: Johns Hopkins University Press</w:t>
      </w:r>
      <w:r>
        <w:t>.</w:t>
      </w:r>
      <w:r w:rsidR="006C3EBF" w:rsidRPr="006C3EBF">
        <w:t xml:space="preserve"> </w:t>
      </w:r>
    </w:p>
    <w:p w:rsidR="003B0118" w:rsidRPr="002B666C" w:rsidRDefault="003B0118" w:rsidP="00F54F14">
      <w:pPr>
        <w:pStyle w:val="Header"/>
        <w:tabs>
          <w:tab w:val="clear" w:pos="4513"/>
          <w:tab w:val="clear" w:pos="9026"/>
          <w:tab w:val="center" w:pos="-3544"/>
          <w:tab w:val="center" w:pos="709"/>
          <w:tab w:val="center" w:pos="4320"/>
          <w:tab w:val="right" w:pos="8640"/>
        </w:tabs>
        <w:spacing w:line="480" w:lineRule="auto"/>
        <w:ind w:left="709" w:hanging="437"/>
        <w:jc w:val="both"/>
        <w:rPr>
          <w:lang w:val="en-GB"/>
        </w:rPr>
      </w:pPr>
      <w:r w:rsidRPr="009A4D2F">
        <w:t>Slaughter</w:t>
      </w:r>
      <w:r>
        <w:t xml:space="preserve">, S. and </w:t>
      </w:r>
      <w:r>
        <w:rPr>
          <w:lang w:val="en-GB"/>
        </w:rPr>
        <w:t>Rhoades</w:t>
      </w:r>
      <w:r>
        <w:t xml:space="preserve">, </w:t>
      </w:r>
      <w:r>
        <w:rPr>
          <w:lang w:val="en-GB"/>
        </w:rPr>
        <w:t>G</w:t>
      </w:r>
      <w:r>
        <w:t>. (</w:t>
      </w:r>
      <w:r>
        <w:rPr>
          <w:lang w:val="en-GB"/>
        </w:rPr>
        <w:t>2004</w:t>
      </w:r>
      <w:r w:rsidRPr="009A4D2F">
        <w:t xml:space="preserve">). </w:t>
      </w:r>
      <w:r>
        <w:t>‘</w:t>
      </w:r>
      <w:r w:rsidRPr="009A4D2F">
        <w:rPr>
          <w:i/>
        </w:rPr>
        <w:t xml:space="preserve">Academic </w:t>
      </w:r>
      <w:r>
        <w:rPr>
          <w:i/>
        </w:rPr>
        <w:t>C</w:t>
      </w:r>
      <w:r w:rsidRPr="009A4D2F">
        <w:rPr>
          <w:i/>
        </w:rPr>
        <w:t>apitalism</w:t>
      </w:r>
      <w:r>
        <w:rPr>
          <w:i/>
          <w:lang w:val="en-GB"/>
        </w:rPr>
        <w:t xml:space="preserve"> and the New Economy</w:t>
      </w:r>
      <w:r>
        <w:rPr>
          <w:i/>
        </w:rPr>
        <w:t xml:space="preserve">: </w:t>
      </w:r>
      <w:r>
        <w:rPr>
          <w:i/>
          <w:lang w:val="en-GB"/>
        </w:rPr>
        <w:t>Markets, State and Higher Education</w:t>
      </w:r>
      <w:r>
        <w:rPr>
          <w:i/>
        </w:rPr>
        <w:t>’</w:t>
      </w:r>
      <w:r w:rsidRPr="009A4D2F">
        <w:t>. Maryland: Johns Hopkins University Press</w:t>
      </w:r>
      <w:r>
        <w:t>.</w:t>
      </w:r>
      <w:r w:rsidRPr="006C3EBF">
        <w:t xml:space="preserve"> </w:t>
      </w:r>
    </w:p>
    <w:p w:rsidR="006C3EBF" w:rsidRPr="00F71570" w:rsidRDefault="006C3EBF" w:rsidP="00F54F14">
      <w:pPr>
        <w:pStyle w:val="Header"/>
        <w:tabs>
          <w:tab w:val="clear" w:pos="4513"/>
          <w:tab w:val="clear" w:pos="9026"/>
          <w:tab w:val="center" w:pos="-3544"/>
          <w:tab w:val="center" w:pos="709"/>
          <w:tab w:val="center" w:pos="4320"/>
          <w:tab w:val="right" w:pos="8640"/>
        </w:tabs>
        <w:spacing w:line="480" w:lineRule="auto"/>
        <w:ind w:left="709" w:hanging="425"/>
        <w:jc w:val="both"/>
        <w:rPr>
          <w:lang w:val="en-GB"/>
        </w:rPr>
      </w:pPr>
      <w:r w:rsidRPr="00112B3A">
        <w:t xml:space="preserve">Sorenson, O. (2014). </w:t>
      </w:r>
      <w:r>
        <w:rPr>
          <w:lang w:val="en-GB"/>
        </w:rPr>
        <w:t>‘</w:t>
      </w:r>
      <w:r w:rsidRPr="00112B3A">
        <w:t>Status and reputation: synonyms or separate concepts?</w:t>
      </w:r>
      <w:r w:rsidR="001275FB">
        <w:t>’</w:t>
      </w:r>
      <w:r w:rsidRPr="00112B3A">
        <w:t xml:space="preserve"> </w:t>
      </w:r>
      <w:r w:rsidRPr="00112B3A">
        <w:rPr>
          <w:i/>
        </w:rPr>
        <w:t>Strategic Organization</w:t>
      </w:r>
      <w:r>
        <w:rPr>
          <w:i/>
          <w:lang w:val="en-GB"/>
        </w:rPr>
        <w:t>,</w:t>
      </w:r>
      <w:r w:rsidRPr="00112B3A">
        <w:t xml:space="preserve"> </w:t>
      </w:r>
      <w:r w:rsidRPr="005870F0">
        <w:rPr>
          <w:b/>
        </w:rPr>
        <w:t>12</w:t>
      </w:r>
      <w:r w:rsidRPr="00112B3A">
        <w:t>: 62-69.</w:t>
      </w:r>
    </w:p>
    <w:p w:rsidR="0007699B" w:rsidRDefault="00A34D82" w:rsidP="00F54F14">
      <w:pPr>
        <w:pStyle w:val="Header"/>
        <w:tabs>
          <w:tab w:val="clear" w:pos="4513"/>
          <w:tab w:val="clear" w:pos="9026"/>
          <w:tab w:val="center" w:pos="-3544"/>
          <w:tab w:val="center" w:pos="709"/>
          <w:tab w:val="center" w:pos="4320"/>
          <w:tab w:val="right" w:pos="8640"/>
        </w:tabs>
        <w:spacing w:line="480" w:lineRule="auto"/>
        <w:ind w:left="709" w:hanging="425"/>
        <w:jc w:val="both"/>
        <w:rPr>
          <w:lang w:val="en-GB"/>
        </w:rPr>
      </w:pPr>
      <w:r>
        <w:rPr>
          <w:lang w:val="en-GB"/>
        </w:rPr>
        <w:tab/>
        <w:t>Souitaris, V. and Zerbinati, S. (2014</w:t>
      </w:r>
      <w:r w:rsidR="002615D7">
        <w:rPr>
          <w:lang w:val="en-GB"/>
        </w:rPr>
        <w:t xml:space="preserve"> forthcoming</w:t>
      </w:r>
      <w:r>
        <w:rPr>
          <w:lang w:val="en-GB"/>
        </w:rPr>
        <w:t xml:space="preserve">) ‘How do corporate venture capitalists do deals? An exploration of corporate investment practices.’ </w:t>
      </w:r>
      <w:r w:rsidRPr="00A34D82">
        <w:rPr>
          <w:i/>
          <w:lang w:val="en-GB"/>
        </w:rPr>
        <w:t>Strategic Entrepreneurship Journal</w:t>
      </w:r>
      <w:r>
        <w:rPr>
          <w:lang w:val="en-GB"/>
        </w:rP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rPr>
          <w:lang w:val="en-GB" w:eastAsia="en-GB"/>
        </w:rPr>
        <w:t>Spence</w:t>
      </w:r>
      <w:r>
        <w:rPr>
          <w:lang w:val="en-GB" w:eastAsia="en-GB"/>
        </w:rPr>
        <w:t>,</w:t>
      </w:r>
      <w:r w:rsidRPr="009A4D2F">
        <w:rPr>
          <w:lang w:val="en-GB" w:eastAsia="en-GB"/>
        </w:rPr>
        <w:t xml:space="preserve"> M. (1973).</w:t>
      </w:r>
      <w:r w:rsidR="003C2871">
        <w:rPr>
          <w:lang w:val="en-GB" w:eastAsia="en-GB"/>
        </w:rPr>
        <w:t xml:space="preserve"> </w:t>
      </w:r>
      <w:r>
        <w:rPr>
          <w:lang w:val="en-GB" w:eastAsia="en-GB"/>
        </w:rPr>
        <w:t>‘</w:t>
      </w:r>
      <w:r w:rsidRPr="009A4D2F">
        <w:rPr>
          <w:lang w:val="en-GB" w:eastAsia="en-GB"/>
        </w:rPr>
        <w:t xml:space="preserve">Job market </w:t>
      </w:r>
      <w:proofErr w:type="spellStart"/>
      <w:r w:rsidRPr="009A4D2F">
        <w:rPr>
          <w:lang w:val="en-GB" w:eastAsia="en-GB"/>
        </w:rPr>
        <w:t>signaling</w:t>
      </w:r>
      <w:proofErr w:type="spellEnd"/>
      <w:r>
        <w:rPr>
          <w:lang w:val="en-GB" w:eastAsia="en-GB"/>
        </w:rPr>
        <w:t>’</w:t>
      </w:r>
      <w:r w:rsidRPr="009A4D2F">
        <w:rPr>
          <w:lang w:val="en-GB" w:eastAsia="en-GB"/>
        </w:rPr>
        <w:t>.</w:t>
      </w:r>
      <w:r w:rsidR="002364D6">
        <w:rPr>
          <w:lang w:val="en-GB" w:eastAsia="en-GB"/>
        </w:rPr>
        <w:t xml:space="preserve"> </w:t>
      </w:r>
      <w:r w:rsidRPr="009A4D2F">
        <w:rPr>
          <w:i/>
          <w:iCs/>
          <w:lang w:val="en-GB" w:eastAsia="en-GB"/>
        </w:rPr>
        <w:t xml:space="preserve">Quarterly Journal of Economics, </w:t>
      </w:r>
      <w:r w:rsidRPr="009A4D2F">
        <w:rPr>
          <w:b/>
          <w:lang w:val="en-GB" w:eastAsia="en-GB"/>
        </w:rPr>
        <w:t>87</w:t>
      </w:r>
      <w:r>
        <w:rPr>
          <w:lang w:val="en-GB" w:eastAsia="en-GB"/>
        </w:rPr>
        <w:t>,</w:t>
      </w:r>
      <w:r w:rsidRPr="009A4D2F">
        <w:rPr>
          <w:lang w:val="en-GB" w:eastAsia="en-GB"/>
        </w:rPr>
        <w:t xml:space="preserve"> 355-374.</w:t>
      </w:r>
    </w:p>
    <w:p w:rsidR="00C06585" w:rsidRDefault="00C06585" w:rsidP="00F54F14">
      <w:pPr>
        <w:pStyle w:val="Header"/>
        <w:tabs>
          <w:tab w:val="clear" w:pos="4513"/>
          <w:tab w:val="clear" w:pos="9026"/>
          <w:tab w:val="center" w:pos="-3544"/>
          <w:tab w:val="center" w:pos="4320"/>
          <w:tab w:val="right" w:pos="8640"/>
        </w:tabs>
        <w:autoSpaceDE w:val="0"/>
        <w:autoSpaceDN w:val="0"/>
        <w:adjustRightInd w:val="0"/>
        <w:spacing w:line="480" w:lineRule="auto"/>
        <w:ind w:left="272"/>
        <w:jc w:val="both"/>
        <w:rPr>
          <w:i/>
          <w:iCs/>
          <w:lang w:val="en-GB" w:eastAsia="en-GB"/>
        </w:rPr>
      </w:pPr>
      <w:r w:rsidRPr="009A4D2F">
        <w:rPr>
          <w:lang w:val="en-GB" w:eastAsia="en-GB"/>
        </w:rPr>
        <w:t>Spence</w:t>
      </w:r>
      <w:r>
        <w:rPr>
          <w:lang w:val="en-GB" w:eastAsia="en-GB"/>
        </w:rPr>
        <w:t>,</w:t>
      </w:r>
      <w:r w:rsidRPr="009A4D2F">
        <w:rPr>
          <w:lang w:val="en-GB" w:eastAsia="en-GB"/>
        </w:rPr>
        <w:t xml:space="preserve"> M. (2002).</w:t>
      </w:r>
      <w:r w:rsidR="003C2871">
        <w:rPr>
          <w:lang w:val="en-GB" w:eastAsia="en-GB"/>
        </w:rPr>
        <w:t xml:space="preserve"> </w:t>
      </w:r>
      <w:r>
        <w:rPr>
          <w:lang w:val="en-GB" w:eastAsia="en-GB"/>
        </w:rPr>
        <w:t>‘</w:t>
      </w:r>
      <w:proofErr w:type="spellStart"/>
      <w:r w:rsidRPr="009A4D2F">
        <w:rPr>
          <w:lang w:val="en-GB" w:eastAsia="en-GB"/>
        </w:rPr>
        <w:t>Signaling</w:t>
      </w:r>
      <w:proofErr w:type="spellEnd"/>
      <w:r w:rsidRPr="009A4D2F">
        <w:rPr>
          <w:lang w:val="en-GB" w:eastAsia="en-GB"/>
        </w:rPr>
        <w:t xml:space="preserve"> in retrospect and the informational structure of markets</w:t>
      </w:r>
      <w:r>
        <w:rPr>
          <w:lang w:val="en-GB" w:eastAsia="en-GB"/>
        </w:rPr>
        <w:t>’</w:t>
      </w:r>
      <w:r w:rsidRPr="009A4D2F">
        <w:rPr>
          <w:lang w:val="en-GB" w:eastAsia="en-GB"/>
        </w:rPr>
        <w:t>.</w:t>
      </w:r>
      <w:r w:rsidR="002364D6">
        <w:rPr>
          <w:lang w:val="en-GB" w:eastAsia="en-GB"/>
        </w:rPr>
        <w:t xml:space="preserve"> </w:t>
      </w:r>
      <w:r w:rsidRPr="009A4D2F">
        <w:rPr>
          <w:i/>
          <w:iCs/>
          <w:lang w:val="en-GB" w:eastAsia="en-GB"/>
        </w:rPr>
        <w:t xml:space="preserve">American </w:t>
      </w:r>
    </w:p>
    <w:p w:rsidR="00C06585" w:rsidRDefault="00C06585" w:rsidP="00F54F14">
      <w:pPr>
        <w:pStyle w:val="Header"/>
        <w:tabs>
          <w:tab w:val="clear" w:pos="4513"/>
          <w:tab w:val="clear" w:pos="9026"/>
          <w:tab w:val="center" w:pos="-3544"/>
          <w:tab w:val="center" w:pos="4320"/>
          <w:tab w:val="right" w:pos="8640"/>
        </w:tabs>
        <w:autoSpaceDE w:val="0"/>
        <w:autoSpaceDN w:val="0"/>
        <w:adjustRightInd w:val="0"/>
        <w:spacing w:line="480" w:lineRule="auto"/>
        <w:ind w:left="272" w:firstLine="448"/>
        <w:jc w:val="both"/>
        <w:rPr>
          <w:i/>
          <w:iCs/>
          <w:lang w:val="en-GB" w:eastAsia="en-GB"/>
        </w:rPr>
      </w:pPr>
      <w:r w:rsidRPr="009A4D2F">
        <w:rPr>
          <w:i/>
          <w:iCs/>
          <w:lang w:val="en-GB" w:eastAsia="en-GB"/>
        </w:rPr>
        <w:t xml:space="preserve">Economic Review, </w:t>
      </w:r>
      <w:r w:rsidRPr="009A4D2F">
        <w:rPr>
          <w:b/>
          <w:lang w:val="en-GB" w:eastAsia="en-GB"/>
        </w:rPr>
        <w:t>92</w:t>
      </w:r>
      <w:r>
        <w:rPr>
          <w:lang w:val="en-GB" w:eastAsia="en-GB"/>
        </w:rPr>
        <w:t>,</w:t>
      </w:r>
      <w:r w:rsidRPr="009A4D2F">
        <w:rPr>
          <w:lang w:val="en-GB" w:eastAsia="en-GB"/>
        </w:rPr>
        <w:t xml:space="preserve"> 434-459.</w:t>
      </w:r>
    </w:p>
    <w:p w:rsidR="00C06585" w:rsidRDefault="00C06585" w:rsidP="00F54F14">
      <w:pPr>
        <w:pStyle w:val="Header"/>
        <w:tabs>
          <w:tab w:val="clear" w:pos="4513"/>
          <w:tab w:val="clear" w:pos="9026"/>
          <w:tab w:val="center" w:pos="-3544"/>
          <w:tab w:val="center" w:pos="4320"/>
          <w:tab w:val="right" w:pos="8640"/>
        </w:tabs>
        <w:autoSpaceDE w:val="0"/>
        <w:autoSpaceDN w:val="0"/>
        <w:adjustRightInd w:val="0"/>
        <w:spacing w:line="480" w:lineRule="auto"/>
        <w:ind w:left="272"/>
        <w:jc w:val="both"/>
        <w:rPr>
          <w:lang w:val="en-GB" w:eastAsia="en-GB"/>
        </w:rPr>
      </w:pPr>
      <w:proofErr w:type="spellStart"/>
      <w:r w:rsidRPr="009A4D2F">
        <w:rPr>
          <w:lang w:val="en-GB" w:eastAsia="en-GB"/>
        </w:rPr>
        <w:t>Stiglitz</w:t>
      </w:r>
      <w:proofErr w:type="spellEnd"/>
      <w:r w:rsidRPr="009A4D2F">
        <w:rPr>
          <w:lang w:val="en-GB" w:eastAsia="en-GB"/>
        </w:rPr>
        <w:t>, J</w:t>
      </w:r>
      <w:r>
        <w:rPr>
          <w:lang w:val="en-GB" w:eastAsia="en-GB"/>
        </w:rPr>
        <w:t>.</w:t>
      </w:r>
      <w:r w:rsidRPr="009A4D2F">
        <w:rPr>
          <w:lang w:val="en-GB" w:eastAsia="en-GB"/>
        </w:rPr>
        <w:t xml:space="preserve">E. (2000). </w:t>
      </w:r>
      <w:r>
        <w:rPr>
          <w:lang w:val="en-GB" w:eastAsia="en-GB"/>
        </w:rPr>
        <w:t>‘</w:t>
      </w:r>
      <w:r w:rsidRPr="009A4D2F">
        <w:rPr>
          <w:lang w:val="en-GB" w:eastAsia="en-GB"/>
        </w:rPr>
        <w:t xml:space="preserve">The contributions of the economics of information to twentieth century </w:t>
      </w:r>
    </w:p>
    <w:p w:rsidR="00C06585" w:rsidRDefault="00C06585" w:rsidP="00F54F14">
      <w:pPr>
        <w:pStyle w:val="Header"/>
        <w:tabs>
          <w:tab w:val="clear" w:pos="4513"/>
          <w:tab w:val="clear" w:pos="9026"/>
          <w:tab w:val="center" w:pos="-3544"/>
          <w:tab w:val="center" w:pos="4320"/>
          <w:tab w:val="right" w:pos="8640"/>
        </w:tabs>
        <w:autoSpaceDE w:val="0"/>
        <w:autoSpaceDN w:val="0"/>
        <w:adjustRightInd w:val="0"/>
        <w:spacing w:line="480" w:lineRule="auto"/>
        <w:ind w:left="272" w:firstLine="448"/>
        <w:jc w:val="both"/>
        <w:rPr>
          <w:i/>
          <w:iCs/>
          <w:lang w:val="en-GB" w:eastAsia="en-GB"/>
        </w:rPr>
      </w:pPr>
      <w:r w:rsidRPr="009A4D2F">
        <w:rPr>
          <w:lang w:val="en-GB" w:eastAsia="en-GB"/>
        </w:rPr>
        <w:t>economics</w:t>
      </w:r>
      <w:r>
        <w:rPr>
          <w:lang w:val="en-GB" w:eastAsia="en-GB"/>
        </w:rPr>
        <w:t>’</w:t>
      </w:r>
      <w:r w:rsidRPr="009A4D2F">
        <w:rPr>
          <w:lang w:val="en-GB" w:eastAsia="en-GB"/>
        </w:rPr>
        <w:t xml:space="preserve">. </w:t>
      </w:r>
      <w:r w:rsidRPr="009A4D2F">
        <w:rPr>
          <w:i/>
          <w:iCs/>
          <w:lang w:val="en-GB" w:eastAsia="en-GB"/>
        </w:rPr>
        <w:t xml:space="preserve">Quarterly Journal of Economics, </w:t>
      </w:r>
      <w:r w:rsidRPr="009A4D2F">
        <w:rPr>
          <w:b/>
          <w:lang w:val="en-GB" w:eastAsia="en-GB"/>
        </w:rPr>
        <w:t>115</w:t>
      </w:r>
      <w:r>
        <w:rPr>
          <w:lang w:val="en-GB" w:eastAsia="en-GB"/>
        </w:rPr>
        <w:t>,</w:t>
      </w:r>
      <w:r w:rsidRPr="009A4D2F">
        <w:rPr>
          <w:lang w:val="en-GB" w:eastAsia="en-GB"/>
        </w:rPr>
        <w:t xml:space="preserve"> 1441-1478.</w:t>
      </w:r>
    </w:p>
    <w:p w:rsidR="00C06585" w:rsidRDefault="0007699B" w:rsidP="00F54F14">
      <w:pPr>
        <w:pStyle w:val="Header"/>
        <w:tabs>
          <w:tab w:val="clear" w:pos="4513"/>
          <w:tab w:val="clear" w:pos="9026"/>
          <w:tab w:val="center" w:pos="-3544"/>
          <w:tab w:val="center" w:pos="4320"/>
          <w:tab w:val="right" w:pos="8640"/>
        </w:tabs>
        <w:spacing w:line="480" w:lineRule="auto"/>
        <w:ind w:left="284"/>
        <w:jc w:val="both"/>
        <w:rPr>
          <w:color w:val="231F20"/>
          <w:lang w:val="en-GB" w:eastAsia="en-GB"/>
        </w:rPr>
      </w:pPr>
      <w:r>
        <w:rPr>
          <w:color w:val="231F20"/>
          <w:lang w:val="en-GB" w:eastAsia="en-GB"/>
        </w:rPr>
        <w:tab/>
      </w:r>
      <w:r w:rsidR="00C06585" w:rsidRPr="009A4D2F">
        <w:rPr>
          <w:color w:val="231F20"/>
          <w:lang w:val="en-GB" w:eastAsia="en-GB"/>
        </w:rPr>
        <w:t>Stuart, T. (2000). ‘</w:t>
      </w:r>
      <w:r w:rsidR="006C2F54" w:rsidRPr="009A4D2F">
        <w:rPr>
          <w:color w:val="231F20"/>
          <w:lang w:val="en-GB" w:eastAsia="en-GB"/>
        </w:rPr>
        <w:t>Inter</w:t>
      </w:r>
      <w:r w:rsidR="006C2F54">
        <w:rPr>
          <w:color w:val="231F20"/>
          <w:lang w:val="en-GB" w:eastAsia="en-GB"/>
        </w:rPr>
        <w:t>organizational</w:t>
      </w:r>
      <w:r w:rsidR="002364D6">
        <w:rPr>
          <w:color w:val="231F20"/>
          <w:lang w:val="en-GB" w:eastAsia="en-GB"/>
        </w:rPr>
        <w:t xml:space="preserve"> </w:t>
      </w:r>
      <w:r w:rsidR="006C2F54" w:rsidRPr="009A4D2F">
        <w:rPr>
          <w:color w:val="231F20"/>
          <w:lang w:val="en-GB" w:eastAsia="en-GB"/>
        </w:rPr>
        <w:t>al</w:t>
      </w:r>
      <w:r w:rsidR="006C2F54">
        <w:rPr>
          <w:color w:val="231F20"/>
          <w:lang w:val="en-GB" w:eastAsia="en-GB"/>
        </w:rPr>
        <w:t>l</w:t>
      </w:r>
      <w:r w:rsidR="006C2F54" w:rsidRPr="009A4D2F">
        <w:rPr>
          <w:color w:val="231F20"/>
          <w:lang w:val="en-GB" w:eastAsia="en-GB"/>
        </w:rPr>
        <w:t>iances</w:t>
      </w:r>
      <w:r w:rsidR="00C06585" w:rsidRPr="009A4D2F">
        <w:rPr>
          <w:color w:val="231F20"/>
          <w:lang w:val="en-GB" w:eastAsia="en-GB"/>
        </w:rPr>
        <w:t xml:space="preserve"> and the </w:t>
      </w:r>
      <w:r w:rsidR="00C06585">
        <w:rPr>
          <w:color w:val="231F20"/>
          <w:lang w:val="en-GB" w:eastAsia="en-GB"/>
        </w:rPr>
        <w:t>p</w:t>
      </w:r>
      <w:r w:rsidR="00C06585" w:rsidRPr="009A4D2F">
        <w:rPr>
          <w:color w:val="231F20"/>
          <w:lang w:val="en-GB" w:eastAsia="en-GB"/>
        </w:rPr>
        <w:t xml:space="preserve">erformance of </w:t>
      </w:r>
      <w:r w:rsidR="00C06585">
        <w:rPr>
          <w:color w:val="231F20"/>
          <w:lang w:val="en-GB" w:eastAsia="en-GB"/>
        </w:rPr>
        <w:t>f</w:t>
      </w:r>
      <w:r w:rsidR="00C06585" w:rsidRPr="009A4D2F">
        <w:rPr>
          <w:color w:val="231F20"/>
          <w:lang w:val="en-GB" w:eastAsia="en-GB"/>
        </w:rPr>
        <w:t>irms: A</w:t>
      </w:r>
      <w:r w:rsidR="002364D6">
        <w:rPr>
          <w:color w:val="231F20"/>
          <w:lang w:val="en-GB" w:eastAsia="en-GB"/>
        </w:rPr>
        <w:t xml:space="preserve"> </w:t>
      </w:r>
      <w:r w:rsidR="00C06585">
        <w:rPr>
          <w:color w:val="231F20"/>
          <w:lang w:val="en-GB" w:eastAsia="en-GB"/>
        </w:rPr>
        <w:t>s</w:t>
      </w:r>
      <w:r w:rsidR="00C06585" w:rsidRPr="009A4D2F">
        <w:rPr>
          <w:color w:val="231F20"/>
          <w:lang w:val="en-GB" w:eastAsia="en-GB"/>
        </w:rPr>
        <w:t xml:space="preserve">tudy of </w:t>
      </w:r>
      <w:r w:rsidR="00C06585">
        <w:rPr>
          <w:color w:val="231F20"/>
          <w:lang w:val="en-GB" w:eastAsia="en-GB"/>
        </w:rPr>
        <w:t>g</w:t>
      </w:r>
      <w:r w:rsidR="00C06585" w:rsidRPr="009A4D2F">
        <w:rPr>
          <w:color w:val="231F20"/>
          <w:lang w:val="en-GB" w:eastAsia="en-GB"/>
        </w:rPr>
        <w:t xml:space="preserve">rowth </w:t>
      </w:r>
    </w:p>
    <w:p w:rsidR="0007699B" w:rsidRPr="005870F0" w:rsidRDefault="002364D6" w:rsidP="00F54F14">
      <w:pPr>
        <w:pStyle w:val="NormalWeb"/>
        <w:tabs>
          <w:tab w:val="center" w:pos="-3544"/>
          <w:tab w:val="center" w:pos="4320"/>
          <w:tab w:val="right" w:pos="8640"/>
        </w:tabs>
        <w:spacing w:before="0" w:beforeAutospacing="0" w:after="0" w:afterAutospacing="0" w:line="480" w:lineRule="auto"/>
        <w:ind w:left="720"/>
        <w:jc w:val="both"/>
        <w:rPr>
          <w:rFonts w:eastAsia="Calibri"/>
          <w:color w:val="231F20"/>
          <w:sz w:val="22"/>
          <w:szCs w:val="22"/>
        </w:rPr>
      </w:pPr>
      <w:r w:rsidRPr="005870F0">
        <w:rPr>
          <w:rFonts w:eastAsia="Calibri"/>
          <w:color w:val="231F20"/>
          <w:sz w:val="22"/>
          <w:szCs w:val="22"/>
        </w:rPr>
        <w:t>a</w:t>
      </w:r>
      <w:r w:rsidR="00C06585" w:rsidRPr="005870F0">
        <w:rPr>
          <w:rFonts w:eastAsia="Calibri"/>
          <w:color w:val="231F20"/>
          <w:sz w:val="22"/>
          <w:szCs w:val="22"/>
        </w:rPr>
        <w:t>nd</w:t>
      </w:r>
      <w:r w:rsidRPr="005870F0">
        <w:rPr>
          <w:rFonts w:eastAsia="Calibri"/>
          <w:color w:val="231F20"/>
          <w:sz w:val="22"/>
          <w:szCs w:val="22"/>
        </w:rPr>
        <w:t xml:space="preserve"> </w:t>
      </w:r>
      <w:r w:rsidR="00C06585" w:rsidRPr="005870F0">
        <w:rPr>
          <w:rFonts w:eastAsia="Calibri"/>
          <w:color w:val="231F20"/>
          <w:sz w:val="22"/>
          <w:szCs w:val="22"/>
        </w:rPr>
        <w:t>innovation rates in a high-technology industry’.</w:t>
      </w:r>
      <w:r w:rsidRPr="005870F0">
        <w:rPr>
          <w:rFonts w:eastAsia="Calibri"/>
          <w:color w:val="231F20"/>
          <w:sz w:val="22"/>
          <w:szCs w:val="22"/>
        </w:rPr>
        <w:t xml:space="preserve"> </w:t>
      </w:r>
      <w:r w:rsidR="00C06585" w:rsidRPr="005870F0">
        <w:rPr>
          <w:rFonts w:eastAsia="Calibri"/>
          <w:color w:val="231F20"/>
          <w:sz w:val="22"/>
          <w:szCs w:val="22"/>
        </w:rPr>
        <w:t>Strategic Management Journal,</w:t>
      </w:r>
      <w:r w:rsidRPr="005870F0">
        <w:rPr>
          <w:rFonts w:eastAsia="Calibri"/>
          <w:color w:val="231F20"/>
          <w:sz w:val="22"/>
          <w:szCs w:val="22"/>
        </w:rPr>
        <w:t xml:space="preserve"> </w:t>
      </w:r>
      <w:r w:rsidR="00C06585" w:rsidRPr="00C844D8">
        <w:rPr>
          <w:rFonts w:eastAsia="Calibri"/>
          <w:b/>
          <w:color w:val="231F20"/>
          <w:sz w:val="22"/>
          <w:szCs w:val="22"/>
        </w:rPr>
        <w:t>21</w:t>
      </w:r>
      <w:r w:rsidR="00C06585" w:rsidRPr="005870F0">
        <w:rPr>
          <w:rFonts w:eastAsia="Calibri"/>
          <w:color w:val="231F20"/>
          <w:sz w:val="22"/>
          <w:szCs w:val="22"/>
        </w:rPr>
        <w:t>, 791</w:t>
      </w:r>
      <w:r w:rsidR="001275FB">
        <w:rPr>
          <w:rFonts w:eastAsia="Calibri"/>
          <w:color w:val="231F20"/>
          <w:sz w:val="22"/>
          <w:szCs w:val="22"/>
        </w:rPr>
        <w:t>-</w:t>
      </w:r>
      <w:r w:rsidR="00C06585" w:rsidRPr="005870F0">
        <w:rPr>
          <w:rFonts w:eastAsia="Calibri"/>
          <w:color w:val="231F20"/>
          <w:sz w:val="22"/>
          <w:szCs w:val="22"/>
        </w:rPr>
        <w:t>811.</w:t>
      </w:r>
    </w:p>
    <w:p w:rsidR="0007699B" w:rsidRPr="00F71570" w:rsidRDefault="0007699B" w:rsidP="00F54F14">
      <w:pPr>
        <w:pStyle w:val="NormalWeb"/>
        <w:tabs>
          <w:tab w:val="center" w:pos="-3544"/>
          <w:tab w:val="center" w:pos="4320"/>
          <w:tab w:val="right" w:pos="8640"/>
        </w:tabs>
        <w:spacing w:before="0" w:beforeAutospacing="0" w:after="0" w:afterAutospacing="0" w:line="480" w:lineRule="auto"/>
        <w:ind w:left="709" w:hanging="425"/>
        <w:jc w:val="both"/>
        <w:rPr>
          <w:color w:val="231F20"/>
        </w:rPr>
      </w:pPr>
      <w:r w:rsidRPr="00112B3A">
        <w:rPr>
          <w:sz w:val="22"/>
          <w:szCs w:val="22"/>
        </w:rPr>
        <w:t xml:space="preserve">Stuart, T. and Ding, W. (2006). ‘When Do Scientists Become Entrepreneurs? The Social Structural Antecedents of Commercial Activity in the Academic Life Sciences’. </w:t>
      </w:r>
      <w:r w:rsidRPr="00112B3A">
        <w:rPr>
          <w:i/>
          <w:sz w:val="22"/>
          <w:szCs w:val="22"/>
        </w:rPr>
        <w:t>American Journal of Sociology</w:t>
      </w:r>
      <w:r w:rsidRPr="00112B3A">
        <w:rPr>
          <w:sz w:val="22"/>
          <w:szCs w:val="22"/>
        </w:rPr>
        <w:t xml:space="preserve">, </w:t>
      </w:r>
      <w:r w:rsidRPr="00112B3A">
        <w:rPr>
          <w:b/>
          <w:sz w:val="22"/>
          <w:szCs w:val="22"/>
        </w:rPr>
        <w:t>112</w:t>
      </w:r>
      <w:r w:rsidRPr="00112B3A">
        <w:rPr>
          <w:sz w:val="22"/>
          <w:szCs w:val="22"/>
        </w:rPr>
        <w:t xml:space="preserve">, </w:t>
      </w:r>
      <w:r>
        <w:rPr>
          <w:sz w:val="22"/>
          <w:szCs w:val="22"/>
        </w:rPr>
        <w:t>97-144.</w:t>
      </w:r>
    </w:p>
    <w:p w:rsidR="00193139" w:rsidRDefault="00193139" w:rsidP="00F54F14">
      <w:pPr>
        <w:pStyle w:val="Header"/>
        <w:tabs>
          <w:tab w:val="clear" w:pos="4513"/>
          <w:tab w:val="clear" w:pos="9026"/>
          <w:tab w:val="center" w:pos="-3544"/>
          <w:tab w:val="center" w:pos="709"/>
          <w:tab w:val="center" w:pos="4320"/>
          <w:tab w:val="right" w:pos="8640"/>
        </w:tabs>
        <w:spacing w:line="480" w:lineRule="auto"/>
        <w:ind w:left="709" w:hanging="425"/>
        <w:jc w:val="both"/>
        <w:rPr>
          <w:szCs w:val="24"/>
          <w:lang w:val="en-GB"/>
        </w:rPr>
      </w:pPr>
      <w:r>
        <w:rPr>
          <w:szCs w:val="24"/>
          <w:lang w:val="en-GB"/>
        </w:rPr>
        <w:tab/>
      </w:r>
      <w:r w:rsidRPr="00F275F0">
        <w:rPr>
          <w:szCs w:val="24"/>
        </w:rPr>
        <w:t xml:space="preserve">Thorndike, </w:t>
      </w:r>
      <w:r w:rsidR="00D97DE6">
        <w:rPr>
          <w:szCs w:val="24"/>
          <w:lang w:val="en-GB"/>
        </w:rPr>
        <w:t xml:space="preserve">E.L. </w:t>
      </w:r>
      <w:r>
        <w:rPr>
          <w:szCs w:val="24"/>
          <w:lang w:val="en-GB"/>
        </w:rPr>
        <w:t>(</w:t>
      </w:r>
      <w:r w:rsidRPr="00F275F0">
        <w:rPr>
          <w:szCs w:val="24"/>
        </w:rPr>
        <w:t>1920</w:t>
      </w:r>
      <w:r>
        <w:rPr>
          <w:szCs w:val="24"/>
          <w:lang w:val="en-GB"/>
        </w:rPr>
        <w:t>).</w:t>
      </w:r>
      <w:r>
        <w:rPr>
          <w:szCs w:val="24"/>
        </w:rPr>
        <w:t xml:space="preserve"> </w:t>
      </w:r>
      <w:r>
        <w:rPr>
          <w:szCs w:val="24"/>
          <w:lang w:val="en-GB"/>
        </w:rPr>
        <w:t>‘</w:t>
      </w:r>
      <w:r w:rsidRPr="00F275F0">
        <w:rPr>
          <w:szCs w:val="24"/>
        </w:rPr>
        <w:t>A constant error in psychological ratings</w:t>
      </w:r>
      <w:r>
        <w:rPr>
          <w:szCs w:val="24"/>
          <w:lang w:val="en-GB"/>
        </w:rPr>
        <w:t>’.</w:t>
      </w:r>
      <w:r>
        <w:rPr>
          <w:szCs w:val="24"/>
        </w:rPr>
        <w:t xml:space="preserve"> </w:t>
      </w:r>
      <w:r w:rsidRPr="00193139">
        <w:rPr>
          <w:i/>
          <w:szCs w:val="24"/>
        </w:rPr>
        <w:t>Journal of Applied Psychology</w:t>
      </w:r>
      <w:r>
        <w:rPr>
          <w:szCs w:val="24"/>
        </w:rPr>
        <w:t xml:space="preserve">, </w:t>
      </w:r>
      <w:r w:rsidRPr="00193139">
        <w:rPr>
          <w:b/>
          <w:szCs w:val="24"/>
        </w:rPr>
        <w:t>4</w:t>
      </w:r>
      <w:r w:rsidRPr="0076467D">
        <w:rPr>
          <w:szCs w:val="24"/>
        </w:rPr>
        <w:t>, 25-29</w:t>
      </w:r>
      <w:r>
        <w:rPr>
          <w:szCs w:val="24"/>
          <w:lang w:val="en-GB"/>
        </w:rP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Toole</w:t>
      </w:r>
      <w:r>
        <w:t>,</w:t>
      </w:r>
      <w:r w:rsidRPr="009A4D2F">
        <w:t xml:space="preserve"> A</w:t>
      </w:r>
      <w:r>
        <w:t>.</w:t>
      </w:r>
      <w:r w:rsidRPr="009A4D2F">
        <w:t>A</w:t>
      </w:r>
      <w:r>
        <w:t>.</w:t>
      </w:r>
      <w:r w:rsidRPr="009A4D2F">
        <w:t xml:space="preserve"> and Czarnitzki</w:t>
      </w:r>
      <w:r>
        <w:t>,</w:t>
      </w:r>
      <w:r w:rsidRPr="009A4D2F">
        <w:t xml:space="preserve"> D. (2010).</w:t>
      </w:r>
      <w:r w:rsidR="001275FB">
        <w:t xml:space="preserve"> </w:t>
      </w:r>
      <w:r>
        <w:t>‘</w:t>
      </w:r>
      <w:r w:rsidRPr="009A4D2F">
        <w:t xml:space="preserve">Commercializing science: Is there a university “brain </w:t>
      </w:r>
    </w:p>
    <w:p w:rsidR="00C06585" w:rsidRPr="00193139" w:rsidRDefault="00C06585" w:rsidP="00F54F14">
      <w:pPr>
        <w:pStyle w:val="Header"/>
        <w:tabs>
          <w:tab w:val="clear" w:pos="4513"/>
          <w:tab w:val="clear" w:pos="9026"/>
          <w:tab w:val="center" w:pos="-3544"/>
          <w:tab w:val="center" w:pos="4320"/>
          <w:tab w:val="right" w:pos="8640"/>
        </w:tabs>
        <w:spacing w:line="480" w:lineRule="auto"/>
        <w:ind w:left="272" w:firstLine="448"/>
        <w:jc w:val="both"/>
        <w:rPr>
          <w:lang w:val="en-GB"/>
        </w:rPr>
      </w:pPr>
      <w:r w:rsidRPr="009A4D2F">
        <w:t>drain” from academic entrepreneurship?</w:t>
      </w:r>
      <w:r>
        <w:t>’</w:t>
      </w:r>
      <w:r w:rsidR="005D5309">
        <w:rPr>
          <w:lang w:val="en-GB"/>
        </w:rPr>
        <w:t xml:space="preserve"> </w:t>
      </w:r>
      <w:r w:rsidRPr="009A4D2F">
        <w:rPr>
          <w:i/>
        </w:rPr>
        <w:t>Management Science</w:t>
      </w:r>
      <w:r w:rsidRPr="009A4D2F">
        <w:t xml:space="preserve">, </w:t>
      </w:r>
      <w:r w:rsidRPr="009A4D2F">
        <w:rPr>
          <w:b/>
        </w:rPr>
        <w:t>56</w:t>
      </w:r>
      <w:r>
        <w:t>,</w:t>
      </w:r>
      <w:r w:rsidRPr="009A4D2F">
        <w:t xml:space="preserve"> 1599-1614</w:t>
      </w:r>
      <w:r>
        <w:t>.</w:t>
      </w:r>
    </w:p>
    <w:p w:rsidR="006046F0" w:rsidRPr="006046F0" w:rsidRDefault="006046F0" w:rsidP="00F54F14">
      <w:pPr>
        <w:pStyle w:val="Header"/>
        <w:tabs>
          <w:tab w:val="clear" w:pos="4513"/>
          <w:tab w:val="clear" w:pos="9026"/>
          <w:tab w:val="center" w:pos="-3544"/>
          <w:tab w:val="center" w:pos="709"/>
          <w:tab w:val="center" w:pos="4320"/>
          <w:tab w:val="right" w:pos="8640"/>
        </w:tabs>
        <w:spacing w:line="480" w:lineRule="auto"/>
        <w:ind w:left="709" w:hanging="425"/>
        <w:jc w:val="both"/>
        <w:rPr>
          <w:lang w:val="en-GB" w:eastAsia="en-GB"/>
        </w:rPr>
      </w:pPr>
      <w:proofErr w:type="spellStart"/>
      <w:r w:rsidRPr="006046F0">
        <w:rPr>
          <w:iCs/>
          <w:lang w:val="en-GB" w:eastAsia="en-GB"/>
        </w:rPr>
        <w:t>Tversky</w:t>
      </w:r>
      <w:proofErr w:type="spellEnd"/>
      <w:r w:rsidRPr="006046F0">
        <w:rPr>
          <w:iCs/>
          <w:lang w:val="en-GB" w:eastAsia="en-GB"/>
        </w:rPr>
        <w:t xml:space="preserve">, A. </w:t>
      </w:r>
      <w:r w:rsidR="00E51D01">
        <w:rPr>
          <w:iCs/>
          <w:lang w:val="en-GB" w:eastAsia="en-GB"/>
        </w:rPr>
        <w:t>and</w:t>
      </w:r>
      <w:r w:rsidRPr="006046F0">
        <w:rPr>
          <w:iCs/>
          <w:lang w:val="en-GB" w:eastAsia="en-GB"/>
        </w:rPr>
        <w:t xml:space="preserve"> </w:t>
      </w:r>
      <w:proofErr w:type="spellStart"/>
      <w:r w:rsidRPr="006046F0">
        <w:rPr>
          <w:iCs/>
          <w:lang w:val="en-GB" w:eastAsia="en-GB"/>
        </w:rPr>
        <w:t>Kahneman</w:t>
      </w:r>
      <w:proofErr w:type="spellEnd"/>
      <w:r w:rsidRPr="006046F0">
        <w:rPr>
          <w:iCs/>
          <w:lang w:val="en-GB" w:eastAsia="en-GB"/>
        </w:rPr>
        <w:t xml:space="preserve">, D. </w:t>
      </w:r>
      <w:r w:rsidR="00B51072">
        <w:rPr>
          <w:iCs/>
          <w:lang w:val="en-GB" w:eastAsia="en-GB"/>
        </w:rPr>
        <w:t>(</w:t>
      </w:r>
      <w:r w:rsidRPr="006046F0">
        <w:rPr>
          <w:iCs/>
          <w:lang w:val="en-GB" w:eastAsia="en-GB"/>
        </w:rPr>
        <w:t>1973</w:t>
      </w:r>
      <w:r w:rsidR="00B51072">
        <w:rPr>
          <w:iCs/>
          <w:lang w:val="en-GB" w:eastAsia="en-GB"/>
        </w:rPr>
        <w:t>)</w:t>
      </w:r>
      <w:r w:rsidRPr="006046F0">
        <w:rPr>
          <w:iCs/>
          <w:lang w:val="en-GB" w:eastAsia="en-GB"/>
        </w:rPr>
        <w:t xml:space="preserve">. </w:t>
      </w:r>
      <w:r w:rsidR="00713F29">
        <w:rPr>
          <w:iCs/>
          <w:lang w:val="en-GB" w:eastAsia="en-GB"/>
        </w:rPr>
        <w:t>‘</w:t>
      </w:r>
      <w:r w:rsidRPr="006046F0">
        <w:rPr>
          <w:iCs/>
          <w:lang w:val="en-GB" w:eastAsia="en-GB"/>
        </w:rPr>
        <w:t>Availability: A heuristic for judging frequency and probability</w:t>
      </w:r>
      <w:r w:rsidR="00713F29">
        <w:rPr>
          <w:iCs/>
          <w:lang w:val="en-GB" w:eastAsia="en-GB"/>
        </w:rPr>
        <w:t>’</w:t>
      </w:r>
      <w:r w:rsidRPr="006046F0">
        <w:rPr>
          <w:iCs/>
          <w:lang w:val="en-GB" w:eastAsia="en-GB"/>
        </w:rPr>
        <w:t xml:space="preserve">. </w:t>
      </w:r>
      <w:r w:rsidRPr="006046F0">
        <w:rPr>
          <w:i/>
          <w:iCs/>
          <w:lang w:val="en-GB" w:eastAsia="en-GB"/>
        </w:rPr>
        <w:t>Cognitive Psychology</w:t>
      </w:r>
      <w:r w:rsidRPr="006046F0">
        <w:rPr>
          <w:iCs/>
          <w:lang w:val="en-GB" w:eastAsia="en-GB"/>
        </w:rPr>
        <w:t xml:space="preserve">. </w:t>
      </w:r>
      <w:r w:rsidRPr="006046F0">
        <w:rPr>
          <w:b/>
          <w:iCs/>
          <w:lang w:val="en-GB" w:eastAsia="en-GB"/>
        </w:rPr>
        <w:t>5</w:t>
      </w:r>
      <w:r w:rsidR="005D5309">
        <w:rPr>
          <w:iCs/>
          <w:lang w:val="en-GB" w:eastAsia="en-GB"/>
        </w:rPr>
        <w:t>,</w:t>
      </w:r>
      <w:r w:rsidRPr="006046F0">
        <w:rPr>
          <w:iCs/>
          <w:lang w:val="en-GB" w:eastAsia="en-GB"/>
        </w:rPr>
        <w:t xml:space="preserve"> 207-232.</w:t>
      </w:r>
    </w:p>
    <w:p w:rsidR="00921506" w:rsidRDefault="001C7361" w:rsidP="00F54F14">
      <w:pPr>
        <w:pStyle w:val="Header"/>
        <w:tabs>
          <w:tab w:val="clear" w:pos="4513"/>
          <w:tab w:val="clear" w:pos="9026"/>
          <w:tab w:val="center" w:pos="-3544"/>
          <w:tab w:val="center" w:pos="709"/>
          <w:tab w:val="center" w:pos="4320"/>
          <w:tab w:val="right" w:pos="8640"/>
        </w:tabs>
        <w:spacing w:line="480" w:lineRule="auto"/>
        <w:ind w:left="709" w:hanging="425"/>
        <w:jc w:val="both"/>
        <w:rPr>
          <w:color w:val="231F20"/>
          <w:lang w:val="en-GB" w:eastAsia="en-GB"/>
        </w:rPr>
      </w:pPr>
      <w:r w:rsidRPr="00D83B75">
        <w:lastRenderedPageBreak/>
        <w:t xml:space="preserve">Tversky, A. </w:t>
      </w:r>
      <w:r w:rsidR="00E51D01">
        <w:rPr>
          <w:lang w:val="en-GB"/>
        </w:rPr>
        <w:t>and</w:t>
      </w:r>
      <w:r w:rsidRPr="00D83B75">
        <w:t xml:space="preserve"> Kahneman, D. (1974). </w:t>
      </w:r>
      <w:r>
        <w:t>‘</w:t>
      </w:r>
      <w:r w:rsidRPr="00D83B75">
        <w:t>Judgment under uncertainty: Heuristics and biases</w:t>
      </w:r>
      <w:r>
        <w:t>’</w:t>
      </w:r>
      <w:r w:rsidRPr="00D83B75">
        <w:t xml:space="preserve">. </w:t>
      </w:r>
      <w:r w:rsidRPr="00D83B75">
        <w:rPr>
          <w:i/>
        </w:rPr>
        <w:t>Science</w:t>
      </w:r>
      <w:r w:rsidRPr="00D83B75">
        <w:t xml:space="preserve">, </w:t>
      </w:r>
      <w:r w:rsidRPr="00D83B75">
        <w:rPr>
          <w:b/>
        </w:rPr>
        <w:t>185</w:t>
      </w:r>
      <w:r w:rsidRPr="00D83B75">
        <w:t>, 1124-1131.</w:t>
      </w:r>
    </w:p>
    <w:p w:rsidR="000C70A1" w:rsidRPr="000C70A1" w:rsidRDefault="000C70A1" w:rsidP="00F54F14">
      <w:pPr>
        <w:tabs>
          <w:tab w:val="center" w:pos="-3544"/>
        </w:tabs>
        <w:autoSpaceDE w:val="0"/>
        <w:autoSpaceDN w:val="0"/>
        <w:adjustRightInd w:val="0"/>
        <w:spacing w:line="480" w:lineRule="auto"/>
        <w:ind w:left="709" w:hanging="425"/>
        <w:jc w:val="both"/>
        <w:rPr>
          <w:lang w:val="en-GB" w:eastAsia="en-GB"/>
        </w:rPr>
      </w:pPr>
      <w:r w:rsidRPr="000C70A1">
        <w:rPr>
          <w:lang w:val="en-GB" w:eastAsia="en-GB"/>
        </w:rPr>
        <w:t>Washington, M</w:t>
      </w:r>
      <w:r w:rsidR="00E51D01">
        <w:rPr>
          <w:lang w:val="en-GB" w:eastAsia="en-GB"/>
        </w:rPr>
        <w:t>.</w:t>
      </w:r>
      <w:r w:rsidRPr="000C70A1">
        <w:rPr>
          <w:lang w:val="en-GB" w:eastAsia="en-GB"/>
        </w:rPr>
        <w:t xml:space="preserve"> and </w:t>
      </w:r>
      <w:proofErr w:type="spellStart"/>
      <w:r w:rsidRPr="000C70A1">
        <w:rPr>
          <w:lang w:val="en-GB" w:eastAsia="en-GB"/>
        </w:rPr>
        <w:t>Zajac</w:t>
      </w:r>
      <w:proofErr w:type="spellEnd"/>
      <w:r w:rsidRPr="000C70A1">
        <w:rPr>
          <w:lang w:val="en-GB" w:eastAsia="en-GB"/>
        </w:rPr>
        <w:t>, E.J. (2005)</w:t>
      </w:r>
      <w:r w:rsidR="005D5309">
        <w:rPr>
          <w:lang w:val="en-GB" w:eastAsia="en-GB"/>
        </w:rPr>
        <w:t>.</w:t>
      </w:r>
      <w:r w:rsidRPr="000C70A1">
        <w:rPr>
          <w:lang w:val="en-GB" w:eastAsia="en-GB"/>
        </w:rPr>
        <w:t xml:space="preserve"> ‘Status evolution and competition: Theory and evidence.’ </w:t>
      </w:r>
      <w:r w:rsidRPr="00244F01">
        <w:rPr>
          <w:i/>
          <w:lang w:val="en-GB" w:eastAsia="en-GB"/>
        </w:rPr>
        <w:t>Academy of Management Journal</w:t>
      </w:r>
      <w:r w:rsidRPr="000C70A1">
        <w:rPr>
          <w:lang w:val="en-GB" w:eastAsia="en-GB"/>
        </w:rPr>
        <w:t xml:space="preserve">, </w:t>
      </w:r>
      <w:r w:rsidRPr="00C06CC8">
        <w:rPr>
          <w:b/>
          <w:lang w:val="en-GB" w:eastAsia="en-GB"/>
        </w:rPr>
        <w:t>48</w:t>
      </w:r>
      <w:r w:rsidR="005D5309">
        <w:rPr>
          <w:lang w:val="en-GB" w:eastAsia="en-GB"/>
        </w:rPr>
        <w:t xml:space="preserve">, </w:t>
      </w:r>
      <w:r w:rsidRPr="000C70A1">
        <w:rPr>
          <w:lang w:val="en-GB" w:eastAsia="en-GB"/>
        </w:rPr>
        <w:t>282-296</w:t>
      </w:r>
    </w:p>
    <w:p w:rsidR="001C7361" w:rsidRDefault="001C7361" w:rsidP="00F54F14">
      <w:pPr>
        <w:pStyle w:val="Header"/>
        <w:tabs>
          <w:tab w:val="clear" w:pos="4513"/>
          <w:tab w:val="clear" w:pos="9026"/>
          <w:tab w:val="center" w:pos="-3544"/>
          <w:tab w:val="center" w:pos="993"/>
          <w:tab w:val="center" w:pos="4320"/>
          <w:tab w:val="right" w:pos="8640"/>
        </w:tabs>
        <w:spacing w:line="480" w:lineRule="auto"/>
        <w:ind w:left="709" w:hanging="425"/>
        <w:jc w:val="both"/>
        <w:rPr>
          <w:lang w:val="en-GB"/>
        </w:rPr>
      </w:pPr>
      <w:r w:rsidRPr="00D83B75">
        <w:t>Wilson, P</w:t>
      </w:r>
      <w:r w:rsidR="00E51D01">
        <w:rPr>
          <w:lang w:val="en-GB"/>
        </w:rPr>
        <w:t>.</w:t>
      </w:r>
      <w:r w:rsidRPr="00D83B75">
        <w:t xml:space="preserve">R. </w:t>
      </w:r>
      <w:r>
        <w:t>(</w:t>
      </w:r>
      <w:r w:rsidRPr="00D83B75">
        <w:t>1968</w:t>
      </w:r>
      <w:r>
        <w:t>). ‘</w:t>
      </w:r>
      <w:r w:rsidRPr="00D83B75">
        <w:t>Perceptual Distortion of Height as a Functi</w:t>
      </w:r>
      <w:r>
        <w:t>on of Ascribed Academic Status’.</w:t>
      </w:r>
      <w:r w:rsidRPr="00D83B75">
        <w:t xml:space="preserve"> </w:t>
      </w:r>
      <w:r w:rsidRPr="00D83B75">
        <w:rPr>
          <w:i/>
        </w:rPr>
        <w:t>Journal of Social Psychology</w:t>
      </w:r>
      <w:r w:rsidRPr="00D83B75">
        <w:t xml:space="preserve"> </w:t>
      </w:r>
      <w:r>
        <w:t>,</w:t>
      </w:r>
      <w:r w:rsidRPr="00D83B75">
        <w:rPr>
          <w:b/>
        </w:rPr>
        <w:t>74</w:t>
      </w:r>
      <w:r>
        <w:t>,</w:t>
      </w:r>
      <w:r w:rsidRPr="00D83B75">
        <w:t xml:space="preserve"> 97-102.</w:t>
      </w:r>
    </w:p>
    <w:p w:rsidR="006C3148" w:rsidRPr="005870F0" w:rsidRDefault="006C3148" w:rsidP="00F54F14">
      <w:pPr>
        <w:pStyle w:val="Header"/>
        <w:tabs>
          <w:tab w:val="clear" w:pos="4513"/>
          <w:tab w:val="clear" w:pos="9026"/>
          <w:tab w:val="center" w:pos="-3544"/>
          <w:tab w:val="center" w:pos="993"/>
          <w:tab w:val="center" w:pos="4320"/>
          <w:tab w:val="right" w:pos="8640"/>
        </w:tabs>
        <w:spacing w:line="480" w:lineRule="auto"/>
        <w:ind w:left="709" w:hanging="425"/>
        <w:jc w:val="both"/>
        <w:rPr>
          <w:lang w:val="en-GB"/>
        </w:rPr>
      </w:pPr>
      <w:r>
        <w:rPr>
          <w:lang w:val="en-GB"/>
        </w:rPr>
        <w:t>Wry, T.</w:t>
      </w:r>
      <w:r w:rsidR="001275FB">
        <w:rPr>
          <w:lang w:val="en-GB"/>
        </w:rPr>
        <w:t>,</w:t>
      </w:r>
      <w:r>
        <w:rPr>
          <w:lang w:val="en-GB"/>
        </w:rPr>
        <w:t xml:space="preserve"> </w:t>
      </w:r>
      <w:proofErr w:type="spellStart"/>
      <w:r>
        <w:rPr>
          <w:lang w:val="en-GB"/>
        </w:rPr>
        <w:t>Lounsbury</w:t>
      </w:r>
      <w:proofErr w:type="spellEnd"/>
      <w:r>
        <w:rPr>
          <w:lang w:val="en-GB"/>
        </w:rPr>
        <w:t>, M. and Jennings, P.D. (</w:t>
      </w:r>
      <w:r w:rsidR="00570EC3">
        <w:rPr>
          <w:lang w:val="en-GB"/>
        </w:rPr>
        <w:t>2014</w:t>
      </w:r>
      <w:r>
        <w:rPr>
          <w:lang w:val="en-GB"/>
        </w:rPr>
        <w:t xml:space="preserve">). ‘Hybrid </w:t>
      </w:r>
      <w:proofErr w:type="spellStart"/>
      <w:r>
        <w:rPr>
          <w:lang w:val="en-GB"/>
        </w:rPr>
        <w:t>vigor</w:t>
      </w:r>
      <w:proofErr w:type="spellEnd"/>
      <w:r w:rsidR="00570EC3">
        <w:rPr>
          <w:lang w:val="en-GB"/>
        </w:rPr>
        <w:t>:</w:t>
      </w:r>
      <w:r>
        <w:rPr>
          <w:lang w:val="en-GB"/>
        </w:rPr>
        <w:t xml:space="preserve"> Securing venture capital by </w:t>
      </w:r>
      <w:r w:rsidR="00570EC3">
        <w:rPr>
          <w:lang w:val="en-GB"/>
        </w:rPr>
        <w:t xml:space="preserve">spanning </w:t>
      </w:r>
      <w:r>
        <w:rPr>
          <w:lang w:val="en-GB"/>
        </w:rPr>
        <w:t>categor</w:t>
      </w:r>
      <w:r w:rsidR="00570EC3">
        <w:rPr>
          <w:lang w:val="en-GB"/>
        </w:rPr>
        <w:t>ies</w:t>
      </w:r>
      <w:r>
        <w:rPr>
          <w:lang w:val="en-GB"/>
        </w:rPr>
        <w:t xml:space="preserve"> in nanotechnology. </w:t>
      </w:r>
      <w:r w:rsidRPr="005870F0">
        <w:rPr>
          <w:i/>
          <w:lang w:val="en-GB"/>
        </w:rPr>
        <w:t>Academy of Management Journal</w:t>
      </w:r>
      <w:r w:rsidR="00570EC3">
        <w:rPr>
          <w:lang w:val="en-GB"/>
        </w:rPr>
        <w:t xml:space="preserve">, </w:t>
      </w:r>
      <w:r w:rsidR="00570EC3" w:rsidRPr="00570EC3">
        <w:rPr>
          <w:b/>
          <w:lang w:val="en-GB"/>
        </w:rPr>
        <w:t>57(5)</w:t>
      </w:r>
      <w:r w:rsidR="00570EC3">
        <w:rPr>
          <w:lang w:val="en-GB"/>
        </w:rPr>
        <w:t>: 1309-1333</w:t>
      </w:r>
    </w:p>
    <w:p w:rsidR="00C06585" w:rsidRDefault="00C06585" w:rsidP="00F54F14">
      <w:pPr>
        <w:pStyle w:val="Header"/>
        <w:tabs>
          <w:tab w:val="clear" w:pos="4513"/>
          <w:tab w:val="clear" w:pos="9026"/>
          <w:tab w:val="center" w:pos="-3544"/>
          <w:tab w:val="center" w:pos="709"/>
          <w:tab w:val="center" w:pos="4320"/>
          <w:tab w:val="right" w:pos="8640"/>
        </w:tabs>
        <w:spacing w:line="480" w:lineRule="auto"/>
        <w:ind w:left="709" w:hanging="425"/>
        <w:jc w:val="both"/>
      </w:pPr>
      <w:r w:rsidRPr="009A4D2F">
        <w:t>Zerbinati</w:t>
      </w:r>
      <w:r>
        <w:t>,</w:t>
      </w:r>
      <w:r w:rsidRPr="009A4D2F">
        <w:t xml:space="preserve"> S</w:t>
      </w:r>
      <w:r>
        <w:t>.</w:t>
      </w:r>
      <w:r w:rsidRPr="009A4D2F">
        <w:t>, Souitaris</w:t>
      </w:r>
      <w:r>
        <w:t>,</w:t>
      </w:r>
      <w:r w:rsidRPr="009A4D2F">
        <w:t xml:space="preserve"> V</w:t>
      </w:r>
      <w:r>
        <w:t>.</w:t>
      </w:r>
      <w:r w:rsidRPr="009A4D2F">
        <w:t xml:space="preserve"> and Moray</w:t>
      </w:r>
      <w:r>
        <w:t>,</w:t>
      </w:r>
      <w:r w:rsidRPr="009A4D2F">
        <w:t xml:space="preserve"> N. (2012) </w:t>
      </w:r>
      <w:r>
        <w:t>‘</w:t>
      </w:r>
      <w:r w:rsidRPr="009A4D2F">
        <w:t>Nurture or nature? The growth paradox of research-based spinoffs</w:t>
      </w:r>
      <w:r>
        <w:t xml:space="preserve">’. </w:t>
      </w:r>
      <w:r w:rsidRPr="009A4D2F">
        <w:rPr>
          <w:i/>
        </w:rPr>
        <w:t>Technology Analysis and Strategic Management</w:t>
      </w:r>
      <w:r>
        <w:t xml:space="preserve">, </w:t>
      </w:r>
      <w:r w:rsidRPr="00293B2F">
        <w:rPr>
          <w:b/>
        </w:rPr>
        <w:t>24</w:t>
      </w:r>
      <w:r>
        <w:t>, 21-35.</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Zhang</w:t>
      </w:r>
      <w:r>
        <w:t>,</w:t>
      </w:r>
      <w:r w:rsidRPr="009A4D2F">
        <w:t xml:space="preserve"> J. (2009). </w:t>
      </w:r>
      <w:r>
        <w:t>‘</w:t>
      </w:r>
      <w:r w:rsidRPr="009A4D2F">
        <w:t xml:space="preserve">The performance of university spinoffs: an exploratory analysis using venture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pPr>
      <w:r w:rsidRPr="009A4D2F">
        <w:t>capital data</w:t>
      </w:r>
      <w:r>
        <w:t>’</w:t>
      </w:r>
      <w:r w:rsidRPr="009A4D2F">
        <w:t xml:space="preserve">. </w:t>
      </w:r>
      <w:r w:rsidRPr="009A4D2F">
        <w:rPr>
          <w:i/>
        </w:rPr>
        <w:t>Journal of Technology Transfer</w:t>
      </w:r>
      <w:r w:rsidRPr="009A4D2F">
        <w:t xml:space="preserve">, </w:t>
      </w:r>
      <w:r w:rsidRPr="009A4D2F">
        <w:rPr>
          <w:b/>
        </w:rPr>
        <w:t>34</w:t>
      </w:r>
      <w:r>
        <w:t>,</w:t>
      </w:r>
      <w:r w:rsidR="00D332F1">
        <w:t xml:space="preserve"> </w:t>
      </w:r>
      <w:r w:rsidRPr="009A4D2F">
        <w:t>255-285</w:t>
      </w:r>
      <w:r>
        <w:t>.</w:t>
      </w:r>
    </w:p>
    <w:p w:rsidR="00C06585" w:rsidRDefault="00C06585" w:rsidP="00F54F14">
      <w:pPr>
        <w:pStyle w:val="Header"/>
        <w:tabs>
          <w:tab w:val="clear" w:pos="4513"/>
          <w:tab w:val="clear" w:pos="9026"/>
          <w:tab w:val="center" w:pos="-3544"/>
          <w:tab w:val="center" w:pos="4320"/>
          <w:tab w:val="right" w:pos="8640"/>
        </w:tabs>
        <w:spacing w:line="480" w:lineRule="auto"/>
        <w:ind w:left="272"/>
        <w:jc w:val="both"/>
      </w:pPr>
      <w:r w:rsidRPr="009A4D2F">
        <w:t>Zuckerman</w:t>
      </w:r>
      <w:r>
        <w:t>,</w:t>
      </w:r>
      <w:r w:rsidRPr="009A4D2F">
        <w:t xml:space="preserve"> E</w:t>
      </w:r>
      <w:r>
        <w:t>.</w:t>
      </w:r>
      <w:r w:rsidRPr="009A4D2F">
        <w:t xml:space="preserve">W. (1999). </w:t>
      </w:r>
      <w:r>
        <w:t>‘</w:t>
      </w:r>
      <w:r w:rsidRPr="009A4D2F">
        <w:t xml:space="preserve">The categorical imperative: Securities analysts and the illegitimacy </w:t>
      </w:r>
    </w:p>
    <w:p w:rsidR="00C06585" w:rsidRDefault="00C06585" w:rsidP="00F54F14">
      <w:pPr>
        <w:pStyle w:val="Header"/>
        <w:tabs>
          <w:tab w:val="clear" w:pos="4513"/>
          <w:tab w:val="clear" w:pos="9026"/>
          <w:tab w:val="center" w:pos="-3544"/>
          <w:tab w:val="center" w:pos="4320"/>
          <w:tab w:val="right" w:pos="8640"/>
        </w:tabs>
        <w:spacing w:line="480" w:lineRule="auto"/>
        <w:ind w:left="272" w:firstLine="448"/>
        <w:jc w:val="both"/>
      </w:pPr>
      <w:r w:rsidRPr="009A4D2F">
        <w:t>discount</w:t>
      </w:r>
      <w:r>
        <w:t>’</w:t>
      </w:r>
      <w:r w:rsidRPr="009A4D2F">
        <w:t xml:space="preserve">. </w:t>
      </w:r>
      <w:r w:rsidRPr="009A4D2F">
        <w:rPr>
          <w:i/>
        </w:rPr>
        <w:t>American Journal of Sociology,</w:t>
      </w:r>
      <w:r w:rsidR="00D332F1">
        <w:rPr>
          <w:i/>
        </w:rPr>
        <w:t xml:space="preserve"> </w:t>
      </w:r>
      <w:r w:rsidRPr="009A4D2F">
        <w:rPr>
          <w:b/>
        </w:rPr>
        <w:t>104</w:t>
      </w:r>
      <w:r>
        <w:t>,</w:t>
      </w:r>
      <w:r w:rsidRPr="009A4D2F">
        <w:t xml:space="preserve"> 1398-1438</w:t>
      </w:r>
      <w:r>
        <w:t>.</w:t>
      </w:r>
    </w:p>
    <w:p w:rsidR="00202CE9" w:rsidRDefault="00202CE9">
      <w:r>
        <w:br w:type="page"/>
      </w:r>
    </w:p>
    <w:p w:rsidR="00F052C3" w:rsidRDefault="00A73E6C" w:rsidP="001B15B3">
      <w:r>
        <w:rPr>
          <w:b/>
        </w:rPr>
        <w:lastRenderedPageBreak/>
        <w:t>Figure 1</w:t>
      </w:r>
      <w:r w:rsidR="00082A7E">
        <w:rPr>
          <w:b/>
        </w:rPr>
        <w:t>.</w:t>
      </w:r>
      <w:r w:rsidR="00F052C3">
        <w:rPr>
          <w:b/>
        </w:rPr>
        <w:t xml:space="preserve"> </w:t>
      </w:r>
      <w:r w:rsidR="00F052C3" w:rsidRPr="00F052C3">
        <w:t>Conceptual framework</w:t>
      </w:r>
    </w:p>
    <w:p w:rsidR="00F052C3" w:rsidRDefault="00F052C3" w:rsidP="001B15B3"/>
    <w:p w:rsidR="00F052C3" w:rsidRDefault="00434EDA" w:rsidP="001B15B3">
      <w:r>
        <w:rPr>
          <w:noProof/>
          <w:lang w:val="en-GB" w:eastAsia="en-GB"/>
        </w:rPr>
        <mc:AlternateContent>
          <mc:Choice Requires="wps">
            <w:drawing>
              <wp:anchor distT="0" distB="0" distL="114300" distR="114300" simplePos="0" relativeHeight="251656192" behindDoc="1" locked="0" layoutInCell="1" allowOverlap="1">
                <wp:simplePos x="0" y="0"/>
                <wp:positionH relativeFrom="column">
                  <wp:posOffset>2564130</wp:posOffset>
                </wp:positionH>
                <wp:positionV relativeFrom="paragraph">
                  <wp:posOffset>132715</wp:posOffset>
                </wp:positionV>
                <wp:extent cx="1187450" cy="572135"/>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0" cy="572135"/>
                        </a:xfrm>
                        <a:prstGeom prst="rect">
                          <a:avLst/>
                        </a:prstGeom>
                        <a:solidFill>
                          <a:sysClr val="window" lastClr="FFFFFF"/>
                        </a:solidFill>
                        <a:ln w="6350">
                          <a:noFill/>
                          <a:prstDash val="solid"/>
                        </a:ln>
                        <a:effectLst/>
                      </wps:spPr>
                      <wps:txbx>
                        <w:txbxContent>
                          <w:p w:rsidR="00F54F14" w:rsidRPr="007F0AC0" w:rsidRDefault="00F54F14" w:rsidP="00BE7AF9">
                            <w:pPr>
                              <w:jc w:val="center"/>
                              <w:rPr>
                                <w:b/>
                                <w:sz w:val="20"/>
                                <w:szCs w:val="20"/>
                              </w:rPr>
                            </w:pPr>
                            <w:r w:rsidRPr="007F0AC0">
                              <w:rPr>
                                <w:b/>
                                <w:sz w:val="20"/>
                                <w:szCs w:val="20"/>
                              </w:rPr>
                              <w:t>Reputation for peripheral activity</w:t>
                            </w:r>
                          </w:p>
                          <w:p w:rsidR="00F54F14" w:rsidRDefault="00F54F14" w:rsidP="008D3C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01.9pt;margin-top:10.45pt;width:93.5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" fillcolor="window" stroked="f" strokeweight=".5pt">
                <v:path arrowok="t"/>
                <v:textbox>
                  <w:txbxContent>
                    <w:p w:rsidR="00F54F14" w:rsidRPr="007F0AC0" w:rsidRDefault="00F54F14" w:rsidP="00BE7AF9">
                      <w:pPr>
                        <w:jc w:val="center"/>
                        <w:rPr>
                          <w:b/>
                          <w:sz w:val="20"/>
                          <w:szCs w:val="20"/>
                        </w:rPr>
                      </w:pPr>
                      <w:r w:rsidRPr="007F0AC0">
                        <w:rPr>
                          <w:b/>
                          <w:sz w:val="20"/>
                          <w:szCs w:val="20"/>
                        </w:rPr>
                        <w:t>Reputation for peripheral activity</w:t>
                      </w:r>
                    </w:p>
                    <w:p w:rsidR="00F54F14" w:rsidRDefault="00F54F14" w:rsidP="008D3CC0"/>
                  </w:txbxContent>
                </v:textbox>
              </v:shape>
            </w:pict>
          </mc:Fallback>
        </mc:AlternateContent>
      </w:r>
    </w:p>
    <w:p w:rsidR="00F052C3" w:rsidRDefault="00434EDA" w:rsidP="00F052C3">
      <w:pPr>
        <w:jc w:val="both"/>
        <w:rPr>
          <w:szCs w:val="24"/>
          <w:lang w:val="en-GB"/>
        </w:rPr>
      </w:pPr>
      <w:r>
        <w:rPr>
          <w:noProof/>
          <w:lang w:val="en-GB" w:eastAsia="en-GB"/>
        </w:rPr>
        <mc:AlternateContent>
          <mc:Choice Requires="wps">
            <w:drawing>
              <wp:anchor distT="0" distB="0" distL="114300" distR="114300" simplePos="0" relativeHeight="251658240" behindDoc="1" locked="0" layoutInCell="1" allowOverlap="1">
                <wp:simplePos x="0" y="0"/>
                <wp:positionH relativeFrom="column">
                  <wp:posOffset>-51435</wp:posOffset>
                </wp:positionH>
                <wp:positionV relativeFrom="paragraph">
                  <wp:posOffset>32385</wp:posOffset>
                </wp:positionV>
                <wp:extent cx="1187450" cy="572135"/>
                <wp:effectExtent l="0" t="0" r="0"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0" cy="572135"/>
                        </a:xfrm>
                        <a:prstGeom prst="rect">
                          <a:avLst/>
                        </a:prstGeom>
                        <a:solidFill>
                          <a:sysClr val="window" lastClr="FFFFFF"/>
                        </a:solidFill>
                        <a:ln w="6350">
                          <a:noFill/>
                          <a:prstDash val="solid"/>
                        </a:ln>
                        <a:effectLst/>
                      </wps:spPr>
                      <wps:txbx>
                        <w:txbxContent>
                          <w:p w:rsidR="00F54F14" w:rsidRPr="007D3942" w:rsidRDefault="00F54F14">
                            <w:pPr>
                              <w:jc w:val="center"/>
                              <w:rPr>
                                <w:b/>
                                <w:sz w:val="20"/>
                                <w:szCs w:val="20"/>
                              </w:rPr>
                            </w:pPr>
                            <w:r>
                              <w:rPr>
                                <w:b/>
                                <w:sz w:val="20"/>
                                <w:szCs w:val="20"/>
                              </w:rPr>
                              <w:t>Signals for a peripheral activity</w:t>
                            </w:r>
                          </w:p>
                          <w:p w:rsidR="00F54F14" w:rsidRDefault="00F54F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27" type="#_x0000_t202" style="position:absolute;left:0;text-align:left;margin-left:-4.05pt;margin-top:2.55pt;width:93.5pt;height:4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" fillcolor="window" stroked="f" strokeweight=".5pt">
                <v:path arrowok="t"/>
                <v:textbox>
                  <w:txbxContent>
                    <w:p w:rsidR="00F54F14" w:rsidRPr="007D3942" w:rsidRDefault="00F54F14">
                      <w:pPr>
                        <w:jc w:val="center"/>
                        <w:rPr>
                          <w:b/>
                          <w:sz w:val="20"/>
                          <w:szCs w:val="20"/>
                        </w:rPr>
                      </w:pPr>
                      <w:r>
                        <w:rPr>
                          <w:b/>
                          <w:sz w:val="20"/>
                          <w:szCs w:val="20"/>
                        </w:rPr>
                        <w:t>Signals for a peripheral activity</w:t>
                      </w:r>
                    </w:p>
                    <w:p w:rsidR="00F54F14" w:rsidRDefault="00F54F14"/>
                  </w:txbxContent>
                </v:textbox>
              </v:shape>
            </w:pict>
          </mc:Fallback>
        </mc:AlternateContent>
      </w:r>
    </w:p>
    <w:p w:rsidR="00F052C3" w:rsidRPr="000A43CC" w:rsidRDefault="00434EDA" w:rsidP="00F052C3">
      <w:pPr>
        <w:jc w:val="both"/>
        <w:rPr>
          <w:szCs w:val="24"/>
          <w:lang w:val="en-GB"/>
        </w:rPr>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1257935</wp:posOffset>
                </wp:positionH>
                <wp:positionV relativeFrom="paragraph">
                  <wp:posOffset>76200</wp:posOffset>
                </wp:positionV>
                <wp:extent cx="907415" cy="524510"/>
                <wp:effectExtent l="0" t="0" r="26035" b="27940"/>
                <wp:wrapNone/>
                <wp:docPr id="1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7415" cy="524510"/>
                        </a:xfrm>
                        <a:prstGeom prst="ellipse">
                          <a:avLst/>
                        </a:prstGeom>
                        <a:solidFill>
                          <a:srgbClr val="FFFFFF"/>
                        </a:solidFill>
                        <a:ln w="9525">
                          <a:solidFill>
                            <a:srgbClr val="000000"/>
                          </a:solidFill>
                          <a:round/>
                          <a:headEnd/>
                          <a:tailEnd/>
                        </a:ln>
                      </wps:spPr>
                      <wps:txbx>
                        <w:txbxContent>
                          <w:p w:rsidR="00F54F14" w:rsidRPr="00B1267D" w:rsidRDefault="00F54F14" w:rsidP="007F0AC0">
                            <w:pPr>
                              <w:jc w:val="center"/>
                              <w:rPr>
                                <w:sz w:val="20"/>
                                <w:szCs w:val="20"/>
                              </w:rPr>
                            </w:pPr>
                            <w:r>
                              <w:rPr>
                                <w:sz w:val="20"/>
                                <w:szCs w:val="20"/>
                              </w:rPr>
                              <w:t>Status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8" style="position:absolute;left:0;text-align:left;margin-left:99.05pt;margin-top:6pt;width:71.45pt;height:4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">
                <v:textbox>
                  <w:txbxContent>
                    <w:p w:rsidR="00F54F14" w:rsidRPr="00B1267D" w:rsidRDefault="00F54F14" w:rsidP="007F0AC0">
                      <w:pPr>
                        <w:jc w:val="center"/>
                        <w:rPr>
                          <w:sz w:val="20"/>
                          <w:szCs w:val="20"/>
                        </w:rPr>
                      </w:pPr>
                      <w:r>
                        <w:rPr>
                          <w:sz w:val="20"/>
                          <w:szCs w:val="20"/>
                        </w:rPr>
                        <w:t>Status</w:t>
                      </w:r>
                    </w:p>
                  </w:txbxContent>
                </v:textbox>
              </v:oval>
            </w:pict>
          </mc:Fallback>
        </mc:AlternateContent>
      </w:r>
    </w:p>
    <w:p w:rsidR="00F052C3" w:rsidRPr="000A43CC" w:rsidRDefault="00F052C3" w:rsidP="00F052C3">
      <w:pPr>
        <w:jc w:val="both"/>
        <w:rPr>
          <w:szCs w:val="24"/>
          <w:lang w:val="en-GB"/>
        </w:rPr>
      </w:pPr>
    </w:p>
    <w:p w:rsidR="00F052C3" w:rsidRPr="000A43CC" w:rsidRDefault="00434EDA" w:rsidP="00F052C3">
      <w:pPr>
        <w:jc w:val="both"/>
        <w:rPr>
          <w:szCs w:val="24"/>
          <w:lang w:val="en-GB"/>
        </w:rPr>
      </w:pPr>
      <w:r>
        <w:rPr>
          <w:noProof/>
          <w:lang w:val="en-GB" w:eastAsia="en-GB"/>
        </w:rPr>
        <mc:AlternateContent>
          <mc:Choice Requires="wps">
            <w:drawing>
              <wp:anchor distT="0" distB="0" distL="114299" distR="114299" simplePos="0" relativeHeight="251653120" behindDoc="0" locked="0" layoutInCell="1" allowOverlap="1">
                <wp:simplePos x="0" y="0"/>
                <wp:positionH relativeFrom="column">
                  <wp:posOffset>1313179</wp:posOffset>
                </wp:positionH>
                <wp:positionV relativeFrom="paragraph">
                  <wp:posOffset>123190</wp:posOffset>
                </wp:positionV>
                <wp:extent cx="0" cy="635635"/>
                <wp:effectExtent l="95250" t="0" r="95250" b="69215"/>
                <wp:wrapNone/>
                <wp:docPr id="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635"/>
                        </a:xfrm>
                        <a:prstGeom prst="straightConnector1">
                          <a:avLst/>
                        </a:prstGeom>
                        <a:noFill/>
                        <a:ln w="190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103.4pt;margin-top:9.7pt;width:0;height:50.05pt;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" strokeweight="1.5pt">
                <v:stroke endarrow="open"/>
                <v:shadow on="t" opacity="24903f" origin=",.5" offset="0,.55556mm"/>
              </v:shape>
            </w:pict>
          </mc:Fallback>
        </mc:AlternateContent>
      </w:r>
      <w:r>
        <w:rPr>
          <w:noProof/>
          <w:lang w:val="en-GB" w:eastAsia="en-GB"/>
        </w:rPr>
        <mc:AlternateContent>
          <mc:Choice Requires="wps">
            <w:drawing>
              <wp:anchor distT="0" distB="0" distL="114300" distR="114300" simplePos="0" relativeHeight="251654144" behindDoc="0" locked="0" layoutInCell="1" allowOverlap="1">
                <wp:simplePos x="0" y="0"/>
                <wp:positionH relativeFrom="column">
                  <wp:posOffset>2092960</wp:posOffset>
                </wp:positionH>
                <wp:positionV relativeFrom="paragraph">
                  <wp:posOffset>122555</wp:posOffset>
                </wp:positionV>
                <wp:extent cx="30480" cy="3056255"/>
                <wp:effectExtent l="95250" t="0" r="64770" b="67945"/>
                <wp:wrapNone/>
                <wp:docPr id="4"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 cy="3056255"/>
                        </a:xfrm>
                        <a:prstGeom prst="straightConnector1">
                          <a:avLst/>
                        </a:prstGeom>
                        <a:noFill/>
                        <a:ln w="190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164.8pt;margin-top:9.65pt;width:2.4pt;height:240.6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" strokeweight="1.5pt">
                <v:stroke endarrow="open"/>
                <v:shadow on="t" opacity="24903f" origin=",.5" offset="0,.55556mm"/>
              </v:shape>
            </w:pict>
          </mc:Fallback>
        </mc:AlternateContent>
      </w:r>
    </w:p>
    <w:p w:rsidR="00F052C3" w:rsidRPr="000A43CC" w:rsidRDefault="00434EDA" w:rsidP="00F052C3">
      <w:pPr>
        <w:jc w:val="both"/>
        <w:rPr>
          <w:szCs w:val="24"/>
          <w:lang w:val="en-GB"/>
        </w:rPr>
      </w:pPr>
      <w:r>
        <w:rPr>
          <w:noProof/>
          <w:lang w:val="en-GB" w:eastAsia="en-GB"/>
        </w:rPr>
        <mc:AlternateContent>
          <mc:Choice Requires="wps">
            <w:drawing>
              <wp:anchor distT="0" distB="0" distL="114298" distR="114298" simplePos="0" relativeHeight="251655168" behindDoc="0" locked="0" layoutInCell="1" allowOverlap="1">
                <wp:simplePos x="0" y="0"/>
                <wp:positionH relativeFrom="column">
                  <wp:posOffset>1711959</wp:posOffset>
                </wp:positionH>
                <wp:positionV relativeFrom="paragraph">
                  <wp:posOffset>121285</wp:posOffset>
                </wp:positionV>
                <wp:extent cx="0" cy="1270000"/>
                <wp:effectExtent l="114300" t="19050" r="133350" b="10160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00"/>
                        </a:xfrm>
                        <a:prstGeom prst="straightConnector1">
                          <a:avLst/>
                        </a:prstGeom>
                        <a:noFill/>
                        <a:ln w="1905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shape id="Straight Arrow Connector 23" o:spid="_x0000_s1026" type="#_x0000_t32" style="position:absolute;margin-left:134.8pt;margin-top:9.55pt;width:0;height:100pt;z-index:251655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" strokecolor="windowText" strokeweight="1.5pt">
                <v:stroke endarrow="open"/>
                <v:shadow on="t" color="black" opacity="24903f" origin=",.5" offset="0,.55556mm"/>
                <o:lock v:ext="edit" shapetype="f"/>
              </v:shape>
            </w:pict>
          </mc:Fallback>
        </mc:AlternateContent>
      </w:r>
      <w:r>
        <w:rPr>
          <w:noProof/>
          <w:lang w:val="en-GB" w:eastAsia="en-GB"/>
        </w:rPr>
        <mc:AlternateContent>
          <mc:Choice Requires="wps">
            <w:drawing>
              <wp:anchor distT="0" distB="0" distL="114300" distR="114300" simplePos="0" relativeHeight="251651072" behindDoc="0" locked="0" layoutInCell="1" allowOverlap="1">
                <wp:simplePos x="0" y="0"/>
                <wp:positionH relativeFrom="column">
                  <wp:posOffset>2408555</wp:posOffset>
                </wp:positionH>
                <wp:positionV relativeFrom="paragraph">
                  <wp:posOffset>14605</wp:posOffset>
                </wp:positionV>
                <wp:extent cx="1501140" cy="1929130"/>
                <wp:effectExtent l="0" t="0" r="22860" b="13970"/>
                <wp:wrapNone/>
                <wp:docPr id="12"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1929130"/>
                        </a:xfrm>
                        <a:prstGeom prst="ellipse">
                          <a:avLst/>
                        </a:prstGeom>
                        <a:solidFill>
                          <a:srgbClr val="FFFFFF"/>
                        </a:solidFill>
                        <a:ln w="9525" cap="rnd">
                          <a:solidFill>
                            <a:srgbClr val="000000"/>
                          </a:solidFill>
                          <a:prstDash val="sysDot"/>
                          <a:round/>
                          <a:headEnd/>
                          <a:tailEnd/>
                        </a:ln>
                      </wps:spPr>
                      <wps:txbx>
                        <w:txbxContent>
                          <w:p w:rsidR="00F54F14" w:rsidRDefault="00F54F14" w:rsidP="007A5503">
                            <w:pPr>
                              <w:jc w:val="center"/>
                            </w:pPr>
                          </w:p>
                          <w:p w:rsidR="00F54F14" w:rsidRDefault="00F54F14" w:rsidP="00FB09FB">
                            <w:pPr>
                              <w:jc w:val="center"/>
                              <w:rPr>
                                <w:i/>
                                <w:sz w:val="20"/>
                                <w:szCs w:val="20"/>
                              </w:rPr>
                            </w:pPr>
                          </w:p>
                          <w:p w:rsidR="00F54F14" w:rsidRPr="00837046" w:rsidRDefault="00F54F14" w:rsidP="00FB09FB">
                            <w:pPr>
                              <w:jc w:val="center"/>
                              <w:rPr>
                                <w:i/>
                                <w:sz w:val="20"/>
                                <w:szCs w:val="20"/>
                              </w:rPr>
                            </w:pPr>
                            <w:r w:rsidRPr="00837046">
                              <w:rPr>
                                <w:i/>
                                <w:sz w:val="20"/>
                                <w:szCs w:val="20"/>
                              </w:rPr>
                              <w:t xml:space="preserve">Perceived </w:t>
                            </w:r>
                            <w:r>
                              <w:rPr>
                                <w:i/>
                                <w:sz w:val="20"/>
                                <w:szCs w:val="20"/>
                              </w:rPr>
                              <w:t>q</w:t>
                            </w:r>
                            <w:r w:rsidRPr="00837046">
                              <w:rPr>
                                <w:i/>
                                <w:sz w:val="20"/>
                                <w:szCs w:val="20"/>
                              </w:rPr>
                              <w:t>uality</w:t>
                            </w:r>
                          </w:p>
                          <w:p w:rsidR="00F54F14" w:rsidRPr="00837046" w:rsidRDefault="00F54F14" w:rsidP="00837046">
                            <w:pPr>
                              <w:ind w:left="-284" w:right="-166"/>
                              <w:jc w:val="center"/>
                              <w:rPr>
                                <w:sz w:val="20"/>
                                <w:szCs w:val="20"/>
                              </w:rPr>
                            </w:pPr>
                            <w:r>
                              <w:rPr>
                                <w:sz w:val="20"/>
                                <w:szCs w:val="20"/>
                              </w:rPr>
                              <w:t>(perceived as being good</w:t>
                            </w:r>
                            <w:r w:rsidRPr="00837046">
                              <w:rPr>
                                <w:sz w:val="20"/>
                                <w:szCs w:val="20"/>
                              </w:rPr>
                              <w:t>)</w:t>
                            </w:r>
                          </w:p>
                          <w:p w:rsidR="00F54F14" w:rsidRDefault="00F54F14" w:rsidP="007A5503">
                            <w:pPr>
                              <w:jc w:val="center"/>
                            </w:pPr>
                          </w:p>
                          <w:p w:rsidR="00F54F14" w:rsidRDefault="00F54F14" w:rsidP="005E656E"/>
                          <w:p w:rsidR="00F54F14" w:rsidRDefault="00F54F14" w:rsidP="005E656E"/>
                          <w:p w:rsidR="00F54F14" w:rsidRDefault="00F54F14" w:rsidP="005E656E"/>
                          <w:p w:rsidR="00F54F14" w:rsidRDefault="00F54F14" w:rsidP="005E656E"/>
                          <w:p w:rsidR="00F54F14" w:rsidRPr="00837046" w:rsidRDefault="00F54F14" w:rsidP="00A14F7D">
                            <w:pPr>
                              <w:jc w:val="center"/>
                              <w:rPr>
                                <w:i/>
                                <w:sz w:val="20"/>
                                <w:szCs w:val="20"/>
                              </w:rPr>
                            </w:pPr>
                            <w:r w:rsidRPr="00837046">
                              <w:rPr>
                                <w:i/>
                                <w:sz w:val="20"/>
                                <w:szCs w:val="20"/>
                              </w:rPr>
                              <w:t>Prominence</w:t>
                            </w:r>
                          </w:p>
                          <w:p w:rsidR="00F54F14" w:rsidRPr="00837046" w:rsidRDefault="00F54F14" w:rsidP="00837046">
                            <w:pPr>
                              <w:ind w:left="-142"/>
                              <w:jc w:val="center"/>
                              <w:rPr>
                                <w:sz w:val="20"/>
                                <w:szCs w:val="20"/>
                              </w:rPr>
                            </w:pPr>
                            <w:r w:rsidRPr="00837046">
                              <w:rPr>
                                <w:sz w:val="20"/>
                                <w:szCs w:val="20"/>
                              </w:rPr>
                              <w:t>(</w:t>
                            </w:r>
                            <w:r>
                              <w:rPr>
                                <w:sz w:val="20"/>
                                <w:szCs w:val="20"/>
                              </w:rPr>
                              <w:t>being known</w:t>
                            </w:r>
                            <w:r w:rsidRPr="00837046">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9" style="position:absolute;left:0;text-align:left;margin-left:189.65pt;margin-top:1.15pt;width:118.2pt;height:151.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">
                <v:stroke dashstyle="1 1" endcap="round"/>
                <v:textbox>
                  <w:txbxContent>
                    <w:p w:rsidR="00F54F14" w:rsidRDefault="00F54F14" w:rsidP="007A5503">
                      <w:pPr>
                        <w:jc w:val="center"/>
                      </w:pPr>
                    </w:p>
                    <w:p w:rsidR="00F54F14" w:rsidRDefault="00F54F14" w:rsidP="00FB09FB">
                      <w:pPr>
                        <w:jc w:val="center"/>
                        <w:rPr>
                          <w:i/>
                          <w:sz w:val="20"/>
                          <w:szCs w:val="20"/>
                        </w:rPr>
                      </w:pPr>
                    </w:p>
                    <w:p w:rsidR="00F54F14" w:rsidRPr="00837046" w:rsidRDefault="00F54F14" w:rsidP="00FB09FB">
                      <w:pPr>
                        <w:jc w:val="center"/>
                        <w:rPr>
                          <w:i/>
                          <w:sz w:val="20"/>
                          <w:szCs w:val="20"/>
                        </w:rPr>
                      </w:pPr>
                      <w:r w:rsidRPr="00837046">
                        <w:rPr>
                          <w:i/>
                          <w:sz w:val="20"/>
                          <w:szCs w:val="20"/>
                        </w:rPr>
                        <w:t xml:space="preserve">Perceived </w:t>
                      </w:r>
                      <w:r>
                        <w:rPr>
                          <w:i/>
                          <w:sz w:val="20"/>
                          <w:szCs w:val="20"/>
                        </w:rPr>
                        <w:t>q</w:t>
                      </w:r>
                      <w:r w:rsidRPr="00837046">
                        <w:rPr>
                          <w:i/>
                          <w:sz w:val="20"/>
                          <w:szCs w:val="20"/>
                        </w:rPr>
                        <w:t>uality</w:t>
                      </w:r>
                    </w:p>
                    <w:p w:rsidR="00F54F14" w:rsidRPr="00837046" w:rsidRDefault="00F54F14" w:rsidP="00837046">
                      <w:pPr>
                        <w:ind w:left="-284" w:right="-166"/>
                        <w:jc w:val="center"/>
                        <w:rPr>
                          <w:sz w:val="20"/>
                          <w:szCs w:val="20"/>
                        </w:rPr>
                      </w:pPr>
                      <w:r>
                        <w:rPr>
                          <w:sz w:val="20"/>
                          <w:szCs w:val="20"/>
                        </w:rPr>
                        <w:t>(perceived as being good</w:t>
                      </w:r>
                      <w:r w:rsidRPr="00837046">
                        <w:rPr>
                          <w:sz w:val="20"/>
                          <w:szCs w:val="20"/>
                        </w:rPr>
                        <w:t>)</w:t>
                      </w:r>
                    </w:p>
                    <w:p w:rsidR="00F54F14" w:rsidRDefault="00F54F14" w:rsidP="007A5503">
                      <w:pPr>
                        <w:jc w:val="center"/>
                      </w:pPr>
                    </w:p>
                    <w:p w:rsidR="00F54F14" w:rsidRDefault="00F54F14" w:rsidP="005E656E"/>
                    <w:p w:rsidR="00F54F14" w:rsidRDefault="00F54F14" w:rsidP="005E656E"/>
                    <w:p w:rsidR="00F54F14" w:rsidRDefault="00F54F14" w:rsidP="005E656E"/>
                    <w:p w:rsidR="00F54F14" w:rsidRDefault="00F54F14" w:rsidP="005E656E"/>
                    <w:p w:rsidR="00F54F14" w:rsidRPr="00837046" w:rsidRDefault="00F54F14" w:rsidP="00A14F7D">
                      <w:pPr>
                        <w:jc w:val="center"/>
                        <w:rPr>
                          <w:i/>
                          <w:sz w:val="20"/>
                          <w:szCs w:val="20"/>
                        </w:rPr>
                      </w:pPr>
                      <w:r w:rsidRPr="00837046">
                        <w:rPr>
                          <w:i/>
                          <w:sz w:val="20"/>
                          <w:szCs w:val="20"/>
                        </w:rPr>
                        <w:t>Prominence</w:t>
                      </w:r>
                    </w:p>
                    <w:p w:rsidR="00F54F14" w:rsidRPr="00837046" w:rsidRDefault="00F54F14" w:rsidP="00837046">
                      <w:pPr>
                        <w:ind w:left="-142"/>
                        <w:jc w:val="center"/>
                        <w:rPr>
                          <w:sz w:val="20"/>
                          <w:szCs w:val="20"/>
                        </w:rPr>
                      </w:pPr>
                      <w:r w:rsidRPr="00837046">
                        <w:rPr>
                          <w:sz w:val="20"/>
                          <w:szCs w:val="20"/>
                        </w:rPr>
                        <w:t>(</w:t>
                      </w:r>
                      <w:r>
                        <w:rPr>
                          <w:sz w:val="20"/>
                          <w:szCs w:val="20"/>
                        </w:rPr>
                        <w:t>being known</w:t>
                      </w:r>
                      <w:r w:rsidRPr="00837046">
                        <w:rPr>
                          <w:sz w:val="20"/>
                          <w:szCs w:val="20"/>
                        </w:rPr>
                        <w:t>)</w:t>
                      </w:r>
                    </w:p>
                  </w:txbxContent>
                </v:textbox>
              </v:oval>
            </w:pict>
          </mc:Fallback>
        </mc:AlternateContent>
      </w:r>
    </w:p>
    <w:p w:rsidR="00F052C3" w:rsidRPr="000A43CC" w:rsidRDefault="00F052C3" w:rsidP="00F052C3">
      <w:pPr>
        <w:jc w:val="both"/>
        <w:rPr>
          <w:szCs w:val="24"/>
          <w:lang w:val="en-GB"/>
        </w:rPr>
      </w:pPr>
    </w:p>
    <w:p w:rsidR="00F052C3" w:rsidRPr="000A43CC" w:rsidRDefault="00434EDA" w:rsidP="00F052C3">
      <w:pPr>
        <w:jc w:val="both"/>
        <w:rPr>
          <w:szCs w:val="24"/>
          <w:lang w:val="en-GB"/>
        </w:rPr>
      </w:pPr>
      <w:r>
        <w:rPr>
          <w:noProof/>
          <w:lang w:val="en-GB" w:eastAsia="en-GB"/>
        </w:rPr>
        <mc:AlternateContent>
          <mc:Choice Requires="wps">
            <w:drawing>
              <wp:anchor distT="0" distB="0" distL="114300" distR="114300" simplePos="0" relativeHeight="251648000" behindDoc="0" locked="0" layoutInCell="1" allowOverlap="1">
                <wp:simplePos x="0" y="0"/>
                <wp:positionH relativeFrom="column">
                  <wp:posOffset>74930</wp:posOffset>
                </wp:positionH>
                <wp:positionV relativeFrom="paragraph">
                  <wp:posOffset>7620</wp:posOffset>
                </wp:positionV>
                <wp:extent cx="907415" cy="524510"/>
                <wp:effectExtent l="0" t="0" r="26035" b="27940"/>
                <wp:wrapNone/>
                <wp:docPr id="7"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7415" cy="524510"/>
                        </a:xfrm>
                        <a:prstGeom prst="ellipse">
                          <a:avLst/>
                        </a:prstGeom>
                        <a:solidFill>
                          <a:srgbClr val="FFFFFF"/>
                        </a:solidFill>
                        <a:ln w="9525">
                          <a:solidFill>
                            <a:srgbClr val="000000"/>
                          </a:solidFill>
                          <a:round/>
                          <a:headEnd/>
                          <a:tailEnd/>
                        </a:ln>
                      </wps:spPr>
                      <wps:txbx>
                        <w:txbxContent>
                          <w:p w:rsidR="00F54F14" w:rsidRPr="00B1267D" w:rsidRDefault="00F54F14" w:rsidP="00EE0765">
                            <w:pPr>
                              <w:jc w:val="center"/>
                              <w:rPr>
                                <w:sz w:val="20"/>
                                <w:szCs w:val="20"/>
                              </w:rPr>
                            </w:pPr>
                            <w:r>
                              <w:rPr>
                                <w:sz w:val="20"/>
                                <w:szCs w:val="20"/>
                              </w:rPr>
                              <w:t>Signals of effort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0" style="position:absolute;left:0;text-align:left;margin-left:5.9pt;margin-top:.6pt;width:71.45pt;height:41.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">
                <v:textbox>
                  <w:txbxContent>
                    <w:p w:rsidR="00F54F14" w:rsidRPr="00B1267D" w:rsidRDefault="00F54F14" w:rsidP="00EE0765">
                      <w:pPr>
                        <w:jc w:val="center"/>
                        <w:rPr>
                          <w:sz w:val="20"/>
                          <w:szCs w:val="20"/>
                        </w:rPr>
                      </w:pPr>
                      <w:r>
                        <w:rPr>
                          <w:sz w:val="20"/>
                          <w:szCs w:val="20"/>
                        </w:rPr>
                        <w:t>Signals of effort</w:t>
                      </w:r>
                    </w:p>
                  </w:txbxContent>
                </v:textbox>
              </v:oval>
            </w:pict>
          </mc:Fallback>
        </mc:AlternateContent>
      </w:r>
    </w:p>
    <w:p w:rsidR="00F052C3" w:rsidRPr="000A43CC" w:rsidRDefault="00434EDA" w:rsidP="00F052C3">
      <w:pPr>
        <w:jc w:val="both"/>
        <w:rPr>
          <w:szCs w:val="24"/>
          <w:lang w:val="en-GB"/>
        </w:rPr>
      </w:pPr>
      <w:r>
        <w:rPr>
          <w:noProof/>
          <w:lang w:val="en-GB" w:eastAsia="en-GB"/>
        </w:rPr>
        <mc:AlternateContent>
          <mc:Choice Requires="wps">
            <w:drawing>
              <wp:anchor distT="4294967295" distB="4294967295" distL="114299" distR="114299" simplePos="0" relativeHeight="251661312" behindDoc="0" locked="0" layoutInCell="1" allowOverlap="1">
                <wp:simplePos x="0" y="0"/>
                <wp:positionH relativeFrom="column">
                  <wp:posOffset>981710</wp:posOffset>
                </wp:positionH>
                <wp:positionV relativeFrom="paragraph">
                  <wp:posOffset>118109</wp:posOffset>
                </wp:positionV>
                <wp:extent cx="1490980" cy="0"/>
                <wp:effectExtent l="0" t="76200" r="33020" b="15240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0980" cy="0"/>
                        </a:xfrm>
                        <a:prstGeom prst="straightConnector1">
                          <a:avLst/>
                        </a:prstGeom>
                        <a:noFill/>
                        <a:ln w="1905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shape id="Straight Arrow Connector 26" o:spid="_x0000_s1026" type="#_x0000_t32" style="position:absolute;margin-left:77.3pt;margin-top:9.3pt;width:117.4pt;height:0;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" strokecolor="windowText" strokeweight="1.5pt">
                <v:stroke endarrow="open"/>
                <v:shadow on="t" color="black" opacity="24903f" origin=",.5" offset="0,.55556mm"/>
                <o:lock v:ext="edit" shapetype="f"/>
              </v:shape>
            </w:pict>
          </mc:Fallback>
        </mc:AlternateContent>
      </w:r>
    </w:p>
    <w:p w:rsidR="00F052C3" w:rsidRDefault="00F052C3" w:rsidP="00F052C3">
      <w:pPr>
        <w:jc w:val="both"/>
        <w:rPr>
          <w:szCs w:val="24"/>
          <w:lang w:val="en-GB"/>
        </w:rPr>
      </w:pPr>
    </w:p>
    <w:p w:rsidR="00F052C3" w:rsidRDefault="00434EDA" w:rsidP="00F052C3">
      <w:pPr>
        <w:jc w:val="both"/>
        <w:rPr>
          <w:szCs w:val="24"/>
          <w:lang w:val="en-GB"/>
        </w:rPr>
      </w:pPr>
      <w:r>
        <w:rPr>
          <w:noProof/>
          <w:lang w:val="en-GB" w:eastAsia="en-GB"/>
        </w:rPr>
        <mc:AlternateContent>
          <mc:Choice Requires="wps">
            <w:drawing>
              <wp:anchor distT="0" distB="0" distL="114299" distR="114299" simplePos="0" relativeHeight="251663360" behindDoc="0" locked="0" layoutInCell="1" allowOverlap="1">
                <wp:simplePos x="0" y="0"/>
                <wp:positionH relativeFrom="column">
                  <wp:posOffset>3903345</wp:posOffset>
                </wp:positionH>
                <wp:positionV relativeFrom="paragraph">
                  <wp:posOffset>121920</wp:posOffset>
                </wp:positionV>
                <wp:extent cx="865505" cy="951230"/>
                <wp:effectExtent l="38100" t="19050" r="67945" b="9652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5505" cy="951230"/>
                        </a:xfrm>
                        <a:prstGeom prst="straightConnector1">
                          <a:avLst/>
                        </a:prstGeom>
                        <a:noFill/>
                        <a:ln w="1905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shape id="Straight Arrow Connector 28" o:spid="_x0000_s1026" type="#_x0000_t32" style="position:absolute;margin-left:307.35pt;margin-top:9.6pt;width:68.15pt;height:74.9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" strokecolor="windowText" strokeweight="1.5pt">
                <v:stroke endarrow="open"/>
                <v:shadow on="t" color="black" opacity="24903f" origin=",.5" offset="0,.55556mm"/>
                <o:lock v:ext="edit" shapetype="f"/>
              </v:shape>
            </w:pict>
          </mc:Fallback>
        </mc:AlternateContent>
      </w:r>
    </w:p>
    <w:p w:rsidR="00F052C3" w:rsidRDefault="00434EDA" w:rsidP="00F052C3">
      <w:pPr>
        <w:jc w:val="both"/>
        <w:rPr>
          <w:szCs w:val="24"/>
          <w:lang w:val="en-GB"/>
        </w:rPr>
      </w:pPr>
      <w:r>
        <w:rPr>
          <w:noProof/>
          <w:lang w:val="en-GB" w:eastAsia="en-GB"/>
        </w:rPr>
        <mc:AlternateContent>
          <mc:Choice Requires="wps">
            <w:drawing>
              <wp:anchor distT="0" distB="0" distL="114300" distR="114300" simplePos="0" relativeHeight="251665408" behindDoc="1" locked="0" layoutInCell="1" allowOverlap="1">
                <wp:simplePos x="0" y="0"/>
                <wp:positionH relativeFrom="column">
                  <wp:posOffset>4067810</wp:posOffset>
                </wp:positionH>
                <wp:positionV relativeFrom="paragraph">
                  <wp:posOffset>40640</wp:posOffset>
                </wp:positionV>
                <wp:extent cx="1187450" cy="392430"/>
                <wp:effectExtent l="0" t="0" r="0" b="7620"/>
                <wp:wrapNone/>
                <wp:docPr id="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0" cy="392430"/>
                        </a:xfrm>
                        <a:prstGeom prst="rect">
                          <a:avLst/>
                        </a:prstGeom>
                        <a:solidFill>
                          <a:sysClr val="window" lastClr="FFFFFF"/>
                        </a:solidFill>
                        <a:ln w="6350">
                          <a:noFill/>
                          <a:prstDash val="solid"/>
                        </a:ln>
                        <a:effectLst/>
                      </wps:spPr>
                      <wps:txbx>
                        <w:txbxContent>
                          <w:p w:rsidR="00F54F14" w:rsidRPr="0088091D" w:rsidRDefault="00F54F14" w:rsidP="007F0AC0">
                            <w:pPr>
                              <w:jc w:val="center"/>
                              <w:rPr>
                                <w:i/>
                                <w:sz w:val="20"/>
                                <w:szCs w:val="20"/>
                              </w:rPr>
                            </w:pPr>
                            <w:r w:rsidRPr="0088091D">
                              <w:rPr>
                                <w:i/>
                                <w:sz w:val="20"/>
                                <w:szCs w:val="20"/>
                              </w:rPr>
                              <w:t>Representativeness heuristic</w:t>
                            </w:r>
                          </w:p>
                          <w:p w:rsidR="00F54F14" w:rsidRDefault="00F54F14" w:rsidP="007F0A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1" type="#_x0000_t202" style="position:absolute;left:0;text-align:left;margin-left:320.3pt;margin-top:3.2pt;width:93.5pt;height:30.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" fillcolor="window" stroked="f" strokeweight=".5pt">
                <v:path arrowok="t"/>
                <v:textbox>
                  <w:txbxContent>
                    <w:p w:rsidR="00F54F14" w:rsidRPr="0088091D" w:rsidRDefault="00F54F14" w:rsidP="007F0AC0">
                      <w:pPr>
                        <w:jc w:val="center"/>
                        <w:rPr>
                          <w:i/>
                          <w:sz w:val="20"/>
                          <w:szCs w:val="20"/>
                        </w:rPr>
                      </w:pPr>
                      <w:r w:rsidRPr="0088091D">
                        <w:rPr>
                          <w:i/>
                          <w:sz w:val="20"/>
                          <w:szCs w:val="20"/>
                        </w:rPr>
                        <w:t>Representativeness heuristic</w:t>
                      </w:r>
                    </w:p>
                    <w:p w:rsidR="00F54F14" w:rsidRDefault="00F54F14" w:rsidP="007F0AC0"/>
                  </w:txbxContent>
                </v:textbox>
              </v:shape>
            </w:pict>
          </mc:Fallback>
        </mc:AlternateContent>
      </w:r>
      <w:r>
        <w:rPr>
          <w:noProof/>
          <w:lang w:val="en-GB" w:eastAsia="en-GB"/>
        </w:rPr>
        <mc:AlternateContent>
          <mc:Choice Requires="wps">
            <w:drawing>
              <wp:anchor distT="0" distB="0" distL="114300" distR="114300" simplePos="0" relativeHeight="251650048" behindDoc="0" locked="0" layoutInCell="1" allowOverlap="1">
                <wp:simplePos x="0" y="0"/>
                <wp:positionH relativeFrom="column">
                  <wp:posOffset>60960</wp:posOffset>
                </wp:positionH>
                <wp:positionV relativeFrom="paragraph">
                  <wp:posOffset>156210</wp:posOffset>
                </wp:positionV>
                <wp:extent cx="992505" cy="521335"/>
                <wp:effectExtent l="0" t="0" r="17145" b="1206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521335"/>
                        </a:xfrm>
                        <a:prstGeom prst="ellipse">
                          <a:avLst/>
                        </a:prstGeom>
                        <a:solidFill>
                          <a:srgbClr val="FFFFFF"/>
                        </a:solidFill>
                        <a:ln w="9525">
                          <a:solidFill>
                            <a:srgbClr val="000000"/>
                          </a:solidFill>
                          <a:round/>
                          <a:headEnd/>
                          <a:tailEnd/>
                        </a:ln>
                      </wps:spPr>
                      <wps:txbx>
                        <w:txbxContent>
                          <w:p w:rsidR="00F54F14" w:rsidRPr="00B1267D" w:rsidRDefault="00F54F14" w:rsidP="00837046">
                            <w:pPr>
                              <w:ind w:left="-142" w:right="-163"/>
                              <w:jc w:val="center"/>
                              <w:rPr>
                                <w:sz w:val="20"/>
                                <w:szCs w:val="20"/>
                              </w:rPr>
                            </w:pPr>
                            <w:r>
                              <w:rPr>
                                <w:sz w:val="20"/>
                                <w:szCs w:val="20"/>
                              </w:rPr>
                              <w:t>Signals of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2" style="position:absolute;left:0;text-align:left;margin-left:4.8pt;margin-top:12.3pt;width:78.15pt;height:4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">
                <v:textbox>
                  <w:txbxContent>
                    <w:p w:rsidR="00F54F14" w:rsidRPr="00B1267D" w:rsidRDefault="00F54F14" w:rsidP="00837046">
                      <w:pPr>
                        <w:ind w:left="-142" w:right="-163"/>
                        <w:jc w:val="center"/>
                        <w:rPr>
                          <w:sz w:val="20"/>
                          <w:szCs w:val="20"/>
                        </w:rPr>
                      </w:pPr>
                      <w:r>
                        <w:rPr>
                          <w:sz w:val="20"/>
                          <w:szCs w:val="20"/>
                        </w:rPr>
                        <w:t>Signals of performance</w:t>
                      </w:r>
                    </w:p>
                  </w:txbxContent>
                </v:textbox>
              </v:oval>
            </w:pict>
          </mc:Fallback>
        </mc:AlternateContent>
      </w:r>
    </w:p>
    <w:p w:rsidR="00F052C3" w:rsidRDefault="00F052C3" w:rsidP="00F052C3">
      <w:pPr>
        <w:jc w:val="both"/>
        <w:rPr>
          <w:szCs w:val="24"/>
          <w:lang w:val="en-GB"/>
        </w:rPr>
      </w:pPr>
    </w:p>
    <w:p w:rsidR="00F052C3" w:rsidRDefault="00434EDA" w:rsidP="00F052C3">
      <w:pPr>
        <w:jc w:val="both"/>
        <w:rPr>
          <w:szCs w:val="24"/>
          <w:lang w:val="en-GB"/>
        </w:rPr>
      </w:pPr>
      <w:r>
        <w:rPr>
          <w:noProof/>
          <w:lang w:val="en-GB" w:eastAsia="en-GB"/>
        </w:rPr>
        <mc:AlternateContent>
          <mc:Choice Requires="wps">
            <w:drawing>
              <wp:anchor distT="4294967295" distB="4294967295" distL="114299" distR="114299" simplePos="0" relativeHeight="251660288" behindDoc="0" locked="0" layoutInCell="1" allowOverlap="1">
                <wp:simplePos x="0" y="0"/>
                <wp:positionH relativeFrom="column">
                  <wp:posOffset>1049655</wp:posOffset>
                </wp:positionH>
                <wp:positionV relativeFrom="paragraph">
                  <wp:posOffset>106044</wp:posOffset>
                </wp:positionV>
                <wp:extent cx="1423670" cy="0"/>
                <wp:effectExtent l="0" t="76200" r="24130" b="15240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3670" cy="0"/>
                        </a:xfrm>
                        <a:prstGeom prst="straightConnector1">
                          <a:avLst/>
                        </a:prstGeom>
                        <a:noFill/>
                        <a:ln w="1905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shape id="Straight Arrow Connector 25" o:spid="_x0000_s1026" type="#_x0000_t32" style="position:absolute;margin-left:82.65pt;margin-top:8.35pt;width:112.1pt;height:0;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" strokecolor="windowText" strokeweight="1.5pt">
                <v:stroke endarrow="open"/>
                <v:shadow on="t" color="black" opacity="24903f" origin=",.5" offset="0,.55556mm"/>
                <o:lock v:ext="edit" shapetype="f"/>
              </v:shape>
            </w:pict>
          </mc:Fallback>
        </mc:AlternateContent>
      </w:r>
    </w:p>
    <w:p w:rsidR="00F052C3" w:rsidRDefault="00434EDA" w:rsidP="00F052C3">
      <w:pPr>
        <w:jc w:val="both"/>
        <w:rPr>
          <w:szCs w:val="24"/>
          <w:lang w:val="en-GB"/>
        </w:rPr>
      </w:pP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4767580</wp:posOffset>
                </wp:positionH>
                <wp:positionV relativeFrom="paragraph">
                  <wp:posOffset>67310</wp:posOffset>
                </wp:positionV>
                <wp:extent cx="1125220" cy="926465"/>
                <wp:effectExtent l="0" t="0" r="17780" b="26035"/>
                <wp:wrapNone/>
                <wp:docPr id="27"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5220" cy="926465"/>
                        </a:xfrm>
                        <a:prstGeom prst="ellipse">
                          <a:avLst/>
                        </a:prstGeom>
                        <a:solidFill>
                          <a:srgbClr val="FFFFFF"/>
                        </a:solidFill>
                        <a:ln w="9525">
                          <a:solidFill>
                            <a:srgbClr val="000000"/>
                          </a:solidFill>
                          <a:round/>
                          <a:headEnd/>
                          <a:tailEnd/>
                        </a:ln>
                      </wps:spPr>
                      <wps:txbx>
                        <w:txbxContent>
                          <w:p w:rsidR="00F54F14" w:rsidRPr="00B1267D" w:rsidRDefault="00F54F14" w:rsidP="007F0AC0">
                            <w:pPr>
                              <w:rPr>
                                <w:sz w:val="20"/>
                                <w:szCs w:val="20"/>
                              </w:rPr>
                            </w:pPr>
                            <w:r>
                              <w:rPr>
                                <w:sz w:val="20"/>
                                <w:szCs w:val="20"/>
                              </w:rPr>
                              <w:t>Evaluations for the core activity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33" style="position:absolute;left:0;text-align:left;margin-left:375.4pt;margin-top:5.3pt;width:88.6pt;height:7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">
                <v:textbox>
                  <w:txbxContent>
                    <w:p w:rsidR="00F54F14" w:rsidRPr="00B1267D" w:rsidRDefault="00F54F14" w:rsidP="007F0AC0">
                      <w:pPr>
                        <w:rPr>
                          <w:sz w:val="20"/>
                          <w:szCs w:val="20"/>
                        </w:rPr>
                      </w:pPr>
                      <w:r>
                        <w:rPr>
                          <w:sz w:val="20"/>
                          <w:szCs w:val="20"/>
                        </w:rPr>
                        <w:t>Evaluations for the core activity</w:t>
                      </w:r>
                    </w:p>
                  </w:txbxContent>
                </v:textbox>
              </v:oval>
            </w:pict>
          </mc:Fallback>
        </mc:AlternateContent>
      </w:r>
    </w:p>
    <w:p w:rsidR="00F052C3" w:rsidRPr="000A43CC" w:rsidRDefault="00F052C3" w:rsidP="00F052C3">
      <w:pPr>
        <w:jc w:val="both"/>
        <w:rPr>
          <w:szCs w:val="24"/>
          <w:lang w:val="en-GB"/>
        </w:rPr>
      </w:pPr>
    </w:p>
    <w:p w:rsidR="00F052C3" w:rsidRPr="000A43CC" w:rsidRDefault="00434EDA" w:rsidP="00F052C3">
      <w:pPr>
        <w:jc w:val="both"/>
        <w:rPr>
          <w:szCs w:val="24"/>
          <w:lang w:val="en-GB"/>
        </w:rPr>
      </w:pPr>
      <w:r>
        <w:rPr>
          <w:noProof/>
          <w:lang w:val="en-GB" w:eastAsia="en-GB"/>
        </w:rPr>
        <mc:AlternateContent>
          <mc:Choice Requires="wps">
            <w:drawing>
              <wp:anchor distT="0" distB="0" distL="114300" distR="114300" simplePos="0" relativeHeight="251649024" behindDoc="0" locked="0" layoutInCell="1" allowOverlap="1">
                <wp:simplePos x="0" y="0"/>
                <wp:positionH relativeFrom="column">
                  <wp:posOffset>2514600</wp:posOffset>
                </wp:positionH>
                <wp:positionV relativeFrom="paragraph">
                  <wp:posOffset>8255</wp:posOffset>
                </wp:positionV>
                <wp:extent cx="45720" cy="228600"/>
                <wp:effectExtent l="57150" t="0" r="4953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 cy="228600"/>
                        </a:xfrm>
                        <a:prstGeom prst="rect">
                          <a:avLst/>
                        </a:prstGeom>
                        <a:noFill/>
                        <a:ln>
                          <a:noFill/>
                        </a:ln>
                        <a:effectLst/>
                        <a:ex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6" o:spid="_x0000_s1026" type="#_x0000_t202" style="position:absolute;margin-left:198pt;margin-top:.65pt;width:3.6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" filled="f" stroked="f">
                <v:path arrowok="t"/>
                <w10:wrap type="square"/>
              </v:shape>
            </w:pict>
          </mc:Fallback>
        </mc:AlternateContent>
      </w:r>
    </w:p>
    <w:p w:rsidR="00F052C3" w:rsidRPr="000A43CC" w:rsidRDefault="00434EDA" w:rsidP="00F052C3">
      <w:pPr>
        <w:jc w:val="both"/>
        <w:rPr>
          <w:szCs w:val="24"/>
          <w:lang w:val="en-GB"/>
        </w:rPr>
      </w:pPr>
      <w:r>
        <w:rPr>
          <w:noProof/>
          <w:lang w:val="en-GB" w:eastAsia="en-GB"/>
        </w:rPr>
        <mc:AlternateContent>
          <mc:Choice Requires="wps">
            <w:drawing>
              <wp:anchor distT="0" distB="0" distL="114300" distR="114300" simplePos="0" relativeHeight="251652096" behindDoc="0" locked="0" layoutInCell="1" allowOverlap="1">
                <wp:simplePos x="0" y="0"/>
                <wp:positionH relativeFrom="column">
                  <wp:posOffset>2362835</wp:posOffset>
                </wp:positionH>
                <wp:positionV relativeFrom="paragraph">
                  <wp:posOffset>74930</wp:posOffset>
                </wp:positionV>
                <wp:extent cx="1460500" cy="1929130"/>
                <wp:effectExtent l="0" t="0" r="25400" b="13970"/>
                <wp:wrapNone/>
                <wp:docPr id="1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1929130"/>
                        </a:xfrm>
                        <a:prstGeom prst="ellipse">
                          <a:avLst/>
                        </a:prstGeom>
                        <a:solidFill>
                          <a:srgbClr val="FFFFFF"/>
                        </a:solidFill>
                        <a:ln w="9525" cap="rnd">
                          <a:solidFill>
                            <a:srgbClr val="000000"/>
                          </a:solidFill>
                          <a:prstDash val="sysDot"/>
                          <a:round/>
                          <a:headEnd/>
                          <a:tailEnd/>
                        </a:ln>
                      </wps:spPr>
                      <wps:txbx>
                        <w:txbxContent>
                          <w:p w:rsidR="00F54F14" w:rsidRDefault="00F54F14" w:rsidP="00D8241A">
                            <w:pPr>
                              <w:jc w:val="center"/>
                            </w:pPr>
                          </w:p>
                          <w:p w:rsidR="00F54F14" w:rsidRDefault="00F54F14" w:rsidP="00D8241A">
                            <w:pPr>
                              <w:jc w:val="center"/>
                              <w:rPr>
                                <w:i/>
                                <w:sz w:val="20"/>
                                <w:szCs w:val="20"/>
                              </w:rPr>
                            </w:pPr>
                          </w:p>
                          <w:p w:rsidR="00F54F14" w:rsidRDefault="00F54F14" w:rsidP="00D8241A">
                            <w:pPr>
                              <w:jc w:val="center"/>
                              <w:rPr>
                                <w:i/>
                                <w:sz w:val="20"/>
                                <w:szCs w:val="20"/>
                              </w:rPr>
                            </w:pPr>
                          </w:p>
                          <w:p w:rsidR="00F54F14" w:rsidRPr="00837046" w:rsidRDefault="00F54F14" w:rsidP="00D8241A">
                            <w:pPr>
                              <w:jc w:val="center"/>
                              <w:rPr>
                                <w:i/>
                                <w:sz w:val="20"/>
                                <w:szCs w:val="20"/>
                              </w:rPr>
                            </w:pPr>
                            <w:r w:rsidRPr="00837046">
                              <w:rPr>
                                <w:i/>
                                <w:sz w:val="20"/>
                                <w:szCs w:val="20"/>
                              </w:rPr>
                              <w:t>P</w:t>
                            </w:r>
                            <w:r>
                              <w:rPr>
                                <w:i/>
                                <w:sz w:val="20"/>
                                <w:szCs w:val="20"/>
                              </w:rPr>
                              <w:t>rominence</w:t>
                            </w:r>
                          </w:p>
                          <w:p w:rsidR="00F54F14" w:rsidRPr="00837046" w:rsidRDefault="00F54F14" w:rsidP="00D8241A">
                            <w:pPr>
                              <w:ind w:left="-284" w:right="-166"/>
                              <w:jc w:val="center"/>
                              <w:rPr>
                                <w:sz w:val="20"/>
                                <w:szCs w:val="20"/>
                              </w:rPr>
                            </w:pPr>
                            <w:r>
                              <w:rPr>
                                <w:sz w:val="20"/>
                                <w:szCs w:val="20"/>
                              </w:rPr>
                              <w:t>(being known</w:t>
                            </w:r>
                            <w:r w:rsidRPr="00837046">
                              <w:rPr>
                                <w:sz w:val="20"/>
                                <w:szCs w:val="20"/>
                              </w:rPr>
                              <w:t>)</w:t>
                            </w:r>
                          </w:p>
                          <w:p w:rsidR="00F54F14" w:rsidRDefault="00F54F14" w:rsidP="00D8241A">
                            <w:pPr>
                              <w:jc w:val="center"/>
                            </w:pPr>
                          </w:p>
                          <w:p w:rsidR="00F54F14" w:rsidRDefault="00F54F14" w:rsidP="00D8241A"/>
                          <w:p w:rsidR="00F54F14" w:rsidRDefault="00F54F14" w:rsidP="00D8241A"/>
                          <w:p w:rsidR="00F54F14" w:rsidRDefault="00F54F14" w:rsidP="00D8241A"/>
                          <w:p w:rsidR="00F54F14" w:rsidRDefault="00F54F14" w:rsidP="00D8241A"/>
                          <w:p w:rsidR="00F54F14" w:rsidRPr="00837046" w:rsidRDefault="00F54F14" w:rsidP="00D8241A">
                            <w:pPr>
                              <w:jc w:val="center"/>
                              <w:rPr>
                                <w:i/>
                                <w:sz w:val="20"/>
                                <w:szCs w:val="20"/>
                              </w:rPr>
                            </w:pPr>
                            <w:r w:rsidRPr="00837046">
                              <w:rPr>
                                <w:i/>
                                <w:sz w:val="20"/>
                                <w:szCs w:val="20"/>
                              </w:rPr>
                              <w:t>Prominence</w:t>
                            </w:r>
                          </w:p>
                          <w:p w:rsidR="00F54F14" w:rsidRPr="00837046" w:rsidRDefault="00F54F14" w:rsidP="00D8241A">
                            <w:pPr>
                              <w:ind w:left="-142"/>
                              <w:jc w:val="center"/>
                              <w:rPr>
                                <w:sz w:val="20"/>
                                <w:szCs w:val="20"/>
                              </w:rPr>
                            </w:pPr>
                            <w:r w:rsidRPr="00837046">
                              <w:rPr>
                                <w:sz w:val="20"/>
                                <w:szCs w:val="20"/>
                              </w:rPr>
                              <w:t>(</w:t>
                            </w:r>
                            <w:r>
                              <w:rPr>
                                <w:sz w:val="20"/>
                                <w:szCs w:val="20"/>
                              </w:rPr>
                              <w:t>being known</w:t>
                            </w:r>
                            <w:r w:rsidRPr="00837046">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4" style="position:absolute;left:0;text-align:left;margin-left:186.05pt;margin-top:5.9pt;width:115pt;height:151.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">
                <v:stroke dashstyle="1 1" endcap="round"/>
                <v:textbox>
                  <w:txbxContent>
                    <w:p w:rsidR="00F54F14" w:rsidRDefault="00F54F14" w:rsidP="00D8241A">
                      <w:pPr>
                        <w:jc w:val="center"/>
                      </w:pPr>
                    </w:p>
                    <w:p w:rsidR="00F54F14" w:rsidRDefault="00F54F14" w:rsidP="00D8241A">
                      <w:pPr>
                        <w:jc w:val="center"/>
                        <w:rPr>
                          <w:i/>
                          <w:sz w:val="20"/>
                          <w:szCs w:val="20"/>
                        </w:rPr>
                      </w:pPr>
                    </w:p>
                    <w:p w:rsidR="00F54F14" w:rsidRDefault="00F54F14" w:rsidP="00D8241A">
                      <w:pPr>
                        <w:jc w:val="center"/>
                        <w:rPr>
                          <w:i/>
                          <w:sz w:val="20"/>
                          <w:szCs w:val="20"/>
                        </w:rPr>
                      </w:pPr>
                    </w:p>
                    <w:p w:rsidR="00F54F14" w:rsidRPr="00837046" w:rsidRDefault="00F54F14" w:rsidP="00D8241A">
                      <w:pPr>
                        <w:jc w:val="center"/>
                        <w:rPr>
                          <w:i/>
                          <w:sz w:val="20"/>
                          <w:szCs w:val="20"/>
                        </w:rPr>
                      </w:pPr>
                      <w:r w:rsidRPr="00837046">
                        <w:rPr>
                          <w:i/>
                          <w:sz w:val="20"/>
                          <w:szCs w:val="20"/>
                        </w:rPr>
                        <w:t>P</w:t>
                      </w:r>
                      <w:r>
                        <w:rPr>
                          <w:i/>
                          <w:sz w:val="20"/>
                          <w:szCs w:val="20"/>
                        </w:rPr>
                        <w:t>rominence</w:t>
                      </w:r>
                    </w:p>
                    <w:p w:rsidR="00F54F14" w:rsidRPr="00837046" w:rsidRDefault="00F54F14" w:rsidP="00D8241A">
                      <w:pPr>
                        <w:ind w:left="-284" w:right="-166"/>
                        <w:jc w:val="center"/>
                        <w:rPr>
                          <w:sz w:val="20"/>
                          <w:szCs w:val="20"/>
                        </w:rPr>
                      </w:pPr>
                      <w:r>
                        <w:rPr>
                          <w:sz w:val="20"/>
                          <w:szCs w:val="20"/>
                        </w:rPr>
                        <w:t>(being known</w:t>
                      </w:r>
                      <w:r w:rsidRPr="00837046">
                        <w:rPr>
                          <w:sz w:val="20"/>
                          <w:szCs w:val="20"/>
                        </w:rPr>
                        <w:t>)</w:t>
                      </w:r>
                    </w:p>
                    <w:p w:rsidR="00F54F14" w:rsidRDefault="00F54F14" w:rsidP="00D8241A">
                      <w:pPr>
                        <w:jc w:val="center"/>
                      </w:pPr>
                    </w:p>
                    <w:p w:rsidR="00F54F14" w:rsidRDefault="00F54F14" w:rsidP="00D8241A"/>
                    <w:p w:rsidR="00F54F14" w:rsidRDefault="00F54F14" w:rsidP="00D8241A"/>
                    <w:p w:rsidR="00F54F14" w:rsidRDefault="00F54F14" w:rsidP="00D8241A"/>
                    <w:p w:rsidR="00F54F14" w:rsidRDefault="00F54F14" w:rsidP="00D8241A"/>
                    <w:p w:rsidR="00F54F14" w:rsidRPr="00837046" w:rsidRDefault="00F54F14" w:rsidP="00D8241A">
                      <w:pPr>
                        <w:jc w:val="center"/>
                        <w:rPr>
                          <w:i/>
                          <w:sz w:val="20"/>
                          <w:szCs w:val="20"/>
                        </w:rPr>
                      </w:pPr>
                      <w:r w:rsidRPr="00837046">
                        <w:rPr>
                          <w:i/>
                          <w:sz w:val="20"/>
                          <w:szCs w:val="20"/>
                        </w:rPr>
                        <w:t>Prominence</w:t>
                      </w:r>
                    </w:p>
                    <w:p w:rsidR="00F54F14" w:rsidRPr="00837046" w:rsidRDefault="00F54F14" w:rsidP="00D8241A">
                      <w:pPr>
                        <w:ind w:left="-142"/>
                        <w:jc w:val="center"/>
                        <w:rPr>
                          <w:sz w:val="20"/>
                          <w:szCs w:val="20"/>
                        </w:rPr>
                      </w:pPr>
                      <w:r w:rsidRPr="00837046">
                        <w:rPr>
                          <w:sz w:val="20"/>
                          <w:szCs w:val="20"/>
                        </w:rPr>
                        <w:t>(</w:t>
                      </w:r>
                      <w:r>
                        <w:rPr>
                          <w:sz w:val="20"/>
                          <w:szCs w:val="20"/>
                        </w:rPr>
                        <w:t>being known</w:t>
                      </w:r>
                      <w:r w:rsidRPr="00837046">
                        <w:rPr>
                          <w:sz w:val="20"/>
                          <w:szCs w:val="20"/>
                        </w:rPr>
                        <w:t>)</w:t>
                      </w:r>
                    </w:p>
                  </w:txbxContent>
                </v:textbox>
              </v:oval>
            </w:pict>
          </mc:Fallback>
        </mc:AlternateContent>
      </w:r>
    </w:p>
    <w:p w:rsidR="00F052C3" w:rsidRPr="000A43CC" w:rsidRDefault="00434EDA" w:rsidP="00F052C3">
      <w:pPr>
        <w:jc w:val="both"/>
        <w:rPr>
          <w:szCs w:val="24"/>
          <w:lang w:val="en-GB"/>
        </w:rPr>
      </w:pPr>
      <w:r>
        <w:rPr>
          <w:noProof/>
          <w:lang w:val="en-GB" w:eastAsia="en-GB"/>
        </w:rPr>
        <mc:AlternateContent>
          <mc:Choice Requires="wps">
            <w:drawing>
              <wp:anchor distT="0" distB="0" distL="114299" distR="114299" simplePos="0" relativeHeight="251664384" behindDoc="0" locked="0" layoutInCell="1" allowOverlap="1">
                <wp:simplePos x="0" y="0"/>
                <wp:positionH relativeFrom="column">
                  <wp:posOffset>3822700</wp:posOffset>
                </wp:positionH>
                <wp:positionV relativeFrom="paragraph">
                  <wp:posOffset>88265</wp:posOffset>
                </wp:positionV>
                <wp:extent cx="1005840" cy="766445"/>
                <wp:effectExtent l="38100" t="38100" r="60960" b="9080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5840" cy="766445"/>
                        </a:xfrm>
                        <a:prstGeom prst="straightConnector1">
                          <a:avLst/>
                        </a:prstGeom>
                        <a:noFill/>
                        <a:ln w="1905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shape id="Straight Arrow Connector 29" o:spid="_x0000_s1026" type="#_x0000_t32" style="position:absolute;margin-left:301pt;margin-top:6.95pt;width:79.2pt;height:60.35p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" strokecolor="windowText" strokeweight="1.5pt">
                <v:stroke endarrow="open"/>
                <v:shadow on="t" color="black" opacity="24903f" origin=",.5" offset="0,.55556mm"/>
                <o:lock v:ext="edit" shapetype="f"/>
              </v:shape>
            </w:pict>
          </mc:Fallback>
        </mc:AlternateContent>
      </w:r>
      <w:r w:rsidR="00F052C3" w:rsidRPr="000A43CC">
        <w:rPr>
          <w:szCs w:val="24"/>
          <w:lang w:val="en-GB"/>
        </w:rPr>
        <w:t xml:space="preserve"> </w:t>
      </w:r>
    </w:p>
    <w:p w:rsidR="00F052C3" w:rsidRPr="000A43CC" w:rsidRDefault="00F052C3" w:rsidP="00F052C3">
      <w:pPr>
        <w:jc w:val="both"/>
        <w:rPr>
          <w:szCs w:val="24"/>
          <w:lang w:val="en-GB"/>
        </w:rPr>
      </w:pPr>
    </w:p>
    <w:p w:rsidR="00F052C3" w:rsidRPr="000A43CC" w:rsidRDefault="00F052C3" w:rsidP="00F052C3">
      <w:pPr>
        <w:jc w:val="both"/>
        <w:rPr>
          <w:szCs w:val="24"/>
          <w:lang w:val="en-GB"/>
        </w:rPr>
      </w:pPr>
    </w:p>
    <w:p w:rsidR="00F052C3" w:rsidRPr="000A43CC" w:rsidRDefault="00434EDA" w:rsidP="00F052C3">
      <w:pPr>
        <w:jc w:val="both"/>
        <w:rPr>
          <w:szCs w:val="24"/>
          <w:lang w:val="en-GB"/>
        </w:rPr>
      </w:pPr>
      <w:r>
        <w:rPr>
          <w:noProof/>
          <w:lang w:val="en-GB" w:eastAsia="en-GB"/>
        </w:rPr>
        <mc:AlternateContent>
          <mc:Choice Requires="wps">
            <w:drawing>
              <wp:anchor distT="0" distB="0" distL="114300" distR="114300" simplePos="0" relativeHeight="251666432" behindDoc="1" locked="0" layoutInCell="1" allowOverlap="1">
                <wp:simplePos x="0" y="0"/>
                <wp:positionH relativeFrom="column">
                  <wp:posOffset>3935730</wp:posOffset>
                </wp:positionH>
                <wp:positionV relativeFrom="paragraph">
                  <wp:posOffset>52705</wp:posOffset>
                </wp:positionV>
                <wp:extent cx="1187450" cy="392430"/>
                <wp:effectExtent l="0" t="0" r="0" b="7620"/>
                <wp:wrapNone/>
                <wp:docPr id="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0" cy="392430"/>
                        </a:xfrm>
                        <a:prstGeom prst="rect">
                          <a:avLst/>
                        </a:prstGeom>
                        <a:solidFill>
                          <a:sysClr val="window" lastClr="FFFFFF"/>
                        </a:solidFill>
                        <a:ln w="6350">
                          <a:noFill/>
                          <a:prstDash val="solid"/>
                        </a:ln>
                        <a:effectLst/>
                      </wps:spPr>
                      <wps:txbx>
                        <w:txbxContent>
                          <w:p w:rsidR="00F54F14" w:rsidRPr="0088091D" w:rsidRDefault="00F54F14" w:rsidP="007F0AC0">
                            <w:pPr>
                              <w:jc w:val="center"/>
                              <w:rPr>
                                <w:i/>
                                <w:sz w:val="20"/>
                                <w:szCs w:val="20"/>
                              </w:rPr>
                            </w:pPr>
                            <w:r w:rsidRPr="0088091D">
                              <w:rPr>
                                <w:i/>
                                <w:sz w:val="20"/>
                                <w:szCs w:val="20"/>
                              </w:rPr>
                              <w:t>Availability heuristic</w:t>
                            </w:r>
                          </w:p>
                          <w:p w:rsidR="00F54F14" w:rsidRDefault="00F54F14" w:rsidP="007F0A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5" type="#_x0000_t202" style="position:absolute;left:0;text-align:left;margin-left:309.9pt;margin-top:4.15pt;width:93.5pt;height:30.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" fillcolor="window" stroked="f" strokeweight=".5pt">
                <v:path arrowok="t"/>
                <v:textbox>
                  <w:txbxContent>
                    <w:p w:rsidR="00F54F14" w:rsidRPr="0088091D" w:rsidRDefault="00F54F14" w:rsidP="007F0AC0">
                      <w:pPr>
                        <w:jc w:val="center"/>
                        <w:rPr>
                          <w:i/>
                          <w:sz w:val="20"/>
                          <w:szCs w:val="20"/>
                        </w:rPr>
                      </w:pPr>
                      <w:r w:rsidRPr="0088091D">
                        <w:rPr>
                          <w:i/>
                          <w:sz w:val="20"/>
                          <w:szCs w:val="20"/>
                        </w:rPr>
                        <w:t>Availability heuristic</w:t>
                      </w:r>
                    </w:p>
                    <w:p w:rsidR="00F54F14" w:rsidRDefault="00F54F14" w:rsidP="007F0AC0"/>
                  </w:txbxContent>
                </v:textbox>
              </v:shape>
            </w:pict>
          </mc:Fallback>
        </mc:AlternateContent>
      </w:r>
    </w:p>
    <w:p w:rsidR="00F052C3" w:rsidRDefault="00434EDA" w:rsidP="00F052C3">
      <w:pPr>
        <w:jc w:val="both"/>
        <w:rPr>
          <w:szCs w:val="24"/>
          <w:lang w:val="en-GB"/>
        </w:rPr>
      </w:pPr>
      <w:r>
        <w:rPr>
          <w:noProof/>
          <w:lang w:val="en-GB" w:eastAsia="en-GB"/>
        </w:rPr>
        <mc:AlternateContent>
          <mc:Choice Requires="wps">
            <w:drawing>
              <wp:anchor distT="0" distB="0" distL="114300" distR="114300" simplePos="0" relativeHeight="251667456" behindDoc="0" locked="0" layoutInCell="1" allowOverlap="1">
                <wp:simplePos x="0" y="0"/>
                <wp:positionH relativeFrom="column">
                  <wp:posOffset>31750</wp:posOffset>
                </wp:positionH>
                <wp:positionV relativeFrom="paragraph">
                  <wp:posOffset>10160</wp:posOffset>
                </wp:positionV>
                <wp:extent cx="992505" cy="558165"/>
                <wp:effectExtent l="0" t="0" r="17145" b="13335"/>
                <wp:wrapNone/>
                <wp:docPr id="32"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2505" cy="558165"/>
                        </a:xfrm>
                        <a:prstGeom prst="ellipse">
                          <a:avLst/>
                        </a:prstGeom>
                        <a:solidFill>
                          <a:srgbClr val="FFFFFF"/>
                        </a:solidFill>
                        <a:ln w="9525">
                          <a:solidFill>
                            <a:srgbClr val="000000"/>
                          </a:solidFill>
                          <a:round/>
                          <a:headEnd/>
                          <a:tailEnd/>
                        </a:ln>
                      </wps:spPr>
                      <wps:txbx>
                        <w:txbxContent>
                          <w:p w:rsidR="00F54F14" w:rsidRPr="00B1267D" w:rsidRDefault="00F54F14" w:rsidP="007F0AC0">
                            <w:pPr>
                              <w:ind w:left="-142" w:right="-163"/>
                              <w:jc w:val="center"/>
                              <w:rPr>
                                <w:sz w:val="20"/>
                                <w:szCs w:val="20"/>
                              </w:rPr>
                            </w:pPr>
                            <w:r>
                              <w:rPr>
                                <w:sz w:val="20"/>
                                <w:szCs w:val="20"/>
                              </w:rPr>
                              <w:t>Refracted media signals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o:spid="_x0000_s1036" style="position:absolute;left:0;text-align:left;margin-left:2.5pt;margin-top:.8pt;width:78.15pt;height:4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">
                <v:textbox>
                  <w:txbxContent>
                    <w:p w:rsidR="00F54F14" w:rsidRPr="00B1267D" w:rsidRDefault="00F54F14" w:rsidP="007F0AC0">
                      <w:pPr>
                        <w:ind w:left="-142" w:right="-163"/>
                        <w:jc w:val="center"/>
                        <w:rPr>
                          <w:sz w:val="20"/>
                          <w:szCs w:val="20"/>
                        </w:rPr>
                      </w:pPr>
                      <w:r>
                        <w:rPr>
                          <w:sz w:val="20"/>
                          <w:szCs w:val="20"/>
                        </w:rPr>
                        <w:t>Refracted media signals</w:t>
                      </w:r>
                    </w:p>
                  </w:txbxContent>
                </v:textbox>
              </v:oval>
            </w:pict>
          </mc:Fallback>
        </mc:AlternateContent>
      </w:r>
    </w:p>
    <w:p w:rsidR="00F052C3" w:rsidRDefault="00434EDA" w:rsidP="00F052C3">
      <w:pPr>
        <w:jc w:val="both"/>
        <w:rPr>
          <w:szCs w:val="24"/>
          <w:lang w:val="en-GB"/>
        </w:rPr>
      </w:pPr>
      <w:r>
        <w:rPr>
          <w:noProof/>
          <w:lang w:val="en-GB" w:eastAsia="en-GB"/>
        </w:rPr>
        <mc:AlternateContent>
          <mc:Choice Requires="wps">
            <w:drawing>
              <wp:anchor distT="4294967295" distB="4294967295" distL="114299" distR="114299" simplePos="0" relativeHeight="251659264" behindDoc="0" locked="0" layoutInCell="1" allowOverlap="1">
                <wp:simplePos x="0" y="0"/>
                <wp:positionH relativeFrom="column">
                  <wp:posOffset>1024890</wp:posOffset>
                </wp:positionH>
                <wp:positionV relativeFrom="paragraph">
                  <wp:posOffset>126364</wp:posOffset>
                </wp:positionV>
                <wp:extent cx="1327150" cy="0"/>
                <wp:effectExtent l="0" t="76200" r="25400" b="15240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7150" cy="0"/>
                        </a:xfrm>
                        <a:prstGeom prst="straightConnector1">
                          <a:avLst/>
                        </a:prstGeom>
                        <a:noFill/>
                        <a:ln w="1905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shape id="Straight Arrow Connector 22" o:spid="_x0000_s1026" type="#_x0000_t32" style="position:absolute;margin-left:80.7pt;margin-top:9.95pt;width:104.5pt;height:0;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" strokecolor="windowText" strokeweight="1.5pt">
                <v:stroke endarrow="open"/>
                <v:shadow on="t" color="black" opacity="24903f" origin=",.5" offset="0,.55556mm"/>
                <o:lock v:ext="edit" shapetype="f"/>
              </v:shape>
            </w:pict>
          </mc:Fallback>
        </mc:AlternateContent>
      </w:r>
    </w:p>
    <w:p w:rsidR="00F052C3" w:rsidRDefault="00F052C3" w:rsidP="00F052C3">
      <w:pPr>
        <w:jc w:val="both"/>
        <w:rPr>
          <w:szCs w:val="24"/>
          <w:lang w:val="en-GB"/>
        </w:rPr>
      </w:pPr>
    </w:p>
    <w:p w:rsidR="00F052C3" w:rsidRDefault="00F052C3" w:rsidP="00F052C3">
      <w:pPr>
        <w:jc w:val="both"/>
        <w:rPr>
          <w:szCs w:val="24"/>
          <w:lang w:val="en-GB"/>
        </w:rPr>
      </w:pPr>
    </w:p>
    <w:p w:rsidR="00F052C3" w:rsidRDefault="00F052C3" w:rsidP="00F052C3">
      <w:pPr>
        <w:jc w:val="both"/>
        <w:rPr>
          <w:szCs w:val="24"/>
          <w:lang w:val="en-GB"/>
        </w:rPr>
      </w:pPr>
    </w:p>
    <w:p w:rsidR="00F052C3" w:rsidRDefault="00F052C3" w:rsidP="00F052C3"/>
    <w:p w:rsidR="0097208F" w:rsidRPr="00AD1AEF" w:rsidRDefault="008250F6" w:rsidP="001B15B3">
      <w:r w:rsidRPr="00AD1AEF">
        <w:br w:type="page"/>
      </w:r>
    </w:p>
    <w:p w:rsidR="008038D2" w:rsidRPr="00A04DA2" w:rsidRDefault="008038D2" w:rsidP="008038D2">
      <w:pPr>
        <w:outlineLvl w:val="0"/>
      </w:pPr>
      <w:r w:rsidRPr="00A04DA2">
        <w:rPr>
          <w:b/>
        </w:rPr>
        <w:lastRenderedPageBreak/>
        <w:t xml:space="preserve">Table </w:t>
      </w:r>
      <w:r w:rsidR="00203CEA">
        <w:rPr>
          <w:b/>
        </w:rPr>
        <w:t>1</w:t>
      </w:r>
      <w:r w:rsidRPr="00A04DA2">
        <w:rPr>
          <w:b/>
        </w:rPr>
        <w:t xml:space="preserve">. </w:t>
      </w:r>
      <w:r w:rsidRPr="00A04DA2">
        <w:t>Information for top 20 spinoff-active universities in England and Scotland, year 2007</w:t>
      </w: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sz w:val="20"/>
          <w:szCs w:val="20"/>
        </w:rPr>
      </w:pPr>
    </w:p>
    <w:p w:rsidR="008038D2" w:rsidRDefault="008038D2" w:rsidP="008038D2">
      <w:pPr>
        <w:rPr>
          <w:b/>
          <w:i/>
          <w:sz w:val="20"/>
          <w:szCs w:val="20"/>
        </w:rPr>
      </w:pPr>
    </w:p>
    <w:p w:rsidR="008038D2" w:rsidRPr="00363483" w:rsidRDefault="008038D2" w:rsidP="008038D2">
      <w:pPr>
        <w:rPr>
          <w:sz w:val="20"/>
          <w:szCs w:val="20"/>
        </w:rPr>
      </w:pPr>
      <w:r w:rsidRPr="00363483">
        <w:rPr>
          <w:b/>
          <w:i/>
          <w:sz w:val="20"/>
          <w:szCs w:val="20"/>
        </w:rPr>
        <w:t>Note</w:t>
      </w:r>
      <w:r w:rsidRPr="00363483">
        <w:rPr>
          <w:sz w:val="20"/>
          <w:szCs w:val="20"/>
        </w:rPr>
        <w:t xml:space="preserve">: All institutions belong to Russell Group except* </w:t>
      </w:r>
    </w:p>
    <w:p w:rsidR="008038D2" w:rsidRPr="00BA1C07" w:rsidRDefault="008038D2" w:rsidP="008038D2">
      <w:r w:rsidRPr="00363483">
        <w:rPr>
          <w:b/>
          <w:i/>
          <w:sz w:val="20"/>
          <w:szCs w:val="20"/>
        </w:rPr>
        <w:t>Note</w:t>
      </w:r>
      <w:r w:rsidRPr="00363483">
        <w:rPr>
          <w:sz w:val="20"/>
          <w:szCs w:val="20"/>
        </w:rPr>
        <w:t xml:space="preserve">: Spinoff revenues and total funding </w:t>
      </w:r>
      <w:r w:rsidR="007C2683">
        <w:rPr>
          <w:sz w:val="20"/>
          <w:szCs w:val="20"/>
        </w:rPr>
        <w:t>are at 2013</w:t>
      </w:r>
      <w:r w:rsidR="00881328">
        <w:rPr>
          <w:sz w:val="20"/>
          <w:szCs w:val="20"/>
        </w:rPr>
        <w:t xml:space="preserve"> </w:t>
      </w:r>
      <w:r w:rsidRPr="00363483">
        <w:rPr>
          <w:sz w:val="20"/>
          <w:szCs w:val="20"/>
        </w:rPr>
        <w:t>prices</w:t>
      </w:r>
    </w:p>
    <w:p w:rsidR="008038D2" w:rsidRDefault="008038D2" w:rsidP="008038D2">
      <w:pPr>
        <w:rPr>
          <w:b/>
        </w:rPr>
      </w:pPr>
    </w:p>
    <w:tbl>
      <w:tblPr>
        <w:tblpPr w:leftFromText="180" w:rightFromText="180" w:horzAnchor="margin" w:tblpY="576"/>
        <w:tblW w:w="8472" w:type="dxa"/>
        <w:tblBorders>
          <w:top w:val="single" w:sz="8" w:space="0" w:color="000000"/>
          <w:bottom w:val="single" w:sz="8" w:space="0" w:color="000000"/>
        </w:tblBorders>
        <w:tblLayout w:type="fixed"/>
        <w:tblLook w:val="04A0" w:firstRow="1" w:lastRow="0" w:firstColumn="1" w:lastColumn="0" w:noHBand="0" w:noVBand="1"/>
      </w:tblPr>
      <w:tblGrid>
        <w:gridCol w:w="2093"/>
        <w:gridCol w:w="992"/>
        <w:gridCol w:w="1843"/>
        <w:gridCol w:w="1559"/>
        <w:gridCol w:w="1985"/>
      </w:tblGrid>
      <w:tr w:rsidR="008038D2" w:rsidRPr="00B93D7D" w:rsidTr="00580297">
        <w:tc>
          <w:tcPr>
            <w:tcW w:w="2093" w:type="dxa"/>
            <w:tcBorders>
              <w:top w:val="single" w:sz="8" w:space="0" w:color="000000"/>
              <w:left w:val="nil"/>
              <w:bottom w:val="single" w:sz="8" w:space="0" w:color="000000"/>
              <w:right w:val="nil"/>
            </w:tcBorders>
          </w:tcPr>
          <w:p w:rsidR="008038D2" w:rsidRPr="00943181" w:rsidRDefault="008038D2" w:rsidP="00580297">
            <w:pPr>
              <w:rPr>
                <w:bCs/>
                <w:color w:val="000000"/>
                <w:sz w:val="20"/>
                <w:szCs w:val="20"/>
              </w:rPr>
            </w:pPr>
            <w:r w:rsidRPr="00943181">
              <w:rPr>
                <w:bCs/>
                <w:color w:val="000000"/>
                <w:sz w:val="20"/>
                <w:szCs w:val="20"/>
              </w:rPr>
              <w:t xml:space="preserve">University </w:t>
            </w:r>
          </w:p>
        </w:tc>
        <w:tc>
          <w:tcPr>
            <w:tcW w:w="992" w:type="dxa"/>
            <w:tcBorders>
              <w:top w:val="single" w:sz="8" w:space="0" w:color="000000"/>
              <w:left w:val="nil"/>
              <w:bottom w:val="single" w:sz="8" w:space="0" w:color="000000"/>
              <w:right w:val="nil"/>
            </w:tcBorders>
          </w:tcPr>
          <w:p w:rsidR="008038D2" w:rsidRPr="00943181" w:rsidRDefault="008038D2" w:rsidP="00580297">
            <w:pPr>
              <w:jc w:val="right"/>
              <w:rPr>
                <w:bCs/>
                <w:color w:val="000000"/>
                <w:sz w:val="20"/>
                <w:szCs w:val="20"/>
              </w:rPr>
            </w:pPr>
            <w:r w:rsidRPr="00943181">
              <w:rPr>
                <w:bCs/>
                <w:color w:val="000000"/>
                <w:sz w:val="20"/>
                <w:szCs w:val="20"/>
              </w:rPr>
              <w:t xml:space="preserve">Portfolio live spinoffs </w:t>
            </w:r>
          </w:p>
        </w:tc>
        <w:tc>
          <w:tcPr>
            <w:tcW w:w="1843" w:type="dxa"/>
            <w:tcBorders>
              <w:top w:val="single" w:sz="8" w:space="0" w:color="000000"/>
              <w:left w:val="nil"/>
              <w:bottom w:val="single" w:sz="8" w:space="0" w:color="000000"/>
              <w:right w:val="nil"/>
            </w:tcBorders>
          </w:tcPr>
          <w:p w:rsidR="008038D2" w:rsidRPr="00943181" w:rsidRDefault="008038D2" w:rsidP="00580297">
            <w:pPr>
              <w:jc w:val="right"/>
              <w:rPr>
                <w:bCs/>
                <w:color w:val="000000"/>
                <w:sz w:val="20"/>
                <w:szCs w:val="20"/>
              </w:rPr>
            </w:pPr>
            <w:r w:rsidRPr="00943181">
              <w:rPr>
                <w:bCs/>
                <w:color w:val="000000"/>
                <w:sz w:val="20"/>
                <w:szCs w:val="20"/>
              </w:rPr>
              <w:t xml:space="preserve">Portfolio spinoff </w:t>
            </w:r>
            <w:r>
              <w:rPr>
                <w:bCs/>
                <w:color w:val="000000"/>
                <w:sz w:val="20"/>
                <w:szCs w:val="20"/>
              </w:rPr>
              <w:t>performance</w:t>
            </w:r>
          </w:p>
          <w:p w:rsidR="008038D2" w:rsidRPr="00943181" w:rsidRDefault="008038D2" w:rsidP="00580297">
            <w:pPr>
              <w:jc w:val="right"/>
              <w:rPr>
                <w:bCs/>
                <w:color w:val="000000"/>
                <w:sz w:val="20"/>
                <w:szCs w:val="20"/>
              </w:rPr>
            </w:pPr>
            <w:r w:rsidRPr="00943181">
              <w:rPr>
                <w:bCs/>
                <w:color w:val="000000"/>
                <w:sz w:val="20"/>
                <w:szCs w:val="20"/>
              </w:rPr>
              <w:t>(GBP)</w:t>
            </w:r>
          </w:p>
        </w:tc>
        <w:tc>
          <w:tcPr>
            <w:tcW w:w="1559" w:type="dxa"/>
            <w:tcBorders>
              <w:top w:val="single" w:sz="8" w:space="0" w:color="000000"/>
              <w:left w:val="nil"/>
              <w:bottom w:val="single" w:sz="8" w:space="0" w:color="000000"/>
              <w:right w:val="nil"/>
            </w:tcBorders>
          </w:tcPr>
          <w:p w:rsidR="008038D2" w:rsidRPr="00943181" w:rsidRDefault="008038D2" w:rsidP="00580297">
            <w:pPr>
              <w:jc w:val="right"/>
              <w:rPr>
                <w:bCs/>
                <w:color w:val="000000"/>
                <w:sz w:val="20"/>
                <w:szCs w:val="20"/>
              </w:rPr>
            </w:pPr>
            <w:r w:rsidRPr="00943181">
              <w:rPr>
                <w:bCs/>
                <w:color w:val="000000"/>
                <w:sz w:val="20"/>
                <w:szCs w:val="20"/>
              </w:rPr>
              <w:t xml:space="preserve">Portfolio media </w:t>
            </w:r>
            <w:r>
              <w:rPr>
                <w:bCs/>
                <w:color w:val="000000"/>
                <w:sz w:val="20"/>
                <w:szCs w:val="20"/>
              </w:rPr>
              <w:t>coverage</w:t>
            </w:r>
            <w:r w:rsidRPr="00943181">
              <w:rPr>
                <w:bCs/>
                <w:color w:val="000000"/>
                <w:sz w:val="20"/>
                <w:szCs w:val="20"/>
              </w:rPr>
              <w:t xml:space="preserve"> </w:t>
            </w:r>
          </w:p>
        </w:tc>
        <w:tc>
          <w:tcPr>
            <w:tcW w:w="1985" w:type="dxa"/>
            <w:tcBorders>
              <w:top w:val="single" w:sz="8" w:space="0" w:color="000000"/>
              <w:left w:val="nil"/>
              <w:bottom w:val="single" w:sz="8" w:space="0" w:color="000000"/>
              <w:right w:val="nil"/>
            </w:tcBorders>
          </w:tcPr>
          <w:p w:rsidR="008038D2" w:rsidRPr="00943181" w:rsidRDefault="008038D2" w:rsidP="00580297">
            <w:pPr>
              <w:jc w:val="right"/>
              <w:rPr>
                <w:bCs/>
                <w:color w:val="000000"/>
                <w:sz w:val="20"/>
                <w:szCs w:val="20"/>
              </w:rPr>
            </w:pPr>
            <w:r w:rsidRPr="00943181">
              <w:rPr>
                <w:bCs/>
                <w:color w:val="000000"/>
                <w:sz w:val="20"/>
                <w:szCs w:val="20"/>
              </w:rPr>
              <w:t xml:space="preserve">Total </w:t>
            </w:r>
            <w:r>
              <w:rPr>
                <w:bCs/>
                <w:color w:val="000000"/>
                <w:sz w:val="20"/>
                <w:szCs w:val="20"/>
              </w:rPr>
              <w:t xml:space="preserve">sponsored research </w:t>
            </w:r>
            <w:r w:rsidRPr="00943181">
              <w:rPr>
                <w:bCs/>
                <w:color w:val="000000"/>
                <w:sz w:val="20"/>
                <w:szCs w:val="20"/>
              </w:rPr>
              <w:t>funding (GBP)</w:t>
            </w:r>
          </w:p>
        </w:tc>
      </w:tr>
      <w:tr w:rsidR="008038D2" w:rsidRPr="00B93D7D" w:rsidTr="00580297">
        <w:tc>
          <w:tcPr>
            <w:tcW w:w="2093" w:type="dxa"/>
            <w:tcBorders>
              <w:left w:val="nil"/>
              <w:right w:val="nil"/>
            </w:tcBorders>
            <w:shd w:val="clear" w:color="auto" w:fill="auto"/>
          </w:tcPr>
          <w:p w:rsidR="008038D2" w:rsidRPr="00943181" w:rsidRDefault="008038D2" w:rsidP="00580297">
            <w:pPr>
              <w:rPr>
                <w:bCs/>
                <w:color w:val="000000"/>
                <w:sz w:val="20"/>
                <w:szCs w:val="20"/>
              </w:rPr>
            </w:pPr>
            <w:bookmarkStart w:id="2" w:name="_Hlk336433343"/>
            <w:r>
              <w:rPr>
                <w:bCs/>
                <w:color w:val="000000"/>
                <w:sz w:val="20"/>
                <w:szCs w:val="20"/>
              </w:rPr>
              <w:t>Cambridge</w:t>
            </w:r>
          </w:p>
        </w:tc>
        <w:tc>
          <w:tcPr>
            <w:tcW w:w="992" w:type="dxa"/>
            <w:tcBorders>
              <w:left w:val="nil"/>
              <w:right w:val="nil"/>
            </w:tcBorders>
            <w:shd w:val="clear" w:color="auto" w:fill="auto"/>
          </w:tcPr>
          <w:p w:rsidR="008038D2" w:rsidRPr="00943181" w:rsidRDefault="008038D2" w:rsidP="00580297">
            <w:pPr>
              <w:jc w:val="right"/>
              <w:rPr>
                <w:color w:val="000000"/>
                <w:sz w:val="20"/>
                <w:szCs w:val="20"/>
              </w:rPr>
            </w:pPr>
            <w:r w:rsidRPr="00943181">
              <w:rPr>
                <w:color w:val="000000"/>
                <w:sz w:val="20"/>
                <w:szCs w:val="20"/>
              </w:rPr>
              <w:t>71</w:t>
            </w:r>
          </w:p>
        </w:tc>
        <w:tc>
          <w:tcPr>
            <w:tcW w:w="1843" w:type="dxa"/>
            <w:tcBorders>
              <w:left w:val="nil"/>
              <w:right w:val="nil"/>
            </w:tcBorders>
            <w:shd w:val="clear" w:color="auto" w:fill="auto"/>
          </w:tcPr>
          <w:p w:rsidR="008038D2" w:rsidRPr="005B6DCC" w:rsidRDefault="008038D2" w:rsidP="00580297">
            <w:pPr>
              <w:jc w:val="right"/>
              <w:rPr>
                <w:sz w:val="20"/>
                <w:szCs w:val="20"/>
              </w:rPr>
            </w:pPr>
            <w:r>
              <w:rPr>
                <w:sz w:val="20"/>
                <w:szCs w:val="20"/>
              </w:rPr>
              <w:t>328,853,577</w:t>
            </w:r>
          </w:p>
        </w:tc>
        <w:tc>
          <w:tcPr>
            <w:tcW w:w="1559" w:type="dxa"/>
            <w:tcBorders>
              <w:left w:val="nil"/>
              <w:right w:val="nil"/>
            </w:tcBorders>
            <w:shd w:val="clear" w:color="auto" w:fill="auto"/>
          </w:tcPr>
          <w:p w:rsidR="008038D2" w:rsidRPr="00943181" w:rsidRDefault="008038D2" w:rsidP="00580297">
            <w:pPr>
              <w:jc w:val="right"/>
              <w:rPr>
                <w:color w:val="000000"/>
                <w:sz w:val="20"/>
                <w:szCs w:val="20"/>
              </w:rPr>
            </w:pPr>
            <w:r>
              <w:rPr>
                <w:color w:val="000000"/>
                <w:sz w:val="20"/>
                <w:szCs w:val="20"/>
              </w:rPr>
              <w:t>97</w:t>
            </w:r>
          </w:p>
        </w:tc>
        <w:tc>
          <w:tcPr>
            <w:tcW w:w="1985" w:type="dxa"/>
            <w:tcBorders>
              <w:left w:val="nil"/>
              <w:right w:val="nil"/>
            </w:tcBorders>
            <w:shd w:val="clear" w:color="auto" w:fill="auto"/>
          </w:tcPr>
          <w:p w:rsidR="008038D2" w:rsidRPr="005B6DCC" w:rsidRDefault="008038D2" w:rsidP="00580297">
            <w:pPr>
              <w:jc w:val="right"/>
              <w:rPr>
                <w:sz w:val="20"/>
                <w:szCs w:val="20"/>
              </w:rPr>
            </w:pPr>
            <w:r>
              <w:rPr>
                <w:sz w:val="20"/>
                <w:szCs w:val="20"/>
              </w:rPr>
              <w:t>243,060,000</w:t>
            </w:r>
          </w:p>
        </w:tc>
      </w:tr>
      <w:tr w:rsidR="008038D2" w:rsidRPr="00B93D7D" w:rsidTr="00580297">
        <w:tc>
          <w:tcPr>
            <w:tcW w:w="2093" w:type="dxa"/>
            <w:shd w:val="clear" w:color="auto" w:fill="auto"/>
          </w:tcPr>
          <w:p w:rsidR="008038D2" w:rsidRPr="00943181" w:rsidRDefault="008038D2" w:rsidP="00580297">
            <w:pPr>
              <w:rPr>
                <w:bCs/>
                <w:color w:val="000000"/>
                <w:sz w:val="20"/>
                <w:szCs w:val="20"/>
              </w:rPr>
            </w:pPr>
            <w:r>
              <w:rPr>
                <w:bCs/>
                <w:color w:val="000000"/>
                <w:sz w:val="20"/>
                <w:szCs w:val="20"/>
              </w:rPr>
              <w:t>Oxford</w:t>
            </w:r>
          </w:p>
        </w:tc>
        <w:tc>
          <w:tcPr>
            <w:tcW w:w="992" w:type="dxa"/>
            <w:shd w:val="clear" w:color="auto" w:fill="auto"/>
          </w:tcPr>
          <w:p w:rsidR="008038D2" w:rsidRPr="00943181" w:rsidRDefault="008038D2" w:rsidP="00580297">
            <w:pPr>
              <w:jc w:val="right"/>
              <w:rPr>
                <w:color w:val="000000"/>
                <w:sz w:val="20"/>
                <w:szCs w:val="20"/>
              </w:rPr>
            </w:pPr>
            <w:r w:rsidRPr="00943181">
              <w:rPr>
                <w:color w:val="000000"/>
                <w:sz w:val="20"/>
                <w:szCs w:val="20"/>
              </w:rPr>
              <w:t>61</w:t>
            </w:r>
          </w:p>
        </w:tc>
        <w:tc>
          <w:tcPr>
            <w:tcW w:w="1843" w:type="dxa"/>
            <w:shd w:val="clear" w:color="auto" w:fill="auto"/>
          </w:tcPr>
          <w:p w:rsidR="008038D2" w:rsidRPr="005B6DCC" w:rsidRDefault="008038D2" w:rsidP="00580297">
            <w:pPr>
              <w:jc w:val="right"/>
              <w:rPr>
                <w:sz w:val="20"/>
                <w:szCs w:val="20"/>
              </w:rPr>
            </w:pPr>
            <w:r>
              <w:rPr>
                <w:sz w:val="20"/>
                <w:szCs w:val="20"/>
              </w:rPr>
              <w:t>227,745,946</w:t>
            </w:r>
          </w:p>
        </w:tc>
        <w:tc>
          <w:tcPr>
            <w:tcW w:w="1559" w:type="dxa"/>
            <w:shd w:val="clear" w:color="auto" w:fill="auto"/>
          </w:tcPr>
          <w:p w:rsidR="008038D2" w:rsidRPr="00943181" w:rsidRDefault="008038D2" w:rsidP="00580297">
            <w:pPr>
              <w:jc w:val="right"/>
              <w:rPr>
                <w:color w:val="000000"/>
                <w:sz w:val="20"/>
                <w:szCs w:val="20"/>
              </w:rPr>
            </w:pPr>
            <w:r>
              <w:rPr>
                <w:color w:val="000000"/>
                <w:sz w:val="20"/>
                <w:szCs w:val="20"/>
              </w:rPr>
              <w:t>258</w:t>
            </w:r>
          </w:p>
        </w:tc>
        <w:tc>
          <w:tcPr>
            <w:tcW w:w="1985" w:type="dxa"/>
            <w:shd w:val="clear" w:color="auto" w:fill="auto"/>
          </w:tcPr>
          <w:p w:rsidR="008038D2" w:rsidRPr="005B6DCC" w:rsidRDefault="008038D2" w:rsidP="00580297">
            <w:pPr>
              <w:jc w:val="right"/>
              <w:rPr>
                <w:sz w:val="20"/>
                <w:szCs w:val="20"/>
              </w:rPr>
            </w:pPr>
            <w:r>
              <w:rPr>
                <w:sz w:val="20"/>
                <w:szCs w:val="20"/>
              </w:rPr>
              <w:t>285,277,000</w:t>
            </w:r>
          </w:p>
        </w:tc>
      </w:tr>
      <w:tr w:rsidR="008038D2" w:rsidRPr="00B93D7D" w:rsidTr="00580297">
        <w:tc>
          <w:tcPr>
            <w:tcW w:w="2093" w:type="dxa"/>
            <w:tcBorders>
              <w:left w:val="nil"/>
              <w:right w:val="nil"/>
            </w:tcBorders>
            <w:shd w:val="clear" w:color="auto" w:fill="auto"/>
          </w:tcPr>
          <w:p w:rsidR="008038D2" w:rsidRPr="00943181" w:rsidRDefault="008038D2" w:rsidP="00580297">
            <w:pPr>
              <w:rPr>
                <w:bCs/>
                <w:color w:val="000000"/>
                <w:sz w:val="20"/>
                <w:szCs w:val="20"/>
              </w:rPr>
            </w:pPr>
            <w:r>
              <w:rPr>
                <w:bCs/>
                <w:color w:val="000000"/>
                <w:sz w:val="20"/>
                <w:szCs w:val="20"/>
              </w:rPr>
              <w:t>Sheffield</w:t>
            </w:r>
          </w:p>
        </w:tc>
        <w:tc>
          <w:tcPr>
            <w:tcW w:w="992" w:type="dxa"/>
            <w:tcBorders>
              <w:left w:val="nil"/>
              <w:right w:val="nil"/>
            </w:tcBorders>
            <w:shd w:val="clear" w:color="auto" w:fill="auto"/>
          </w:tcPr>
          <w:p w:rsidR="008038D2" w:rsidRPr="00943181" w:rsidRDefault="008038D2" w:rsidP="00580297">
            <w:pPr>
              <w:jc w:val="right"/>
              <w:rPr>
                <w:color w:val="000000"/>
                <w:sz w:val="20"/>
                <w:szCs w:val="20"/>
              </w:rPr>
            </w:pPr>
            <w:r w:rsidRPr="00943181">
              <w:rPr>
                <w:color w:val="000000"/>
                <w:sz w:val="20"/>
                <w:szCs w:val="20"/>
              </w:rPr>
              <w:t>60</w:t>
            </w:r>
          </w:p>
        </w:tc>
        <w:tc>
          <w:tcPr>
            <w:tcW w:w="1843" w:type="dxa"/>
            <w:tcBorders>
              <w:left w:val="nil"/>
              <w:right w:val="nil"/>
            </w:tcBorders>
            <w:shd w:val="clear" w:color="auto" w:fill="auto"/>
          </w:tcPr>
          <w:p w:rsidR="008038D2" w:rsidRPr="005B6DCC" w:rsidRDefault="008038D2" w:rsidP="00580297">
            <w:pPr>
              <w:jc w:val="right"/>
              <w:rPr>
                <w:sz w:val="20"/>
                <w:szCs w:val="20"/>
              </w:rPr>
            </w:pPr>
            <w:r>
              <w:rPr>
                <w:sz w:val="20"/>
                <w:szCs w:val="20"/>
              </w:rPr>
              <w:t>7</w:t>
            </w:r>
            <w:r w:rsidRPr="005B6DCC">
              <w:rPr>
                <w:sz w:val="20"/>
                <w:szCs w:val="20"/>
              </w:rPr>
              <w:t>,</w:t>
            </w:r>
            <w:r>
              <w:rPr>
                <w:sz w:val="20"/>
                <w:szCs w:val="20"/>
              </w:rPr>
              <w:t>087</w:t>
            </w:r>
            <w:r w:rsidRPr="005B6DCC">
              <w:rPr>
                <w:sz w:val="20"/>
                <w:szCs w:val="20"/>
              </w:rPr>
              <w:t>,</w:t>
            </w:r>
            <w:r>
              <w:rPr>
                <w:sz w:val="20"/>
                <w:szCs w:val="20"/>
              </w:rPr>
              <w:t>623</w:t>
            </w:r>
          </w:p>
        </w:tc>
        <w:tc>
          <w:tcPr>
            <w:tcW w:w="1559" w:type="dxa"/>
            <w:tcBorders>
              <w:left w:val="nil"/>
              <w:right w:val="nil"/>
            </w:tcBorders>
            <w:shd w:val="clear" w:color="auto" w:fill="auto"/>
          </w:tcPr>
          <w:p w:rsidR="008038D2" w:rsidRPr="00943181" w:rsidRDefault="008038D2" w:rsidP="00580297">
            <w:pPr>
              <w:jc w:val="right"/>
              <w:rPr>
                <w:color w:val="000000"/>
                <w:sz w:val="20"/>
                <w:szCs w:val="20"/>
              </w:rPr>
            </w:pPr>
            <w:r>
              <w:rPr>
                <w:color w:val="000000"/>
                <w:sz w:val="20"/>
                <w:szCs w:val="20"/>
              </w:rPr>
              <w:t>110</w:t>
            </w:r>
          </w:p>
        </w:tc>
        <w:tc>
          <w:tcPr>
            <w:tcW w:w="1985" w:type="dxa"/>
            <w:tcBorders>
              <w:left w:val="nil"/>
              <w:right w:val="nil"/>
            </w:tcBorders>
            <w:shd w:val="clear" w:color="auto" w:fill="auto"/>
          </w:tcPr>
          <w:p w:rsidR="008038D2" w:rsidRPr="005B6DCC" w:rsidRDefault="008038D2" w:rsidP="00580297">
            <w:pPr>
              <w:jc w:val="right"/>
              <w:rPr>
                <w:sz w:val="20"/>
                <w:szCs w:val="20"/>
              </w:rPr>
            </w:pPr>
            <w:r>
              <w:rPr>
                <w:sz w:val="20"/>
                <w:szCs w:val="20"/>
              </w:rPr>
              <w:t>91,665,000</w:t>
            </w:r>
          </w:p>
        </w:tc>
      </w:tr>
      <w:tr w:rsidR="008038D2" w:rsidRPr="00B93D7D" w:rsidTr="00580297">
        <w:tc>
          <w:tcPr>
            <w:tcW w:w="2093" w:type="dxa"/>
            <w:shd w:val="clear" w:color="auto" w:fill="auto"/>
          </w:tcPr>
          <w:p w:rsidR="008038D2" w:rsidRPr="00943181" w:rsidRDefault="008038D2" w:rsidP="00580297">
            <w:pPr>
              <w:rPr>
                <w:bCs/>
                <w:color w:val="000000"/>
                <w:sz w:val="20"/>
                <w:szCs w:val="20"/>
              </w:rPr>
            </w:pPr>
            <w:r w:rsidRPr="00943181">
              <w:rPr>
                <w:bCs/>
                <w:color w:val="000000"/>
                <w:sz w:val="20"/>
                <w:szCs w:val="20"/>
              </w:rPr>
              <w:t>UCL</w:t>
            </w:r>
          </w:p>
        </w:tc>
        <w:tc>
          <w:tcPr>
            <w:tcW w:w="992" w:type="dxa"/>
            <w:shd w:val="clear" w:color="auto" w:fill="auto"/>
          </w:tcPr>
          <w:p w:rsidR="008038D2" w:rsidRPr="00943181" w:rsidRDefault="008038D2" w:rsidP="00580297">
            <w:pPr>
              <w:jc w:val="right"/>
              <w:rPr>
                <w:color w:val="000000"/>
                <w:sz w:val="20"/>
                <w:szCs w:val="20"/>
              </w:rPr>
            </w:pPr>
            <w:r w:rsidRPr="00943181">
              <w:rPr>
                <w:color w:val="000000"/>
                <w:sz w:val="20"/>
                <w:szCs w:val="20"/>
              </w:rPr>
              <w:t>57</w:t>
            </w:r>
          </w:p>
        </w:tc>
        <w:tc>
          <w:tcPr>
            <w:tcW w:w="1843" w:type="dxa"/>
            <w:shd w:val="clear" w:color="auto" w:fill="auto"/>
          </w:tcPr>
          <w:p w:rsidR="008038D2" w:rsidRPr="005B6DCC" w:rsidRDefault="008038D2" w:rsidP="00580297">
            <w:pPr>
              <w:jc w:val="right"/>
              <w:rPr>
                <w:sz w:val="20"/>
                <w:szCs w:val="20"/>
              </w:rPr>
            </w:pPr>
            <w:r>
              <w:rPr>
                <w:sz w:val="20"/>
                <w:szCs w:val="20"/>
              </w:rPr>
              <w:t>37,053,061</w:t>
            </w:r>
          </w:p>
        </w:tc>
        <w:tc>
          <w:tcPr>
            <w:tcW w:w="1559" w:type="dxa"/>
            <w:shd w:val="clear" w:color="auto" w:fill="auto"/>
          </w:tcPr>
          <w:p w:rsidR="008038D2" w:rsidRPr="00943181" w:rsidRDefault="008038D2" w:rsidP="00580297">
            <w:pPr>
              <w:jc w:val="right"/>
              <w:rPr>
                <w:color w:val="000000"/>
                <w:sz w:val="20"/>
                <w:szCs w:val="20"/>
              </w:rPr>
            </w:pPr>
            <w:r>
              <w:rPr>
                <w:color w:val="000000"/>
                <w:sz w:val="20"/>
                <w:szCs w:val="20"/>
              </w:rPr>
              <w:t>52</w:t>
            </w:r>
          </w:p>
        </w:tc>
        <w:tc>
          <w:tcPr>
            <w:tcW w:w="1985" w:type="dxa"/>
            <w:shd w:val="clear" w:color="auto" w:fill="auto"/>
          </w:tcPr>
          <w:p w:rsidR="008038D2" w:rsidRPr="005B6DCC" w:rsidRDefault="008038D2" w:rsidP="00580297">
            <w:pPr>
              <w:jc w:val="right"/>
              <w:rPr>
                <w:sz w:val="20"/>
                <w:szCs w:val="20"/>
              </w:rPr>
            </w:pPr>
            <w:r>
              <w:rPr>
                <w:sz w:val="20"/>
                <w:szCs w:val="20"/>
              </w:rPr>
              <w:t>211,217,000</w:t>
            </w:r>
          </w:p>
        </w:tc>
      </w:tr>
      <w:tr w:rsidR="008038D2" w:rsidRPr="00B93D7D" w:rsidTr="00580297">
        <w:tc>
          <w:tcPr>
            <w:tcW w:w="2093" w:type="dxa"/>
            <w:tcBorders>
              <w:left w:val="nil"/>
              <w:right w:val="nil"/>
            </w:tcBorders>
            <w:shd w:val="clear" w:color="auto" w:fill="auto"/>
          </w:tcPr>
          <w:p w:rsidR="008038D2" w:rsidRPr="00943181" w:rsidRDefault="008038D2" w:rsidP="00580297">
            <w:pPr>
              <w:rPr>
                <w:bCs/>
                <w:color w:val="000000"/>
                <w:sz w:val="20"/>
                <w:szCs w:val="20"/>
              </w:rPr>
            </w:pPr>
            <w:r>
              <w:rPr>
                <w:bCs/>
                <w:color w:val="000000"/>
                <w:sz w:val="20"/>
                <w:szCs w:val="20"/>
              </w:rPr>
              <w:t>Manchester</w:t>
            </w:r>
          </w:p>
        </w:tc>
        <w:tc>
          <w:tcPr>
            <w:tcW w:w="992" w:type="dxa"/>
            <w:tcBorders>
              <w:left w:val="nil"/>
              <w:right w:val="nil"/>
            </w:tcBorders>
            <w:shd w:val="clear" w:color="auto" w:fill="auto"/>
          </w:tcPr>
          <w:p w:rsidR="008038D2" w:rsidRPr="00943181" w:rsidRDefault="008038D2" w:rsidP="00580297">
            <w:pPr>
              <w:jc w:val="right"/>
              <w:rPr>
                <w:color w:val="000000"/>
                <w:sz w:val="20"/>
                <w:szCs w:val="20"/>
              </w:rPr>
            </w:pPr>
            <w:r w:rsidRPr="00943181">
              <w:rPr>
                <w:color w:val="000000"/>
                <w:sz w:val="20"/>
                <w:szCs w:val="20"/>
              </w:rPr>
              <w:t>56</w:t>
            </w:r>
          </w:p>
        </w:tc>
        <w:tc>
          <w:tcPr>
            <w:tcW w:w="1843" w:type="dxa"/>
            <w:tcBorders>
              <w:left w:val="nil"/>
              <w:right w:val="nil"/>
            </w:tcBorders>
            <w:shd w:val="clear" w:color="auto" w:fill="auto"/>
          </w:tcPr>
          <w:p w:rsidR="008038D2" w:rsidRPr="005B6DCC" w:rsidRDefault="008038D2" w:rsidP="00580297">
            <w:pPr>
              <w:jc w:val="right"/>
              <w:rPr>
                <w:sz w:val="20"/>
                <w:szCs w:val="20"/>
              </w:rPr>
            </w:pPr>
            <w:r>
              <w:rPr>
                <w:sz w:val="20"/>
                <w:szCs w:val="20"/>
              </w:rPr>
              <w:t>23,819,276</w:t>
            </w:r>
          </w:p>
        </w:tc>
        <w:tc>
          <w:tcPr>
            <w:tcW w:w="1559" w:type="dxa"/>
            <w:tcBorders>
              <w:left w:val="nil"/>
              <w:right w:val="nil"/>
            </w:tcBorders>
            <w:shd w:val="clear" w:color="auto" w:fill="auto"/>
          </w:tcPr>
          <w:p w:rsidR="008038D2" w:rsidRPr="00943181" w:rsidRDefault="008038D2" w:rsidP="00580297">
            <w:pPr>
              <w:jc w:val="right"/>
              <w:rPr>
                <w:color w:val="000000"/>
                <w:sz w:val="20"/>
                <w:szCs w:val="20"/>
              </w:rPr>
            </w:pPr>
            <w:r>
              <w:rPr>
                <w:color w:val="000000"/>
                <w:sz w:val="20"/>
                <w:szCs w:val="20"/>
              </w:rPr>
              <w:t>59</w:t>
            </w:r>
          </w:p>
        </w:tc>
        <w:tc>
          <w:tcPr>
            <w:tcW w:w="1985" w:type="dxa"/>
            <w:tcBorders>
              <w:left w:val="nil"/>
              <w:right w:val="nil"/>
            </w:tcBorders>
            <w:shd w:val="clear" w:color="auto" w:fill="auto"/>
          </w:tcPr>
          <w:p w:rsidR="008038D2" w:rsidRPr="005B6DCC" w:rsidRDefault="008038D2" w:rsidP="00580297">
            <w:pPr>
              <w:jc w:val="right"/>
              <w:rPr>
                <w:sz w:val="20"/>
                <w:szCs w:val="20"/>
              </w:rPr>
            </w:pPr>
            <w:r>
              <w:rPr>
                <w:sz w:val="20"/>
                <w:szCs w:val="20"/>
              </w:rPr>
              <w:t>175,745,000</w:t>
            </w:r>
          </w:p>
        </w:tc>
      </w:tr>
      <w:tr w:rsidR="008038D2" w:rsidRPr="00B93D7D" w:rsidTr="00580297">
        <w:tc>
          <w:tcPr>
            <w:tcW w:w="2093" w:type="dxa"/>
            <w:shd w:val="clear" w:color="auto" w:fill="auto"/>
          </w:tcPr>
          <w:p w:rsidR="008038D2" w:rsidRPr="00943181" w:rsidRDefault="008038D2" w:rsidP="00580297">
            <w:pPr>
              <w:rPr>
                <w:bCs/>
                <w:color w:val="000000"/>
                <w:sz w:val="20"/>
                <w:szCs w:val="20"/>
              </w:rPr>
            </w:pPr>
            <w:r>
              <w:rPr>
                <w:bCs/>
                <w:color w:val="000000"/>
                <w:sz w:val="20"/>
                <w:szCs w:val="20"/>
              </w:rPr>
              <w:t>Imperial College</w:t>
            </w:r>
          </w:p>
        </w:tc>
        <w:tc>
          <w:tcPr>
            <w:tcW w:w="992" w:type="dxa"/>
            <w:shd w:val="clear" w:color="auto" w:fill="auto"/>
          </w:tcPr>
          <w:p w:rsidR="008038D2" w:rsidRPr="00943181" w:rsidRDefault="008038D2" w:rsidP="00580297">
            <w:pPr>
              <w:jc w:val="right"/>
              <w:rPr>
                <w:color w:val="000000"/>
                <w:sz w:val="20"/>
                <w:szCs w:val="20"/>
              </w:rPr>
            </w:pPr>
            <w:r w:rsidRPr="00943181">
              <w:rPr>
                <w:color w:val="000000"/>
                <w:sz w:val="20"/>
                <w:szCs w:val="20"/>
              </w:rPr>
              <w:t>55</w:t>
            </w:r>
          </w:p>
        </w:tc>
        <w:tc>
          <w:tcPr>
            <w:tcW w:w="1843" w:type="dxa"/>
            <w:shd w:val="clear" w:color="auto" w:fill="auto"/>
          </w:tcPr>
          <w:p w:rsidR="008038D2" w:rsidRPr="005B6DCC" w:rsidRDefault="008038D2" w:rsidP="00580297">
            <w:pPr>
              <w:jc w:val="right"/>
              <w:rPr>
                <w:sz w:val="20"/>
                <w:szCs w:val="20"/>
              </w:rPr>
            </w:pPr>
            <w:r>
              <w:rPr>
                <w:sz w:val="20"/>
                <w:szCs w:val="20"/>
              </w:rPr>
              <w:t>39,745,868</w:t>
            </w:r>
          </w:p>
        </w:tc>
        <w:tc>
          <w:tcPr>
            <w:tcW w:w="1559" w:type="dxa"/>
            <w:shd w:val="clear" w:color="auto" w:fill="auto"/>
          </w:tcPr>
          <w:p w:rsidR="008038D2" w:rsidRPr="00943181" w:rsidRDefault="008038D2" w:rsidP="00580297">
            <w:pPr>
              <w:jc w:val="right"/>
              <w:rPr>
                <w:color w:val="000000"/>
                <w:sz w:val="20"/>
                <w:szCs w:val="20"/>
              </w:rPr>
            </w:pPr>
            <w:r>
              <w:rPr>
                <w:color w:val="000000"/>
                <w:sz w:val="20"/>
                <w:szCs w:val="20"/>
              </w:rPr>
              <w:t>739</w:t>
            </w:r>
          </w:p>
        </w:tc>
        <w:tc>
          <w:tcPr>
            <w:tcW w:w="1985" w:type="dxa"/>
            <w:shd w:val="clear" w:color="auto" w:fill="auto"/>
          </w:tcPr>
          <w:p w:rsidR="008038D2" w:rsidRPr="005B6DCC" w:rsidRDefault="008038D2" w:rsidP="00580297">
            <w:pPr>
              <w:jc w:val="right"/>
              <w:rPr>
                <w:sz w:val="20"/>
                <w:szCs w:val="20"/>
              </w:rPr>
            </w:pPr>
            <w:r>
              <w:rPr>
                <w:sz w:val="20"/>
                <w:szCs w:val="20"/>
              </w:rPr>
              <w:t>255,468,000</w:t>
            </w:r>
          </w:p>
        </w:tc>
      </w:tr>
      <w:tr w:rsidR="008038D2" w:rsidRPr="00B93D7D" w:rsidTr="00580297">
        <w:tc>
          <w:tcPr>
            <w:tcW w:w="2093" w:type="dxa"/>
            <w:tcBorders>
              <w:left w:val="nil"/>
              <w:right w:val="nil"/>
            </w:tcBorders>
            <w:shd w:val="clear" w:color="auto" w:fill="auto"/>
          </w:tcPr>
          <w:p w:rsidR="008038D2" w:rsidRPr="00943181" w:rsidRDefault="008038D2" w:rsidP="00580297">
            <w:pPr>
              <w:rPr>
                <w:bCs/>
                <w:color w:val="000000"/>
                <w:sz w:val="20"/>
                <w:szCs w:val="20"/>
              </w:rPr>
            </w:pPr>
            <w:r>
              <w:rPr>
                <w:bCs/>
                <w:color w:val="000000"/>
                <w:sz w:val="20"/>
                <w:szCs w:val="20"/>
              </w:rPr>
              <w:t>Edinburgh</w:t>
            </w:r>
          </w:p>
        </w:tc>
        <w:tc>
          <w:tcPr>
            <w:tcW w:w="992" w:type="dxa"/>
            <w:tcBorders>
              <w:left w:val="nil"/>
              <w:right w:val="nil"/>
            </w:tcBorders>
            <w:shd w:val="clear" w:color="auto" w:fill="auto"/>
          </w:tcPr>
          <w:p w:rsidR="008038D2" w:rsidRPr="00943181" w:rsidRDefault="008038D2" w:rsidP="00580297">
            <w:pPr>
              <w:jc w:val="right"/>
              <w:rPr>
                <w:color w:val="000000"/>
                <w:sz w:val="20"/>
                <w:szCs w:val="20"/>
              </w:rPr>
            </w:pPr>
            <w:r w:rsidRPr="00943181">
              <w:rPr>
                <w:color w:val="000000"/>
                <w:sz w:val="20"/>
                <w:szCs w:val="20"/>
              </w:rPr>
              <w:t>52</w:t>
            </w:r>
          </w:p>
        </w:tc>
        <w:tc>
          <w:tcPr>
            <w:tcW w:w="1843" w:type="dxa"/>
            <w:tcBorders>
              <w:left w:val="nil"/>
              <w:right w:val="nil"/>
            </w:tcBorders>
            <w:shd w:val="clear" w:color="auto" w:fill="auto"/>
          </w:tcPr>
          <w:p w:rsidR="008038D2" w:rsidRPr="005B6DCC" w:rsidRDefault="008038D2" w:rsidP="00580297">
            <w:pPr>
              <w:jc w:val="right"/>
              <w:rPr>
                <w:sz w:val="20"/>
                <w:szCs w:val="20"/>
              </w:rPr>
            </w:pPr>
            <w:r>
              <w:rPr>
                <w:sz w:val="20"/>
                <w:szCs w:val="20"/>
              </w:rPr>
              <w:t>123,543,399</w:t>
            </w:r>
          </w:p>
        </w:tc>
        <w:tc>
          <w:tcPr>
            <w:tcW w:w="1559" w:type="dxa"/>
            <w:tcBorders>
              <w:left w:val="nil"/>
              <w:right w:val="nil"/>
            </w:tcBorders>
            <w:shd w:val="clear" w:color="auto" w:fill="auto"/>
          </w:tcPr>
          <w:p w:rsidR="008038D2" w:rsidRPr="00943181" w:rsidRDefault="008038D2" w:rsidP="00580297">
            <w:pPr>
              <w:jc w:val="right"/>
              <w:rPr>
                <w:color w:val="000000"/>
                <w:sz w:val="20"/>
                <w:szCs w:val="20"/>
              </w:rPr>
            </w:pPr>
            <w:r>
              <w:rPr>
                <w:color w:val="000000"/>
                <w:sz w:val="20"/>
                <w:szCs w:val="20"/>
              </w:rPr>
              <w:t>87</w:t>
            </w:r>
          </w:p>
        </w:tc>
        <w:tc>
          <w:tcPr>
            <w:tcW w:w="1985" w:type="dxa"/>
            <w:tcBorders>
              <w:left w:val="nil"/>
              <w:right w:val="nil"/>
            </w:tcBorders>
            <w:shd w:val="clear" w:color="auto" w:fill="auto"/>
          </w:tcPr>
          <w:p w:rsidR="008038D2" w:rsidRPr="005B6DCC" w:rsidRDefault="008038D2" w:rsidP="00580297">
            <w:pPr>
              <w:jc w:val="right"/>
              <w:rPr>
                <w:sz w:val="20"/>
                <w:szCs w:val="20"/>
              </w:rPr>
            </w:pPr>
            <w:r>
              <w:rPr>
                <w:sz w:val="20"/>
                <w:szCs w:val="20"/>
              </w:rPr>
              <w:t>143,322,000</w:t>
            </w:r>
          </w:p>
        </w:tc>
      </w:tr>
      <w:tr w:rsidR="008038D2" w:rsidRPr="00B93D7D" w:rsidTr="00580297">
        <w:tc>
          <w:tcPr>
            <w:tcW w:w="2093" w:type="dxa"/>
            <w:shd w:val="clear" w:color="auto" w:fill="auto"/>
          </w:tcPr>
          <w:p w:rsidR="008038D2" w:rsidRPr="00943181" w:rsidRDefault="008038D2" w:rsidP="00580297">
            <w:pPr>
              <w:rPr>
                <w:bCs/>
                <w:color w:val="000000"/>
                <w:sz w:val="20"/>
                <w:szCs w:val="20"/>
              </w:rPr>
            </w:pPr>
            <w:r w:rsidRPr="00943181">
              <w:rPr>
                <w:bCs/>
                <w:color w:val="000000"/>
                <w:sz w:val="20"/>
                <w:szCs w:val="20"/>
              </w:rPr>
              <w:t>Strathclyde</w:t>
            </w:r>
            <w:r>
              <w:rPr>
                <w:bCs/>
                <w:color w:val="000000"/>
                <w:sz w:val="20"/>
                <w:szCs w:val="20"/>
              </w:rPr>
              <w:t>*</w:t>
            </w:r>
          </w:p>
        </w:tc>
        <w:tc>
          <w:tcPr>
            <w:tcW w:w="992" w:type="dxa"/>
            <w:shd w:val="clear" w:color="auto" w:fill="auto"/>
          </w:tcPr>
          <w:p w:rsidR="008038D2" w:rsidRPr="00943181" w:rsidRDefault="008038D2" w:rsidP="00580297">
            <w:pPr>
              <w:jc w:val="right"/>
              <w:rPr>
                <w:color w:val="000000"/>
                <w:sz w:val="20"/>
                <w:szCs w:val="20"/>
              </w:rPr>
            </w:pPr>
            <w:r w:rsidRPr="00943181">
              <w:rPr>
                <w:color w:val="000000"/>
                <w:sz w:val="20"/>
                <w:szCs w:val="20"/>
              </w:rPr>
              <w:t>45</w:t>
            </w:r>
          </w:p>
        </w:tc>
        <w:tc>
          <w:tcPr>
            <w:tcW w:w="1843" w:type="dxa"/>
            <w:shd w:val="clear" w:color="auto" w:fill="auto"/>
          </w:tcPr>
          <w:p w:rsidR="008038D2" w:rsidRPr="005B6DCC" w:rsidRDefault="008038D2" w:rsidP="00580297">
            <w:pPr>
              <w:jc w:val="right"/>
              <w:rPr>
                <w:sz w:val="20"/>
                <w:szCs w:val="20"/>
              </w:rPr>
            </w:pPr>
            <w:r>
              <w:rPr>
                <w:sz w:val="20"/>
                <w:szCs w:val="20"/>
              </w:rPr>
              <w:t>20,284,032</w:t>
            </w:r>
          </w:p>
        </w:tc>
        <w:tc>
          <w:tcPr>
            <w:tcW w:w="1559" w:type="dxa"/>
            <w:shd w:val="clear" w:color="auto" w:fill="auto"/>
          </w:tcPr>
          <w:p w:rsidR="008038D2" w:rsidRPr="00943181" w:rsidRDefault="008038D2" w:rsidP="00580297">
            <w:pPr>
              <w:jc w:val="right"/>
              <w:rPr>
                <w:color w:val="000000"/>
                <w:sz w:val="20"/>
                <w:szCs w:val="20"/>
              </w:rPr>
            </w:pPr>
            <w:r w:rsidRPr="00943181">
              <w:rPr>
                <w:color w:val="000000"/>
                <w:sz w:val="20"/>
                <w:szCs w:val="20"/>
              </w:rPr>
              <w:t>1</w:t>
            </w:r>
            <w:r>
              <w:rPr>
                <w:color w:val="000000"/>
                <w:sz w:val="20"/>
                <w:szCs w:val="20"/>
              </w:rPr>
              <w:t>7</w:t>
            </w:r>
          </w:p>
        </w:tc>
        <w:tc>
          <w:tcPr>
            <w:tcW w:w="1985" w:type="dxa"/>
            <w:shd w:val="clear" w:color="auto" w:fill="auto"/>
          </w:tcPr>
          <w:p w:rsidR="008038D2" w:rsidRPr="005B6DCC" w:rsidRDefault="008038D2" w:rsidP="00580297">
            <w:pPr>
              <w:jc w:val="right"/>
              <w:rPr>
                <w:sz w:val="20"/>
                <w:szCs w:val="20"/>
              </w:rPr>
            </w:pPr>
            <w:r>
              <w:rPr>
                <w:sz w:val="20"/>
                <w:szCs w:val="20"/>
              </w:rPr>
              <w:t>35,686,000</w:t>
            </w:r>
          </w:p>
        </w:tc>
      </w:tr>
      <w:tr w:rsidR="008038D2" w:rsidRPr="00B93D7D" w:rsidTr="00580297">
        <w:tc>
          <w:tcPr>
            <w:tcW w:w="2093" w:type="dxa"/>
            <w:tcBorders>
              <w:left w:val="nil"/>
              <w:right w:val="nil"/>
            </w:tcBorders>
            <w:shd w:val="clear" w:color="auto" w:fill="auto"/>
          </w:tcPr>
          <w:p w:rsidR="008038D2" w:rsidRPr="00943181" w:rsidRDefault="008038D2" w:rsidP="00580297">
            <w:pPr>
              <w:rPr>
                <w:bCs/>
                <w:color w:val="000000"/>
                <w:sz w:val="20"/>
                <w:szCs w:val="20"/>
              </w:rPr>
            </w:pPr>
            <w:r>
              <w:rPr>
                <w:bCs/>
                <w:color w:val="000000"/>
                <w:sz w:val="20"/>
                <w:szCs w:val="20"/>
              </w:rPr>
              <w:t>Leeds</w:t>
            </w:r>
          </w:p>
        </w:tc>
        <w:tc>
          <w:tcPr>
            <w:tcW w:w="992" w:type="dxa"/>
            <w:tcBorders>
              <w:left w:val="nil"/>
              <w:right w:val="nil"/>
            </w:tcBorders>
            <w:shd w:val="clear" w:color="auto" w:fill="auto"/>
          </w:tcPr>
          <w:p w:rsidR="008038D2" w:rsidRPr="00943181" w:rsidRDefault="008038D2" w:rsidP="00580297">
            <w:pPr>
              <w:jc w:val="right"/>
              <w:rPr>
                <w:color w:val="000000"/>
                <w:sz w:val="20"/>
                <w:szCs w:val="20"/>
              </w:rPr>
            </w:pPr>
            <w:r w:rsidRPr="00943181">
              <w:rPr>
                <w:color w:val="000000"/>
                <w:sz w:val="20"/>
                <w:szCs w:val="20"/>
              </w:rPr>
              <w:t>35</w:t>
            </w:r>
          </w:p>
        </w:tc>
        <w:tc>
          <w:tcPr>
            <w:tcW w:w="1843" w:type="dxa"/>
            <w:tcBorders>
              <w:left w:val="nil"/>
              <w:right w:val="nil"/>
            </w:tcBorders>
            <w:shd w:val="clear" w:color="auto" w:fill="auto"/>
          </w:tcPr>
          <w:p w:rsidR="008038D2" w:rsidRPr="005B6DCC" w:rsidRDefault="008038D2" w:rsidP="00580297">
            <w:pPr>
              <w:jc w:val="right"/>
              <w:rPr>
                <w:sz w:val="20"/>
                <w:szCs w:val="20"/>
              </w:rPr>
            </w:pPr>
            <w:r>
              <w:rPr>
                <w:sz w:val="20"/>
                <w:szCs w:val="20"/>
              </w:rPr>
              <w:t>11,674,158</w:t>
            </w:r>
          </w:p>
        </w:tc>
        <w:tc>
          <w:tcPr>
            <w:tcW w:w="1559" w:type="dxa"/>
            <w:tcBorders>
              <w:left w:val="nil"/>
              <w:right w:val="nil"/>
            </w:tcBorders>
            <w:shd w:val="clear" w:color="auto" w:fill="auto"/>
          </w:tcPr>
          <w:p w:rsidR="008038D2" w:rsidRPr="00943181" w:rsidRDefault="008038D2" w:rsidP="00580297">
            <w:pPr>
              <w:jc w:val="right"/>
              <w:rPr>
                <w:color w:val="000000"/>
                <w:sz w:val="20"/>
                <w:szCs w:val="20"/>
              </w:rPr>
            </w:pPr>
            <w:r>
              <w:rPr>
                <w:color w:val="000000"/>
                <w:sz w:val="20"/>
                <w:szCs w:val="20"/>
              </w:rPr>
              <w:t>25</w:t>
            </w:r>
          </w:p>
        </w:tc>
        <w:tc>
          <w:tcPr>
            <w:tcW w:w="1985" w:type="dxa"/>
            <w:tcBorders>
              <w:left w:val="nil"/>
              <w:right w:val="nil"/>
            </w:tcBorders>
            <w:shd w:val="clear" w:color="auto" w:fill="auto"/>
          </w:tcPr>
          <w:p w:rsidR="008038D2" w:rsidRPr="005B6DCC" w:rsidRDefault="008038D2" w:rsidP="00580297">
            <w:pPr>
              <w:jc w:val="right"/>
              <w:rPr>
                <w:sz w:val="20"/>
                <w:szCs w:val="20"/>
              </w:rPr>
            </w:pPr>
            <w:r>
              <w:rPr>
                <w:sz w:val="20"/>
                <w:szCs w:val="20"/>
              </w:rPr>
              <w:t>101,207,000</w:t>
            </w:r>
          </w:p>
        </w:tc>
      </w:tr>
      <w:tr w:rsidR="008038D2" w:rsidRPr="00B93D7D" w:rsidTr="00580297">
        <w:tc>
          <w:tcPr>
            <w:tcW w:w="2093" w:type="dxa"/>
            <w:shd w:val="clear" w:color="auto" w:fill="auto"/>
          </w:tcPr>
          <w:p w:rsidR="008038D2" w:rsidRPr="00943181" w:rsidRDefault="008038D2" w:rsidP="00580297">
            <w:pPr>
              <w:rPr>
                <w:bCs/>
                <w:color w:val="000000"/>
                <w:sz w:val="20"/>
                <w:szCs w:val="20"/>
              </w:rPr>
            </w:pPr>
            <w:r w:rsidRPr="00943181">
              <w:rPr>
                <w:bCs/>
                <w:color w:val="000000"/>
                <w:sz w:val="20"/>
                <w:szCs w:val="20"/>
              </w:rPr>
              <w:t>York</w:t>
            </w:r>
            <w:r>
              <w:rPr>
                <w:bCs/>
                <w:color w:val="000000"/>
                <w:sz w:val="20"/>
                <w:szCs w:val="20"/>
              </w:rPr>
              <w:t>*</w:t>
            </w:r>
          </w:p>
        </w:tc>
        <w:tc>
          <w:tcPr>
            <w:tcW w:w="992" w:type="dxa"/>
            <w:shd w:val="clear" w:color="auto" w:fill="auto"/>
          </w:tcPr>
          <w:p w:rsidR="008038D2" w:rsidRPr="00943181" w:rsidRDefault="008038D2" w:rsidP="00580297">
            <w:pPr>
              <w:jc w:val="right"/>
              <w:rPr>
                <w:color w:val="000000"/>
                <w:sz w:val="20"/>
                <w:szCs w:val="20"/>
              </w:rPr>
            </w:pPr>
            <w:r w:rsidRPr="00943181">
              <w:rPr>
                <w:color w:val="000000"/>
                <w:sz w:val="20"/>
                <w:szCs w:val="20"/>
              </w:rPr>
              <w:t>35</w:t>
            </w:r>
          </w:p>
        </w:tc>
        <w:tc>
          <w:tcPr>
            <w:tcW w:w="1843" w:type="dxa"/>
            <w:shd w:val="clear" w:color="auto" w:fill="auto"/>
          </w:tcPr>
          <w:p w:rsidR="008038D2" w:rsidRPr="005B6DCC" w:rsidRDefault="008038D2" w:rsidP="00580297">
            <w:pPr>
              <w:jc w:val="right"/>
              <w:rPr>
                <w:sz w:val="20"/>
                <w:szCs w:val="20"/>
              </w:rPr>
            </w:pPr>
            <w:r>
              <w:rPr>
                <w:sz w:val="20"/>
                <w:szCs w:val="20"/>
              </w:rPr>
              <w:t>8,807,632</w:t>
            </w:r>
          </w:p>
        </w:tc>
        <w:tc>
          <w:tcPr>
            <w:tcW w:w="1559" w:type="dxa"/>
            <w:shd w:val="clear" w:color="auto" w:fill="auto"/>
          </w:tcPr>
          <w:p w:rsidR="008038D2" w:rsidRPr="00943181" w:rsidRDefault="008038D2" w:rsidP="00580297">
            <w:pPr>
              <w:jc w:val="right"/>
              <w:rPr>
                <w:color w:val="000000"/>
                <w:sz w:val="20"/>
                <w:szCs w:val="20"/>
              </w:rPr>
            </w:pPr>
            <w:r>
              <w:rPr>
                <w:color w:val="000000"/>
                <w:sz w:val="20"/>
                <w:szCs w:val="20"/>
              </w:rPr>
              <w:t>6</w:t>
            </w:r>
          </w:p>
        </w:tc>
        <w:tc>
          <w:tcPr>
            <w:tcW w:w="1985" w:type="dxa"/>
            <w:shd w:val="clear" w:color="auto" w:fill="auto"/>
          </w:tcPr>
          <w:p w:rsidR="008038D2" w:rsidRPr="005B6DCC" w:rsidRDefault="008038D2" w:rsidP="00580297">
            <w:pPr>
              <w:jc w:val="right"/>
              <w:rPr>
                <w:sz w:val="20"/>
                <w:szCs w:val="20"/>
              </w:rPr>
            </w:pPr>
            <w:r>
              <w:rPr>
                <w:sz w:val="20"/>
                <w:szCs w:val="20"/>
              </w:rPr>
              <w:t>50,552,000</w:t>
            </w:r>
          </w:p>
        </w:tc>
      </w:tr>
      <w:tr w:rsidR="008038D2" w:rsidRPr="00B93D7D" w:rsidTr="00580297">
        <w:tc>
          <w:tcPr>
            <w:tcW w:w="2093" w:type="dxa"/>
            <w:tcBorders>
              <w:left w:val="nil"/>
              <w:right w:val="nil"/>
            </w:tcBorders>
            <w:shd w:val="clear" w:color="auto" w:fill="auto"/>
          </w:tcPr>
          <w:p w:rsidR="008038D2" w:rsidRPr="00943181" w:rsidRDefault="008038D2" w:rsidP="00580297">
            <w:pPr>
              <w:rPr>
                <w:bCs/>
                <w:color w:val="000000"/>
                <w:sz w:val="20"/>
                <w:szCs w:val="20"/>
              </w:rPr>
            </w:pPr>
            <w:r>
              <w:rPr>
                <w:bCs/>
                <w:color w:val="000000"/>
                <w:sz w:val="20"/>
                <w:szCs w:val="20"/>
              </w:rPr>
              <w:t>Warwick</w:t>
            </w:r>
          </w:p>
        </w:tc>
        <w:tc>
          <w:tcPr>
            <w:tcW w:w="992" w:type="dxa"/>
            <w:tcBorders>
              <w:left w:val="nil"/>
              <w:right w:val="nil"/>
            </w:tcBorders>
            <w:shd w:val="clear" w:color="auto" w:fill="auto"/>
          </w:tcPr>
          <w:p w:rsidR="008038D2" w:rsidRPr="00943181" w:rsidRDefault="008038D2" w:rsidP="00580297">
            <w:pPr>
              <w:jc w:val="right"/>
              <w:rPr>
                <w:color w:val="000000"/>
                <w:sz w:val="20"/>
                <w:szCs w:val="20"/>
              </w:rPr>
            </w:pPr>
            <w:r w:rsidRPr="00943181">
              <w:rPr>
                <w:color w:val="000000"/>
                <w:sz w:val="20"/>
                <w:szCs w:val="20"/>
              </w:rPr>
              <w:t>35</w:t>
            </w:r>
          </w:p>
        </w:tc>
        <w:tc>
          <w:tcPr>
            <w:tcW w:w="1843" w:type="dxa"/>
            <w:tcBorders>
              <w:left w:val="nil"/>
              <w:right w:val="nil"/>
            </w:tcBorders>
            <w:shd w:val="clear" w:color="auto" w:fill="auto"/>
          </w:tcPr>
          <w:p w:rsidR="008038D2" w:rsidRPr="005B6DCC" w:rsidRDefault="008038D2" w:rsidP="00580297">
            <w:pPr>
              <w:jc w:val="right"/>
              <w:rPr>
                <w:sz w:val="20"/>
                <w:szCs w:val="20"/>
              </w:rPr>
            </w:pPr>
            <w:r>
              <w:rPr>
                <w:sz w:val="20"/>
                <w:szCs w:val="20"/>
              </w:rPr>
              <w:t>1,020,332</w:t>
            </w:r>
          </w:p>
        </w:tc>
        <w:tc>
          <w:tcPr>
            <w:tcW w:w="1559" w:type="dxa"/>
            <w:tcBorders>
              <w:left w:val="nil"/>
              <w:right w:val="nil"/>
            </w:tcBorders>
            <w:shd w:val="clear" w:color="auto" w:fill="auto"/>
          </w:tcPr>
          <w:p w:rsidR="008038D2" w:rsidRPr="00943181" w:rsidRDefault="008038D2" w:rsidP="00580297">
            <w:pPr>
              <w:jc w:val="right"/>
              <w:rPr>
                <w:color w:val="000000"/>
                <w:sz w:val="20"/>
                <w:szCs w:val="20"/>
              </w:rPr>
            </w:pPr>
            <w:r>
              <w:rPr>
                <w:color w:val="000000"/>
                <w:sz w:val="20"/>
                <w:szCs w:val="20"/>
              </w:rPr>
              <w:t>5</w:t>
            </w:r>
          </w:p>
        </w:tc>
        <w:tc>
          <w:tcPr>
            <w:tcW w:w="1985" w:type="dxa"/>
            <w:tcBorders>
              <w:left w:val="nil"/>
              <w:right w:val="nil"/>
            </w:tcBorders>
            <w:shd w:val="clear" w:color="auto" w:fill="auto"/>
          </w:tcPr>
          <w:p w:rsidR="008038D2" w:rsidRPr="005B6DCC" w:rsidRDefault="008038D2" w:rsidP="00580297">
            <w:pPr>
              <w:jc w:val="right"/>
              <w:rPr>
                <w:sz w:val="20"/>
                <w:szCs w:val="20"/>
              </w:rPr>
            </w:pPr>
            <w:r>
              <w:rPr>
                <w:sz w:val="20"/>
                <w:szCs w:val="20"/>
              </w:rPr>
              <w:t>61,665,000</w:t>
            </w:r>
          </w:p>
        </w:tc>
      </w:tr>
      <w:tr w:rsidR="008038D2" w:rsidRPr="00B93D7D" w:rsidTr="00580297">
        <w:tc>
          <w:tcPr>
            <w:tcW w:w="2093" w:type="dxa"/>
            <w:shd w:val="clear" w:color="auto" w:fill="auto"/>
          </w:tcPr>
          <w:p w:rsidR="008038D2" w:rsidRPr="00943181" w:rsidRDefault="008038D2" w:rsidP="00580297">
            <w:pPr>
              <w:rPr>
                <w:bCs/>
                <w:color w:val="000000"/>
                <w:sz w:val="20"/>
                <w:szCs w:val="20"/>
              </w:rPr>
            </w:pPr>
            <w:r>
              <w:rPr>
                <w:bCs/>
                <w:color w:val="000000"/>
                <w:sz w:val="20"/>
                <w:szCs w:val="20"/>
              </w:rPr>
              <w:t>Nottingham</w:t>
            </w:r>
          </w:p>
        </w:tc>
        <w:tc>
          <w:tcPr>
            <w:tcW w:w="992" w:type="dxa"/>
            <w:shd w:val="clear" w:color="auto" w:fill="auto"/>
          </w:tcPr>
          <w:p w:rsidR="008038D2" w:rsidRPr="00943181" w:rsidRDefault="008038D2" w:rsidP="00580297">
            <w:pPr>
              <w:jc w:val="right"/>
              <w:rPr>
                <w:color w:val="000000"/>
                <w:sz w:val="20"/>
                <w:szCs w:val="20"/>
              </w:rPr>
            </w:pPr>
            <w:r w:rsidRPr="00943181">
              <w:rPr>
                <w:color w:val="000000"/>
                <w:sz w:val="20"/>
                <w:szCs w:val="20"/>
              </w:rPr>
              <w:t>32</w:t>
            </w:r>
          </w:p>
        </w:tc>
        <w:tc>
          <w:tcPr>
            <w:tcW w:w="1843" w:type="dxa"/>
            <w:shd w:val="clear" w:color="auto" w:fill="auto"/>
          </w:tcPr>
          <w:p w:rsidR="008038D2" w:rsidRPr="005B6DCC" w:rsidRDefault="008038D2" w:rsidP="00580297">
            <w:pPr>
              <w:jc w:val="right"/>
              <w:rPr>
                <w:sz w:val="20"/>
                <w:szCs w:val="20"/>
              </w:rPr>
            </w:pPr>
            <w:r>
              <w:rPr>
                <w:sz w:val="20"/>
                <w:szCs w:val="20"/>
              </w:rPr>
              <w:t>11,988,923</w:t>
            </w:r>
          </w:p>
        </w:tc>
        <w:tc>
          <w:tcPr>
            <w:tcW w:w="1559" w:type="dxa"/>
            <w:shd w:val="clear" w:color="auto" w:fill="auto"/>
          </w:tcPr>
          <w:p w:rsidR="008038D2" w:rsidRPr="00943181" w:rsidRDefault="008038D2" w:rsidP="00580297">
            <w:pPr>
              <w:jc w:val="right"/>
              <w:rPr>
                <w:color w:val="000000"/>
                <w:sz w:val="20"/>
                <w:szCs w:val="20"/>
              </w:rPr>
            </w:pPr>
            <w:r>
              <w:rPr>
                <w:color w:val="000000"/>
                <w:sz w:val="20"/>
                <w:szCs w:val="20"/>
              </w:rPr>
              <w:t>12</w:t>
            </w:r>
          </w:p>
        </w:tc>
        <w:tc>
          <w:tcPr>
            <w:tcW w:w="1985" w:type="dxa"/>
            <w:shd w:val="clear" w:color="auto" w:fill="auto"/>
          </w:tcPr>
          <w:p w:rsidR="008038D2" w:rsidRPr="005B6DCC" w:rsidRDefault="008038D2" w:rsidP="00580297">
            <w:pPr>
              <w:jc w:val="right"/>
              <w:rPr>
                <w:sz w:val="20"/>
                <w:szCs w:val="20"/>
              </w:rPr>
            </w:pPr>
            <w:r>
              <w:rPr>
                <w:sz w:val="20"/>
                <w:szCs w:val="20"/>
              </w:rPr>
              <w:t>83,821,000</w:t>
            </w:r>
          </w:p>
        </w:tc>
      </w:tr>
      <w:tr w:rsidR="008038D2" w:rsidRPr="00B93D7D" w:rsidTr="00580297">
        <w:tc>
          <w:tcPr>
            <w:tcW w:w="2093" w:type="dxa"/>
            <w:tcBorders>
              <w:left w:val="nil"/>
              <w:right w:val="nil"/>
            </w:tcBorders>
            <w:shd w:val="clear" w:color="auto" w:fill="auto"/>
          </w:tcPr>
          <w:p w:rsidR="008038D2" w:rsidRPr="00943181" w:rsidRDefault="008038D2" w:rsidP="00580297">
            <w:pPr>
              <w:rPr>
                <w:bCs/>
                <w:color w:val="000000"/>
                <w:sz w:val="20"/>
                <w:szCs w:val="20"/>
              </w:rPr>
            </w:pPr>
            <w:r w:rsidRPr="00943181">
              <w:rPr>
                <w:bCs/>
                <w:color w:val="000000"/>
                <w:sz w:val="20"/>
                <w:szCs w:val="20"/>
              </w:rPr>
              <w:t>Surrey</w:t>
            </w:r>
            <w:r>
              <w:rPr>
                <w:bCs/>
                <w:color w:val="000000"/>
                <w:sz w:val="20"/>
                <w:szCs w:val="20"/>
              </w:rPr>
              <w:t>*</w:t>
            </w:r>
          </w:p>
        </w:tc>
        <w:tc>
          <w:tcPr>
            <w:tcW w:w="992" w:type="dxa"/>
            <w:tcBorders>
              <w:left w:val="nil"/>
              <w:right w:val="nil"/>
            </w:tcBorders>
            <w:shd w:val="clear" w:color="auto" w:fill="auto"/>
          </w:tcPr>
          <w:p w:rsidR="008038D2" w:rsidRPr="00943181" w:rsidRDefault="008038D2" w:rsidP="00580297">
            <w:pPr>
              <w:jc w:val="right"/>
              <w:rPr>
                <w:color w:val="000000"/>
                <w:sz w:val="20"/>
                <w:szCs w:val="20"/>
              </w:rPr>
            </w:pPr>
            <w:r w:rsidRPr="00943181">
              <w:rPr>
                <w:color w:val="000000"/>
                <w:sz w:val="20"/>
                <w:szCs w:val="20"/>
              </w:rPr>
              <w:t>25</w:t>
            </w:r>
          </w:p>
        </w:tc>
        <w:tc>
          <w:tcPr>
            <w:tcW w:w="1843" w:type="dxa"/>
            <w:tcBorders>
              <w:left w:val="nil"/>
              <w:right w:val="nil"/>
            </w:tcBorders>
            <w:shd w:val="clear" w:color="auto" w:fill="auto"/>
          </w:tcPr>
          <w:p w:rsidR="008038D2" w:rsidRPr="005B6DCC" w:rsidRDefault="008038D2" w:rsidP="00580297">
            <w:pPr>
              <w:jc w:val="right"/>
              <w:rPr>
                <w:sz w:val="20"/>
                <w:szCs w:val="20"/>
              </w:rPr>
            </w:pPr>
            <w:r>
              <w:rPr>
                <w:sz w:val="20"/>
                <w:szCs w:val="20"/>
              </w:rPr>
              <w:t>75,113,902</w:t>
            </w:r>
          </w:p>
        </w:tc>
        <w:tc>
          <w:tcPr>
            <w:tcW w:w="1559" w:type="dxa"/>
            <w:tcBorders>
              <w:left w:val="nil"/>
              <w:right w:val="nil"/>
            </w:tcBorders>
            <w:shd w:val="clear" w:color="auto" w:fill="auto"/>
          </w:tcPr>
          <w:p w:rsidR="008038D2" w:rsidRPr="00943181" w:rsidRDefault="008038D2" w:rsidP="00580297">
            <w:pPr>
              <w:jc w:val="right"/>
              <w:rPr>
                <w:color w:val="000000"/>
                <w:sz w:val="20"/>
                <w:szCs w:val="20"/>
              </w:rPr>
            </w:pPr>
            <w:r>
              <w:rPr>
                <w:color w:val="000000"/>
                <w:sz w:val="20"/>
                <w:szCs w:val="20"/>
              </w:rPr>
              <w:t>29</w:t>
            </w:r>
          </w:p>
        </w:tc>
        <w:tc>
          <w:tcPr>
            <w:tcW w:w="1985" w:type="dxa"/>
            <w:tcBorders>
              <w:left w:val="nil"/>
              <w:right w:val="nil"/>
            </w:tcBorders>
            <w:shd w:val="clear" w:color="auto" w:fill="auto"/>
          </w:tcPr>
          <w:p w:rsidR="008038D2" w:rsidRPr="005B6DCC" w:rsidRDefault="008038D2" w:rsidP="00580297">
            <w:pPr>
              <w:jc w:val="right"/>
              <w:rPr>
                <w:sz w:val="20"/>
                <w:szCs w:val="20"/>
              </w:rPr>
            </w:pPr>
            <w:r>
              <w:rPr>
                <w:sz w:val="20"/>
                <w:szCs w:val="20"/>
              </w:rPr>
              <w:t>30,722,000</w:t>
            </w:r>
          </w:p>
        </w:tc>
      </w:tr>
      <w:tr w:rsidR="008038D2" w:rsidRPr="00B93D7D" w:rsidTr="00580297">
        <w:tc>
          <w:tcPr>
            <w:tcW w:w="2093" w:type="dxa"/>
            <w:shd w:val="clear" w:color="auto" w:fill="auto"/>
          </w:tcPr>
          <w:p w:rsidR="008038D2" w:rsidRPr="00943181" w:rsidRDefault="008038D2" w:rsidP="00580297">
            <w:pPr>
              <w:rPr>
                <w:bCs/>
                <w:color w:val="000000"/>
                <w:sz w:val="20"/>
                <w:szCs w:val="20"/>
              </w:rPr>
            </w:pPr>
            <w:r>
              <w:rPr>
                <w:bCs/>
                <w:color w:val="000000"/>
                <w:sz w:val="20"/>
                <w:szCs w:val="20"/>
              </w:rPr>
              <w:t>Newcastle</w:t>
            </w:r>
          </w:p>
        </w:tc>
        <w:tc>
          <w:tcPr>
            <w:tcW w:w="992" w:type="dxa"/>
            <w:shd w:val="clear" w:color="auto" w:fill="auto"/>
          </w:tcPr>
          <w:p w:rsidR="008038D2" w:rsidRPr="00943181" w:rsidRDefault="008038D2" w:rsidP="00580297">
            <w:pPr>
              <w:jc w:val="right"/>
              <w:rPr>
                <w:color w:val="000000"/>
                <w:sz w:val="20"/>
                <w:szCs w:val="20"/>
              </w:rPr>
            </w:pPr>
            <w:r w:rsidRPr="00943181">
              <w:rPr>
                <w:color w:val="000000"/>
                <w:sz w:val="20"/>
                <w:szCs w:val="20"/>
              </w:rPr>
              <w:t>23</w:t>
            </w:r>
          </w:p>
        </w:tc>
        <w:tc>
          <w:tcPr>
            <w:tcW w:w="1843" w:type="dxa"/>
            <w:shd w:val="clear" w:color="auto" w:fill="auto"/>
          </w:tcPr>
          <w:p w:rsidR="008038D2" w:rsidRPr="005B6DCC" w:rsidRDefault="008038D2" w:rsidP="00580297">
            <w:pPr>
              <w:jc w:val="right"/>
              <w:rPr>
                <w:sz w:val="20"/>
                <w:szCs w:val="20"/>
              </w:rPr>
            </w:pPr>
            <w:r>
              <w:rPr>
                <w:sz w:val="20"/>
                <w:szCs w:val="20"/>
              </w:rPr>
              <w:t>19,216,864</w:t>
            </w:r>
          </w:p>
        </w:tc>
        <w:tc>
          <w:tcPr>
            <w:tcW w:w="1559" w:type="dxa"/>
            <w:shd w:val="clear" w:color="auto" w:fill="auto"/>
          </w:tcPr>
          <w:p w:rsidR="008038D2" w:rsidRPr="00943181" w:rsidRDefault="008038D2" w:rsidP="00580297">
            <w:pPr>
              <w:jc w:val="right"/>
              <w:rPr>
                <w:color w:val="000000"/>
                <w:sz w:val="20"/>
                <w:szCs w:val="20"/>
              </w:rPr>
            </w:pPr>
            <w:r>
              <w:rPr>
                <w:color w:val="000000"/>
                <w:sz w:val="20"/>
                <w:szCs w:val="20"/>
              </w:rPr>
              <w:t>13</w:t>
            </w:r>
          </w:p>
        </w:tc>
        <w:tc>
          <w:tcPr>
            <w:tcW w:w="1985" w:type="dxa"/>
            <w:shd w:val="clear" w:color="auto" w:fill="auto"/>
          </w:tcPr>
          <w:p w:rsidR="008038D2" w:rsidRPr="005B6DCC" w:rsidRDefault="008038D2" w:rsidP="00580297">
            <w:pPr>
              <w:jc w:val="right"/>
              <w:rPr>
                <w:sz w:val="20"/>
                <w:szCs w:val="20"/>
              </w:rPr>
            </w:pPr>
            <w:r>
              <w:rPr>
                <w:sz w:val="20"/>
                <w:szCs w:val="20"/>
              </w:rPr>
              <w:t>75,401,000</w:t>
            </w:r>
          </w:p>
        </w:tc>
      </w:tr>
      <w:tr w:rsidR="008038D2" w:rsidRPr="00B93D7D" w:rsidTr="00580297">
        <w:tc>
          <w:tcPr>
            <w:tcW w:w="2093" w:type="dxa"/>
            <w:tcBorders>
              <w:left w:val="nil"/>
              <w:right w:val="nil"/>
            </w:tcBorders>
            <w:shd w:val="clear" w:color="auto" w:fill="auto"/>
          </w:tcPr>
          <w:p w:rsidR="008038D2" w:rsidRPr="00943181" w:rsidRDefault="008038D2" w:rsidP="00580297">
            <w:pPr>
              <w:rPr>
                <w:bCs/>
                <w:color w:val="000000"/>
                <w:sz w:val="20"/>
                <w:szCs w:val="20"/>
              </w:rPr>
            </w:pPr>
            <w:r>
              <w:rPr>
                <w:bCs/>
                <w:color w:val="000000"/>
                <w:sz w:val="20"/>
                <w:szCs w:val="20"/>
              </w:rPr>
              <w:t>Glasgow</w:t>
            </w:r>
          </w:p>
        </w:tc>
        <w:tc>
          <w:tcPr>
            <w:tcW w:w="992" w:type="dxa"/>
            <w:tcBorders>
              <w:left w:val="nil"/>
              <w:right w:val="nil"/>
            </w:tcBorders>
            <w:shd w:val="clear" w:color="auto" w:fill="auto"/>
          </w:tcPr>
          <w:p w:rsidR="008038D2" w:rsidRPr="00943181" w:rsidRDefault="008038D2" w:rsidP="00580297">
            <w:pPr>
              <w:jc w:val="right"/>
              <w:rPr>
                <w:color w:val="000000"/>
                <w:sz w:val="20"/>
                <w:szCs w:val="20"/>
              </w:rPr>
            </w:pPr>
            <w:r w:rsidRPr="00943181">
              <w:rPr>
                <w:color w:val="000000"/>
                <w:sz w:val="20"/>
                <w:szCs w:val="20"/>
              </w:rPr>
              <w:t>23</w:t>
            </w:r>
          </w:p>
        </w:tc>
        <w:tc>
          <w:tcPr>
            <w:tcW w:w="1843" w:type="dxa"/>
            <w:tcBorders>
              <w:left w:val="nil"/>
              <w:right w:val="nil"/>
            </w:tcBorders>
            <w:shd w:val="clear" w:color="auto" w:fill="auto"/>
          </w:tcPr>
          <w:p w:rsidR="008038D2" w:rsidRPr="005B6DCC" w:rsidRDefault="008038D2" w:rsidP="00580297">
            <w:pPr>
              <w:jc w:val="right"/>
              <w:rPr>
                <w:sz w:val="20"/>
                <w:szCs w:val="20"/>
              </w:rPr>
            </w:pPr>
            <w:r>
              <w:rPr>
                <w:sz w:val="20"/>
                <w:szCs w:val="20"/>
              </w:rPr>
              <w:t>14,602,933</w:t>
            </w:r>
          </w:p>
        </w:tc>
        <w:tc>
          <w:tcPr>
            <w:tcW w:w="1559" w:type="dxa"/>
            <w:tcBorders>
              <w:left w:val="nil"/>
              <w:right w:val="nil"/>
            </w:tcBorders>
            <w:shd w:val="clear" w:color="auto" w:fill="auto"/>
          </w:tcPr>
          <w:p w:rsidR="008038D2" w:rsidRPr="00943181" w:rsidRDefault="008038D2" w:rsidP="00580297">
            <w:pPr>
              <w:jc w:val="right"/>
              <w:rPr>
                <w:color w:val="000000"/>
                <w:sz w:val="20"/>
                <w:szCs w:val="20"/>
              </w:rPr>
            </w:pPr>
            <w:r>
              <w:rPr>
                <w:color w:val="000000"/>
                <w:sz w:val="20"/>
                <w:szCs w:val="20"/>
              </w:rPr>
              <w:t>9</w:t>
            </w:r>
          </w:p>
        </w:tc>
        <w:tc>
          <w:tcPr>
            <w:tcW w:w="1985" w:type="dxa"/>
            <w:tcBorders>
              <w:left w:val="nil"/>
              <w:right w:val="nil"/>
            </w:tcBorders>
            <w:shd w:val="clear" w:color="auto" w:fill="auto"/>
          </w:tcPr>
          <w:p w:rsidR="008038D2" w:rsidRPr="005B6DCC" w:rsidRDefault="008038D2" w:rsidP="00580297">
            <w:pPr>
              <w:jc w:val="right"/>
              <w:rPr>
                <w:sz w:val="20"/>
                <w:szCs w:val="20"/>
              </w:rPr>
            </w:pPr>
            <w:r>
              <w:rPr>
                <w:sz w:val="20"/>
                <w:szCs w:val="20"/>
              </w:rPr>
              <w:t>116,840,000</w:t>
            </w:r>
          </w:p>
        </w:tc>
      </w:tr>
      <w:tr w:rsidR="008038D2" w:rsidRPr="00B93D7D" w:rsidTr="00580297">
        <w:tc>
          <w:tcPr>
            <w:tcW w:w="2093" w:type="dxa"/>
            <w:shd w:val="clear" w:color="auto" w:fill="auto"/>
          </w:tcPr>
          <w:p w:rsidR="008038D2" w:rsidRPr="00943181" w:rsidRDefault="008038D2" w:rsidP="00580297">
            <w:pPr>
              <w:rPr>
                <w:bCs/>
                <w:color w:val="000000"/>
                <w:sz w:val="20"/>
                <w:szCs w:val="20"/>
              </w:rPr>
            </w:pPr>
            <w:r w:rsidRPr="00943181">
              <w:rPr>
                <w:bCs/>
                <w:color w:val="000000"/>
                <w:sz w:val="20"/>
                <w:szCs w:val="20"/>
              </w:rPr>
              <w:t>Heriot-Watt</w:t>
            </w:r>
            <w:r>
              <w:rPr>
                <w:bCs/>
                <w:color w:val="000000"/>
                <w:sz w:val="20"/>
                <w:szCs w:val="20"/>
              </w:rPr>
              <w:t>*</w:t>
            </w:r>
          </w:p>
        </w:tc>
        <w:tc>
          <w:tcPr>
            <w:tcW w:w="992" w:type="dxa"/>
            <w:shd w:val="clear" w:color="auto" w:fill="auto"/>
          </w:tcPr>
          <w:p w:rsidR="008038D2" w:rsidRPr="00943181" w:rsidRDefault="008038D2" w:rsidP="00580297">
            <w:pPr>
              <w:jc w:val="right"/>
              <w:rPr>
                <w:color w:val="000000"/>
                <w:sz w:val="20"/>
                <w:szCs w:val="20"/>
              </w:rPr>
            </w:pPr>
            <w:r w:rsidRPr="00943181">
              <w:rPr>
                <w:color w:val="000000"/>
                <w:sz w:val="20"/>
                <w:szCs w:val="20"/>
              </w:rPr>
              <w:t>23</w:t>
            </w:r>
          </w:p>
        </w:tc>
        <w:tc>
          <w:tcPr>
            <w:tcW w:w="1843" w:type="dxa"/>
            <w:shd w:val="clear" w:color="auto" w:fill="auto"/>
          </w:tcPr>
          <w:p w:rsidR="008038D2" w:rsidRPr="005B6DCC" w:rsidRDefault="008038D2" w:rsidP="00580297">
            <w:pPr>
              <w:jc w:val="right"/>
              <w:rPr>
                <w:sz w:val="20"/>
                <w:szCs w:val="20"/>
              </w:rPr>
            </w:pPr>
            <w:r>
              <w:rPr>
                <w:sz w:val="20"/>
                <w:szCs w:val="20"/>
              </w:rPr>
              <w:t>4,987,348</w:t>
            </w:r>
          </w:p>
        </w:tc>
        <w:tc>
          <w:tcPr>
            <w:tcW w:w="1559" w:type="dxa"/>
            <w:shd w:val="clear" w:color="auto" w:fill="auto"/>
          </w:tcPr>
          <w:p w:rsidR="008038D2" w:rsidRPr="00943181" w:rsidRDefault="008038D2" w:rsidP="00580297">
            <w:pPr>
              <w:jc w:val="right"/>
              <w:rPr>
                <w:color w:val="000000"/>
                <w:sz w:val="20"/>
                <w:szCs w:val="20"/>
              </w:rPr>
            </w:pPr>
            <w:r>
              <w:rPr>
                <w:color w:val="000000"/>
                <w:sz w:val="20"/>
                <w:szCs w:val="20"/>
              </w:rPr>
              <w:t>23</w:t>
            </w:r>
          </w:p>
        </w:tc>
        <w:tc>
          <w:tcPr>
            <w:tcW w:w="1985" w:type="dxa"/>
            <w:shd w:val="clear" w:color="auto" w:fill="auto"/>
          </w:tcPr>
          <w:p w:rsidR="008038D2" w:rsidRPr="005B6DCC" w:rsidRDefault="008038D2" w:rsidP="00580297">
            <w:pPr>
              <w:jc w:val="right"/>
              <w:rPr>
                <w:sz w:val="20"/>
                <w:szCs w:val="20"/>
              </w:rPr>
            </w:pPr>
            <w:r>
              <w:rPr>
                <w:sz w:val="20"/>
                <w:szCs w:val="20"/>
              </w:rPr>
              <w:t>15,423,000</w:t>
            </w:r>
          </w:p>
        </w:tc>
      </w:tr>
      <w:tr w:rsidR="008038D2" w:rsidRPr="00B93D7D" w:rsidTr="00580297">
        <w:tc>
          <w:tcPr>
            <w:tcW w:w="2093" w:type="dxa"/>
            <w:tcBorders>
              <w:left w:val="nil"/>
              <w:right w:val="nil"/>
            </w:tcBorders>
            <w:shd w:val="clear" w:color="auto" w:fill="auto"/>
          </w:tcPr>
          <w:p w:rsidR="008038D2" w:rsidRPr="00943181" w:rsidRDefault="008038D2" w:rsidP="00580297">
            <w:pPr>
              <w:rPr>
                <w:bCs/>
                <w:color w:val="000000"/>
                <w:sz w:val="20"/>
                <w:szCs w:val="20"/>
              </w:rPr>
            </w:pPr>
            <w:r w:rsidRPr="00943181">
              <w:rPr>
                <w:bCs/>
                <w:color w:val="000000"/>
                <w:sz w:val="20"/>
                <w:szCs w:val="20"/>
              </w:rPr>
              <w:t xml:space="preserve">Dundee </w:t>
            </w:r>
            <w:r>
              <w:rPr>
                <w:bCs/>
                <w:color w:val="000000"/>
                <w:sz w:val="20"/>
                <w:szCs w:val="20"/>
              </w:rPr>
              <w:t>*</w:t>
            </w:r>
          </w:p>
        </w:tc>
        <w:tc>
          <w:tcPr>
            <w:tcW w:w="992" w:type="dxa"/>
            <w:tcBorders>
              <w:left w:val="nil"/>
              <w:right w:val="nil"/>
            </w:tcBorders>
            <w:shd w:val="clear" w:color="auto" w:fill="auto"/>
          </w:tcPr>
          <w:p w:rsidR="008038D2" w:rsidRPr="00943181" w:rsidRDefault="008038D2" w:rsidP="00580297">
            <w:pPr>
              <w:jc w:val="right"/>
              <w:rPr>
                <w:color w:val="000000"/>
                <w:sz w:val="20"/>
                <w:szCs w:val="20"/>
              </w:rPr>
            </w:pPr>
            <w:r w:rsidRPr="00943181">
              <w:rPr>
                <w:color w:val="000000"/>
                <w:sz w:val="20"/>
                <w:szCs w:val="20"/>
              </w:rPr>
              <w:t>21</w:t>
            </w:r>
          </w:p>
        </w:tc>
        <w:tc>
          <w:tcPr>
            <w:tcW w:w="1843" w:type="dxa"/>
            <w:tcBorders>
              <w:left w:val="nil"/>
              <w:right w:val="nil"/>
            </w:tcBorders>
            <w:shd w:val="clear" w:color="auto" w:fill="auto"/>
          </w:tcPr>
          <w:p w:rsidR="008038D2" w:rsidRPr="005B6DCC" w:rsidRDefault="008038D2" w:rsidP="00580297">
            <w:pPr>
              <w:jc w:val="right"/>
              <w:rPr>
                <w:sz w:val="20"/>
                <w:szCs w:val="20"/>
              </w:rPr>
            </w:pPr>
            <w:r>
              <w:rPr>
                <w:sz w:val="20"/>
                <w:szCs w:val="20"/>
              </w:rPr>
              <w:t>14,147,259</w:t>
            </w:r>
          </w:p>
        </w:tc>
        <w:tc>
          <w:tcPr>
            <w:tcW w:w="1559" w:type="dxa"/>
            <w:tcBorders>
              <w:left w:val="nil"/>
              <w:right w:val="nil"/>
            </w:tcBorders>
            <w:shd w:val="clear" w:color="auto" w:fill="auto"/>
          </w:tcPr>
          <w:p w:rsidR="008038D2" w:rsidRPr="00943181" w:rsidRDefault="008038D2" w:rsidP="00580297">
            <w:pPr>
              <w:jc w:val="right"/>
              <w:rPr>
                <w:color w:val="000000"/>
                <w:sz w:val="20"/>
                <w:szCs w:val="20"/>
              </w:rPr>
            </w:pPr>
            <w:r>
              <w:rPr>
                <w:color w:val="000000"/>
                <w:sz w:val="20"/>
                <w:szCs w:val="20"/>
              </w:rPr>
              <w:t>15</w:t>
            </w:r>
          </w:p>
        </w:tc>
        <w:tc>
          <w:tcPr>
            <w:tcW w:w="1985" w:type="dxa"/>
            <w:tcBorders>
              <w:left w:val="nil"/>
              <w:right w:val="nil"/>
            </w:tcBorders>
            <w:shd w:val="clear" w:color="auto" w:fill="auto"/>
          </w:tcPr>
          <w:p w:rsidR="008038D2" w:rsidRPr="005B6DCC" w:rsidRDefault="008038D2" w:rsidP="00580297">
            <w:pPr>
              <w:jc w:val="right"/>
              <w:rPr>
                <w:sz w:val="20"/>
                <w:szCs w:val="20"/>
              </w:rPr>
            </w:pPr>
            <w:r>
              <w:rPr>
                <w:sz w:val="20"/>
                <w:szCs w:val="20"/>
              </w:rPr>
              <w:t>54,226,000</w:t>
            </w:r>
          </w:p>
        </w:tc>
      </w:tr>
      <w:tr w:rsidR="008038D2" w:rsidRPr="00B93D7D" w:rsidTr="00580297">
        <w:tc>
          <w:tcPr>
            <w:tcW w:w="2093" w:type="dxa"/>
            <w:shd w:val="clear" w:color="auto" w:fill="auto"/>
          </w:tcPr>
          <w:p w:rsidR="008038D2" w:rsidRPr="00943181" w:rsidRDefault="008038D2" w:rsidP="00580297">
            <w:pPr>
              <w:rPr>
                <w:bCs/>
                <w:color w:val="000000"/>
                <w:sz w:val="20"/>
                <w:szCs w:val="20"/>
              </w:rPr>
            </w:pPr>
            <w:r>
              <w:rPr>
                <w:bCs/>
                <w:color w:val="000000"/>
                <w:sz w:val="20"/>
                <w:szCs w:val="20"/>
              </w:rPr>
              <w:t>King's College</w:t>
            </w:r>
          </w:p>
        </w:tc>
        <w:tc>
          <w:tcPr>
            <w:tcW w:w="992" w:type="dxa"/>
            <w:shd w:val="clear" w:color="auto" w:fill="auto"/>
          </w:tcPr>
          <w:p w:rsidR="008038D2" w:rsidRPr="00943181" w:rsidRDefault="008038D2" w:rsidP="00580297">
            <w:pPr>
              <w:jc w:val="right"/>
              <w:rPr>
                <w:color w:val="000000"/>
                <w:sz w:val="20"/>
                <w:szCs w:val="20"/>
              </w:rPr>
            </w:pPr>
            <w:r w:rsidRPr="00943181">
              <w:rPr>
                <w:color w:val="000000"/>
                <w:sz w:val="20"/>
                <w:szCs w:val="20"/>
              </w:rPr>
              <w:t>19</w:t>
            </w:r>
          </w:p>
        </w:tc>
        <w:tc>
          <w:tcPr>
            <w:tcW w:w="1843" w:type="dxa"/>
            <w:shd w:val="clear" w:color="auto" w:fill="auto"/>
          </w:tcPr>
          <w:p w:rsidR="008038D2" w:rsidRPr="005B6DCC" w:rsidRDefault="008038D2" w:rsidP="00580297">
            <w:pPr>
              <w:jc w:val="right"/>
              <w:rPr>
                <w:sz w:val="20"/>
                <w:szCs w:val="20"/>
              </w:rPr>
            </w:pPr>
            <w:r>
              <w:rPr>
                <w:sz w:val="20"/>
                <w:szCs w:val="20"/>
              </w:rPr>
              <w:t>12,205,096</w:t>
            </w:r>
          </w:p>
        </w:tc>
        <w:tc>
          <w:tcPr>
            <w:tcW w:w="1559" w:type="dxa"/>
            <w:shd w:val="clear" w:color="auto" w:fill="auto"/>
          </w:tcPr>
          <w:p w:rsidR="008038D2" w:rsidRPr="00943181" w:rsidRDefault="008038D2" w:rsidP="00580297">
            <w:pPr>
              <w:jc w:val="right"/>
              <w:rPr>
                <w:color w:val="000000"/>
                <w:sz w:val="20"/>
                <w:szCs w:val="20"/>
              </w:rPr>
            </w:pPr>
            <w:r>
              <w:rPr>
                <w:color w:val="000000"/>
                <w:sz w:val="20"/>
                <w:szCs w:val="20"/>
              </w:rPr>
              <w:t>104</w:t>
            </w:r>
          </w:p>
        </w:tc>
        <w:tc>
          <w:tcPr>
            <w:tcW w:w="1985" w:type="dxa"/>
            <w:shd w:val="clear" w:color="auto" w:fill="auto"/>
          </w:tcPr>
          <w:p w:rsidR="008038D2" w:rsidRPr="005B6DCC" w:rsidRDefault="008038D2" w:rsidP="00580297">
            <w:pPr>
              <w:jc w:val="right"/>
              <w:rPr>
                <w:sz w:val="20"/>
                <w:szCs w:val="20"/>
              </w:rPr>
            </w:pPr>
            <w:r>
              <w:rPr>
                <w:sz w:val="20"/>
                <w:szCs w:val="20"/>
              </w:rPr>
              <w:t>118,865,000</w:t>
            </w:r>
          </w:p>
        </w:tc>
      </w:tr>
      <w:tr w:rsidR="008038D2" w:rsidRPr="00B93D7D" w:rsidTr="00580297">
        <w:tc>
          <w:tcPr>
            <w:tcW w:w="2093" w:type="dxa"/>
            <w:tcBorders>
              <w:left w:val="nil"/>
              <w:right w:val="nil"/>
            </w:tcBorders>
            <w:shd w:val="clear" w:color="auto" w:fill="auto"/>
          </w:tcPr>
          <w:p w:rsidR="008038D2" w:rsidRPr="00943181" w:rsidRDefault="008038D2" w:rsidP="00580297">
            <w:pPr>
              <w:rPr>
                <w:bCs/>
                <w:color w:val="000000"/>
                <w:sz w:val="20"/>
                <w:szCs w:val="20"/>
              </w:rPr>
            </w:pPr>
            <w:r>
              <w:rPr>
                <w:bCs/>
                <w:color w:val="000000"/>
                <w:sz w:val="20"/>
                <w:szCs w:val="20"/>
              </w:rPr>
              <w:t>Southampton</w:t>
            </w:r>
          </w:p>
        </w:tc>
        <w:tc>
          <w:tcPr>
            <w:tcW w:w="992" w:type="dxa"/>
            <w:tcBorders>
              <w:left w:val="nil"/>
              <w:right w:val="nil"/>
            </w:tcBorders>
            <w:shd w:val="clear" w:color="auto" w:fill="auto"/>
          </w:tcPr>
          <w:p w:rsidR="008038D2" w:rsidRPr="00943181" w:rsidRDefault="008038D2" w:rsidP="00580297">
            <w:pPr>
              <w:jc w:val="right"/>
              <w:rPr>
                <w:color w:val="000000"/>
                <w:sz w:val="20"/>
                <w:szCs w:val="20"/>
              </w:rPr>
            </w:pPr>
            <w:r w:rsidRPr="00943181">
              <w:rPr>
                <w:color w:val="000000"/>
                <w:sz w:val="20"/>
                <w:szCs w:val="20"/>
              </w:rPr>
              <w:t>19</w:t>
            </w:r>
          </w:p>
        </w:tc>
        <w:tc>
          <w:tcPr>
            <w:tcW w:w="1843" w:type="dxa"/>
            <w:tcBorders>
              <w:left w:val="nil"/>
              <w:right w:val="nil"/>
            </w:tcBorders>
            <w:shd w:val="clear" w:color="auto" w:fill="auto"/>
          </w:tcPr>
          <w:p w:rsidR="008038D2" w:rsidRPr="005B6DCC" w:rsidRDefault="008038D2" w:rsidP="00580297">
            <w:pPr>
              <w:jc w:val="right"/>
              <w:rPr>
                <w:sz w:val="20"/>
                <w:szCs w:val="20"/>
              </w:rPr>
            </w:pPr>
            <w:r>
              <w:rPr>
                <w:sz w:val="20"/>
                <w:szCs w:val="20"/>
              </w:rPr>
              <w:t>42,299,790</w:t>
            </w:r>
          </w:p>
        </w:tc>
        <w:tc>
          <w:tcPr>
            <w:tcW w:w="1559" w:type="dxa"/>
            <w:tcBorders>
              <w:left w:val="nil"/>
              <w:right w:val="nil"/>
            </w:tcBorders>
            <w:shd w:val="clear" w:color="auto" w:fill="auto"/>
          </w:tcPr>
          <w:p w:rsidR="008038D2" w:rsidRPr="00943181" w:rsidRDefault="008038D2" w:rsidP="00580297">
            <w:pPr>
              <w:jc w:val="right"/>
              <w:rPr>
                <w:color w:val="000000"/>
                <w:sz w:val="20"/>
                <w:szCs w:val="20"/>
              </w:rPr>
            </w:pPr>
            <w:r w:rsidRPr="00943181">
              <w:rPr>
                <w:color w:val="000000"/>
                <w:sz w:val="20"/>
                <w:szCs w:val="20"/>
              </w:rPr>
              <w:t>1</w:t>
            </w:r>
            <w:r>
              <w:rPr>
                <w:color w:val="000000"/>
                <w:sz w:val="20"/>
                <w:szCs w:val="20"/>
              </w:rPr>
              <w:t>0</w:t>
            </w:r>
          </w:p>
        </w:tc>
        <w:tc>
          <w:tcPr>
            <w:tcW w:w="1985" w:type="dxa"/>
            <w:tcBorders>
              <w:left w:val="nil"/>
              <w:right w:val="nil"/>
            </w:tcBorders>
            <w:shd w:val="clear" w:color="auto" w:fill="auto"/>
          </w:tcPr>
          <w:p w:rsidR="008038D2" w:rsidRPr="005B6DCC" w:rsidRDefault="008038D2" w:rsidP="00580297">
            <w:pPr>
              <w:jc w:val="right"/>
              <w:rPr>
                <w:sz w:val="20"/>
                <w:szCs w:val="20"/>
              </w:rPr>
            </w:pPr>
            <w:r>
              <w:rPr>
                <w:sz w:val="20"/>
                <w:szCs w:val="20"/>
              </w:rPr>
              <w:t>84,262,000</w:t>
            </w:r>
          </w:p>
        </w:tc>
      </w:tr>
      <w:tr w:rsidR="008038D2" w:rsidRPr="00B93D7D" w:rsidTr="00580297">
        <w:tc>
          <w:tcPr>
            <w:tcW w:w="2093" w:type="dxa"/>
            <w:tcBorders>
              <w:bottom w:val="single" w:sz="4" w:space="0" w:color="auto"/>
            </w:tcBorders>
            <w:shd w:val="clear" w:color="auto" w:fill="auto"/>
          </w:tcPr>
          <w:p w:rsidR="008038D2" w:rsidRPr="00943181" w:rsidRDefault="008038D2" w:rsidP="00580297">
            <w:pPr>
              <w:rPr>
                <w:bCs/>
                <w:color w:val="000000"/>
                <w:sz w:val="20"/>
                <w:szCs w:val="20"/>
              </w:rPr>
            </w:pPr>
            <w:r>
              <w:rPr>
                <w:bCs/>
                <w:color w:val="000000"/>
                <w:sz w:val="20"/>
                <w:szCs w:val="20"/>
              </w:rPr>
              <w:t>Liverpool</w:t>
            </w:r>
          </w:p>
        </w:tc>
        <w:tc>
          <w:tcPr>
            <w:tcW w:w="992" w:type="dxa"/>
            <w:tcBorders>
              <w:bottom w:val="single" w:sz="4" w:space="0" w:color="auto"/>
            </w:tcBorders>
            <w:shd w:val="clear" w:color="auto" w:fill="auto"/>
          </w:tcPr>
          <w:p w:rsidR="008038D2" w:rsidRPr="00943181" w:rsidRDefault="008038D2" w:rsidP="00580297">
            <w:pPr>
              <w:jc w:val="right"/>
              <w:rPr>
                <w:color w:val="000000"/>
                <w:sz w:val="20"/>
                <w:szCs w:val="20"/>
              </w:rPr>
            </w:pPr>
            <w:r w:rsidRPr="00943181">
              <w:rPr>
                <w:color w:val="000000"/>
                <w:sz w:val="20"/>
                <w:szCs w:val="20"/>
              </w:rPr>
              <w:t>19</w:t>
            </w:r>
          </w:p>
        </w:tc>
        <w:tc>
          <w:tcPr>
            <w:tcW w:w="1843" w:type="dxa"/>
            <w:tcBorders>
              <w:bottom w:val="single" w:sz="4" w:space="0" w:color="auto"/>
            </w:tcBorders>
            <w:shd w:val="clear" w:color="auto" w:fill="auto"/>
          </w:tcPr>
          <w:p w:rsidR="008038D2" w:rsidRPr="005B6DCC" w:rsidRDefault="008038D2" w:rsidP="00580297">
            <w:pPr>
              <w:jc w:val="right"/>
              <w:rPr>
                <w:sz w:val="20"/>
                <w:szCs w:val="20"/>
              </w:rPr>
            </w:pPr>
            <w:r>
              <w:rPr>
                <w:sz w:val="20"/>
                <w:szCs w:val="20"/>
              </w:rPr>
              <w:t>2,610,024</w:t>
            </w:r>
          </w:p>
        </w:tc>
        <w:tc>
          <w:tcPr>
            <w:tcW w:w="1559" w:type="dxa"/>
            <w:tcBorders>
              <w:bottom w:val="single" w:sz="4" w:space="0" w:color="auto"/>
            </w:tcBorders>
            <w:shd w:val="clear" w:color="auto" w:fill="auto"/>
          </w:tcPr>
          <w:p w:rsidR="008038D2" w:rsidRPr="00943181" w:rsidRDefault="008038D2" w:rsidP="00580297">
            <w:pPr>
              <w:jc w:val="right"/>
              <w:rPr>
                <w:color w:val="000000"/>
                <w:sz w:val="20"/>
                <w:szCs w:val="20"/>
              </w:rPr>
            </w:pPr>
            <w:r>
              <w:rPr>
                <w:color w:val="000000"/>
                <w:sz w:val="20"/>
                <w:szCs w:val="20"/>
              </w:rPr>
              <w:t>1</w:t>
            </w:r>
          </w:p>
        </w:tc>
        <w:tc>
          <w:tcPr>
            <w:tcW w:w="1985" w:type="dxa"/>
            <w:tcBorders>
              <w:bottom w:val="single" w:sz="4" w:space="0" w:color="auto"/>
            </w:tcBorders>
            <w:shd w:val="clear" w:color="auto" w:fill="auto"/>
          </w:tcPr>
          <w:p w:rsidR="008038D2" w:rsidRPr="005B6DCC" w:rsidRDefault="008038D2" w:rsidP="00580297">
            <w:pPr>
              <w:jc w:val="right"/>
              <w:rPr>
                <w:sz w:val="20"/>
                <w:szCs w:val="20"/>
              </w:rPr>
            </w:pPr>
            <w:r>
              <w:rPr>
                <w:sz w:val="20"/>
                <w:szCs w:val="20"/>
              </w:rPr>
              <w:t>93,050,000</w:t>
            </w:r>
          </w:p>
        </w:tc>
      </w:tr>
      <w:bookmarkEnd w:id="2"/>
      <w:tr w:rsidR="008038D2" w:rsidRPr="00B93D7D" w:rsidTr="00580297">
        <w:tc>
          <w:tcPr>
            <w:tcW w:w="2093" w:type="dxa"/>
            <w:tcBorders>
              <w:top w:val="single" w:sz="4" w:space="0" w:color="auto"/>
              <w:left w:val="nil"/>
              <w:bottom w:val="single" w:sz="8" w:space="0" w:color="000000"/>
              <w:right w:val="nil"/>
            </w:tcBorders>
            <w:shd w:val="clear" w:color="auto" w:fill="auto"/>
          </w:tcPr>
          <w:p w:rsidR="008038D2" w:rsidRPr="00B93D7D" w:rsidRDefault="008038D2" w:rsidP="00580297">
            <w:pPr>
              <w:rPr>
                <w:b/>
                <w:bCs/>
                <w:color w:val="000000"/>
                <w:sz w:val="20"/>
                <w:szCs w:val="20"/>
              </w:rPr>
            </w:pPr>
            <w:r w:rsidRPr="00B93D7D">
              <w:rPr>
                <w:b/>
                <w:bCs/>
                <w:color w:val="000000"/>
                <w:sz w:val="20"/>
                <w:szCs w:val="20"/>
              </w:rPr>
              <w:t>TOTAL</w:t>
            </w:r>
          </w:p>
        </w:tc>
        <w:tc>
          <w:tcPr>
            <w:tcW w:w="992" w:type="dxa"/>
            <w:tcBorders>
              <w:top w:val="single" w:sz="4" w:space="0" w:color="auto"/>
              <w:left w:val="nil"/>
              <w:bottom w:val="single" w:sz="8" w:space="0" w:color="000000"/>
              <w:right w:val="nil"/>
            </w:tcBorders>
            <w:shd w:val="clear" w:color="auto" w:fill="auto"/>
          </w:tcPr>
          <w:p w:rsidR="008038D2" w:rsidRPr="00B93D7D" w:rsidRDefault="008038D2" w:rsidP="00580297">
            <w:pPr>
              <w:jc w:val="right"/>
              <w:rPr>
                <w:b/>
                <w:color w:val="000000"/>
                <w:sz w:val="20"/>
                <w:szCs w:val="20"/>
              </w:rPr>
            </w:pPr>
            <w:r w:rsidRPr="00B93D7D">
              <w:rPr>
                <w:b/>
                <w:color w:val="000000"/>
                <w:sz w:val="20"/>
                <w:szCs w:val="20"/>
              </w:rPr>
              <w:t>766</w:t>
            </w:r>
          </w:p>
        </w:tc>
        <w:tc>
          <w:tcPr>
            <w:tcW w:w="1843" w:type="dxa"/>
            <w:tcBorders>
              <w:top w:val="single" w:sz="4" w:space="0" w:color="auto"/>
              <w:left w:val="nil"/>
              <w:bottom w:val="single" w:sz="8" w:space="0" w:color="000000"/>
              <w:right w:val="nil"/>
            </w:tcBorders>
            <w:shd w:val="clear" w:color="auto" w:fill="auto"/>
          </w:tcPr>
          <w:p w:rsidR="008038D2" w:rsidRPr="005B6DCC" w:rsidRDefault="008038D2" w:rsidP="00580297">
            <w:pPr>
              <w:jc w:val="right"/>
              <w:rPr>
                <w:b/>
                <w:sz w:val="20"/>
                <w:szCs w:val="20"/>
              </w:rPr>
            </w:pPr>
            <w:r>
              <w:rPr>
                <w:b/>
                <w:sz w:val="20"/>
                <w:szCs w:val="20"/>
              </w:rPr>
              <w:t>1,026,807,043</w:t>
            </w:r>
          </w:p>
        </w:tc>
        <w:tc>
          <w:tcPr>
            <w:tcW w:w="1559" w:type="dxa"/>
            <w:tcBorders>
              <w:top w:val="single" w:sz="4" w:space="0" w:color="auto"/>
              <w:left w:val="nil"/>
              <w:bottom w:val="single" w:sz="8" w:space="0" w:color="000000"/>
              <w:right w:val="nil"/>
            </w:tcBorders>
            <w:shd w:val="clear" w:color="auto" w:fill="auto"/>
          </w:tcPr>
          <w:p w:rsidR="008038D2" w:rsidRPr="00B93D7D" w:rsidRDefault="008038D2" w:rsidP="00580297">
            <w:pPr>
              <w:jc w:val="right"/>
              <w:rPr>
                <w:b/>
                <w:color w:val="000000"/>
                <w:sz w:val="20"/>
                <w:szCs w:val="20"/>
              </w:rPr>
            </w:pPr>
            <w:r>
              <w:rPr>
                <w:b/>
                <w:color w:val="000000"/>
                <w:sz w:val="20"/>
                <w:szCs w:val="20"/>
              </w:rPr>
              <w:t>1</w:t>
            </w:r>
            <w:r w:rsidRPr="00B93D7D">
              <w:rPr>
                <w:b/>
                <w:color w:val="000000"/>
                <w:sz w:val="20"/>
                <w:szCs w:val="20"/>
              </w:rPr>
              <w:t>,</w:t>
            </w:r>
            <w:r>
              <w:rPr>
                <w:b/>
                <w:color w:val="000000"/>
                <w:sz w:val="20"/>
                <w:szCs w:val="20"/>
              </w:rPr>
              <w:t>671</w:t>
            </w:r>
          </w:p>
        </w:tc>
        <w:tc>
          <w:tcPr>
            <w:tcW w:w="1985" w:type="dxa"/>
            <w:tcBorders>
              <w:top w:val="single" w:sz="4" w:space="0" w:color="auto"/>
              <w:left w:val="nil"/>
              <w:bottom w:val="single" w:sz="8" w:space="0" w:color="000000"/>
              <w:right w:val="nil"/>
            </w:tcBorders>
            <w:shd w:val="clear" w:color="auto" w:fill="auto"/>
          </w:tcPr>
          <w:p w:rsidR="008038D2" w:rsidRPr="005B6DCC" w:rsidRDefault="008038D2" w:rsidP="00580297">
            <w:pPr>
              <w:jc w:val="right"/>
              <w:rPr>
                <w:b/>
                <w:sz w:val="20"/>
                <w:szCs w:val="20"/>
              </w:rPr>
            </w:pPr>
            <w:r>
              <w:rPr>
                <w:b/>
                <w:sz w:val="20"/>
                <w:szCs w:val="20"/>
              </w:rPr>
              <w:t>2,327,474,000</w:t>
            </w:r>
          </w:p>
        </w:tc>
      </w:tr>
    </w:tbl>
    <w:p w:rsidR="008038D2" w:rsidRDefault="008038D2" w:rsidP="008038D2">
      <w:pPr>
        <w:rPr>
          <w:b/>
        </w:rPr>
      </w:pPr>
    </w:p>
    <w:p w:rsidR="008038D2" w:rsidRPr="00AD1AEF" w:rsidRDefault="008038D2" w:rsidP="008038D2">
      <w:pPr>
        <w:rPr>
          <w:b/>
        </w:rPr>
        <w:sectPr w:rsidR="008038D2" w:rsidRPr="00AD1AEF" w:rsidSect="005004CD">
          <w:headerReference w:type="default" r:id="rId19"/>
          <w:footerReference w:type="default" r:id="rId20"/>
          <w:pgSz w:w="11907" w:h="16840" w:code="9"/>
          <w:pgMar w:top="1440" w:right="1440" w:bottom="1440" w:left="1440" w:header="709" w:footer="709" w:gutter="0"/>
          <w:cols w:space="708"/>
          <w:docGrid w:linePitch="360"/>
        </w:sectPr>
      </w:pPr>
    </w:p>
    <w:p w:rsidR="008038D2" w:rsidRPr="00AD1AEF" w:rsidRDefault="008038D2" w:rsidP="008038D2">
      <w:pPr>
        <w:jc w:val="center"/>
        <w:rPr>
          <w:b/>
        </w:rPr>
      </w:pPr>
    </w:p>
    <w:p w:rsidR="008038D2" w:rsidRPr="00AD1AEF" w:rsidRDefault="00203CEA" w:rsidP="008038D2">
      <w:pPr>
        <w:outlineLvl w:val="0"/>
        <w:rPr>
          <w:b/>
        </w:rPr>
      </w:pPr>
      <w:r>
        <w:rPr>
          <w:b/>
        </w:rPr>
        <w:t>Table 2</w:t>
      </w:r>
      <w:r w:rsidR="008038D2" w:rsidRPr="00AD1AEF">
        <w:rPr>
          <w:b/>
        </w:rPr>
        <w:t xml:space="preserve">: </w:t>
      </w:r>
      <w:r w:rsidR="008038D2" w:rsidRPr="001F0E5C">
        <w:t>Descriptive statistics</w:t>
      </w:r>
    </w:p>
    <w:tbl>
      <w:tblPr>
        <w:tblW w:w="10713" w:type="dxa"/>
        <w:tblBorders>
          <w:top w:val="single" w:sz="4" w:space="0" w:color="000000"/>
        </w:tblBorders>
        <w:tblLook w:val="04A0" w:firstRow="1" w:lastRow="0" w:firstColumn="1" w:lastColumn="0" w:noHBand="0" w:noVBand="1"/>
      </w:tblPr>
      <w:tblGrid>
        <w:gridCol w:w="622"/>
        <w:gridCol w:w="3172"/>
        <w:gridCol w:w="800"/>
        <w:gridCol w:w="1319"/>
        <w:gridCol w:w="1275"/>
        <w:gridCol w:w="1134"/>
        <w:gridCol w:w="1276"/>
        <w:gridCol w:w="1115"/>
      </w:tblGrid>
      <w:tr w:rsidR="008038D2" w:rsidRPr="00AD1AEF" w:rsidTr="00580297">
        <w:trPr>
          <w:trHeight w:val="228"/>
        </w:trPr>
        <w:tc>
          <w:tcPr>
            <w:tcW w:w="622" w:type="dxa"/>
            <w:tcBorders>
              <w:top w:val="single" w:sz="4" w:space="0" w:color="000000"/>
              <w:bottom w:val="single" w:sz="4" w:space="0" w:color="auto"/>
            </w:tcBorders>
          </w:tcPr>
          <w:p w:rsidR="008038D2" w:rsidRPr="003D77D9" w:rsidRDefault="008038D2" w:rsidP="00580297">
            <w:pPr>
              <w:rPr>
                <w:rFonts w:eastAsia="Times New Roman"/>
                <w:b/>
                <w:color w:val="000000"/>
                <w:sz w:val="20"/>
                <w:szCs w:val="20"/>
              </w:rPr>
            </w:pPr>
          </w:p>
        </w:tc>
        <w:tc>
          <w:tcPr>
            <w:tcW w:w="3172" w:type="dxa"/>
            <w:tcBorders>
              <w:top w:val="single" w:sz="4" w:space="0" w:color="000000"/>
              <w:bottom w:val="single" w:sz="4" w:space="0" w:color="auto"/>
            </w:tcBorders>
            <w:noWrap/>
            <w:hideMark/>
          </w:tcPr>
          <w:p w:rsidR="008038D2" w:rsidRPr="003D77D9" w:rsidRDefault="008038D2" w:rsidP="00580297">
            <w:pPr>
              <w:rPr>
                <w:rFonts w:eastAsia="Times New Roman"/>
                <w:b/>
                <w:color w:val="000000"/>
                <w:sz w:val="20"/>
                <w:szCs w:val="20"/>
              </w:rPr>
            </w:pPr>
            <w:r w:rsidRPr="003D77D9">
              <w:rPr>
                <w:rFonts w:eastAsia="Times New Roman"/>
                <w:b/>
                <w:color w:val="000000"/>
                <w:sz w:val="20"/>
                <w:szCs w:val="20"/>
              </w:rPr>
              <w:t>Variables</w:t>
            </w:r>
          </w:p>
        </w:tc>
        <w:tc>
          <w:tcPr>
            <w:tcW w:w="800" w:type="dxa"/>
            <w:tcBorders>
              <w:top w:val="single" w:sz="4" w:space="0" w:color="000000"/>
              <w:bottom w:val="single" w:sz="4" w:space="0" w:color="auto"/>
            </w:tcBorders>
            <w:hideMark/>
          </w:tcPr>
          <w:p w:rsidR="008038D2" w:rsidRPr="003D77D9" w:rsidRDefault="008038D2" w:rsidP="00580297">
            <w:pPr>
              <w:jc w:val="right"/>
              <w:rPr>
                <w:rFonts w:eastAsia="Times New Roman"/>
                <w:b/>
                <w:bCs/>
                <w:color w:val="000000"/>
                <w:sz w:val="20"/>
                <w:szCs w:val="20"/>
              </w:rPr>
            </w:pPr>
            <w:r w:rsidRPr="003D77D9">
              <w:rPr>
                <w:rFonts w:eastAsia="Times New Roman"/>
                <w:b/>
                <w:bCs/>
                <w:color w:val="000000"/>
                <w:sz w:val="20"/>
                <w:szCs w:val="20"/>
              </w:rPr>
              <w:t>N</w:t>
            </w:r>
          </w:p>
        </w:tc>
        <w:tc>
          <w:tcPr>
            <w:tcW w:w="1319" w:type="dxa"/>
            <w:tcBorders>
              <w:top w:val="single" w:sz="4" w:space="0" w:color="000000"/>
              <w:bottom w:val="single" w:sz="4" w:space="0" w:color="auto"/>
            </w:tcBorders>
            <w:hideMark/>
          </w:tcPr>
          <w:p w:rsidR="008038D2" w:rsidRPr="003D77D9" w:rsidRDefault="008038D2" w:rsidP="00580297">
            <w:pPr>
              <w:jc w:val="right"/>
              <w:rPr>
                <w:rFonts w:eastAsia="Times New Roman"/>
                <w:b/>
                <w:bCs/>
                <w:color w:val="000000"/>
                <w:sz w:val="20"/>
                <w:szCs w:val="20"/>
              </w:rPr>
            </w:pPr>
            <w:r w:rsidRPr="003D77D9">
              <w:rPr>
                <w:rFonts w:eastAsia="Times New Roman"/>
                <w:b/>
                <w:bCs/>
                <w:color w:val="000000"/>
                <w:sz w:val="20"/>
                <w:szCs w:val="20"/>
              </w:rPr>
              <w:t>Mean</w:t>
            </w:r>
          </w:p>
        </w:tc>
        <w:tc>
          <w:tcPr>
            <w:tcW w:w="1275" w:type="dxa"/>
            <w:tcBorders>
              <w:top w:val="single" w:sz="4" w:space="0" w:color="000000"/>
              <w:bottom w:val="single" w:sz="4" w:space="0" w:color="auto"/>
            </w:tcBorders>
            <w:hideMark/>
          </w:tcPr>
          <w:p w:rsidR="008038D2" w:rsidRPr="003D77D9" w:rsidRDefault="008038D2" w:rsidP="00580297">
            <w:pPr>
              <w:jc w:val="right"/>
              <w:rPr>
                <w:rFonts w:eastAsia="Times New Roman"/>
                <w:b/>
                <w:bCs/>
                <w:color w:val="000000"/>
                <w:sz w:val="20"/>
                <w:szCs w:val="20"/>
              </w:rPr>
            </w:pPr>
            <w:r w:rsidRPr="003D77D9">
              <w:rPr>
                <w:rFonts w:eastAsia="Times New Roman"/>
                <w:b/>
                <w:bCs/>
                <w:color w:val="000000"/>
                <w:sz w:val="20"/>
                <w:szCs w:val="20"/>
              </w:rPr>
              <w:t>Std. Dev.</w:t>
            </w:r>
          </w:p>
        </w:tc>
        <w:tc>
          <w:tcPr>
            <w:tcW w:w="1134" w:type="dxa"/>
            <w:tcBorders>
              <w:top w:val="single" w:sz="4" w:space="0" w:color="000000"/>
              <w:bottom w:val="single" w:sz="4" w:space="0" w:color="auto"/>
            </w:tcBorders>
            <w:hideMark/>
          </w:tcPr>
          <w:p w:rsidR="008038D2" w:rsidRPr="003D77D9" w:rsidRDefault="008038D2" w:rsidP="00580297">
            <w:pPr>
              <w:jc w:val="right"/>
              <w:rPr>
                <w:rFonts w:eastAsia="Times New Roman"/>
                <w:b/>
                <w:bCs/>
                <w:color w:val="000000"/>
                <w:sz w:val="20"/>
                <w:szCs w:val="20"/>
              </w:rPr>
            </w:pPr>
            <w:r w:rsidRPr="003D77D9">
              <w:rPr>
                <w:rFonts w:eastAsia="Times New Roman"/>
                <w:b/>
                <w:bCs/>
                <w:color w:val="000000"/>
                <w:sz w:val="20"/>
                <w:szCs w:val="20"/>
              </w:rPr>
              <w:t>Min</w:t>
            </w:r>
          </w:p>
        </w:tc>
        <w:tc>
          <w:tcPr>
            <w:tcW w:w="1276" w:type="dxa"/>
            <w:tcBorders>
              <w:top w:val="single" w:sz="4" w:space="0" w:color="000000"/>
              <w:bottom w:val="single" w:sz="4" w:space="0" w:color="auto"/>
            </w:tcBorders>
            <w:hideMark/>
          </w:tcPr>
          <w:p w:rsidR="008038D2" w:rsidRPr="003D77D9" w:rsidRDefault="008038D2" w:rsidP="00580297">
            <w:pPr>
              <w:jc w:val="right"/>
              <w:rPr>
                <w:rFonts w:eastAsia="Times New Roman"/>
                <w:b/>
                <w:bCs/>
                <w:color w:val="000000"/>
                <w:sz w:val="20"/>
                <w:szCs w:val="20"/>
              </w:rPr>
            </w:pPr>
            <w:r w:rsidRPr="003D77D9">
              <w:rPr>
                <w:rFonts w:eastAsia="Times New Roman"/>
                <w:b/>
                <w:bCs/>
                <w:color w:val="000000"/>
                <w:sz w:val="20"/>
                <w:szCs w:val="20"/>
              </w:rPr>
              <w:t>Max</w:t>
            </w:r>
          </w:p>
        </w:tc>
        <w:tc>
          <w:tcPr>
            <w:tcW w:w="1115" w:type="dxa"/>
            <w:tcBorders>
              <w:top w:val="single" w:sz="4" w:space="0" w:color="000000"/>
              <w:bottom w:val="single" w:sz="4" w:space="0" w:color="auto"/>
            </w:tcBorders>
          </w:tcPr>
          <w:p w:rsidR="008038D2" w:rsidRPr="003D77D9" w:rsidRDefault="008038D2" w:rsidP="00580297">
            <w:pPr>
              <w:jc w:val="right"/>
              <w:rPr>
                <w:rFonts w:eastAsia="Times New Roman"/>
                <w:b/>
                <w:bCs/>
                <w:color w:val="000000"/>
                <w:sz w:val="20"/>
                <w:szCs w:val="20"/>
              </w:rPr>
            </w:pPr>
            <w:r w:rsidRPr="003D77D9">
              <w:rPr>
                <w:rFonts w:eastAsia="Times New Roman"/>
                <w:b/>
                <w:bCs/>
                <w:color w:val="000000"/>
                <w:sz w:val="20"/>
                <w:szCs w:val="20"/>
              </w:rPr>
              <w:t>VIF</w:t>
            </w:r>
          </w:p>
        </w:tc>
      </w:tr>
      <w:tr w:rsidR="008038D2" w:rsidRPr="00AD1AEF" w:rsidTr="00580297">
        <w:trPr>
          <w:trHeight w:val="20"/>
        </w:trPr>
        <w:tc>
          <w:tcPr>
            <w:tcW w:w="622" w:type="dxa"/>
            <w:tcBorders>
              <w:top w:val="single" w:sz="4" w:space="0" w:color="auto"/>
            </w:tcBorders>
          </w:tcPr>
          <w:p w:rsidR="008038D2" w:rsidRPr="003D77D9" w:rsidRDefault="008038D2" w:rsidP="00580297">
            <w:pPr>
              <w:rPr>
                <w:b/>
                <w:bCs/>
                <w:color w:val="000000"/>
                <w:sz w:val="20"/>
                <w:szCs w:val="20"/>
              </w:rPr>
            </w:pPr>
            <w:r w:rsidRPr="003D77D9">
              <w:rPr>
                <w:b/>
                <w:bCs/>
                <w:color w:val="000000"/>
                <w:sz w:val="20"/>
                <w:szCs w:val="20"/>
              </w:rPr>
              <w:t>1</w:t>
            </w:r>
          </w:p>
        </w:tc>
        <w:tc>
          <w:tcPr>
            <w:tcW w:w="3172" w:type="dxa"/>
            <w:tcBorders>
              <w:top w:val="single" w:sz="4" w:space="0" w:color="auto"/>
            </w:tcBorders>
            <w:hideMark/>
          </w:tcPr>
          <w:p w:rsidR="008038D2" w:rsidRPr="003D77D9" w:rsidRDefault="008038D2" w:rsidP="00580297">
            <w:pPr>
              <w:rPr>
                <w:rFonts w:eastAsia="Times New Roman"/>
                <w:bCs/>
                <w:color w:val="000000"/>
                <w:sz w:val="20"/>
                <w:szCs w:val="20"/>
              </w:rPr>
            </w:pPr>
            <w:r w:rsidRPr="003D77D9">
              <w:rPr>
                <w:rFonts w:eastAsia="Times New Roman"/>
                <w:bCs/>
                <w:color w:val="000000"/>
                <w:sz w:val="20"/>
                <w:szCs w:val="20"/>
              </w:rPr>
              <w:t xml:space="preserve">Total </w:t>
            </w:r>
            <w:r>
              <w:rPr>
                <w:rFonts w:eastAsia="Times New Roman"/>
                <w:bCs/>
                <w:color w:val="000000"/>
                <w:sz w:val="20"/>
                <w:szCs w:val="20"/>
              </w:rPr>
              <w:t>Sponsored Research F</w:t>
            </w:r>
            <w:r w:rsidRPr="003D77D9">
              <w:rPr>
                <w:rFonts w:eastAsia="Times New Roman"/>
                <w:bCs/>
                <w:color w:val="000000"/>
                <w:sz w:val="20"/>
                <w:szCs w:val="20"/>
              </w:rPr>
              <w:t>unding</w:t>
            </w:r>
          </w:p>
        </w:tc>
        <w:tc>
          <w:tcPr>
            <w:tcW w:w="800" w:type="dxa"/>
            <w:tcBorders>
              <w:top w:val="single" w:sz="4" w:space="0" w:color="auto"/>
            </w:tcBorders>
            <w:noWrap/>
            <w:hideMark/>
          </w:tcPr>
          <w:p w:rsidR="008038D2" w:rsidRPr="003D77D9" w:rsidRDefault="008038D2" w:rsidP="00580297">
            <w:pPr>
              <w:jc w:val="right"/>
              <w:rPr>
                <w:rFonts w:eastAsia="Times New Roman"/>
                <w:color w:val="000000"/>
                <w:sz w:val="20"/>
                <w:szCs w:val="20"/>
              </w:rPr>
            </w:pPr>
            <w:bookmarkStart w:id="3" w:name="OLE_LINK11"/>
            <w:bookmarkStart w:id="4" w:name="OLE_LINK12"/>
            <w:r w:rsidRPr="003D77D9">
              <w:rPr>
                <w:rFonts w:eastAsia="Times New Roman"/>
                <w:color w:val="000000"/>
                <w:sz w:val="20"/>
                <w:szCs w:val="20"/>
              </w:rPr>
              <w:t>16</w:t>
            </w:r>
            <w:bookmarkEnd w:id="3"/>
            <w:bookmarkEnd w:id="4"/>
            <w:r>
              <w:rPr>
                <w:rFonts w:eastAsia="Times New Roman"/>
                <w:color w:val="000000"/>
                <w:sz w:val="20"/>
                <w:szCs w:val="20"/>
              </w:rPr>
              <w:t>95</w:t>
            </w:r>
          </w:p>
        </w:tc>
        <w:tc>
          <w:tcPr>
            <w:tcW w:w="1319" w:type="dxa"/>
            <w:tcBorders>
              <w:top w:val="single" w:sz="4" w:space="0" w:color="auto"/>
            </w:tcBorders>
            <w:noWrap/>
            <w:hideMark/>
          </w:tcPr>
          <w:p w:rsidR="008038D2" w:rsidRPr="003D77D9" w:rsidRDefault="008038D2" w:rsidP="00580297">
            <w:pPr>
              <w:tabs>
                <w:tab w:val="right" w:pos="1102"/>
              </w:tabs>
              <w:rPr>
                <w:rFonts w:eastAsia="Times New Roman"/>
                <w:color w:val="000000"/>
                <w:sz w:val="20"/>
                <w:szCs w:val="20"/>
              </w:rPr>
            </w:pPr>
            <w:r>
              <w:rPr>
                <w:rFonts w:eastAsia="Times New Roman"/>
                <w:color w:val="000000"/>
                <w:sz w:val="20"/>
                <w:szCs w:val="20"/>
              </w:rPr>
              <w:tab/>
              <w:t>18,300,000</w:t>
            </w:r>
          </w:p>
        </w:tc>
        <w:tc>
          <w:tcPr>
            <w:tcW w:w="1275" w:type="dxa"/>
            <w:tcBorders>
              <w:top w:val="single" w:sz="4" w:space="0" w:color="auto"/>
            </w:tcBorders>
            <w:noWrap/>
            <w:hideMark/>
          </w:tcPr>
          <w:p w:rsidR="008038D2" w:rsidRPr="003D77D9" w:rsidRDefault="008038D2" w:rsidP="00580297">
            <w:pPr>
              <w:jc w:val="right"/>
              <w:rPr>
                <w:rFonts w:eastAsia="Times New Roman"/>
                <w:color w:val="000000"/>
                <w:sz w:val="20"/>
                <w:szCs w:val="20"/>
              </w:rPr>
            </w:pPr>
            <w:r>
              <w:rPr>
                <w:rFonts w:eastAsia="Times New Roman"/>
                <w:color w:val="000000"/>
                <w:sz w:val="20"/>
                <w:szCs w:val="20"/>
              </w:rPr>
              <w:t>34,000,000</w:t>
            </w:r>
          </w:p>
        </w:tc>
        <w:tc>
          <w:tcPr>
            <w:tcW w:w="1134" w:type="dxa"/>
            <w:tcBorders>
              <w:top w:val="single" w:sz="4" w:space="0" w:color="auto"/>
            </w:tcBorders>
            <w:noWrap/>
            <w:hideMark/>
          </w:tcPr>
          <w:p w:rsidR="008038D2" w:rsidRPr="003D77D9" w:rsidRDefault="008038D2" w:rsidP="00580297">
            <w:pPr>
              <w:jc w:val="right"/>
              <w:rPr>
                <w:rFonts w:eastAsia="Times New Roman"/>
                <w:color w:val="000000"/>
                <w:sz w:val="20"/>
                <w:szCs w:val="20"/>
              </w:rPr>
            </w:pPr>
            <w:r w:rsidRPr="003D77D9">
              <w:rPr>
                <w:rFonts w:eastAsia="Times New Roman"/>
                <w:color w:val="000000"/>
                <w:sz w:val="20"/>
                <w:szCs w:val="20"/>
              </w:rPr>
              <w:t>0</w:t>
            </w:r>
          </w:p>
        </w:tc>
        <w:tc>
          <w:tcPr>
            <w:tcW w:w="1276" w:type="dxa"/>
            <w:tcBorders>
              <w:top w:val="single" w:sz="4" w:space="0" w:color="auto"/>
            </w:tcBorders>
            <w:noWrap/>
            <w:hideMark/>
          </w:tcPr>
          <w:p w:rsidR="008038D2" w:rsidRPr="00470C71" w:rsidRDefault="008038D2" w:rsidP="00580297">
            <w:pPr>
              <w:jc w:val="right"/>
              <w:rPr>
                <w:rFonts w:eastAsia="Times New Roman"/>
                <w:color w:val="FF0000"/>
                <w:sz w:val="20"/>
                <w:szCs w:val="20"/>
              </w:rPr>
            </w:pPr>
            <w:r>
              <w:rPr>
                <w:rFonts w:eastAsia="Times New Roman"/>
                <w:sz w:val="20"/>
                <w:szCs w:val="20"/>
              </w:rPr>
              <w:t>285,277,000</w:t>
            </w:r>
          </w:p>
        </w:tc>
        <w:tc>
          <w:tcPr>
            <w:tcW w:w="1115" w:type="dxa"/>
            <w:tcBorders>
              <w:top w:val="single" w:sz="4" w:space="0" w:color="auto"/>
            </w:tcBorders>
          </w:tcPr>
          <w:p w:rsidR="008038D2" w:rsidRPr="003D77D9" w:rsidRDefault="008038D2" w:rsidP="00580297">
            <w:pPr>
              <w:jc w:val="right"/>
              <w:rPr>
                <w:rFonts w:eastAsia="Times New Roman"/>
                <w:color w:val="000000"/>
                <w:sz w:val="20"/>
                <w:szCs w:val="20"/>
              </w:rPr>
            </w:pPr>
            <w:r w:rsidRPr="003D77D9">
              <w:rPr>
                <w:rFonts w:eastAsia="Times New Roman"/>
                <w:color w:val="000000"/>
                <w:sz w:val="20"/>
                <w:szCs w:val="20"/>
              </w:rPr>
              <w:t>-</w:t>
            </w:r>
          </w:p>
        </w:tc>
      </w:tr>
      <w:tr w:rsidR="008038D2" w:rsidRPr="00AD1AEF" w:rsidTr="00580297">
        <w:trPr>
          <w:trHeight w:val="20"/>
        </w:trPr>
        <w:tc>
          <w:tcPr>
            <w:tcW w:w="622" w:type="dxa"/>
          </w:tcPr>
          <w:p w:rsidR="008038D2" w:rsidRPr="003D77D9" w:rsidRDefault="008038D2" w:rsidP="00580297">
            <w:pPr>
              <w:rPr>
                <w:b/>
                <w:bCs/>
                <w:color w:val="000000"/>
                <w:sz w:val="20"/>
                <w:szCs w:val="20"/>
              </w:rPr>
            </w:pPr>
            <w:r w:rsidRPr="003D77D9">
              <w:rPr>
                <w:b/>
                <w:bCs/>
                <w:color w:val="000000"/>
                <w:sz w:val="20"/>
                <w:szCs w:val="20"/>
              </w:rPr>
              <w:t>2</w:t>
            </w:r>
          </w:p>
        </w:tc>
        <w:tc>
          <w:tcPr>
            <w:tcW w:w="3172" w:type="dxa"/>
          </w:tcPr>
          <w:p w:rsidR="008038D2" w:rsidRPr="00597CE5" w:rsidRDefault="008038D2" w:rsidP="00580297">
            <w:pPr>
              <w:rPr>
                <w:rFonts w:eastAsia="Times New Roman"/>
                <w:bCs/>
                <w:color w:val="000000"/>
                <w:sz w:val="20"/>
                <w:szCs w:val="20"/>
              </w:rPr>
            </w:pPr>
            <w:r w:rsidRPr="00597CE5">
              <w:rPr>
                <w:rFonts w:eastAsia="Times New Roman"/>
                <w:bCs/>
                <w:color w:val="000000"/>
                <w:sz w:val="20"/>
                <w:szCs w:val="20"/>
              </w:rPr>
              <w:t xml:space="preserve">Nobel </w:t>
            </w:r>
            <w:r>
              <w:rPr>
                <w:rFonts w:eastAsia="Times New Roman"/>
                <w:bCs/>
                <w:color w:val="000000"/>
                <w:sz w:val="20"/>
                <w:szCs w:val="20"/>
              </w:rPr>
              <w:t>A</w:t>
            </w:r>
            <w:r w:rsidRPr="00597CE5">
              <w:rPr>
                <w:rFonts w:eastAsia="Times New Roman"/>
                <w:bCs/>
                <w:color w:val="000000"/>
                <w:sz w:val="20"/>
                <w:szCs w:val="20"/>
              </w:rPr>
              <w:t>wards</w:t>
            </w:r>
          </w:p>
        </w:tc>
        <w:tc>
          <w:tcPr>
            <w:tcW w:w="800" w:type="dxa"/>
            <w:noWrap/>
          </w:tcPr>
          <w:p w:rsidR="008038D2" w:rsidRPr="003D77D9" w:rsidRDefault="008038D2" w:rsidP="00580297">
            <w:pPr>
              <w:jc w:val="right"/>
              <w:rPr>
                <w:rFonts w:eastAsia="Times New Roman"/>
                <w:color w:val="000000"/>
                <w:sz w:val="20"/>
                <w:szCs w:val="20"/>
              </w:rPr>
            </w:pPr>
            <w:r w:rsidRPr="003D77D9">
              <w:rPr>
                <w:rFonts w:eastAsia="Times New Roman"/>
                <w:color w:val="000000"/>
                <w:sz w:val="20"/>
                <w:szCs w:val="20"/>
              </w:rPr>
              <w:t>16</w:t>
            </w:r>
            <w:r>
              <w:rPr>
                <w:rFonts w:eastAsia="Times New Roman"/>
                <w:color w:val="000000"/>
                <w:sz w:val="20"/>
                <w:szCs w:val="20"/>
              </w:rPr>
              <w:t>95</w:t>
            </w:r>
          </w:p>
        </w:tc>
        <w:tc>
          <w:tcPr>
            <w:tcW w:w="1319"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0.502</w:t>
            </w:r>
          </w:p>
        </w:tc>
        <w:tc>
          <w:tcPr>
            <w:tcW w:w="1275"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2.568</w:t>
            </w:r>
          </w:p>
        </w:tc>
        <w:tc>
          <w:tcPr>
            <w:tcW w:w="1134"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0</w:t>
            </w:r>
          </w:p>
        </w:tc>
        <w:tc>
          <w:tcPr>
            <w:tcW w:w="1276"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26</w:t>
            </w:r>
          </w:p>
        </w:tc>
        <w:tc>
          <w:tcPr>
            <w:tcW w:w="1115" w:type="dxa"/>
          </w:tcPr>
          <w:p w:rsidR="008038D2" w:rsidRPr="003D77D9" w:rsidRDefault="008038D2" w:rsidP="00580297">
            <w:pPr>
              <w:jc w:val="right"/>
              <w:rPr>
                <w:rFonts w:eastAsia="Times New Roman"/>
                <w:color w:val="000000"/>
                <w:sz w:val="20"/>
                <w:szCs w:val="20"/>
              </w:rPr>
            </w:pPr>
            <w:r>
              <w:rPr>
                <w:rFonts w:eastAsia="Times New Roman"/>
                <w:color w:val="000000"/>
                <w:sz w:val="20"/>
                <w:szCs w:val="20"/>
              </w:rPr>
              <w:t>2.28</w:t>
            </w:r>
          </w:p>
        </w:tc>
      </w:tr>
      <w:tr w:rsidR="008038D2" w:rsidRPr="00AD1AEF" w:rsidTr="00580297">
        <w:trPr>
          <w:trHeight w:val="20"/>
        </w:trPr>
        <w:tc>
          <w:tcPr>
            <w:tcW w:w="622" w:type="dxa"/>
          </w:tcPr>
          <w:p w:rsidR="008038D2" w:rsidRPr="003D77D9" w:rsidRDefault="008038D2" w:rsidP="00580297">
            <w:pPr>
              <w:rPr>
                <w:b/>
                <w:bCs/>
                <w:color w:val="000000"/>
                <w:sz w:val="20"/>
                <w:szCs w:val="20"/>
              </w:rPr>
            </w:pPr>
            <w:r>
              <w:rPr>
                <w:b/>
                <w:bCs/>
                <w:color w:val="000000"/>
                <w:sz w:val="20"/>
                <w:szCs w:val="20"/>
              </w:rPr>
              <w:t>3</w:t>
            </w:r>
          </w:p>
        </w:tc>
        <w:tc>
          <w:tcPr>
            <w:tcW w:w="3172" w:type="dxa"/>
          </w:tcPr>
          <w:p w:rsidR="008038D2" w:rsidRPr="00597CE5" w:rsidRDefault="008038D2" w:rsidP="00580297">
            <w:pPr>
              <w:pStyle w:val="BodyText"/>
              <w:framePr w:hSpace="0" w:wrap="auto" w:vAnchor="margin" w:hAnchor="text" w:yAlign="inline"/>
              <w:rPr>
                <w:lang w:eastAsia="en-GB"/>
              </w:rPr>
            </w:pPr>
            <w:r w:rsidRPr="00597CE5">
              <w:rPr>
                <w:lang w:eastAsia="en-GB"/>
              </w:rPr>
              <w:t>Publications</w:t>
            </w:r>
          </w:p>
        </w:tc>
        <w:tc>
          <w:tcPr>
            <w:tcW w:w="800" w:type="dxa"/>
            <w:noWrap/>
          </w:tcPr>
          <w:p w:rsidR="008038D2" w:rsidRPr="003D77D9" w:rsidRDefault="008038D2" w:rsidP="00580297">
            <w:pPr>
              <w:jc w:val="right"/>
              <w:rPr>
                <w:rFonts w:eastAsia="Times New Roman"/>
                <w:color w:val="000000"/>
                <w:sz w:val="20"/>
                <w:szCs w:val="20"/>
              </w:rPr>
            </w:pPr>
            <w:r w:rsidRPr="003D77D9">
              <w:rPr>
                <w:rFonts w:eastAsia="Times New Roman"/>
                <w:color w:val="000000"/>
                <w:sz w:val="20"/>
                <w:szCs w:val="20"/>
              </w:rPr>
              <w:t>16</w:t>
            </w:r>
            <w:r>
              <w:rPr>
                <w:rFonts w:eastAsia="Times New Roman"/>
                <w:color w:val="000000"/>
                <w:sz w:val="20"/>
                <w:szCs w:val="20"/>
              </w:rPr>
              <w:t>65</w:t>
            </w:r>
          </w:p>
        </w:tc>
        <w:tc>
          <w:tcPr>
            <w:tcW w:w="1319"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161.261</w:t>
            </w:r>
          </w:p>
        </w:tc>
        <w:tc>
          <w:tcPr>
            <w:tcW w:w="1275"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291.866</w:t>
            </w:r>
          </w:p>
        </w:tc>
        <w:tc>
          <w:tcPr>
            <w:tcW w:w="1134"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0</w:t>
            </w:r>
          </w:p>
        </w:tc>
        <w:tc>
          <w:tcPr>
            <w:tcW w:w="1276"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2138</w:t>
            </w:r>
          </w:p>
        </w:tc>
        <w:tc>
          <w:tcPr>
            <w:tcW w:w="1115" w:type="dxa"/>
          </w:tcPr>
          <w:p w:rsidR="008038D2" w:rsidRPr="003D77D9" w:rsidRDefault="008038D2" w:rsidP="00580297">
            <w:pPr>
              <w:jc w:val="right"/>
              <w:rPr>
                <w:rFonts w:eastAsia="Times New Roman"/>
                <w:color w:val="000000"/>
                <w:sz w:val="20"/>
                <w:szCs w:val="20"/>
              </w:rPr>
            </w:pPr>
            <w:r>
              <w:rPr>
                <w:rFonts w:eastAsia="Times New Roman"/>
                <w:color w:val="000000"/>
                <w:sz w:val="20"/>
                <w:szCs w:val="20"/>
              </w:rPr>
              <w:t>5.67</w:t>
            </w:r>
          </w:p>
        </w:tc>
      </w:tr>
      <w:tr w:rsidR="008038D2" w:rsidRPr="00AD1AEF" w:rsidTr="00580297">
        <w:trPr>
          <w:trHeight w:val="20"/>
        </w:trPr>
        <w:tc>
          <w:tcPr>
            <w:tcW w:w="622" w:type="dxa"/>
          </w:tcPr>
          <w:p w:rsidR="008038D2" w:rsidRPr="003D77D9" w:rsidRDefault="008038D2" w:rsidP="00580297">
            <w:pPr>
              <w:rPr>
                <w:b/>
                <w:bCs/>
                <w:color w:val="000000"/>
                <w:sz w:val="20"/>
                <w:szCs w:val="20"/>
              </w:rPr>
            </w:pPr>
            <w:r>
              <w:rPr>
                <w:b/>
                <w:bCs/>
                <w:color w:val="000000"/>
                <w:sz w:val="20"/>
                <w:szCs w:val="20"/>
              </w:rPr>
              <w:t>4</w:t>
            </w:r>
          </w:p>
        </w:tc>
        <w:tc>
          <w:tcPr>
            <w:tcW w:w="3172" w:type="dxa"/>
          </w:tcPr>
          <w:p w:rsidR="008038D2" w:rsidRPr="00597CE5" w:rsidRDefault="008038D2" w:rsidP="00580297">
            <w:pPr>
              <w:rPr>
                <w:rFonts w:eastAsia="Times New Roman"/>
                <w:bCs/>
                <w:color w:val="000000"/>
                <w:sz w:val="20"/>
                <w:szCs w:val="20"/>
              </w:rPr>
            </w:pPr>
            <w:r w:rsidRPr="00597CE5">
              <w:rPr>
                <w:rFonts w:eastAsia="Times New Roman"/>
                <w:bCs/>
                <w:color w:val="000000"/>
                <w:sz w:val="20"/>
                <w:szCs w:val="20"/>
              </w:rPr>
              <w:t xml:space="preserve">RAE </w:t>
            </w:r>
            <w:r>
              <w:rPr>
                <w:rFonts w:eastAsia="Times New Roman"/>
                <w:bCs/>
                <w:color w:val="000000"/>
                <w:sz w:val="20"/>
                <w:szCs w:val="20"/>
              </w:rPr>
              <w:t>Engineering-Biotech</w:t>
            </w:r>
          </w:p>
        </w:tc>
        <w:tc>
          <w:tcPr>
            <w:tcW w:w="800" w:type="dxa"/>
            <w:noWrap/>
          </w:tcPr>
          <w:p w:rsidR="008038D2" w:rsidRDefault="008038D2" w:rsidP="00580297">
            <w:pPr>
              <w:jc w:val="right"/>
            </w:pPr>
            <w:r w:rsidRPr="0012056E">
              <w:rPr>
                <w:rFonts w:eastAsia="Times New Roman"/>
                <w:color w:val="000000"/>
                <w:sz w:val="20"/>
                <w:szCs w:val="20"/>
              </w:rPr>
              <w:t>1695</w:t>
            </w:r>
          </w:p>
        </w:tc>
        <w:tc>
          <w:tcPr>
            <w:tcW w:w="1319"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35.411</w:t>
            </w:r>
          </w:p>
        </w:tc>
        <w:tc>
          <w:tcPr>
            <w:tcW w:w="1275"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35.365</w:t>
            </w:r>
          </w:p>
        </w:tc>
        <w:tc>
          <w:tcPr>
            <w:tcW w:w="1134"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0</w:t>
            </w:r>
          </w:p>
        </w:tc>
        <w:tc>
          <w:tcPr>
            <w:tcW w:w="1276"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185</w:t>
            </w:r>
          </w:p>
        </w:tc>
        <w:tc>
          <w:tcPr>
            <w:tcW w:w="1115" w:type="dxa"/>
          </w:tcPr>
          <w:p w:rsidR="008038D2" w:rsidRPr="003D77D9" w:rsidRDefault="008038D2" w:rsidP="00580297">
            <w:pPr>
              <w:jc w:val="right"/>
              <w:rPr>
                <w:rFonts w:eastAsia="Times New Roman"/>
                <w:color w:val="000000"/>
                <w:sz w:val="20"/>
                <w:szCs w:val="20"/>
              </w:rPr>
            </w:pPr>
            <w:r>
              <w:rPr>
                <w:rFonts w:eastAsia="Times New Roman"/>
                <w:color w:val="000000"/>
                <w:sz w:val="20"/>
                <w:szCs w:val="20"/>
              </w:rPr>
              <w:t>6.71</w:t>
            </w:r>
          </w:p>
        </w:tc>
      </w:tr>
      <w:tr w:rsidR="008038D2" w:rsidRPr="00AD1AEF" w:rsidTr="00580297">
        <w:trPr>
          <w:trHeight w:val="20"/>
        </w:trPr>
        <w:tc>
          <w:tcPr>
            <w:tcW w:w="622" w:type="dxa"/>
          </w:tcPr>
          <w:p w:rsidR="008038D2" w:rsidRPr="003D77D9" w:rsidRDefault="008038D2" w:rsidP="00580297">
            <w:pPr>
              <w:rPr>
                <w:b/>
                <w:bCs/>
                <w:color w:val="000000"/>
                <w:sz w:val="20"/>
                <w:szCs w:val="20"/>
              </w:rPr>
            </w:pPr>
            <w:r>
              <w:rPr>
                <w:b/>
                <w:bCs/>
                <w:color w:val="000000"/>
                <w:sz w:val="20"/>
                <w:szCs w:val="20"/>
              </w:rPr>
              <w:t>5</w:t>
            </w:r>
          </w:p>
        </w:tc>
        <w:tc>
          <w:tcPr>
            <w:tcW w:w="3172" w:type="dxa"/>
          </w:tcPr>
          <w:p w:rsidR="008038D2" w:rsidRPr="00597CE5" w:rsidRDefault="008038D2" w:rsidP="00580297">
            <w:pPr>
              <w:rPr>
                <w:rFonts w:eastAsia="Times New Roman"/>
                <w:bCs/>
                <w:color w:val="000000"/>
                <w:sz w:val="20"/>
                <w:szCs w:val="20"/>
              </w:rPr>
            </w:pPr>
            <w:r w:rsidRPr="00597CE5">
              <w:rPr>
                <w:rFonts w:eastAsia="Times New Roman"/>
                <w:bCs/>
                <w:color w:val="000000"/>
                <w:sz w:val="20"/>
                <w:szCs w:val="20"/>
              </w:rPr>
              <w:t>Patents</w:t>
            </w:r>
          </w:p>
        </w:tc>
        <w:tc>
          <w:tcPr>
            <w:tcW w:w="800" w:type="dxa"/>
            <w:noWrap/>
          </w:tcPr>
          <w:p w:rsidR="008038D2" w:rsidRDefault="008038D2" w:rsidP="00580297">
            <w:pPr>
              <w:jc w:val="right"/>
            </w:pPr>
            <w:r w:rsidRPr="0012056E">
              <w:rPr>
                <w:rFonts w:eastAsia="Times New Roman"/>
                <w:color w:val="000000"/>
                <w:sz w:val="20"/>
                <w:szCs w:val="20"/>
              </w:rPr>
              <w:t>1695</w:t>
            </w:r>
          </w:p>
        </w:tc>
        <w:tc>
          <w:tcPr>
            <w:tcW w:w="1319"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2.931</w:t>
            </w:r>
          </w:p>
        </w:tc>
        <w:tc>
          <w:tcPr>
            <w:tcW w:w="1275"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5.884</w:t>
            </w:r>
          </w:p>
        </w:tc>
        <w:tc>
          <w:tcPr>
            <w:tcW w:w="1134"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0</w:t>
            </w:r>
          </w:p>
        </w:tc>
        <w:tc>
          <w:tcPr>
            <w:tcW w:w="1276"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50</w:t>
            </w:r>
          </w:p>
        </w:tc>
        <w:tc>
          <w:tcPr>
            <w:tcW w:w="1115" w:type="dxa"/>
          </w:tcPr>
          <w:p w:rsidR="008038D2" w:rsidRPr="003D77D9" w:rsidRDefault="008038D2" w:rsidP="00580297">
            <w:pPr>
              <w:jc w:val="right"/>
              <w:rPr>
                <w:rFonts w:eastAsia="Times New Roman"/>
                <w:color w:val="000000"/>
                <w:sz w:val="20"/>
                <w:szCs w:val="20"/>
              </w:rPr>
            </w:pPr>
            <w:r>
              <w:rPr>
                <w:rFonts w:eastAsia="Times New Roman"/>
                <w:color w:val="000000"/>
                <w:sz w:val="20"/>
                <w:szCs w:val="20"/>
              </w:rPr>
              <w:t>3.32</w:t>
            </w:r>
          </w:p>
        </w:tc>
      </w:tr>
      <w:tr w:rsidR="008038D2" w:rsidRPr="00AD1AEF" w:rsidTr="00580297">
        <w:trPr>
          <w:trHeight w:val="20"/>
        </w:trPr>
        <w:tc>
          <w:tcPr>
            <w:tcW w:w="622" w:type="dxa"/>
          </w:tcPr>
          <w:p w:rsidR="008038D2" w:rsidRPr="003D77D9" w:rsidRDefault="008038D2" w:rsidP="00580297">
            <w:pPr>
              <w:rPr>
                <w:b/>
                <w:bCs/>
                <w:color w:val="000000"/>
                <w:sz w:val="20"/>
                <w:szCs w:val="20"/>
              </w:rPr>
            </w:pPr>
            <w:r w:rsidRPr="003D77D9">
              <w:rPr>
                <w:b/>
                <w:bCs/>
                <w:color w:val="000000"/>
                <w:sz w:val="20"/>
                <w:szCs w:val="20"/>
              </w:rPr>
              <w:t>6</w:t>
            </w:r>
          </w:p>
        </w:tc>
        <w:tc>
          <w:tcPr>
            <w:tcW w:w="3172" w:type="dxa"/>
          </w:tcPr>
          <w:p w:rsidR="008038D2" w:rsidRPr="00597CE5" w:rsidRDefault="008038D2" w:rsidP="00580297">
            <w:pPr>
              <w:rPr>
                <w:rFonts w:eastAsia="Times New Roman"/>
                <w:bCs/>
                <w:color w:val="000000"/>
                <w:sz w:val="20"/>
                <w:szCs w:val="20"/>
              </w:rPr>
            </w:pPr>
            <w:r w:rsidRPr="00597CE5">
              <w:rPr>
                <w:rFonts w:eastAsia="Times New Roman"/>
                <w:bCs/>
                <w:color w:val="000000"/>
                <w:sz w:val="20"/>
                <w:szCs w:val="20"/>
              </w:rPr>
              <w:t xml:space="preserve">University </w:t>
            </w:r>
            <w:r>
              <w:rPr>
                <w:rFonts w:eastAsia="Times New Roman"/>
                <w:bCs/>
                <w:color w:val="000000"/>
                <w:sz w:val="20"/>
                <w:szCs w:val="20"/>
              </w:rPr>
              <w:t>H</w:t>
            </w:r>
            <w:r w:rsidRPr="00597CE5">
              <w:rPr>
                <w:rFonts w:eastAsia="Times New Roman"/>
                <w:bCs/>
                <w:color w:val="000000"/>
                <w:sz w:val="20"/>
                <w:szCs w:val="20"/>
              </w:rPr>
              <w:t>ospital</w:t>
            </w:r>
          </w:p>
        </w:tc>
        <w:tc>
          <w:tcPr>
            <w:tcW w:w="800" w:type="dxa"/>
            <w:noWrap/>
          </w:tcPr>
          <w:p w:rsidR="008038D2" w:rsidRDefault="008038D2" w:rsidP="00580297">
            <w:pPr>
              <w:jc w:val="right"/>
            </w:pPr>
            <w:r w:rsidRPr="0012056E">
              <w:rPr>
                <w:rFonts w:eastAsia="Times New Roman"/>
                <w:color w:val="000000"/>
                <w:sz w:val="20"/>
                <w:szCs w:val="20"/>
              </w:rPr>
              <w:t>1695</w:t>
            </w:r>
          </w:p>
        </w:tc>
        <w:tc>
          <w:tcPr>
            <w:tcW w:w="1319"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0.227</w:t>
            </w:r>
          </w:p>
        </w:tc>
        <w:tc>
          <w:tcPr>
            <w:tcW w:w="1275"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0.419</w:t>
            </w:r>
          </w:p>
        </w:tc>
        <w:tc>
          <w:tcPr>
            <w:tcW w:w="1134"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0</w:t>
            </w:r>
          </w:p>
        </w:tc>
        <w:tc>
          <w:tcPr>
            <w:tcW w:w="1276"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1</w:t>
            </w:r>
          </w:p>
        </w:tc>
        <w:tc>
          <w:tcPr>
            <w:tcW w:w="1115" w:type="dxa"/>
          </w:tcPr>
          <w:p w:rsidR="008038D2" w:rsidRPr="003D77D9" w:rsidRDefault="008038D2" w:rsidP="00580297">
            <w:pPr>
              <w:jc w:val="right"/>
              <w:rPr>
                <w:rFonts w:eastAsia="Times New Roman"/>
                <w:color w:val="000000"/>
                <w:sz w:val="20"/>
                <w:szCs w:val="20"/>
              </w:rPr>
            </w:pPr>
            <w:r>
              <w:rPr>
                <w:rFonts w:eastAsia="Times New Roman"/>
                <w:color w:val="000000"/>
                <w:sz w:val="20"/>
                <w:szCs w:val="20"/>
              </w:rPr>
              <w:t>2.95</w:t>
            </w:r>
          </w:p>
        </w:tc>
      </w:tr>
      <w:tr w:rsidR="008038D2" w:rsidRPr="00AD1AEF" w:rsidTr="00580297">
        <w:trPr>
          <w:trHeight w:val="20"/>
        </w:trPr>
        <w:tc>
          <w:tcPr>
            <w:tcW w:w="622" w:type="dxa"/>
          </w:tcPr>
          <w:p w:rsidR="008038D2" w:rsidRPr="003D77D9" w:rsidRDefault="008038D2" w:rsidP="00580297">
            <w:pPr>
              <w:rPr>
                <w:b/>
                <w:bCs/>
                <w:color w:val="000000"/>
                <w:sz w:val="20"/>
                <w:szCs w:val="20"/>
              </w:rPr>
            </w:pPr>
            <w:r w:rsidRPr="003D77D9">
              <w:rPr>
                <w:b/>
                <w:bCs/>
                <w:color w:val="000000"/>
                <w:sz w:val="20"/>
                <w:szCs w:val="20"/>
              </w:rPr>
              <w:t>7</w:t>
            </w:r>
          </w:p>
        </w:tc>
        <w:tc>
          <w:tcPr>
            <w:tcW w:w="3172" w:type="dxa"/>
          </w:tcPr>
          <w:p w:rsidR="008038D2" w:rsidRPr="00597CE5" w:rsidRDefault="008038D2" w:rsidP="00580297">
            <w:pPr>
              <w:rPr>
                <w:rFonts w:eastAsia="Times New Roman"/>
                <w:bCs/>
                <w:color w:val="000000"/>
                <w:sz w:val="20"/>
                <w:szCs w:val="20"/>
              </w:rPr>
            </w:pPr>
            <w:r w:rsidRPr="00597CE5">
              <w:rPr>
                <w:rFonts w:eastAsia="Times New Roman"/>
                <w:bCs/>
                <w:color w:val="000000"/>
                <w:sz w:val="20"/>
                <w:szCs w:val="20"/>
              </w:rPr>
              <w:t>Rankings</w:t>
            </w:r>
          </w:p>
        </w:tc>
        <w:tc>
          <w:tcPr>
            <w:tcW w:w="800" w:type="dxa"/>
            <w:noWrap/>
          </w:tcPr>
          <w:p w:rsidR="008038D2" w:rsidRPr="003D77D9" w:rsidRDefault="008038D2" w:rsidP="00580297">
            <w:pPr>
              <w:jc w:val="right"/>
              <w:rPr>
                <w:rFonts w:eastAsia="Times New Roman"/>
                <w:color w:val="000000"/>
                <w:sz w:val="20"/>
                <w:szCs w:val="20"/>
              </w:rPr>
            </w:pPr>
            <w:r w:rsidRPr="003D77D9">
              <w:rPr>
                <w:rFonts w:eastAsia="Times New Roman"/>
                <w:color w:val="000000"/>
                <w:sz w:val="20"/>
                <w:szCs w:val="20"/>
              </w:rPr>
              <w:t>16</w:t>
            </w:r>
            <w:r>
              <w:rPr>
                <w:rFonts w:eastAsia="Times New Roman"/>
                <w:color w:val="000000"/>
                <w:sz w:val="20"/>
                <w:szCs w:val="20"/>
              </w:rPr>
              <w:t>95</w:t>
            </w:r>
          </w:p>
        </w:tc>
        <w:tc>
          <w:tcPr>
            <w:tcW w:w="1319"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57.613</w:t>
            </w:r>
          </w:p>
        </w:tc>
        <w:tc>
          <w:tcPr>
            <w:tcW w:w="1275"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34.627</w:t>
            </w:r>
          </w:p>
        </w:tc>
        <w:tc>
          <w:tcPr>
            <w:tcW w:w="1134"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1</w:t>
            </w:r>
          </w:p>
        </w:tc>
        <w:tc>
          <w:tcPr>
            <w:tcW w:w="1276"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123</w:t>
            </w:r>
          </w:p>
        </w:tc>
        <w:tc>
          <w:tcPr>
            <w:tcW w:w="1115" w:type="dxa"/>
          </w:tcPr>
          <w:p w:rsidR="008038D2" w:rsidRPr="003D77D9" w:rsidRDefault="008038D2" w:rsidP="00580297">
            <w:pPr>
              <w:jc w:val="right"/>
              <w:rPr>
                <w:rFonts w:eastAsia="Times New Roman"/>
                <w:color w:val="000000"/>
                <w:sz w:val="20"/>
                <w:szCs w:val="20"/>
              </w:rPr>
            </w:pPr>
            <w:r>
              <w:rPr>
                <w:rFonts w:eastAsia="Times New Roman"/>
                <w:color w:val="000000"/>
                <w:sz w:val="20"/>
                <w:szCs w:val="20"/>
              </w:rPr>
              <w:t>2.55</w:t>
            </w:r>
          </w:p>
        </w:tc>
      </w:tr>
      <w:tr w:rsidR="008038D2" w:rsidRPr="00AD1AEF" w:rsidTr="00580297">
        <w:trPr>
          <w:trHeight w:val="20"/>
        </w:trPr>
        <w:tc>
          <w:tcPr>
            <w:tcW w:w="622" w:type="dxa"/>
          </w:tcPr>
          <w:p w:rsidR="008038D2" w:rsidRPr="003D77D9" w:rsidRDefault="008038D2" w:rsidP="00580297">
            <w:pPr>
              <w:rPr>
                <w:b/>
                <w:bCs/>
                <w:color w:val="000000"/>
                <w:sz w:val="20"/>
                <w:szCs w:val="20"/>
              </w:rPr>
            </w:pPr>
            <w:r w:rsidRPr="003D77D9">
              <w:rPr>
                <w:b/>
                <w:bCs/>
                <w:color w:val="000000"/>
                <w:sz w:val="20"/>
                <w:szCs w:val="20"/>
              </w:rPr>
              <w:t>8</w:t>
            </w:r>
          </w:p>
        </w:tc>
        <w:tc>
          <w:tcPr>
            <w:tcW w:w="3172" w:type="dxa"/>
          </w:tcPr>
          <w:p w:rsidR="008038D2" w:rsidRPr="00597CE5" w:rsidRDefault="008038D2" w:rsidP="00580297">
            <w:pPr>
              <w:rPr>
                <w:rFonts w:eastAsia="Times New Roman"/>
                <w:bCs/>
                <w:color w:val="000000"/>
                <w:sz w:val="20"/>
                <w:szCs w:val="20"/>
              </w:rPr>
            </w:pPr>
            <w:r>
              <w:rPr>
                <w:rFonts w:eastAsia="Times New Roman"/>
                <w:bCs/>
                <w:color w:val="000000"/>
                <w:sz w:val="20"/>
                <w:szCs w:val="20"/>
              </w:rPr>
              <w:t>Total M</w:t>
            </w:r>
            <w:r w:rsidRPr="00597CE5">
              <w:rPr>
                <w:rFonts w:eastAsia="Times New Roman"/>
                <w:bCs/>
                <w:color w:val="000000"/>
                <w:sz w:val="20"/>
                <w:szCs w:val="20"/>
              </w:rPr>
              <w:t>edia</w:t>
            </w:r>
            <w:r>
              <w:rPr>
                <w:rFonts w:eastAsia="Times New Roman"/>
                <w:bCs/>
                <w:color w:val="000000"/>
                <w:sz w:val="20"/>
                <w:szCs w:val="20"/>
              </w:rPr>
              <w:t xml:space="preserve"> Coverage</w:t>
            </w:r>
          </w:p>
        </w:tc>
        <w:tc>
          <w:tcPr>
            <w:tcW w:w="800" w:type="dxa"/>
            <w:noWrap/>
          </w:tcPr>
          <w:p w:rsidR="008038D2" w:rsidRDefault="008038D2" w:rsidP="00580297">
            <w:pPr>
              <w:jc w:val="right"/>
            </w:pPr>
            <w:r w:rsidRPr="0012056E">
              <w:rPr>
                <w:rFonts w:eastAsia="Times New Roman"/>
                <w:color w:val="000000"/>
                <w:sz w:val="20"/>
                <w:szCs w:val="20"/>
              </w:rPr>
              <w:t>16</w:t>
            </w:r>
            <w:r>
              <w:rPr>
                <w:rFonts w:eastAsia="Times New Roman"/>
                <w:color w:val="000000"/>
                <w:sz w:val="20"/>
                <w:szCs w:val="20"/>
              </w:rPr>
              <w:t>9</w:t>
            </w:r>
            <w:r w:rsidRPr="0012056E">
              <w:rPr>
                <w:rFonts w:eastAsia="Times New Roman"/>
                <w:color w:val="000000"/>
                <w:sz w:val="20"/>
                <w:szCs w:val="20"/>
              </w:rPr>
              <w:t>5</w:t>
            </w:r>
          </w:p>
        </w:tc>
        <w:tc>
          <w:tcPr>
            <w:tcW w:w="1319"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397.808</w:t>
            </w:r>
          </w:p>
        </w:tc>
        <w:tc>
          <w:tcPr>
            <w:tcW w:w="1275"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720.321</w:t>
            </w:r>
          </w:p>
        </w:tc>
        <w:tc>
          <w:tcPr>
            <w:tcW w:w="1134"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0</w:t>
            </w:r>
          </w:p>
        </w:tc>
        <w:tc>
          <w:tcPr>
            <w:tcW w:w="1276"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14945</w:t>
            </w:r>
          </w:p>
        </w:tc>
        <w:tc>
          <w:tcPr>
            <w:tcW w:w="1115" w:type="dxa"/>
          </w:tcPr>
          <w:p w:rsidR="008038D2" w:rsidRPr="003D77D9" w:rsidRDefault="008038D2" w:rsidP="00580297">
            <w:pPr>
              <w:jc w:val="right"/>
              <w:rPr>
                <w:rFonts w:eastAsia="Times New Roman"/>
                <w:color w:val="000000"/>
                <w:sz w:val="20"/>
                <w:szCs w:val="20"/>
              </w:rPr>
            </w:pPr>
            <w:r>
              <w:rPr>
                <w:rFonts w:eastAsia="Times New Roman"/>
                <w:color w:val="000000"/>
                <w:sz w:val="20"/>
                <w:szCs w:val="20"/>
              </w:rPr>
              <w:t>3.85</w:t>
            </w:r>
          </w:p>
        </w:tc>
      </w:tr>
      <w:tr w:rsidR="008038D2" w:rsidRPr="00AD1AEF" w:rsidTr="00580297">
        <w:trPr>
          <w:trHeight w:val="20"/>
        </w:trPr>
        <w:tc>
          <w:tcPr>
            <w:tcW w:w="622" w:type="dxa"/>
          </w:tcPr>
          <w:p w:rsidR="008038D2" w:rsidRPr="003D77D9" w:rsidRDefault="008038D2" w:rsidP="00580297">
            <w:pPr>
              <w:rPr>
                <w:b/>
                <w:bCs/>
                <w:color w:val="000000"/>
                <w:sz w:val="20"/>
                <w:szCs w:val="20"/>
              </w:rPr>
            </w:pPr>
            <w:r w:rsidRPr="003D77D9">
              <w:rPr>
                <w:b/>
                <w:bCs/>
                <w:color w:val="000000"/>
                <w:sz w:val="20"/>
                <w:szCs w:val="20"/>
              </w:rPr>
              <w:t>9</w:t>
            </w:r>
          </w:p>
        </w:tc>
        <w:tc>
          <w:tcPr>
            <w:tcW w:w="3172" w:type="dxa"/>
          </w:tcPr>
          <w:p w:rsidR="008038D2" w:rsidRPr="00597CE5" w:rsidRDefault="008038D2" w:rsidP="00580297">
            <w:pPr>
              <w:rPr>
                <w:rFonts w:eastAsia="Times New Roman"/>
                <w:bCs/>
                <w:color w:val="000000"/>
                <w:sz w:val="20"/>
                <w:szCs w:val="20"/>
              </w:rPr>
            </w:pPr>
            <w:r>
              <w:rPr>
                <w:rFonts w:eastAsia="Times New Roman"/>
                <w:bCs/>
                <w:color w:val="000000"/>
                <w:sz w:val="20"/>
                <w:szCs w:val="20"/>
              </w:rPr>
              <w:t xml:space="preserve">TTO </w:t>
            </w:r>
            <w:r w:rsidRPr="00597CE5">
              <w:rPr>
                <w:rFonts w:eastAsia="Times New Roman"/>
                <w:bCs/>
                <w:color w:val="000000"/>
                <w:sz w:val="20"/>
                <w:szCs w:val="20"/>
              </w:rPr>
              <w:t>Structure</w:t>
            </w:r>
          </w:p>
        </w:tc>
        <w:tc>
          <w:tcPr>
            <w:tcW w:w="800" w:type="dxa"/>
            <w:noWrap/>
          </w:tcPr>
          <w:p w:rsidR="008038D2" w:rsidRDefault="008038D2" w:rsidP="00580297">
            <w:pPr>
              <w:jc w:val="right"/>
            </w:pPr>
            <w:r w:rsidRPr="0012056E">
              <w:rPr>
                <w:rFonts w:eastAsia="Times New Roman"/>
                <w:color w:val="000000"/>
                <w:sz w:val="20"/>
                <w:szCs w:val="20"/>
              </w:rPr>
              <w:t>1695</w:t>
            </w:r>
          </w:p>
        </w:tc>
        <w:tc>
          <w:tcPr>
            <w:tcW w:w="1319"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0.909</w:t>
            </w:r>
          </w:p>
        </w:tc>
        <w:tc>
          <w:tcPr>
            <w:tcW w:w="1275"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1.103</w:t>
            </w:r>
          </w:p>
        </w:tc>
        <w:tc>
          <w:tcPr>
            <w:tcW w:w="1134"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0</w:t>
            </w:r>
          </w:p>
        </w:tc>
        <w:tc>
          <w:tcPr>
            <w:tcW w:w="1276"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4</w:t>
            </w:r>
          </w:p>
        </w:tc>
        <w:tc>
          <w:tcPr>
            <w:tcW w:w="1115" w:type="dxa"/>
          </w:tcPr>
          <w:p w:rsidR="008038D2" w:rsidRPr="003D77D9" w:rsidRDefault="008038D2" w:rsidP="00580297">
            <w:pPr>
              <w:jc w:val="right"/>
              <w:rPr>
                <w:rFonts w:eastAsia="Times New Roman"/>
                <w:color w:val="000000"/>
                <w:sz w:val="20"/>
                <w:szCs w:val="20"/>
              </w:rPr>
            </w:pPr>
            <w:r>
              <w:rPr>
                <w:rFonts w:eastAsia="Times New Roman"/>
                <w:color w:val="000000"/>
                <w:sz w:val="20"/>
                <w:szCs w:val="20"/>
              </w:rPr>
              <w:t>1.99</w:t>
            </w:r>
          </w:p>
        </w:tc>
      </w:tr>
      <w:tr w:rsidR="008038D2" w:rsidRPr="00AD1AEF" w:rsidTr="00580297">
        <w:trPr>
          <w:trHeight w:val="20"/>
        </w:trPr>
        <w:tc>
          <w:tcPr>
            <w:tcW w:w="622" w:type="dxa"/>
          </w:tcPr>
          <w:p w:rsidR="008038D2" w:rsidRPr="003D77D9" w:rsidRDefault="008038D2" w:rsidP="00580297">
            <w:pPr>
              <w:rPr>
                <w:b/>
                <w:bCs/>
                <w:color w:val="000000"/>
                <w:sz w:val="20"/>
                <w:szCs w:val="20"/>
              </w:rPr>
            </w:pPr>
            <w:r w:rsidRPr="003D77D9">
              <w:rPr>
                <w:b/>
                <w:bCs/>
                <w:color w:val="000000"/>
                <w:sz w:val="20"/>
                <w:szCs w:val="20"/>
              </w:rPr>
              <w:t>10</w:t>
            </w:r>
          </w:p>
        </w:tc>
        <w:tc>
          <w:tcPr>
            <w:tcW w:w="3172" w:type="dxa"/>
            <w:hideMark/>
          </w:tcPr>
          <w:p w:rsidR="008038D2" w:rsidRPr="00597CE5" w:rsidRDefault="008038D2" w:rsidP="00580297">
            <w:pPr>
              <w:rPr>
                <w:rFonts w:eastAsia="Times New Roman"/>
                <w:bCs/>
                <w:color w:val="000000"/>
                <w:sz w:val="20"/>
                <w:szCs w:val="20"/>
              </w:rPr>
            </w:pPr>
            <w:r>
              <w:rPr>
                <w:rFonts w:eastAsia="Times New Roman"/>
                <w:bCs/>
                <w:color w:val="000000"/>
                <w:sz w:val="20"/>
                <w:szCs w:val="20"/>
              </w:rPr>
              <w:t xml:space="preserve">University </w:t>
            </w:r>
            <w:r w:rsidRPr="00597CE5">
              <w:rPr>
                <w:rFonts w:eastAsia="Times New Roman"/>
                <w:bCs/>
                <w:color w:val="000000"/>
                <w:sz w:val="20"/>
                <w:szCs w:val="20"/>
              </w:rPr>
              <w:t>Size</w:t>
            </w:r>
          </w:p>
        </w:tc>
        <w:tc>
          <w:tcPr>
            <w:tcW w:w="800" w:type="dxa"/>
            <w:noWrap/>
            <w:hideMark/>
          </w:tcPr>
          <w:p w:rsidR="008038D2" w:rsidRDefault="008038D2" w:rsidP="00580297">
            <w:pPr>
              <w:jc w:val="right"/>
            </w:pPr>
            <w:r w:rsidRPr="0012056E">
              <w:rPr>
                <w:rFonts w:eastAsia="Times New Roman"/>
                <w:color w:val="000000"/>
                <w:sz w:val="20"/>
                <w:szCs w:val="20"/>
              </w:rPr>
              <w:t>1695</w:t>
            </w:r>
          </w:p>
        </w:tc>
        <w:tc>
          <w:tcPr>
            <w:tcW w:w="1319"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14663.520</w:t>
            </w:r>
          </w:p>
        </w:tc>
        <w:tc>
          <w:tcPr>
            <w:tcW w:w="1275"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8359.731</w:t>
            </w:r>
          </w:p>
        </w:tc>
        <w:tc>
          <w:tcPr>
            <w:tcW w:w="1134"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145</w:t>
            </w:r>
          </w:p>
        </w:tc>
        <w:tc>
          <w:tcPr>
            <w:tcW w:w="1276"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52890</w:t>
            </w:r>
          </w:p>
        </w:tc>
        <w:tc>
          <w:tcPr>
            <w:tcW w:w="1115" w:type="dxa"/>
          </w:tcPr>
          <w:p w:rsidR="008038D2" w:rsidRPr="003D77D9" w:rsidRDefault="008038D2" w:rsidP="00580297">
            <w:pPr>
              <w:jc w:val="right"/>
              <w:rPr>
                <w:rFonts w:eastAsia="Times New Roman"/>
                <w:color w:val="000000"/>
                <w:sz w:val="20"/>
                <w:szCs w:val="20"/>
              </w:rPr>
            </w:pPr>
            <w:r>
              <w:rPr>
                <w:rFonts w:eastAsia="Times New Roman"/>
                <w:color w:val="000000"/>
                <w:sz w:val="20"/>
                <w:szCs w:val="20"/>
              </w:rPr>
              <w:t>1.80</w:t>
            </w:r>
          </w:p>
        </w:tc>
      </w:tr>
      <w:tr w:rsidR="008038D2" w:rsidRPr="00AD1AEF" w:rsidTr="00580297">
        <w:trPr>
          <w:trHeight w:val="20"/>
        </w:trPr>
        <w:tc>
          <w:tcPr>
            <w:tcW w:w="622" w:type="dxa"/>
          </w:tcPr>
          <w:p w:rsidR="008038D2" w:rsidRPr="003D77D9" w:rsidRDefault="008038D2" w:rsidP="00580297">
            <w:pPr>
              <w:rPr>
                <w:b/>
                <w:bCs/>
                <w:color w:val="000000"/>
                <w:sz w:val="20"/>
                <w:szCs w:val="20"/>
              </w:rPr>
            </w:pPr>
            <w:r w:rsidRPr="003D77D9">
              <w:rPr>
                <w:b/>
                <w:bCs/>
                <w:color w:val="000000"/>
                <w:sz w:val="20"/>
                <w:szCs w:val="20"/>
              </w:rPr>
              <w:t>11</w:t>
            </w:r>
          </w:p>
        </w:tc>
        <w:tc>
          <w:tcPr>
            <w:tcW w:w="3172" w:type="dxa"/>
          </w:tcPr>
          <w:p w:rsidR="008038D2" w:rsidRPr="00597CE5" w:rsidRDefault="008038D2" w:rsidP="00580297">
            <w:pPr>
              <w:rPr>
                <w:rFonts w:eastAsia="Times New Roman"/>
                <w:bCs/>
                <w:color w:val="000000"/>
                <w:sz w:val="20"/>
                <w:szCs w:val="20"/>
              </w:rPr>
            </w:pPr>
            <w:r w:rsidRPr="00597CE5">
              <w:rPr>
                <w:rFonts w:eastAsia="Times New Roman"/>
                <w:bCs/>
                <w:color w:val="000000"/>
                <w:sz w:val="20"/>
                <w:szCs w:val="20"/>
              </w:rPr>
              <w:t>Russell Group</w:t>
            </w:r>
          </w:p>
        </w:tc>
        <w:tc>
          <w:tcPr>
            <w:tcW w:w="800" w:type="dxa"/>
            <w:noWrap/>
          </w:tcPr>
          <w:p w:rsidR="008038D2" w:rsidRDefault="008038D2" w:rsidP="00580297">
            <w:pPr>
              <w:jc w:val="right"/>
            </w:pPr>
            <w:r w:rsidRPr="0012056E">
              <w:rPr>
                <w:rFonts w:eastAsia="Times New Roman"/>
                <w:color w:val="000000"/>
                <w:sz w:val="20"/>
                <w:szCs w:val="20"/>
              </w:rPr>
              <w:t>1695</w:t>
            </w:r>
          </w:p>
        </w:tc>
        <w:tc>
          <w:tcPr>
            <w:tcW w:w="1319"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1.140</w:t>
            </w:r>
          </w:p>
        </w:tc>
        <w:tc>
          <w:tcPr>
            <w:tcW w:w="1275"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0.347</w:t>
            </w:r>
          </w:p>
        </w:tc>
        <w:tc>
          <w:tcPr>
            <w:tcW w:w="1134"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1</w:t>
            </w:r>
          </w:p>
        </w:tc>
        <w:tc>
          <w:tcPr>
            <w:tcW w:w="1276" w:type="dxa"/>
            <w:noWrap/>
          </w:tcPr>
          <w:p w:rsidR="008038D2" w:rsidRPr="003D77D9" w:rsidRDefault="008038D2" w:rsidP="00580297">
            <w:pPr>
              <w:jc w:val="right"/>
              <w:rPr>
                <w:rFonts w:eastAsia="Times New Roman"/>
                <w:color w:val="000000"/>
                <w:sz w:val="20"/>
                <w:szCs w:val="20"/>
              </w:rPr>
            </w:pPr>
            <w:r>
              <w:rPr>
                <w:rFonts w:eastAsia="Times New Roman"/>
                <w:color w:val="000000"/>
                <w:sz w:val="20"/>
                <w:szCs w:val="20"/>
              </w:rPr>
              <w:t>2</w:t>
            </w:r>
          </w:p>
        </w:tc>
        <w:tc>
          <w:tcPr>
            <w:tcW w:w="1115" w:type="dxa"/>
          </w:tcPr>
          <w:p w:rsidR="008038D2" w:rsidRPr="003D77D9" w:rsidRDefault="008038D2" w:rsidP="00580297">
            <w:pPr>
              <w:jc w:val="right"/>
              <w:rPr>
                <w:rFonts w:eastAsia="Times New Roman"/>
                <w:color w:val="000000"/>
                <w:sz w:val="20"/>
                <w:szCs w:val="20"/>
              </w:rPr>
            </w:pPr>
            <w:r>
              <w:rPr>
                <w:rFonts w:eastAsia="Times New Roman"/>
                <w:color w:val="000000"/>
                <w:sz w:val="20"/>
                <w:szCs w:val="20"/>
              </w:rPr>
              <w:t>3.92</w:t>
            </w:r>
          </w:p>
        </w:tc>
      </w:tr>
      <w:tr w:rsidR="008038D2" w:rsidRPr="00AD1AEF" w:rsidTr="00580297">
        <w:trPr>
          <w:trHeight w:val="20"/>
        </w:trPr>
        <w:tc>
          <w:tcPr>
            <w:tcW w:w="622" w:type="dxa"/>
          </w:tcPr>
          <w:p w:rsidR="008038D2" w:rsidRPr="003D77D9" w:rsidRDefault="008038D2" w:rsidP="00580297">
            <w:pPr>
              <w:rPr>
                <w:b/>
                <w:bCs/>
                <w:color w:val="000000"/>
                <w:sz w:val="20"/>
                <w:szCs w:val="20"/>
              </w:rPr>
            </w:pPr>
            <w:r w:rsidRPr="003D77D9">
              <w:rPr>
                <w:b/>
                <w:bCs/>
                <w:color w:val="000000"/>
                <w:sz w:val="20"/>
                <w:szCs w:val="20"/>
              </w:rPr>
              <w:t>12</w:t>
            </w:r>
          </w:p>
        </w:tc>
        <w:tc>
          <w:tcPr>
            <w:tcW w:w="3172" w:type="dxa"/>
            <w:hideMark/>
          </w:tcPr>
          <w:p w:rsidR="008038D2" w:rsidRPr="00597CE5" w:rsidRDefault="008038D2" w:rsidP="00580297">
            <w:pPr>
              <w:rPr>
                <w:sz w:val="20"/>
                <w:szCs w:val="20"/>
              </w:rPr>
            </w:pPr>
            <w:r w:rsidRPr="00597CE5">
              <w:rPr>
                <w:sz w:val="20"/>
                <w:szCs w:val="20"/>
              </w:rPr>
              <w:t xml:space="preserve">Portfolio </w:t>
            </w:r>
            <w:r>
              <w:rPr>
                <w:sz w:val="20"/>
                <w:szCs w:val="20"/>
              </w:rPr>
              <w:t>S</w:t>
            </w:r>
            <w:r w:rsidRPr="00597CE5">
              <w:rPr>
                <w:sz w:val="20"/>
                <w:szCs w:val="20"/>
              </w:rPr>
              <w:t>ize</w:t>
            </w:r>
          </w:p>
        </w:tc>
        <w:tc>
          <w:tcPr>
            <w:tcW w:w="800" w:type="dxa"/>
            <w:noWrap/>
            <w:hideMark/>
          </w:tcPr>
          <w:p w:rsidR="008038D2" w:rsidRDefault="008038D2" w:rsidP="00580297">
            <w:pPr>
              <w:jc w:val="right"/>
            </w:pPr>
            <w:r w:rsidRPr="0012056E">
              <w:rPr>
                <w:rFonts w:eastAsia="Times New Roman"/>
                <w:color w:val="000000"/>
                <w:sz w:val="20"/>
                <w:szCs w:val="20"/>
              </w:rPr>
              <w:t>1695</w:t>
            </w:r>
          </w:p>
        </w:tc>
        <w:tc>
          <w:tcPr>
            <w:tcW w:w="1319" w:type="dxa"/>
            <w:noWrap/>
            <w:hideMark/>
          </w:tcPr>
          <w:p w:rsidR="008038D2" w:rsidRPr="003D77D9" w:rsidRDefault="008038D2" w:rsidP="00580297">
            <w:pPr>
              <w:jc w:val="right"/>
              <w:rPr>
                <w:rFonts w:eastAsia="Times New Roman"/>
                <w:color w:val="000000"/>
                <w:sz w:val="20"/>
                <w:szCs w:val="20"/>
              </w:rPr>
            </w:pPr>
            <w:r>
              <w:rPr>
                <w:rFonts w:eastAsia="Times New Roman"/>
                <w:color w:val="000000"/>
                <w:sz w:val="20"/>
                <w:szCs w:val="20"/>
              </w:rPr>
              <w:t>5.110</w:t>
            </w:r>
          </w:p>
        </w:tc>
        <w:tc>
          <w:tcPr>
            <w:tcW w:w="1275" w:type="dxa"/>
            <w:noWrap/>
            <w:hideMark/>
          </w:tcPr>
          <w:p w:rsidR="008038D2" w:rsidRPr="003D77D9" w:rsidRDefault="008038D2" w:rsidP="00580297">
            <w:pPr>
              <w:jc w:val="right"/>
              <w:rPr>
                <w:rFonts w:eastAsia="Times New Roman"/>
                <w:color w:val="000000"/>
                <w:sz w:val="20"/>
                <w:szCs w:val="20"/>
              </w:rPr>
            </w:pPr>
            <w:r>
              <w:rPr>
                <w:rFonts w:eastAsia="Times New Roman"/>
                <w:color w:val="000000"/>
                <w:sz w:val="20"/>
                <w:szCs w:val="20"/>
              </w:rPr>
              <w:t>10.252</w:t>
            </w:r>
          </w:p>
        </w:tc>
        <w:tc>
          <w:tcPr>
            <w:tcW w:w="1134" w:type="dxa"/>
            <w:noWrap/>
            <w:hideMark/>
          </w:tcPr>
          <w:p w:rsidR="008038D2" w:rsidRPr="003D77D9" w:rsidRDefault="008038D2" w:rsidP="00580297">
            <w:pPr>
              <w:jc w:val="right"/>
              <w:rPr>
                <w:rFonts w:eastAsia="Times New Roman"/>
                <w:color w:val="000000"/>
                <w:sz w:val="20"/>
                <w:szCs w:val="20"/>
              </w:rPr>
            </w:pPr>
            <w:r w:rsidRPr="003D77D9">
              <w:rPr>
                <w:rFonts w:eastAsia="Times New Roman"/>
                <w:color w:val="000000"/>
                <w:sz w:val="20"/>
                <w:szCs w:val="20"/>
              </w:rPr>
              <w:t>0</w:t>
            </w:r>
          </w:p>
        </w:tc>
        <w:tc>
          <w:tcPr>
            <w:tcW w:w="1276" w:type="dxa"/>
            <w:noWrap/>
            <w:hideMark/>
          </w:tcPr>
          <w:p w:rsidR="008038D2" w:rsidRPr="003D77D9" w:rsidRDefault="008038D2" w:rsidP="00580297">
            <w:pPr>
              <w:jc w:val="right"/>
              <w:rPr>
                <w:rFonts w:eastAsia="Times New Roman"/>
                <w:color w:val="000000"/>
                <w:sz w:val="20"/>
                <w:szCs w:val="20"/>
              </w:rPr>
            </w:pPr>
            <w:r w:rsidRPr="00F00580">
              <w:rPr>
                <w:rFonts w:eastAsia="Times New Roman"/>
                <w:color w:val="000000"/>
                <w:sz w:val="20"/>
                <w:szCs w:val="20"/>
              </w:rPr>
              <w:t>7</w:t>
            </w:r>
            <w:r>
              <w:rPr>
                <w:rFonts w:eastAsia="Times New Roman"/>
                <w:color w:val="000000"/>
                <w:sz w:val="20"/>
                <w:szCs w:val="20"/>
              </w:rPr>
              <w:t>4</w:t>
            </w:r>
          </w:p>
        </w:tc>
        <w:tc>
          <w:tcPr>
            <w:tcW w:w="1115" w:type="dxa"/>
          </w:tcPr>
          <w:p w:rsidR="008038D2" w:rsidRPr="003D77D9" w:rsidRDefault="008038D2" w:rsidP="00580297">
            <w:pPr>
              <w:jc w:val="right"/>
              <w:rPr>
                <w:rFonts w:eastAsia="Times New Roman"/>
                <w:color w:val="000000"/>
                <w:sz w:val="20"/>
                <w:szCs w:val="20"/>
              </w:rPr>
            </w:pPr>
            <w:r>
              <w:rPr>
                <w:rFonts w:eastAsia="Times New Roman"/>
                <w:color w:val="000000"/>
                <w:sz w:val="20"/>
                <w:szCs w:val="20"/>
              </w:rPr>
              <w:t>4.70</w:t>
            </w:r>
          </w:p>
        </w:tc>
      </w:tr>
      <w:tr w:rsidR="008038D2" w:rsidRPr="00AD1AEF" w:rsidTr="00580297">
        <w:trPr>
          <w:trHeight w:val="20"/>
        </w:trPr>
        <w:tc>
          <w:tcPr>
            <w:tcW w:w="622" w:type="dxa"/>
            <w:tcBorders>
              <w:bottom w:val="nil"/>
            </w:tcBorders>
          </w:tcPr>
          <w:p w:rsidR="008038D2" w:rsidRPr="003D77D9" w:rsidRDefault="008038D2" w:rsidP="00580297">
            <w:pPr>
              <w:rPr>
                <w:b/>
                <w:bCs/>
                <w:color w:val="000000"/>
                <w:sz w:val="20"/>
                <w:szCs w:val="20"/>
              </w:rPr>
            </w:pPr>
            <w:r w:rsidRPr="003D77D9">
              <w:rPr>
                <w:b/>
                <w:bCs/>
                <w:color w:val="000000"/>
                <w:sz w:val="20"/>
                <w:szCs w:val="20"/>
              </w:rPr>
              <w:t>13</w:t>
            </w:r>
          </w:p>
        </w:tc>
        <w:tc>
          <w:tcPr>
            <w:tcW w:w="3172" w:type="dxa"/>
            <w:tcBorders>
              <w:bottom w:val="nil"/>
            </w:tcBorders>
            <w:hideMark/>
          </w:tcPr>
          <w:p w:rsidR="008038D2" w:rsidRPr="00597CE5" w:rsidRDefault="008038D2" w:rsidP="00580297">
            <w:pPr>
              <w:rPr>
                <w:sz w:val="20"/>
                <w:szCs w:val="20"/>
              </w:rPr>
            </w:pPr>
            <w:r w:rsidRPr="00597CE5">
              <w:rPr>
                <w:sz w:val="20"/>
                <w:szCs w:val="20"/>
              </w:rPr>
              <w:t xml:space="preserve">Portfolio </w:t>
            </w:r>
            <w:r>
              <w:rPr>
                <w:sz w:val="20"/>
                <w:szCs w:val="20"/>
              </w:rPr>
              <w:t>Performance</w:t>
            </w:r>
            <w:r w:rsidRPr="00597CE5">
              <w:rPr>
                <w:sz w:val="20"/>
                <w:szCs w:val="20"/>
              </w:rPr>
              <w:t xml:space="preserve"> </w:t>
            </w:r>
          </w:p>
        </w:tc>
        <w:tc>
          <w:tcPr>
            <w:tcW w:w="800" w:type="dxa"/>
            <w:tcBorders>
              <w:bottom w:val="nil"/>
            </w:tcBorders>
            <w:noWrap/>
            <w:hideMark/>
          </w:tcPr>
          <w:p w:rsidR="008038D2" w:rsidRDefault="008038D2" w:rsidP="00580297">
            <w:pPr>
              <w:jc w:val="right"/>
            </w:pPr>
            <w:r w:rsidRPr="0012056E">
              <w:rPr>
                <w:rFonts w:eastAsia="Times New Roman"/>
                <w:color w:val="000000"/>
                <w:sz w:val="20"/>
                <w:szCs w:val="20"/>
              </w:rPr>
              <w:t>1695</w:t>
            </w:r>
          </w:p>
        </w:tc>
        <w:tc>
          <w:tcPr>
            <w:tcW w:w="1319" w:type="dxa"/>
            <w:tcBorders>
              <w:bottom w:val="nil"/>
            </w:tcBorders>
            <w:noWrap/>
            <w:hideMark/>
          </w:tcPr>
          <w:p w:rsidR="008038D2" w:rsidRPr="003D77D9" w:rsidRDefault="008038D2" w:rsidP="00580297">
            <w:pPr>
              <w:jc w:val="right"/>
              <w:rPr>
                <w:rFonts w:eastAsia="Times New Roman"/>
                <w:color w:val="000000"/>
                <w:sz w:val="20"/>
                <w:szCs w:val="20"/>
              </w:rPr>
            </w:pPr>
            <w:r>
              <w:rPr>
                <w:rFonts w:eastAsia="Times New Roman"/>
                <w:color w:val="000000"/>
                <w:sz w:val="20"/>
                <w:szCs w:val="20"/>
              </w:rPr>
              <w:t>5,115,686</w:t>
            </w:r>
          </w:p>
        </w:tc>
        <w:tc>
          <w:tcPr>
            <w:tcW w:w="1275" w:type="dxa"/>
            <w:tcBorders>
              <w:bottom w:val="nil"/>
            </w:tcBorders>
            <w:noWrap/>
            <w:hideMark/>
          </w:tcPr>
          <w:p w:rsidR="008038D2" w:rsidRPr="003D77D9" w:rsidRDefault="008038D2" w:rsidP="00580297">
            <w:pPr>
              <w:jc w:val="right"/>
              <w:rPr>
                <w:rFonts w:eastAsia="Times New Roman"/>
                <w:color w:val="000000"/>
                <w:sz w:val="20"/>
                <w:szCs w:val="20"/>
              </w:rPr>
            </w:pPr>
            <w:r>
              <w:rPr>
                <w:rFonts w:eastAsia="Times New Roman"/>
                <w:color w:val="000000"/>
                <w:sz w:val="20"/>
                <w:szCs w:val="20"/>
              </w:rPr>
              <w:t>28,200,000</w:t>
            </w:r>
          </w:p>
        </w:tc>
        <w:tc>
          <w:tcPr>
            <w:tcW w:w="1134" w:type="dxa"/>
            <w:tcBorders>
              <w:bottom w:val="nil"/>
            </w:tcBorders>
            <w:noWrap/>
            <w:hideMark/>
          </w:tcPr>
          <w:p w:rsidR="008038D2" w:rsidRPr="003D77D9" w:rsidRDefault="008038D2" w:rsidP="00580297">
            <w:pPr>
              <w:jc w:val="right"/>
              <w:rPr>
                <w:rFonts w:eastAsia="Times New Roman"/>
                <w:color w:val="000000"/>
                <w:sz w:val="20"/>
                <w:szCs w:val="20"/>
              </w:rPr>
            </w:pPr>
            <w:r w:rsidRPr="003D77D9">
              <w:rPr>
                <w:rFonts w:eastAsia="Times New Roman"/>
                <w:color w:val="000000"/>
                <w:sz w:val="20"/>
                <w:szCs w:val="20"/>
              </w:rPr>
              <w:t>0</w:t>
            </w:r>
          </w:p>
        </w:tc>
        <w:tc>
          <w:tcPr>
            <w:tcW w:w="1276" w:type="dxa"/>
            <w:tcBorders>
              <w:bottom w:val="nil"/>
            </w:tcBorders>
            <w:noWrap/>
            <w:hideMark/>
          </w:tcPr>
          <w:p w:rsidR="008038D2" w:rsidRPr="00D47A4F" w:rsidRDefault="008038D2" w:rsidP="00580297">
            <w:pPr>
              <w:jc w:val="right"/>
              <w:rPr>
                <w:rFonts w:eastAsia="Times New Roman"/>
                <w:sz w:val="20"/>
                <w:szCs w:val="20"/>
              </w:rPr>
            </w:pPr>
            <w:r>
              <w:rPr>
                <w:rFonts w:eastAsia="Times New Roman"/>
                <w:sz w:val="20"/>
                <w:szCs w:val="20"/>
              </w:rPr>
              <w:t>427,565,972</w:t>
            </w:r>
          </w:p>
        </w:tc>
        <w:tc>
          <w:tcPr>
            <w:tcW w:w="1115" w:type="dxa"/>
            <w:tcBorders>
              <w:bottom w:val="nil"/>
            </w:tcBorders>
          </w:tcPr>
          <w:p w:rsidR="008038D2" w:rsidRPr="003D77D9" w:rsidRDefault="008038D2" w:rsidP="00580297">
            <w:pPr>
              <w:jc w:val="right"/>
              <w:rPr>
                <w:rFonts w:eastAsia="Times New Roman"/>
                <w:color w:val="000000"/>
                <w:sz w:val="20"/>
                <w:szCs w:val="20"/>
              </w:rPr>
            </w:pPr>
            <w:r>
              <w:rPr>
                <w:rFonts w:eastAsia="Times New Roman"/>
                <w:color w:val="000000"/>
                <w:sz w:val="20"/>
                <w:szCs w:val="20"/>
              </w:rPr>
              <w:t>2.26</w:t>
            </w:r>
          </w:p>
        </w:tc>
      </w:tr>
      <w:tr w:rsidR="008038D2" w:rsidRPr="00AD1AEF" w:rsidTr="00580297">
        <w:trPr>
          <w:trHeight w:val="20"/>
        </w:trPr>
        <w:tc>
          <w:tcPr>
            <w:tcW w:w="622" w:type="dxa"/>
            <w:tcBorders>
              <w:top w:val="nil"/>
              <w:bottom w:val="nil"/>
            </w:tcBorders>
          </w:tcPr>
          <w:p w:rsidR="008038D2" w:rsidRPr="003D77D9" w:rsidRDefault="008038D2" w:rsidP="00580297">
            <w:pPr>
              <w:rPr>
                <w:b/>
                <w:bCs/>
                <w:color w:val="000000"/>
                <w:sz w:val="20"/>
                <w:szCs w:val="20"/>
              </w:rPr>
            </w:pPr>
            <w:r w:rsidRPr="003D77D9">
              <w:rPr>
                <w:b/>
                <w:bCs/>
                <w:color w:val="000000"/>
                <w:sz w:val="20"/>
                <w:szCs w:val="20"/>
              </w:rPr>
              <w:t>14</w:t>
            </w:r>
          </w:p>
        </w:tc>
        <w:tc>
          <w:tcPr>
            <w:tcW w:w="3172" w:type="dxa"/>
            <w:tcBorders>
              <w:top w:val="nil"/>
              <w:bottom w:val="nil"/>
            </w:tcBorders>
            <w:hideMark/>
          </w:tcPr>
          <w:p w:rsidR="008038D2" w:rsidRPr="00597CE5" w:rsidRDefault="008038D2" w:rsidP="00580297">
            <w:pPr>
              <w:rPr>
                <w:sz w:val="20"/>
                <w:szCs w:val="20"/>
              </w:rPr>
            </w:pPr>
            <w:r w:rsidRPr="00597CE5">
              <w:rPr>
                <w:sz w:val="20"/>
                <w:szCs w:val="20"/>
              </w:rPr>
              <w:t xml:space="preserve">Portfolio </w:t>
            </w:r>
            <w:r>
              <w:rPr>
                <w:sz w:val="20"/>
                <w:szCs w:val="20"/>
              </w:rPr>
              <w:t>M</w:t>
            </w:r>
            <w:r w:rsidRPr="00597CE5">
              <w:rPr>
                <w:sz w:val="20"/>
                <w:szCs w:val="20"/>
              </w:rPr>
              <w:t>edia</w:t>
            </w:r>
          </w:p>
        </w:tc>
        <w:tc>
          <w:tcPr>
            <w:tcW w:w="800" w:type="dxa"/>
            <w:tcBorders>
              <w:top w:val="nil"/>
              <w:bottom w:val="nil"/>
            </w:tcBorders>
            <w:noWrap/>
            <w:hideMark/>
          </w:tcPr>
          <w:p w:rsidR="008038D2" w:rsidRPr="003D77D9" w:rsidRDefault="008038D2" w:rsidP="00580297">
            <w:pPr>
              <w:jc w:val="right"/>
              <w:rPr>
                <w:rFonts w:eastAsia="Times New Roman"/>
                <w:color w:val="000000"/>
                <w:sz w:val="20"/>
                <w:szCs w:val="20"/>
              </w:rPr>
            </w:pPr>
            <w:r w:rsidRPr="003D77D9">
              <w:rPr>
                <w:rFonts w:eastAsia="Times New Roman"/>
                <w:color w:val="000000"/>
                <w:sz w:val="20"/>
                <w:szCs w:val="20"/>
              </w:rPr>
              <w:t>16</w:t>
            </w:r>
            <w:r>
              <w:rPr>
                <w:rFonts w:eastAsia="Times New Roman"/>
                <w:color w:val="000000"/>
                <w:sz w:val="20"/>
                <w:szCs w:val="20"/>
              </w:rPr>
              <w:t>95</w:t>
            </w:r>
          </w:p>
        </w:tc>
        <w:tc>
          <w:tcPr>
            <w:tcW w:w="1319" w:type="dxa"/>
            <w:tcBorders>
              <w:top w:val="nil"/>
              <w:bottom w:val="nil"/>
            </w:tcBorders>
            <w:noWrap/>
            <w:hideMark/>
          </w:tcPr>
          <w:p w:rsidR="008038D2" w:rsidRPr="003D77D9" w:rsidRDefault="008038D2" w:rsidP="00580297">
            <w:pPr>
              <w:jc w:val="right"/>
              <w:rPr>
                <w:rFonts w:eastAsia="Times New Roman"/>
                <w:color w:val="000000"/>
                <w:sz w:val="20"/>
                <w:szCs w:val="20"/>
              </w:rPr>
            </w:pPr>
            <w:r>
              <w:rPr>
                <w:rFonts w:eastAsia="Times New Roman"/>
                <w:color w:val="000000"/>
                <w:sz w:val="20"/>
                <w:szCs w:val="20"/>
              </w:rPr>
              <w:t>5.154</w:t>
            </w:r>
          </w:p>
        </w:tc>
        <w:tc>
          <w:tcPr>
            <w:tcW w:w="1275" w:type="dxa"/>
            <w:tcBorders>
              <w:top w:val="nil"/>
              <w:bottom w:val="nil"/>
            </w:tcBorders>
            <w:noWrap/>
            <w:hideMark/>
          </w:tcPr>
          <w:p w:rsidR="008038D2" w:rsidRPr="003D77D9" w:rsidRDefault="008038D2" w:rsidP="00580297">
            <w:pPr>
              <w:jc w:val="right"/>
              <w:rPr>
                <w:rFonts w:eastAsia="Times New Roman"/>
                <w:color w:val="000000"/>
                <w:sz w:val="20"/>
                <w:szCs w:val="20"/>
              </w:rPr>
            </w:pPr>
            <w:r>
              <w:rPr>
                <w:rFonts w:eastAsia="Times New Roman"/>
                <w:color w:val="000000"/>
                <w:sz w:val="20"/>
                <w:szCs w:val="20"/>
              </w:rPr>
              <w:t>26.500</w:t>
            </w:r>
          </w:p>
        </w:tc>
        <w:tc>
          <w:tcPr>
            <w:tcW w:w="1134" w:type="dxa"/>
            <w:tcBorders>
              <w:top w:val="nil"/>
              <w:bottom w:val="nil"/>
            </w:tcBorders>
            <w:noWrap/>
            <w:hideMark/>
          </w:tcPr>
          <w:p w:rsidR="008038D2" w:rsidRPr="003D77D9" w:rsidRDefault="008038D2" w:rsidP="00580297">
            <w:pPr>
              <w:jc w:val="right"/>
              <w:rPr>
                <w:rFonts w:eastAsia="Times New Roman"/>
                <w:color w:val="000000"/>
                <w:sz w:val="20"/>
                <w:szCs w:val="20"/>
              </w:rPr>
            </w:pPr>
            <w:r>
              <w:rPr>
                <w:rFonts w:eastAsia="Times New Roman"/>
                <w:color w:val="000000"/>
                <w:sz w:val="20"/>
                <w:szCs w:val="20"/>
              </w:rPr>
              <w:t>0</w:t>
            </w:r>
          </w:p>
        </w:tc>
        <w:tc>
          <w:tcPr>
            <w:tcW w:w="1276" w:type="dxa"/>
            <w:tcBorders>
              <w:top w:val="nil"/>
              <w:bottom w:val="nil"/>
            </w:tcBorders>
            <w:noWrap/>
            <w:hideMark/>
          </w:tcPr>
          <w:p w:rsidR="008038D2" w:rsidRPr="003D77D9" w:rsidRDefault="008038D2" w:rsidP="00580297">
            <w:pPr>
              <w:jc w:val="right"/>
              <w:rPr>
                <w:rFonts w:eastAsia="Times New Roman"/>
                <w:color w:val="000000"/>
                <w:sz w:val="20"/>
                <w:szCs w:val="20"/>
              </w:rPr>
            </w:pPr>
            <w:r>
              <w:rPr>
                <w:rFonts w:eastAsia="Times New Roman"/>
                <w:color w:val="000000"/>
                <w:sz w:val="20"/>
                <w:szCs w:val="20"/>
              </w:rPr>
              <w:t>739</w:t>
            </w:r>
          </w:p>
        </w:tc>
        <w:tc>
          <w:tcPr>
            <w:tcW w:w="1115" w:type="dxa"/>
            <w:tcBorders>
              <w:top w:val="nil"/>
              <w:bottom w:val="nil"/>
            </w:tcBorders>
          </w:tcPr>
          <w:p w:rsidR="008038D2" w:rsidRPr="003D77D9" w:rsidRDefault="008038D2" w:rsidP="00580297">
            <w:pPr>
              <w:jc w:val="right"/>
              <w:rPr>
                <w:rFonts w:eastAsia="Times New Roman"/>
                <w:color w:val="000000"/>
                <w:sz w:val="20"/>
                <w:szCs w:val="20"/>
              </w:rPr>
            </w:pPr>
            <w:r>
              <w:rPr>
                <w:rFonts w:eastAsia="Times New Roman"/>
                <w:color w:val="000000"/>
                <w:sz w:val="20"/>
                <w:szCs w:val="20"/>
              </w:rPr>
              <w:t>1.99</w:t>
            </w:r>
          </w:p>
        </w:tc>
      </w:tr>
    </w:tbl>
    <w:p w:rsidR="008038D2" w:rsidRPr="00363483" w:rsidRDefault="008038D2" w:rsidP="008038D2">
      <w:pPr>
        <w:rPr>
          <w:sz w:val="20"/>
          <w:szCs w:val="20"/>
        </w:rPr>
      </w:pPr>
      <w:r w:rsidRPr="00363483">
        <w:rPr>
          <w:b/>
          <w:i/>
          <w:sz w:val="20"/>
          <w:szCs w:val="20"/>
        </w:rPr>
        <w:t>Note</w:t>
      </w:r>
      <w:r w:rsidRPr="00363483">
        <w:rPr>
          <w:sz w:val="20"/>
          <w:szCs w:val="20"/>
        </w:rPr>
        <w:t xml:space="preserve">: Spinoff revenues and total funding </w:t>
      </w:r>
      <w:r>
        <w:rPr>
          <w:sz w:val="20"/>
          <w:szCs w:val="20"/>
        </w:rPr>
        <w:t>are at current</w:t>
      </w:r>
      <w:r w:rsidRPr="00363483">
        <w:rPr>
          <w:sz w:val="20"/>
          <w:szCs w:val="20"/>
        </w:rPr>
        <w:t xml:space="preserve"> </w:t>
      </w:r>
      <w:r w:rsidR="00881328">
        <w:rPr>
          <w:sz w:val="20"/>
          <w:szCs w:val="20"/>
        </w:rPr>
        <w:t xml:space="preserve">(2013) </w:t>
      </w:r>
      <w:r w:rsidRPr="00363483">
        <w:rPr>
          <w:sz w:val="20"/>
          <w:szCs w:val="20"/>
        </w:rPr>
        <w:t>prices</w:t>
      </w:r>
    </w:p>
    <w:p w:rsidR="008038D2" w:rsidRPr="00AD1AEF" w:rsidRDefault="008038D2" w:rsidP="008038D2">
      <w:pPr>
        <w:rPr>
          <w:b/>
        </w:rPr>
      </w:pPr>
    </w:p>
    <w:p w:rsidR="008038D2" w:rsidRPr="00AD1AEF" w:rsidRDefault="008038D2" w:rsidP="008038D2">
      <w:pPr>
        <w:rPr>
          <w:b/>
        </w:rPr>
        <w:sectPr w:rsidR="008038D2" w:rsidRPr="00AD1AEF" w:rsidSect="0097208F">
          <w:pgSz w:w="15840" w:h="12240" w:orient="landscape" w:code="1"/>
          <w:pgMar w:top="1418" w:right="1418" w:bottom="1418" w:left="1418" w:header="709" w:footer="709" w:gutter="0"/>
          <w:cols w:space="708"/>
          <w:docGrid w:linePitch="360"/>
        </w:sectPr>
      </w:pPr>
    </w:p>
    <w:p w:rsidR="008038D2" w:rsidRPr="00AD1AEF" w:rsidRDefault="00203CEA" w:rsidP="008038D2">
      <w:pPr>
        <w:outlineLvl w:val="0"/>
        <w:rPr>
          <w:b/>
        </w:rPr>
      </w:pPr>
      <w:r>
        <w:rPr>
          <w:b/>
        </w:rPr>
        <w:lastRenderedPageBreak/>
        <w:t>Table 3</w:t>
      </w:r>
      <w:r w:rsidR="008038D2" w:rsidRPr="00AD1AEF">
        <w:rPr>
          <w:b/>
        </w:rPr>
        <w:t xml:space="preserve">: </w:t>
      </w:r>
      <w:r w:rsidR="008038D2" w:rsidRPr="00BA1C07">
        <w:t>Correlations table</w:t>
      </w:r>
    </w:p>
    <w:p w:rsidR="008038D2" w:rsidRPr="00AD1AEF" w:rsidRDefault="008038D2" w:rsidP="008038D2">
      <w:pPr>
        <w:rPr>
          <w:b/>
        </w:rPr>
      </w:pPr>
    </w:p>
    <w:tbl>
      <w:tblPr>
        <w:tblW w:w="13119" w:type="dxa"/>
        <w:tblBorders>
          <w:top w:val="single" w:sz="8" w:space="0" w:color="000000"/>
          <w:bottom w:val="single" w:sz="8" w:space="0" w:color="000000"/>
        </w:tblBorders>
        <w:tblLayout w:type="fixed"/>
        <w:tblLook w:val="04A0" w:firstRow="1" w:lastRow="0" w:firstColumn="1" w:lastColumn="0" w:noHBand="0" w:noVBand="1"/>
      </w:tblPr>
      <w:tblGrid>
        <w:gridCol w:w="554"/>
        <w:gridCol w:w="3119"/>
        <w:gridCol w:w="709"/>
        <w:gridCol w:w="666"/>
        <w:gridCol w:w="745"/>
        <w:gridCol w:w="7"/>
        <w:gridCol w:w="659"/>
        <w:gridCol w:w="666"/>
        <w:gridCol w:w="659"/>
        <w:gridCol w:w="7"/>
        <w:gridCol w:w="666"/>
        <w:gridCol w:w="666"/>
        <w:gridCol w:w="666"/>
        <w:gridCol w:w="666"/>
        <w:gridCol w:w="666"/>
        <w:gridCol w:w="666"/>
        <w:gridCol w:w="666"/>
        <w:gridCol w:w="9"/>
        <w:gridCol w:w="657"/>
      </w:tblGrid>
      <w:tr w:rsidR="008038D2" w:rsidRPr="00AD1AEF" w:rsidTr="00580297">
        <w:trPr>
          <w:trHeight w:hRule="exact" w:val="227"/>
        </w:trPr>
        <w:tc>
          <w:tcPr>
            <w:tcW w:w="554" w:type="dxa"/>
            <w:tcBorders>
              <w:top w:val="single" w:sz="8" w:space="0" w:color="000000"/>
              <w:left w:val="nil"/>
              <w:bottom w:val="single" w:sz="4" w:space="0" w:color="auto"/>
              <w:right w:val="nil"/>
            </w:tcBorders>
            <w:shd w:val="clear" w:color="auto" w:fill="auto"/>
          </w:tcPr>
          <w:p w:rsidR="008038D2" w:rsidRPr="00AD1AEF" w:rsidRDefault="008038D2" w:rsidP="00580297">
            <w:pPr>
              <w:tabs>
                <w:tab w:val="left" w:pos="2017"/>
              </w:tabs>
              <w:rPr>
                <w:b/>
                <w:bCs/>
                <w:color w:val="000000"/>
              </w:rPr>
            </w:pPr>
          </w:p>
        </w:tc>
        <w:tc>
          <w:tcPr>
            <w:tcW w:w="3119" w:type="dxa"/>
            <w:tcBorders>
              <w:top w:val="single" w:sz="8" w:space="0" w:color="000000"/>
              <w:left w:val="nil"/>
              <w:bottom w:val="single" w:sz="4" w:space="0" w:color="auto"/>
              <w:right w:val="nil"/>
            </w:tcBorders>
            <w:shd w:val="clear" w:color="auto" w:fill="auto"/>
          </w:tcPr>
          <w:p w:rsidR="008038D2" w:rsidRPr="00F07FA5" w:rsidRDefault="008038D2" w:rsidP="00580297">
            <w:pPr>
              <w:tabs>
                <w:tab w:val="left" w:pos="2017"/>
              </w:tabs>
              <w:ind w:left="-94"/>
              <w:rPr>
                <w:b/>
                <w:bCs/>
                <w:color w:val="000000"/>
                <w:sz w:val="20"/>
                <w:szCs w:val="20"/>
              </w:rPr>
            </w:pPr>
            <w:r w:rsidRPr="00F07FA5">
              <w:rPr>
                <w:b/>
                <w:bCs/>
                <w:color w:val="000000"/>
                <w:sz w:val="20"/>
                <w:szCs w:val="20"/>
              </w:rPr>
              <w:t>Variables</w:t>
            </w:r>
          </w:p>
        </w:tc>
        <w:tc>
          <w:tcPr>
            <w:tcW w:w="709" w:type="dxa"/>
            <w:tcBorders>
              <w:top w:val="single" w:sz="8" w:space="0" w:color="000000"/>
              <w:left w:val="nil"/>
              <w:bottom w:val="single" w:sz="4" w:space="0" w:color="auto"/>
              <w:right w:val="nil"/>
            </w:tcBorders>
            <w:shd w:val="clear" w:color="auto" w:fill="auto"/>
          </w:tcPr>
          <w:p w:rsidR="008038D2" w:rsidRPr="00F07FA5" w:rsidRDefault="008038D2" w:rsidP="00580297">
            <w:pPr>
              <w:jc w:val="center"/>
              <w:rPr>
                <w:b/>
                <w:bCs/>
                <w:color w:val="000000"/>
                <w:sz w:val="20"/>
                <w:szCs w:val="20"/>
              </w:rPr>
            </w:pPr>
            <w:r w:rsidRPr="00F07FA5">
              <w:rPr>
                <w:b/>
                <w:bCs/>
                <w:color w:val="000000"/>
                <w:sz w:val="20"/>
                <w:szCs w:val="20"/>
              </w:rPr>
              <w:t>1</w:t>
            </w:r>
          </w:p>
        </w:tc>
        <w:tc>
          <w:tcPr>
            <w:tcW w:w="666" w:type="dxa"/>
            <w:tcBorders>
              <w:top w:val="single" w:sz="8" w:space="0" w:color="000000"/>
              <w:left w:val="nil"/>
              <w:bottom w:val="single" w:sz="4" w:space="0" w:color="auto"/>
              <w:right w:val="nil"/>
            </w:tcBorders>
            <w:shd w:val="clear" w:color="auto" w:fill="auto"/>
          </w:tcPr>
          <w:p w:rsidR="008038D2" w:rsidRPr="00F07FA5" w:rsidRDefault="008038D2" w:rsidP="00580297">
            <w:pPr>
              <w:jc w:val="center"/>
              <w:rPr>
                <w:b/>
                <w:bCs/>
                <w:color w:val="000000"/>
                <w:sz w:val="20"/>
                <w:szCs w:val="20"/>
              </w:rPr>
            </w:pPr>
            <w:r w:rsidRPr="00F07FA5">
              <w:rPr>
                <w:b/>
                <w:bCs/>
                <w:color w:val="000000"/>
                <w:sz w:val="20"/>
                <w:szCs w:val="20"/>
              </w:rPr>
              <w:t>2</w:t>
            </w:r>
          </w:p>
        </w:tc>
        <w:tc>
          <w:tcPr>
            <w:tcW w:w="752" w:type="dxa"/>
            <w:gridSpan w:val="2"/>
            <w:tcBorders>
              <w:top w:val="single" w:sz="8" w:space="0" w:color="000000"/>
              <w:left w:val="nil"/>
              <w:bottom w:val="single" w:sz="4" w:space="0" w:color="auto"/>
              <w:right w:val="nil"/>
            </w:tcBorders>
            <w:shd w:val="clear" w:color="auto" w:fill="auto"/>
          </w:tcPr>
          <w:p w:rsidR="008038D2" w:rsidRPr="00F07FA5" w:rsidRDefault="008038D2" w:rsidP="00580297">
            <w:pPr>
              <w:jc w:val="center"/>
              <w:rPr>
                <w:b/>
                <w:bCs/>
                <w:color w:val="000000"/>
                <w:sz w:val="20"/>
                <w:szCs w:val="20"/>
              </w:rPr>
            </w:pPr>
            <w:r w:rsidRPr="00F07FA5">
              <w:rPr>
                <w:b/>
                <w:bCs/>
                <w:color w:val="000000"/>
                <w:sz w:val="20"/>
                <w:szCs w:val="20"/>
              </w:rPr>
              <w:t>3</w:t>
            </w:r>
          </w:p>
        </w:tc>
        <w:tc>
          <w:tcPr>
            <w:tcW w:w="659" w:type="dxa"/>
            <w:tcBorders>
              <w:top w:val="single" w:sz="8" w:space="0" w:color="000000"/>
              <w:left w:val="nil"/>
              <w:bottom w:val="single" w:sz="4" w:space="0" w:color="auto"/>
              <w:right w:val="nil"/>
            </w:tcBorders>
            <w:shd w:val="clear" w:color="auto" w:fill="auto"/>
          </w:tcPr>
          <w:p w:rsidR="008038D2" w:rsidRPr="00F07FA5" w:rsidRDefault="008038D2" w:rsidP="00580297">
            <w:pPr>
              <w:jc w:val="center"/>
              <w:rPr>
                <w:b/>
                <w:bCs/>
                <w:color w:val="000000"/>
                <w:sz w:val="20"/>
                <w:szCs w:val="20"/>
              </w:rPr>
            </w:pPr>
            <w:r w:rsidRPr="00F07FA5">
              <w:rPr>
                <w:b/>
                <w:bCs/>
                <w:color w:val="000000"/>
                <w:sz w:val="20"/>
                <w:szCs w:val="20"/>
              </w:rPr>
              <w:t>4</w:t>
            </w:r>
          </w:p>
        </w:tc>
        <w:tc>
          <w:tcPr>
            <w:tcW w:w="666" w:type="dxa"/>
            <w:tcBorders>
              <w:top w:val="single" w:sz="8" w:space="0" w:color="000000"/>
              <w:left w:val="nil"/>
              <w:bottom w:val="single" w:sz="4" w:space="0" w:color="auto"/>
              <w:right w:val="nil"/>
            </w:tcBorders>
          </w:tcPr>
          <w:p w:rsidR="008038D2" w:rsidRPr="00F07FA5" w:rsidRDefault="008038D2" w:rsidP="00580297">
            <w:pPr>
              <w:jc w:val="center"/>
              <w:rPr>
                <w:b/>
                <w:bCs/>
                <w:color w:val="000000"/>
                <w:sz w:val="20"/>
                <w:szCs w:val="20"/>
              </w:rPr>
            </w:pPr>
            <w:r w:rsidRPr="00F07FA5">
              <w:rPr>
                <w:b/>
                <w:bCs/>
                <w:color w:val="000000"/>
                <w:sz w:val="20"/>
                <w:szCs w:val="20"/>
              </w:rPr>
              <w:t>5</w:t>
            </w:r>
          </w:p>
        </w:tc>
        <w:tc>
          <w:tcPr>
            <w:tcW w:w="659" w:type="dxa"/>
            <w:tcBorders>
              <w:top w:val="single" w:sz="8" w:space="0" w:color="000000"/>
              <w:left w:val="nil"/>
              <w:bottom w:val="single" w:sz="4" w:space="0" w:color="auto"/>
              <w:right w:val="nil"/>
            </w:tcBorders>
            <w:shd w:val="clear" w:color="auto" w:fill="auto"/>
          </w:tcPr>
          <w:p w:rsidR="008038D2" w:rsidRPr="00F07FA5" w:rsidRDefault="008038D2" w:rsidP="00580297">
            <w:pPr>
              <w:jc w:val="center"/>
              <w:rPr>
                <w:b/>
                <w:bCs/>
                <w:color w:val="000000"/>
                <w:sz w:val="20"/>
                <w:szCs w:val="20"/>
              </w:rPr>
            </w:pPr>
            <w:r w:rsidRPr="00F07FA5">
              <w:rPr>
                <w:b/>
                <w:bCs/>
                <w:color w:val="000000"/>
                <w:sz w:val="20"/>
                <w:szCs w:val="20"/>
              </w:rPr>
              <w:t>6</w:t>
            </w:r>
          </w:p>
        </w:tc>
        <w:tc>
          <w:tcPr>
            <w:tcW w:w="673" w:type="dxa"/>
            <w:gridSpan w:val="2"/>
            <w:tcBorders>
              <w:top w:val="single" w:sz="8" w:space="0" w:color="000000"/>
              <w:left w:val="nil"/>
              <w:bottom w:val="single" w:sz="4" w:space="0" w:color="auto"/>
              <w:right w:val="nil"/>
            </w:tcBorders>
            <w:shd w:val="clear" w:color="auto" w:fill="auto"/>
          </w:tcPr>
          <w:p w:rsidR="008038D2" w:rsidRPr="00F07FA5" w:rsidRDefault="008038D2" w:rsidP="00580297">
            <w:pPr>
              <w:jc w:val="center"/>
              <w:rPr>
                <w:b/>
                <w:bCs/>
                <w:color w:val="000000"/>
                <w:sz w:val="20"/>
                <w:szCs w:val="20"/>
              </w:rPr>
            </w:pPr>
            <w:r w:rsidRPr="00F07FA5">
              <w:rPr>
                <w:b/>
                <w:bCs/>
                <w:color w:val="000000"/>
                <w:sz w:val="20"/>
                <w:szCs w:val="20"/>
              </w:rPr>
              <w:t>7</w:t>
            </w:r>
          </w:p>
        </w:tc>
        <w:tc>
          <w:tcPr>
            <w:tcW w:w="666" w:type="dxa"/>
            <w:tcBorders>
              <w:top w:val="single" w:sz="8" w:space="0" w:color="000000"/>
              <w:left w:val="nil"/>
              <w:bottom w:val="single" w:sz="4" w:space="0" w:color="auto"/>
              <w:right w:val="nil"/>
            </w:tcBorders>
          </w:tcPr>
          <w:p w:rsidR="008038D2" w:rsidRPr="00F07FA5" w:rsidRDefault="008038D2" w:rsidP="00580297">
            <w:pPr>
              <w:jc w:val="center"/>
              <w:rPr>
                <w:b/>
                <w:bCs/>
                <w:color w:val="000000"/>
                <w:sz w:val="20"/>
                <w:szCs w:val="20"/>
              </w:rPr>
            </w:pPr>
            <w:r w:rsidRPr="00F07FA5">
              <w:rPr>
                <w:b/>
                <w:bCs/>
                <w:color w:val="000000"/>
                <w:sz w:val="20"/>
                <w:szCs w:val="20"/>
              </w:rPr>
              <w:t>8</w:t>
            </w:r>
          </w:p>
        </w:tc>
        <w:tc>
          <w:tcPr>
            <w:tcW w:w="666" w:type="dxa"/>
            <w:tcBorders>
              <w:top w:val="single" w:sz="8" w:space="0" w:color="000000"/>
              <w:left w:val="nil"/>
              <w:bottom w:val="single" w:sz="4" w:space="0" w:color="auto"/>
              <w:right w:val="nil"/>
            </w:tcBorders>
            <w:shd w:val="clear" w:color="auto" w:fill="auto"/>
          </w:tcPr>
          <w:p w:rsidR="008038D2" w:rsidRPr="00F07FA5" w:rsidRDefault="008038D2" w:rsidP="00580297">
            <w:pPr>
              <w:jc w:val="center"/>
              <w:rPr>
                <w:b/>
                <w:bCs/>
                <w:color w:val="000000"/>
                <w:sz w:val="20"/>
                <w:szCs w:val="20"/>
              </w:rPr>
            </w:pPr>
            <w:r w:rsidRPr="00F07FA5">
              <w:rPr>
                <w:b/>
                <w:bCs/>
                <w:color w:val="000000"/>
                <w:sz w:val="20"/>
                <w:szCs w:val="20"/>
              </w:rPr>
              <w:t>9</w:t>
            </w:r>
          </w:p>
        </w:tc>
        <w:tc>
          <w:tcPr>
            <w:tcW w:w="666" w:type="dxa"/>
            <w:tcBorders>
              <w:top w:val="single" w:sz="8" w:space="0" w:color="000000"/>
              <w:left w:val="nil"/>
              <w:bottom w:val="single" w:sz="4" w:space="0" w:color="auto"/>
              <w:right w:val="nil"/>
            </w:tcBorders>
            <w:shd w:val="clear" w:color="auto" w:fill="auto"/>
          </w:tcPr>
          <w:p w:rsidR="008038D2" w:rsidRPr="00F07FA5" w:rsidRDefault="008038D2" w:rsidP="00580297">
            <w:pPr>
              <w:jc w:val="center"/>
              <w:rPr>
                <w:b/>
                <w:bCs/>
                <w:color w:val="000000"/>
                <w:sz w:val="20"/>
                <w:szCs w:val="20"/>
              </w:rPr>
            </w:pPr>
            <w:r w:rsidRPr="00F07FA5">
              <w:rPr>
                <w:b/>
                <w:bCs/>
                <w:color w:val="000000"/>
                <w:sz w:val="20"/>
                <w:szCs w:val="20"/>
              </w:rPr>
              <w:t>10</w:t>
            </w:r>
          </w:p>
        </w:tc>
        <w:tc>
          <w:tcPr>
            <w:tcW w:w="666" w:type="dxa"/>
            <w:tcBorders>
              <w:top w:val="single" w:sz="8" w:space="0" w:color="000000"/>
              <w:left w:val="nil"/>
              <w:bottom w:val="single" w:sz="4" w:space="0" w:color="auto"/>
              <w:right w:val="nil"/>
            </w:tcBorders>
            <w:shd w:val="clear" w:color="auto" w:fill="auto"/>
          </w:tcPr>
          <w:p w:rsidR="008038D2" w:rsidRPr="00F07FA5" w:rsidRDefault="008038D2" w:rsidP="00580297">
            <w:pPr>
              <w:jc w:val="center"/>
              <w:rPr>
                <w:b/>
                <w:bCs/>
                <w:color w:val="000000"/>
                <w:sz w:val="20"/>
                <w:szCs w:val="20"/>
              </w:rPr>
            </w:pPr>
            <w:r w:rsidRPr="00F07FA5">
              <w:rPr>
                <w:b/>
                <w:bCs/>
                <w:color w:val="000000"/>
                <w:sz w:val="20"/>
                <w:szCs w:val="20"/>
              </w:rPr>
              <w:t>11</w:t>
            </w:r>
          </w:p>
        </w:tc>
        <w:tc>
          <w:tcPr>
            <w:tcW w:w="666" w:type="dxa"/>
            <w:tcBorders>
              <w:top w:val="single" w:sz="8" w:space="0" w:color="000000"/>
              <w:left w:val="nil"/>
              <w:bottom w:val="single" w:sz="4" w:space="0" w:color="auto"/>
              <w:right w:val="nil"/>
            </w:tcBorders>
            <w:shd w:val="clear" w:color="auto" w:fill="auto"/>
          </w:tcPr>
          <w:p w:rsidR="008038D2" w:rsidRPr="00F07FA5" w:rsidRDefault="008038D2" w:rsidP="00580297">
            <w:pPr>
              <w:jc w:val="center"/>
              <w:rPr>
                <w:b/>
                <w:bCs/>
                <w:color w:val="000000"/>
                <w:sz w:val="20"/>
                <w:szCs w:val="20"/>
              </w:rPr>
            </w:pPr>
            <w:r w:rsidRPr="00F07FA5">
              <w:rPr>
                <w:b/>
                <w:bCs/>
                <w:color w:val="000000"/>
                <w:sz w:val="20"/>
                <w:szCs w:val="20"/>
              </w:rPr>
              <w:t>12</w:t>
            </w:r>
          </w:p>
        </w:tc>
        <w:tc>
          <w:tcPr>
            <w:tcW w:w="675" w:type="dxa"/>
            <w:gridSpan w:val="2"/>
            <w:tcBorders>
              <w:top w:val="single" w:sz="8" w:space="0" w:color="000000"/>
              <w:left w:val="nil"/>
              <w:bottom w:val="single" w:sz="4" w:space="0" w:color="auto"/>
              <w:right w:val="nil"/>
            </w:tcBorders>
          </w:tcPr>
          <w:p w:rsidR="008038D2" w:rsidRPr="00F07FA5" w:rsidRDefault="008038D2" w:rsidP="00580297">
            <w:pPr>
              <w:jc w:val="center"/>
              <w:rPr>
                <w:b/>
                <w:bCs/>
                <w:color w:val="000000"/>
                <w:sz w:val="20"/>
                <w:szCs w:val="20"/>
              </w:rPr>
            </w:pPr>
            <w:r w:rsidRPr="00F07FA5">
              <w:rPr>
                <w:b/>
                <w:bCs/>
                <w:color w:val="000000"/>
                <w:sz w:val="20"/>
                <w:szCs w:val="20"/>
              </w:rPr>
              <w:t>13</w:t>
            </w:r>
          </w:p>
        </w:tc>
        <w:tc>
          <w:tcPr>
            <w:tcW w:w="657" w:type="dxa"/>
            <w:tcBorders>
              <w:top w:val="single" w:sz="8" w:space="0" w:color="000000"/>
              <w:left w:val="nil"/>
              <w:bottom w:val="single" w:sz="4" w:space="0" w:color="auto"/>
              <w:right w:val="nil"/>
            </w:tcBorders>
          </w:tcPr>
          <w:p w:rsidR="008038D2" w:rsidRPr="00F07FA5" w:rsidRDefault="008038D2" w:rsidP="00580297">
            <w:pPr>
              <w:jc w:val="center"/>
              <w:rPr>
                <w:b/>
                <w:bCs/>
                <w:color w:val="000000"/>
                <w:sz w:val="20"/>
                <w:szCs w:val="20"/>
              </w:rPr>
            </w:pPr>
            <w:r w:rsidRPr="00F07FA5">
              <w:rPr>
                <w:b/>
                <w:bCs/>
                <w:color w:val="000000"/>
                <w:sz w:val="20"/>
                <w:szCs w:val="20"/>
              </w:rPr>
              <w:t>14</w:t>
            </w:r>
          </w:p>
        </w:tc>
      </w:tr>
      <w:tr w:rsidR="008038D2" w:rsidRPr="00AD1AEF" w:rsidTr="00580297">
        <w:tc>
          <w:tcPr>
            <w:tcW w:w="554" w:type="dxa"/>
            <w:tcBorders>
              <w:top w:val="single" w:sz="4" w:space="0" w:color="auto"/>
            </w:tcBorders>
            <w:shd w:val="clear" w:color="auto" w:fill="auto"/>
          </w:tcPr>
          <w:p w:rsidR="008038D2" w:rsidRPr="00AD1AEF" w:rsidRDefault="008038D2" w:rsidP="00580297">
            <w:pPr>
              <w:rPr>
                <w:b/>
                <w:bCs/>
                <w:color w:val="000000"/>
              </w:rPr>
            </w:pPr>
            <w:r w:rsidRPr="00AD1AEF">
              <w:rPr>
                <w:b/>
                <w:bCs/>
                <w:color w:val="000000"/>
              </w:rPr>
              <w:t>1</w:t>
            </w:r>
          </w:p>
        </w:tc>
        <w:tc>
          <w:tcPr>
            <w:tcW w:w="3119" w:type="dxa"/>
            <w:tcBorders>
              <w:top w:val="single" w:sz="4" w:space="0" w:color="auto"/>
            </w:tcBorders>
            <w:shd w:val="clear" w:color="auto" w:fill="auto"/>
          </w:tcPr>
          <w:p w:rsidR="008038D2" w:rsidRPr="003D77D9" w:rsidRDefault="008038D2" w:rsidP="00580297">
            <w:pPr>
              <w:rPr>
                <w:rFonts w:eastAsia="Times New Roman"/>
                <w:bCs/>
                <w:color w:val="000000"/>
                <w:sz w:val="20"/>
                <w:szCs w:val="20"/>
              </w:rPr>
            </w:pPr>
            <w:r w:rsidRPr="003D77D9">
              <w:rPr>
                <w:rFonts w:eastAsia="Times New Roman"/>
                <w:bCs/>
                <w:color w:val="000000"/>
                <w:sz w:val="20"/>
                <w:szCs w:val="20"/>
              </w:rPr>
              <w:t xml:space="preserve">Total </w:t>
            </w:r>
            <w:r>
              <w:rPr>
                <w:rFonts w:eastAsia="Times New Roman"/>
                <w:bCs/>
                <w:color w:val="000000"/>
                <w:sz w:val="20"/>
                <w:szCs w:val="20"/>
              </w:rPr>
              <w:t>Sponsored Research F</w:t>
            </w:r>
            <w:r w:rsidRPr="003D77D9">
              <w:rPr>
                <w:rFonts w:eastAsia="Times New Roman"/>
                <w:bCs/>
                <w:color w:val="000000"/>
                <w:sz w:val="20"/>
                <w:szCs w:val="20"/>
              </w:rPr>
              <w:t>unding</w:t>
            </w:r>
          </w:p>
        </w:tc>
        <w:tc>
          <w:tcPr>
            <w:tcW w:w="709" w:type="dxa"/>
            <w:tcBorders>
              <w:top w:val="single" w:sz="4" w:space="0" w:color="auto"/>
            </w:tcBorders>
            <w:shd w:val="clear" w:color="auto" w:fill="auto"/>
          </w:tcPr>
          <w:p w:rsidR="008038D2" w:rsidRPr="00F07FA5" w:rsidRDefault="008038D2" w:rsidP="00580297">
            <w:pPr>
              <w:jc w:val="right"/>
              <w:rPr>
                <w:color w:val="000000"/>
                <w:sz w:val="20"/>
                <w:szCs w:val="20"/>
              </w:rPr>
            </w:pPr>
            <w:r w:rsidRPr="00F07FA5">
              <w:rPr>
                <w:color w:val="000000"/>
                <w:sz w:val="20"/>
                <w:szCs w:val="20"/>
              </w:rPr>
              <w:t>1.00</w:t>
            </w:r>
          </w:p>
        </w:tc>
        <w:tc>
          <w:tcPr>
            <w:tcW w:w="666" w:type="dxa"/>
            <w:tcBorders>
              <w:top w:val="single" w:sz="4" w:space="0" w:color="auto"/>
            </w:tcBorders>
            <w:shd w:val="clear" w:color="auto" w:fill="auto"/>
          </w:tcPr>
          <w:p w:rsidR="008038D2" w:rsidRPr="00F07FA5" w:rsidRDefault="008038D2" w:rsidP="00580297">
            <w:pPr>
              <w:jc w:val="right"/>
              <w:rPr>
                <w:color w:val="000000"/>
                <w:sz w:val="20"/>
                <w:szCs w:val="20"/>
              </w:rPr>
            </w:pPr>
          </w:p>
        </w:tc>
        <w:tc>
          <w:tcPr>
            <w:tcW w:w="745" w:type="dxa"/>
            <w:tcBorders>
              <w:top w:val="single" w:sz="4" w:space="0" w:color="auto"/>
            </w:tcBorders>
            <w:shd w:val="clear" w:color="auto" w:fill="auto"/>
          </w:tcPr>
          <w:p w:rsidR="008038D2" w:rsidRPr="00F07FA5" w:rsidRDefault="008038D2" w:rsidP="00580297">
            <w:pPr>
              <w:jc w:val="right"/>
              <w:rPr>
                <w:color w:val="000000"/>
                <w:sz w:val="20"/>
                <w:szCs w:val="20"/>
              </w:rPr>
            </w:pPr>
          </w:p>
        </w:tc>
        <w:tc>
          <w:tcPr>
            <w:tcW w:w="666" w:type="dxa"/>
            <w:gridSpan w:val="2"/>
            <w:tcBorders>
              <w:top w:val="single" w:sz="4" w:space="0" w:color="auto"/>
            </w:tcBorders>
            <w:shd w:val="clear" w:color="auto" w:fill="auto"/>
          </w:tcPr>
          <w:p w:rsidR="008038D2" w:rsidRPr="00F07FA5" w:rsidRDefault="008038D2" w:rsidP="00580297">
            <w:pPr>
              <w:jc w:val="right"/>
              <w:rPr>
                <w:color w:val="000000"/>
                <w:sz w:val="20"/>
                <w:szCs w:val="20"/>
              </w:rPr>
            </w:pPr>
          </w:p>
        </w:tc>
        <w:tc>
          <w:tcPr>
            <w:tcW w:w="666" w:type="dxa"/>
            <w:tcBorders>
              <w:top w:val="single" w:sz="4" w:space="0" w:color="auto"/>
            </w:tcBorders>
          </w:tcPr>
          <w:p w:rsidR="008038D2" w:rsidRPr="00F07FA5" w:rsidRDefault="008038D2" w:rsidP="00580297">
            <w:pPr>
              <w:jc w:val="right"/>
              <w:rPr>
                <w:color w:val="000000"/>
                <w:sz w:val="20"/>
                <w:szCs w:val="20"/>
              </w:rPr>
            </w:pPr>
          </w:p>
        </w:tc>
        <w:tc>
          <w:tcPr>
            <w:tcW w:w="666" w:type="dxa"/>
            <w:gridSpan w:val="2"/>
            <w:tcBorders>
              <w:top w:val="single" w:sz="4" w:space="0" w:color="auto"/>
            </w:tcBorders>
            <w:shd w:val="clear" w:color="auto" w:fill="auto"/>
          </w:tcPr>
          <w:p w:rsidR="008038D2" w:rsidRPr="00F07FA5" w:rsidRDefault="008038D2" w:rsidP="00580297">
            <w:pPr>
              <w:jc w:val="right"/>
              <w:rPr>
                <w:color w:val="000000"/>
                <w:sz w:val="20"/>
                <w:szCs w:val="20"/>
              </w:rPr>
            </w:pPr>
          </w:p>
        </w:tc>
        <w:tc>
          <w:tcPr>
            <w:tcW w:w="666" w:type="dxa"/>
            <w:tcBorders>
              <w:top w:val="single" w:sz="4" w:space="0" w:color="auto"/>
            </w:tcBorders>
            <w:shd w:val="clear" w:color="auto" w:fill="auto"/>
          </w:tcPr>
          <w:p w:rsidR="008038D2" w:rsidRPr="00F07FA5" w:rsidRDefault="008038D2" w:rsidP="00580297">
            <w:pPr>
              <w:jc w:val="right"/>
              <w:rPr>
                <w:color w:val="000000"/>
                <w:sz w:val="20"/>
                <w:szCs w:val="20"/>
              </w:rPr>
            </w:pPr>
          </w:p>
        </w:tc>
        <w:tc>
          <w:tcPr>
            <w:tcW w:w="666" w:type="dxa"/>
            <w:tcBorders>
              <w:top w:val="single" w:sz="4" w:space="0" w:color="auto"/>
            </w:tcBorders>
          </w:tcPr>
          <w:p w:rsidR="008038D2" w:rsidRPr="00F07FA5" w:rsidRDefault="008038D2" w:rsidP="00580297">
            <w:pPr>
              <w:jc w:val="right"/>
              <w:rPr>
                <w:color w:val="000000"/>
                <w:sz w:val="20"/>
                <w:szCs w:val="20"/>
              </w:rPr>
            </w:pPr>
          </w:p>
        </w:tc>
        <w:tc>
          <w:tcPr>
            <w:tcW w:w="666" w:type="dxa"/>
            <w:tcBorders>
              <w:top w:val="single" w:sz="4" w:space="0" w:color="auto"/>
            </w:tcBorders>
            <w:shd w:val="clear" w:color="auto" w:fill="auto"/>
          </w:tcPr>
          <w:p w:rsidR="008038D2" w:rsidRPr="00F07FA5" w:rsidRDefault="008038D2" w:rsidP="00580297">
            <w:pPr>
              <w:jc w:val="right"/>
              <w:rPr>
                <w:color w:val="000000"/>
                <w:sz w:val="20"/>
                <w:szCs w:val="20"/>
              </w:rPr>
            </w:pPr>
          </w:p>
        </w:tc>
        <w:tc>
          <w:tcPr>
            <w:tcW w:w="666" w:type="dxa"/>
            <w:tcBorders>
              <w:top w:val="single" w:sz="4" w:space="0" w:color="auto"/>
            </w:tcBorders>
            <w:shd w:val="clear" w:color="auto" w:fill="auto"/>
          </w:tcPr>
          <w:p w:rsidR="008038D2" w:rsidRPr="00F07FA5" w:rsidRDefault="008038D2" w:rsidP="00580297">
            <w:pPr>
              <w:jc w:val="right"/>
              <w:rPr>
                <w:color w:val="000000"/>
                <w:sz w:val="20"/>
                <w:szCs w:val="20"/>
              </w:rPr>
            </w:pPr>
          </w:p>
        </w:tc>
        <w:tc>
          <w:tcPr>
            <w:tcW w:w="666" w:type="dxa"/>
            <w:tcBorders>
              <w:top w:val="single" w:sz="4" w:space="0" w:color="auto"/>
            </w:tcBorders>
            <w:shd w:val="clear" w:color="auto" w:fill="auto"/>
          </w:tcPr>
          <w:p w:rsidR="008038D2" w:rsidRPr="00F07FA5" w:rsidRDefault="008038D2" w:rsidP="00580297">
            <w:pPr>
              <w:jc w:val="right"/>
              <w:rPr>
                <w:color w:val="000000"/>
                <w:sz w:val="20"/>
                <w:szCs w:val="20"/>
              </w:rPr>
            </w:pPr>
          </w:p>
        </w:tc>
        <w:tc>
          <w:tcPr>
            <w:tcW w:w="666" w:type="dxa"/>
            <w:tcBorders>
              <w:top w:val="single" w:sz="4" w:space="0" w:color="auto"/>
            </w:tcBorders>
            <w:shd w:val="clear" w:color="auto" w:fill="auto"/>
          </w:tcPr>
          <w:p w:rsidR="008038D2" w:rsidRPr="00F07FA5" w:rsidRDefault="008038D2" w:rsidP="00580297">
            <w:pPr>
              <w:jc w:val="right"/>
              <w:rPr>
                <w:color w:val="000000"/>
                <w:sz w:val="20"/>
                <w:szCs w:val="20"/>
              </w:rPr>
            </w:pPr>
          </w:p>
        </w:tc>
        <w:tc>
          <w:tcPr>
            <w:tcW w:w="666" w:type="dxa"/>
            <w:tcBorders>
              <w:top w:val="single" w:sz="4" w:space="0" w:color="auto"/>
            </w:tcBorders>
          </w:tcPr>
          <w:p w:rsidR="008038D2" w:rsidRPr="00F07FA5" w:rsidRDefault="008038D2" w:rsidP="00580297">
            <w:pPr>
              <w:jc w:val="right"/>
              <w:rPr>
                <w:color w:val="000000"/>
                <w:sz w:val="20"/>
                <w:szCs w:val="20"/>
              </w:rPr>
            </w:pPr>
          </w:p>
        </w:tc>
        <w:tc>
          <w:tcPr>
            <w:tcW w:w="666" w:type="dxa"/>
            <w:gridSpan w:val="2"/>
            <w:tcBorders>
              <w:top w:val="single" w:sz="4" w:space="0" w:color="auto"/>
            </w:tcBorders>
          </w:tcPr>
          <w:p w:rsidR="008038D2" w:rsidRPr="00F07FA5" w:rsidRDefault="008038D2" w:rsidP="00580297">
            <w:pPr>
              <w:jc w:val="right"/>
              <w:rPr>
                <w:color w:val="000000"/>
                <w:sz w:val="20"/>
                <w:szCs w:val="20"/>
              </w:rPr>
            </w:pPr>
          </w:p>
        </w:tc>
      </w:tr>
      <w:tr w:rsidR="008038D2" w:rsidRPr="00AD1AEF" w:rsidTr="00580297">
        <w:tc>
          <w:tcPr>
            <w:tcW w:w="554" w:type="dxa"/>
            <w:shd w:val="clear" w:color="auto" w:fill="auto"/>
          </w:tcPr>
          <w:p w:rsidR="008038D2" w:rsidRPr="00AD1AEF" w:rsidRDefault="008038D2" w:rsidP="00580297">
            <w:pPr>
              <w:rPr>
                <w:b/>
                <w:bCs/>
                <w:color w:val="000000"/>
              </w:rPr>
            </w:pPr>
            <w:r w:rsidRPr="00AD1AEF">
              <w:rPr>
                <w:b/>
                <w:bCs/>
                <w:color w:val="000000"/>
              </w:rPr>
              <w:t>2</w:t>
            </w:r>
          </w:p>
        </w:tc>
        <w:tc>
          <w:tcPr>
            <w:tcW w:w="3119" w:type="dxa"/>
            <w:shd w:val="clear" w:color="auto" w:fill="auto"/>
          </w:tcPr>
          <w:p w:rsidR="008038D2" w:rsidRPr="00597CE5" w:rsidRDefault="008038D2" w:rsidP="00580297">
            <w:pPr>
              <w:rPr>
                <w:rFonts w:eastAsia="Times New Roman"/>
                <w:bCs/>
                <w:color w:val="000000"/>
                <w:sz w:val="20"/>
                <w:szCs w:val="20"/>
              </w:rPr>
            </w:pPr>
            <w:r w:rsidRPr="00597CE5">
              <w:rPr>
                <w:rFonts w:eastAsia="Times New Roman"/>
                <w:bCs/>
                <w:color w:val="000000"/>
                <w:sz w:val="20"/>
                <w:szCs w:val="20"/>
              </w:rPr>
              <w:t xml:space="preserve">Nobel </w:t>
            </w:r>
            <w:r>
              <w:rPr>
                <w:rFonts w:eastAsia="Times New Roman"/>
                <w:bCs/>
                <w:color w:val="000000"/>
                <w:sz w:val="20"/>
                <w:szCs w:val="20"/>
              </w:rPr>
              <w:t>A</w:t>
            </w:r>
            <w:r w:rsidRPr="00597CE5">
              <w:rPr>
                <w:rFonts w:eastAsia="Times New Roman"/>
                <w:bCs/>
                <w:color w:val="000000"/>
                <w:sz w:val="20"/>
                <w:szCs w:val="20"/>
              </w:rPr>
              <w:t xml:space="preserve">wards </w:t>
            </w:r>
          </w:p>
        </w:tc>
        <w:tc>
          <w:tcPr>
            <w:tcW w:w="709" w:type="dxa"/>
            <w:shd w:val="clear" w:color="auto" w:fill="auto"/>
          </w:tcPr>
          <w:p w:rsidR="008038D2" w:rsidRPr="00F07FA5" w:rsidRDefault="008038D2" w:rsidP="00580297">
            <w:pPr>
              <w:jc w:val="right"/>
              <w:rPr>
                <w:color w:val="000000"/>
                <w:sz w:val="20"/>
                <w:szCs w:val="20"/>
              </w:rPr>
            </w:pPr>
            <w:r>
              <w:rPr>
                <w:color w:val="000000"/>
                <w:sz w:val="20"/>
                <w:szCs w:val="20"/>
              </w:rPr>
              <w:t>0.62</w:t>
            </w:r>
          </w:p>
        </w:tc>
        <w:tc>
          <w:tcPr>
            <w:tcW w:w="666" w:type="dxa"/>
            <w:shd w:val="clear" w:color="auto" w:fill="auto"/>
          </w:tcPr>
          <w:p w:rsidR="008038D2" w:rsidRPr="00F07FA5" w:rsidRDefault="008038D2" w:rsidP="00580297">
            <w:pPr>
              <w:jc w:val="right"/>
              <w:rPr>
                <w:color w:val="000000"/>
                <w:sz w:val="20"/>
                <w:szCs w:val="20"/>
              </w:rPr>
            </w:pPr>
            <w:r w:rsidRPr="00F07FA5">
              <w:rPr>
                <w:color w:val="000000"/>
                <w:sz w:val="20"/>
                <w:szCs w:val="20"/>
              </w:rPr>
              <w:t>1.00</w:t>
            </w:r>
          </w:p>
        </w:tc>
        <w:tc>
          <w:tcPr>
            <w:tcW w:w="745" w:type="dxa"/>
            <w:shd w:val="clear" w:color="auto" w:fill="auto"/>
          </w:tcPr>
          <w:p w:rsidR="008038D2" w:rsidRPr="00F07FA5" w:rsidRDefault="008038D2" w:rsidP="00580297">
            <w:pPr>
              <w:jc w:val="right"/>
              <w:rPr>
                <w:color w:val="000000"/>
                <w:sz w:val="20"/>
                <w:szCs w:val="20"/>
              </w:rPr>
            </w:pPr>
          </w:p>
        </w:tc>
        <w:tc>
          <w:tcPr>
            <w:tcW w:w="666" w:type="dxa"/>
            <w:gridSpan w:val="2"/>
            <w:shd w:val="clear" w:color="auto" w:fill="auto"/>
          </w:tcPr>
          <w:p w:rsidR="008038D2" w:rsidRPr="00F07FA5" w:rsidRDefault="008038D2" w:rsidP="00580297">
            <w:pPr>
              <w:jc w:val="right"/>
              <w:rPr>
                <w:color w:val="000000"/>
                <w:sz w:val="20"/>
                <w:szCs w:val="20"/>
              </w:rPr>
            </w:pPr>
          </w:p>
        </w:tc>
        <w:tc>
          <w:tcPr>
            <w:tcW w:w="666" w:type="dxa"/>
          </w:tcPr>
          <w:p w:rsidR="008038D2" w:rsidRPr="00F07FA5" w:rsidRDefault="008038D2" w:rsidP="00580297">
            <w:pPr>
              <w:jc w:val="right"/>
              <w:rPr>
                <w:color w:val="000000"/>
                <w:sz w:val="20"/>
                <w:szCs w:val="20"/>
              </w:rPr>
            </w:pPr>
          </w:p>
        </w:tc>
        <w:tc>
          <w:tcPr>
            <w:tcW w:w="666" w:type="dxa"/>
            <w:gridSpan w:val="2"/>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tcPr>
          <w:p w:rsidR="008038D2" w:rsidRPr="00F07FA5" w:rsidRDefault="008038D2" w:rsidP="00580297">
            <w:pPr>
              <w:jc w:val="right"/>
              <w:rPr>
                <w:color w:val="000000"/>
                <w:sz w:val="20"/>
                <w:szCs w:val="20"/>
              </w:rPr>
            </w:pPr>
          </w:p>
        </w:tc>
        <w:tc>
          <w:tcPr>
            <w:tcW w:w="666" w:type="dxa"/>
            <w:gridSpan w:val="2"/>
          </w:tcPr>
          <w:p w:rsidR="008038D2" w:rsidRPr="00F07FA5" w:rsidRDefault="008038D2" w:rsidP="00580297">
            <w:pPr>
              <w:jc w:val="right"/>
              <w:rPr>
                <w:color w:val="000000"/>
                <w:sz w:val="20"/>
                <w:szCs w:val="20"/>
              </w:rPr>
            </w:pPr>
          </w:p>
        </w:tc>
      </w:tr>
      <w:tr w:rsidR="008038D2" w:rsidRPr="00AD1AEF" w:rsidTr="00580297">
        <w:tc>
          <w:tcPr>
            <w:tcW w:w="554" w:type="dxa"/>
            <w:shd w:val="clear" w:color="auto" w:fill="auto"/>
          </w:tcPr>
          <w:p w:rsidR="008038D2" w:rsidRPr="00AD1AEF" w:rsidRDefault="008038D2" w:rsidP="00580297">
            <w:pPr>
              <w:rPr>
                <w:b/>
                <w:bCs/>
                <w:color w:val="000000"/>
              </w:rPr>
            </w:pPr>
            <w:r>
              <w:rPr>
                <w:b/>
                <w:bCs/>
                <w:color w:val="000000"/>
              </w:rPr>
              <w:t>3</w:t>
            </w:r>
          </w:p>
        </w:tc>
        <w:tc>
          <w:tcPr>
            <w:tcW w:w="3119" w:type="dxa"/>
            <w:shd w:val="clear" w:color="auto" w:fill="auto"/>
          </w:tcPr>
          <w:p w:rsidR="008038D2" w:rsidRPr="00597CE5" w:rsidRDefault="008038D2" w:rsidP="00580297">
            <w:pPr>
              <w:rPr>
                <w:rFonts w:eastAsia="Times New Roman"/>
                <w:bCs/>
                <w:color w:val="000000"/>
                <w:sz w:val="20"/>
                <w:szCs w:val="20"/>
              </w:rPr>
            </w:pPr>
            <w:r w:rsidRPr="00597CE5">
              <w:rPr>
                <w:lang w:eastAsia="en-GB"/>
              </w:rPr>
              <w:t>Publications</w:t>
            </w:r>
          </w:p>
        </w:tc>
        <w:tc>
          <w:tcPr>
            <w:tcW w:w="709" w:type="dxa"/>
            <w:shd w:val="clear" w:color="auto" w:fill="auto"/>
          </w:tcPr>
          <w:p w:rsidR="008038D2" w:rsidRPr="00F07FA5" w:rsidRDefault="008038D2" w:rsidP="00580297">
            <w:pPr>
              <w:jc w:val="right"/>
              <w:rPr>
                <w:color w:val="000000"/>
                <w:sz w:val="20"/>
                <w:szCs w:val="20"/>
              </w:rPr>
            </w:pPr>
            <w:r>
              <w:rPr>
                <w:color w:val="000000"/>
                <w:sz w:val="20"/>
                <w:szCs w:val="20"/>
              </w:rPr>
              <w:t>0.90</w:t>
            </w:r>
          </w:p>
        </w:tc>
        <w:tc>
          <w:tcPr>
            <w:tcW w:w="666" w:type="dxa"/>
            <w:shd w:val="clear" w:color="auto" w:fill="auto"/>
          </w:tcPr>
          <w:p w:rsidR="008038D2" w:rsidRPr="00F07FA5" w:rsidRDefault="008038D2" w:rsidP="00580297">
            <w:pPr>
              <w:jc w:val="right"/>
              <w:rPr>
                <w:color w:val="000000"/>
                <w:sz w:val="20"/>
                <w:szCs w:val="20"/>
              </w:rPr>
            </w:pPr>
            <w:r>
              <w:rPr>
                <w:color w:val="000000"/>
                <w:sz w:val="20"/>
                <w:szCs w:val="20"/>
              </w:rPr>
              <w:t>0.53</w:t>
            </w:r>
          </w:p>
        </w:tc>
        <w:tc>
          <w:tcPr>
            <w:tcW w:w="745" w:type="dxa"/>
            <w:shd w:val="clear" w:color="auto" w:fill="auto"/>
          </w:tcPr>
          <w:p w:rsidR="008038D2" w:rsidRPr="00F07FA5" w:rsidRDefault="008038D2" w:rsidP="00580297">
            <w:pPr>
              <w:jc w:val="right"/>
              <w:rPr>
                <w:color w:val="000000"/>
                <w:sz w:val="20"/>
                <w:szCs w:val="20"/>
              </w:rPr>
            </w:pPr>
            <w:r>
              <w:rPr>
                <w:color w:val="000000"/>
                <w:sz w:val="20"/>
                <w:szCs w:val="20"/>
              </w:rPr>
              <w:t>1.00</w:t>
            </w:r>
          </w:p>
        </w:tc>
        <w:tc>
          <w:tcPr>
            <w:tcW w:w="666" w:type="dxa"/>
            <w:gridSpan w:val="2"/>
            <w:shd w:val="clear" w:color="auto" w:fill="auto"/>
          </w:tcPr>
          <w:p w:rsidR="008038D2" w:rsidRPr="00F07FA5" w:rsidRDefault="008038D2" w:rsidP="00580297">
            <w:pPr>
              <w:jc w:val="right"/>
              <w:rPr>
                <w:color w:val="000000"/>
                <w:sz w:val="20"/>
                <w:szCs w:val="20"/>
              </w:rPr>
            </w:pPr>
          </w:p>
        </w:tc>
        <w:tc>
          <w:tcPr>
            <w:tcW w:w="666" w:type="dxa"/>
          </w:tcPr>
          <w:p w:rsidR="008038D2" w:rsidRPr="00F07FA5" w:rsidRDefault="008038D2" w:rsidP="00580297">
            <w:pPr>
              <w:jc w:val="right"/>
              <w:rPr>
                <w:color w:val="000000"/>
                <w:sz w:val="20"/>
                <w:szCs w:val="20"/>
              </w:rPr>
            </w:pPr>
          </w:p>
        </w:tc>
        <w:tc>
          <w:tcPr>
            <w:tcW w:w="666" w:type="dxa"/>
            <w:gridSpan w:val="2"/>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tcPr>
          <w:p w:rsidR="008038D2" w:rsidRPr="00F07FA5" w:rsidRDefault="008038D2" w:rsidP="00580297">
            <w:pPr>
              <w:jc w:val="right"/>
              <w:rPr>
                <w:color w:val="000000"/>
                <w:sz w:val="20"/>
                <w:szCs w:val="20"/>
              </w:rPr>
            </w:pPr>
          </w:p>
        </w:tc>
        <w:tc>
          <w:tcPr>
            <w:tcW w:w="666" w:type="dxa"/>
            <w:gridSpan w:val="2"/>
          </w:tcPr>
          <w:p w:rsidR="008038D2" w:rsidRPr="00F07FA5" w:rsidRDefault="008038D2" w:rsidP="00580297">
            <w:pPr>
              <w:jc w:val="right"/>
              <w:rPr>
                <w:color w:val="000000"/>
                <w:sz w:val="20"/>
                <w:szCs w:val="20"/>
              </w:rPr>
            </w:pPr>
          </w:p>
        </w:tc>
      </w:tr>
      <w:tr w:rsidR="008038D2" w:rsidRPr="00AD1AEF" w:rsidTr="00580297">
        <w:tc>
          <w:tcPr>
            <w:tcW w:w="554" w:type="dxa"/>
            <w:shd w:val="clear" w:color="auto" w:fill="auto"/>
          </w:tcPr>
          <w:p w:rsidR="008038D2" w:rsidRPr="00AD1AEF" w:rsidRDefault="008038D2" w:rsidP="00580297">
            <w:pPr>
              <w:rPr>
                <w:b/>
                <w:bCs/>
                <w:color w:val="000000"/>
              </w:rPr>
            </w:pPr>
            <w:r>
              <w:rPr>
                <w:b/>
                <w:bCs/>
                <w:color w:val="000000"/>
              </w:rPr>
              <w:t>4</w:t>
            </w:r>
          </w:p>
        </w:tc>
        <w:tc>
          <w:tcPr>
            <w:tcW w:w="3119" w:type="dxa"/>
            <w:shd w:val="clear" w:color="auto" w:fill="auto"/>
          </w:tcPr>
          <w:p w:rsidR="008038D2" w:rsidRPr="00597CE5" w:rsidRDefault="008038D2" w:rsidP="00580297">
            <w:pPr>
              <w:pStyle w:val="BodyText"/>
              <w:framePr w:hSpace="0" w:wrap="auto" w:vAnchor="margin" w:hAnchor="text" w:yAlign="inline"/>
              <w:rPr>
                <w:lang w:eastAsia="en-GB"/>
              </w:rPr>
            </w:pPr>
            <w:r w:rsidRPr="00597CE5">
              <w:rPr>
                <w:bCs/>
                <w:color w:val="000000"/>
              </w:rPr>
              <w:t xml:space="preserve">RAE </w:t>
            </w:r>
            <w:r>
              <w:rPr>
                <w:bCs/>
                <w:color w:val="000000"/>
              </w:rPr>
              <w:t>Engineering-Biotech</w:t>
            </w:r>
          </w:p>
        </w:tc>
        <w:tc>
          <w:tcPr>
            <w:tcW w:w="709" w:type="dxa"/>
            <w:shd w:val="clear" w:color="auto" w:fill="auto"/>
          </w:tcPr>
          <w:p w:rsidR="008038D2" w:rsidRPr="00F07FA5" w:rsidRDefault="008038D2" w:rsidP="00580297">
            <w:pPr>
              <w:jc w:val="right"/>
              <w:rPr>
                <w:color w:val="000000"/>
                <w:sz w:val="20"/>
                <w:szCs w:val="20"/>
              </w:rPr>
            </w:pPr>
            <w:r>
              <w:rPr>
                <w:color w:val="000000"/>
                <w:sz w:val="20"/>
                <w:szCs w:val="20"/>
              </w:rPr>
              <w:t>0.79</w:t>
            </w:r>
          </w:p>
        </w:tc>
        <w:tc>
          <w:tcPr>
            <w:tcW w:w="666" w:type="dxa"/>
            <w:shd w:val="clear" w:color="auto" w:fill="auto"/>
          </w:tcPr>
          <w:p w:rsidR="008038D2" w:rsidRPr="00F07FA5" w:rsidRDefault="008038D2" w:rsidP="00580297">
            <w:pPr>
              <w:jc w:val="right"/>
              <w:rPr>
                <w:color w:val="000000"/>
                <w:sz w:val="20"/>
                <w:szCs w:val="20"/>
              </w:rPr>
            </w:pPr>
            <w:r>
              <w:rPr>
                <w:color w:val="000000"/>
                <w:sz w:val="20"/>
                <w:szCs w:val="20"/>
              </w:rPr>
              <w:t>0.44</w:t>
            </w:r>
          </w:p>
        </w:tc>
        <w:tc>
          <w:tcPr>
            <w:tcW w:w="745" w:type="dxa"/>
            <w:shd w:val="clear" w:color="auto" w:fill="auto"/>
          </w:tcPr>
          <w:p w:rsidR="008038D2" w:rsidRPr="00F07FA5" w:rsidRDefault="008038D2" w:rsidP="00580297">
            <w:pPr>
              <w:jc w:val="right"/>
              <w:rPr>
                <w:color w:val="000000"/>
                <w:sz w:val="20"/>
                <w:szCs w:val="20"/>
              </w:rPr>
            </w:pPr>
            <w:r>
              <w:rPr>
                <w:color w:val="000000"/>
                <w:sz w:val="20"/>
                <w:szCs w:val="20"/>
              </w:rPr>
              <w:t>0.73</w:t>
            </w:r>
          </w:p>
        </w:tc>
        <w:tc>
          <w:tcPr>
            <w:tcW w:w="666" w:type="dxa"/>
            <w:gridSpan w:val="2"/>
            <w:shd w:val="clear" w:color="auto" w:fill="auto"/>
          </w:tcPr>
          <w:p w:rsidR="008038D2" w:rsidRPr="00F07FA5" w:rsidRDefault="008038D2" w:rsidP="00580297">
            <w:pPr>
              <w:jc w:val="right"/>
              <w:rPr>
                <w:color w:val="000000"/>
                <w:sz w:val="20"/>
                <w:szCs w:val="20"/>
              </w:rPr>
            </w:pPr>
            <w:r w:rsidRPr="00F07FA5">
              <w:rPr>
                <w:color w:val="000000"/>
                <w:sz w:val="20"/>
                <w:szCs w:val="20"/>
              </w:rPr>
              <w:t>1.00</w:t>
            </w:r>
          </w:p>
        </w:tc>
        <w:tc>
          <w:tcPr>
            <w:tcW w:w="666" w:type="dxa"/>
          </w:tcPr>
          <w:p w:rsidR="008038D2" w:rsidRPr="00F07FA5" w:rsidRDefault="008038D2" w:rsidP="00580297">
            <w:pPr>
              <w:jc w:val="right"/>
              <w:rPr>
                <w:color w:val="000000"/>
                <w:sz w:val="20"/>
                <w:szCs w:val="20"/>
              </w:rPr>
            </w:pPr>
          </w:p>
        </w:tc>
        <w:tc>
          <w:tcPr>
            <w:tcW w:w="666" w:type="dxa"/>
            <w:gridSpan w:val="2"/>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tcPr>
          <w:p w:rsidR="008038D2" w:rsidRPr="00F07FA5" w:rsidRDefault="008038D2" w:rsidP="00580297">
            <w:pPr>
              <w:jc w:val="right"/>
              <w:rPr>
                <w:color w:val="000000"/>
                <w:sz w:val="20"/>
                <w:szCs w:val="20"/>
              </w:rPr>
            </w:pPr>
          </w:p>
        </w:tc>
        <w:tc>
          <w:tcPr>
            <w:tcW w:w="666" w:type="dxa"/>
            <w:gridSpan w:val="2"/>
          </w:tcPr>
          <w:p w:rsidR="008038D2" w:rsidRPr="00F07FA5" w:rsidRDefault="008038D2" w:rsidP="00580297">
            <w:pPr>
              <w:jc w:val="right"/>
              <w:rPr>
                <w:color w:val="000000"/>
                <w:sz w:val="20"/>
                <w:szCs w:val="20"/>
              </w:rPr>
            </w:pPr>
          </w:p>
        </w:tc>
      </w:tr>
      <w:tr w:rsidR="008038D2" w:rsidRPr="00AD1AEF" w:rsidTr="00580297">
        <w:tc>
          <w:tcPr>
            <w:tcW w:w="554" w:type="dxa"/>
            <w:shd w:val="clear" w:color="auto" w:fill="auto"/>
          </w:tcPr>
          <w:p w:rsidR="008038D2" w:rsidRPr="00AD1AEF" w:rsidRDefault="008038D2" w:rsidP="00580297">
            <w:pPr>
              <w:rPr>
                <w:b/>
                <w:bCs/>
                <w:color w:val="000000"/>
              </w:rPr>
            </w:pPr>
            <w:r>
              <w:rPr>
                <w:b/>
                <w:bCs/>
                <w:color w:val="000000"/>
              </w:rPr>
              <w:t>5</w:t>
            </w:r>
          </w:p>
        </w:tc>
        <w:tc>
          <w:tcPr>
            <w:tcW w:w="3119" w:type="dxa"/>
            <w:shd w:val="clear" w:color="auto" w:fill="auto"/>
          </w:tcPr>
          <w:p w:rsidR="008038D2" w:rsidRPr="00597CE5" w:rsidRDefault="008038D2" w:rsidP="00580297">
            <w:pPr>
              <w:pStyle w:val="BodyText"/>
              <w:framePr w:hSpace="0" w:wrap="auto" w:vAnchor="margin" w:hAnchor="text" w:yAlign="inline"/>
              <w:rPr>
                <w:lang w:eastAsia="en-GB"/>
              </w:rPr>
            </w:pPr>
            <w:r w:rsidRPr="00597CE5">
              <w:rPr>
                <w:bCs/>
                <w:color w:val="000000"/>
              </w:rPr>
              <w:t>Patents</w:t>
            </w:r>
          </w:p>
        </w:tc>
        <w:tc>
          <w:tcPr>
            <w:tcW w:w="709" w:type="dxa"/>
            <w:shd w:val="clear" w:color="auto" w:fill="auto"/>
          </w:tcPr>
          <w:p w:rsidR="008038D2" w:rsidRPr="00F07FA5" w:rsidRDefault="008038D2" w:rsidP="00580297">
            <w:pPr>
              <w:jc w:val="right"/>
              <w:rPr>
                <w:color w:val="000000"/>
                <w:sz w:val="20"/>
                <w:szCs w:val="20"/>
              </w:rPr>
            </w:pPr>
            <w:r>
              <w:rPr>
                <w:color w:val="000000"/>
                <w:sz w:val="20"/>
                <w:szCs w:val="20"/>
              </w:rPr>
              <w:t>0.76</w:t>
            </w:r>
          </w:p>
        </w:tc>
        <w:tc>
          <w:tcPr>
            <w:tcW w:w="666" w:type="dxa"/>
            <w:shd w:val="clear" w:color="auto" w:fill="auto"/>
          </w:tcPr>
          <w:p w:rsidR="008038D2" w:rsidRPr="00F07FA5" w:rsidRDefault="008038D2" w:rsidP="00580297">
            <w:pPr>
              <w:jc w:val="right"/>
              <w:rPr>
                <w:color w:val="000000"/>
                <w:sz w:val="20"/>
                <w:szCs w:val="20"/>
              </w:rPr>
            </w:pPr>
            <w:r>
              <w:rPr>
                <w:color w:val="000000"/>
                <w:sz w:val="20"/>
                <w:szCs w:val="20"/>
              </w:rPr>
              <w:t>0.46</w:t>
            </w:r>
          </w:p>
        </w:tc>
        <w:tc>
          <w:tcPr>
            <w:tcW w:w="745" w:type="dxa"/>
            <w:shd w:val="clear" w:color="auto" w:fill="auto"/>
          </w:tcPr>
          <w:p w:rsidR="008038D2" w:rsidRPr="00F07FA5" w:rsidRDefault="008038D2" w:rsidP="00580297">
            <w:pPr>
              <w:jc w:val="right"/>
              <w:rPr>
                <w:color w:val="000000"/>
                <w:sz w:val="20"/>
                <w:szCs w:val="20"/>
              </w:rPr>
            </w:pPr>
            <w:r>
              <w:rPr>
                <w:color w:val="000000"/>
                <w:sz w:val="20"/>
                <w:szCs w:val="20"/>
              </w:rPr>
              <w:t>0.75</w:t>
            </w:r>
          </w:p>
        </w:tc>
        <w:tc>
          <w:tcPr>
            <w:tcW w:w="666" w:type="dxa"/>
            <w:gridSpan w:val="2"/>
            <w:shd w:val="clear" w:color="auto" w:fill="auto"/>
          </w:tcPr>
          <w:p w:rsidR="008038D2" w:rsidRPr="00F07FA5" w:rsidRDefault="008038D2" w:rsidP="00580297">
            <w:pPr>
              <w:jc w:val="right"/>
              <w:rPr>
                <w:color w:val="000000"/>
                <w:sz w:val="20"/>
                <w:szCs w:val="20"/>
              </w:rPr>
            </w:pPr>
            <w:r>
              <w:rPr>
                <w:color w:val="000000"/>
                <w:sz w:val="20"/>
                <w:szCs w:val="20"/>
              </w:rPr>
              <w:t>0.69</w:t>
            </w:r>
          </w:p>
        </w:tc>
        <w:tc>
          <w:tcPr>
            <w:tcW w:w="666" w:type="dxa"/>
          </w:tcPr>
          <w:p w:rsidR="008038D2" w:rsidRPr="00F07FA5" w:rsidRDefault="008038D2" w:rsidP="00580297">
            <w:pPr>
              <w:jc w:val="right"/>
              <w:rPr>
                <w:color w:val="000000"/>
                <w:sz w:val="20"/>
                <w:szCs w:val="20"/>
              </w:rPr>
            </w:pPr>
            <w:r>
              <w:rPr>
                <w:color w:val="000000"/>
                <w:sz w:val="20"/>
                <w:szCs w:val="20"/>
              </w:rPr>
              <w:t>1.00</w:t>
            </w:r>
          </w:p>
        </w:tc>
        <w:tc>
          <w:tcPr>
            <w:tcW w:w="666" w:type="dxa"/>
            <w:gridSpan w:val="2"/>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tcPr>
          <w:p w:rsidR="008038D2" w:rsidRPr="00F07FA5" w:rsidRDefault="008038D2" w:rsidP="00580297">
            <w:pPr>
              <w:jc w:val="right"/>
              <w:rPr>
                <w:color w:val="000000"/>
                <w:sz w:val="20"/>
                <w:szCs w:val="20"/>
              </w:rPr>
            </w:pPr>
          </w:p>
        </w:tc>
        <w:tc>
          <w:tcPr>
            <w:tcW w:w="666" w:type="dxa"/>
            <w:gridSpan w:val="2"/>
          </w:tcPr>
          <w:p w:rsidR="008038D2" w:rsidRPr="00F07FA5" w:rsidRDefault="008038D2" w:rsidP="00580297">
            <w:pPr>
              <w:jc w:val="right"/>
              <w:rPr>
                <w:color w:val="000000"/>
                <w:sz w:val="20"/>
                <w:szCs w:val="20"/>
              </w:rPr>
            </w:pPr>
          </w:p>
        </w:tc>
      </w:tr>
      <w:tr w:rsidR="008038D2" w:rsidRPr="00AD1AEF" w:rsidTr="00580297">
        <w:tc>
          <w:tcPr>
            <w:tcW w:w="554" w:type="dxa"/>
            <w:shd w:val="clear" w:color="auto" w:fill="auto"/>
          </w:tcPr>
          <w:p w:rsidR="008038D2" w:rsidRPr="00AD1AEF" w:rsidRDefault="008038D2" w:rsidP="00580297">
            <w:pPr>
              <w:rPr>
                <w:b/>
                <w:bCs/>
                <w:color w:val="000000"/>
              </w:rPr>
            </w:pPr>
            <w:r w:rsidRPr="00AD1AEF">
              <w:rPr>
                <w:b/>
                <w:bCs/>
                <w:color w:val="000000"/>
              </w:rPr>
              <w:t>6</w:t>
            </w:r>
          </w:p>
        </w:tc>
        <w:tc>
          <w:tcPr>
            <w:tcW w:w="3119" w:type="dxa"/>
            <w:shd w:val="clear" w:color="auto" w:fill="auto"/>
          </w:tcPr>
          <w:p w:rsidR="008038D2" w:rsidRPr="00597CE5" w:rsidRDefault="008038D2" w:rsidP="00580297">
            <w:pPr>
              <w:rPr>
                <w:rFonts w:eastAsia="Times New Roman"/>
                <w:bCs/>
                <w:color w:val="000000"/>
                <w:sz w:val="20"/>
                <w:szCs w:val="20"/>
              </w:rPr>
            </w:pPr>
            <w:r w:rsidRPr="00597CE5">
              <w:rPr>
                <w:rFonts w:eastAsia="Times New Roman"/>
                <w:bCs/>
                <w:color w:val="000000"/>
                <w:sz w:val="20"/>
                <w:szCs w:val="20"/>
              </w:rPr>
              <w:t xml:space="preserve">University </w:t>
            </w:r>
            <w:r>
              <w:rPr>
                <w:rFonts w:eastAsia="Times New Roman"/>
                <w:bCs/>
                <w:color w:val="000000"/>
                <w:sz w:val="20"/>
                <w:szCs w:val="20"/>
              </w:rPr>
              <w:t>H</w:t>
            </w:r>
            <w:r w:rsidRPr="00597CE5">
              <w:rPr>
                <w:rFonts w:eastAsia="Times New Roman"/>
                <w:bCs/>
                <w:color w:val="000000"/>
                <w:sz w:val="20"/>
                <w:szCs w:val="20"/>
              </w:rPr>
              <w:t>ospital</w:t>
            </w:r>
          </w:p>
        </w:tc>
        <w:tc>
          <w:tcPr>
            <w:tcW w:w="709" w:type="dxa"/>
            <w:shd w:val="clear" w:color="auto" w:fill="auto"/>
          </w:tcPr>
          <w:p w:rsidR="008038D2" w:rsidRPr="00F07FA5" w:rsidRDefault="008038D2" w:rsidP="00580297">
            <w:pPr>
              <w:jc w:val="right"/>
              <w:rPr>
                <w:color w:val="000000"/>
                <w:sz w:val="20"/>
                <w:szCs w:val="20"/>
              </w:rPr>
            </w:pPr>
            <w:r>
              <w:rPr>
                <w:color w:val="000000"/>
                <w:sz w:val="20"/>
                <w:szCs w:val="20"/>
              </w:rPr>
              <w:t>0.67</w:t>
            </w:r>
          </w:p>
        </w:tc>
        <w:tc>
          <w:tcPr>
            <w:tcW w:w="666" w:type="dxa"/>
            <w:shd w:val="clear" w:color="auto" w:fill="auto"/>
          </w:tcPr>
          <w:p w:rsidR="008038D2" w:rsidRPr="00F07FA5" w:rsidRDefault="008038D2" w:rsidP="00580297">
            <w:pPr>
              <w:jc w:val="right"/>
              <w:rPr>
                <w:color w:val="000000"/>
                <w:sz w:val="20"/>
                <w:szCs w:val="20"/>
              </w:rPr>
            </w:pPr>
            <w:r>
              <w:rPr>
                <w:color w:val="000000"/>
                <w:sz w:val="20"/>
                <w:szCs w:val="20"/>
              </w:rPr>
              <w:t>0.35</w:t>
            </w:r>
          </w:p>
        </w:tc>
        <w:tc>
          <w:tcPr>
            <w:tcW w:w="745" w:type="dxa"/>
            <w:shd w:val="clear" w:color="auto" w:fill="auto"/>
          </w:tcPr>
          <w:p w:rsidR="008038D2" w:rsidRPr="00F07FA5" w:rsidRDefault="008038D2" w:rsidP="00580297">
            <w:pPr>
              <w:jc w:val="right"/>
              <w:rPr>
                <w:color w:val="000000"/>
                <w:sz w:val="20"/>
                <w:szCs w:val="20"/>
              </w:rPr>
            </w:pPr>
            <w:r>
              <w:rPr>
                <w:color w:val="000000"/>
                <w:sz w:val="20"/>
                <w:szCs w:val="20"/>
              </w:rPr>
              <w:t>0.65</w:t>
            </w:r>
          </w:p>
        </w:tc>
        <w:tc>
          <w:tcPr>
            <w:tcW w:w="666" w:type="dxa"/>
            <w:gridSpan w:val="2"/>
            <w:shd w:val="clear" w:color="auto" w:fill="auto"/>
          </w:tcPr>
          <w:p w:rsidR="008038D2" w:rsidRPr="00F07FA5" w:rsidRDefault="008038D2" w:rsidP="00580297">
            <w:pPr>
              <w:jc w:val="right"/>
              <w:rPr>
                <w:color w:val="000000"/>
                <w:sz w:val="20"/>
                <w:szCs w:val="20"/>
              </w:rPr>
            </w:pPr>
            <w:r>
              <w:rPr>
                <w:color w:val="000000"/>
                <w:sz w:val="20"/>
                <w:szCs w:val="20"/>
              </w:rPr>
              <w:t>0.73</w:t>
            </w:r>
          </w:p>
        </w:tc>
        <w:tc>
          <w:tcPr>
            <w:tcW w:w="666" w:type="dxa"/>
          </w:tcPr>
          <w:p w:rsidR="008038D2" w:rsidRPr="00F07FA5" w:rsidRDefault="008038D2" w:rsidP="00580297">
            <w:pPr>
              <w:jc w:val="right"/>
              <w:rPr>
                <w:color w:val="000000"/>
                <w:sz w:val="20"/>
                <w:szCs w:val="20"/>
              </w:rPr>
            </w:pPr>
            <w:r>
              <w:rPr>
                <w:color w:val="000000"/>
                <w:sz w:val="20"/>
                <w:szCs w:val="20"/>
              </w:rPr>
              <w:t>0.58</w:t>
            </w:r>
          </w:p>
        </w:tc>
        <w:tc>
          <w:tcPr>
            <w:tcW w:w="666" w:type="dxa"/>
            <w:gridSpan w:val="2"/>
            <w:shd w:val="clear" w:color="auto" w:fill="auto"/>
          </w:tcPr>
          <w:p w:rsidR="008038D2" w:rsidRPr="00F07FA5" w:rsidRDefault="008038D2" w:rsidP="00580297">
            <w:pPr>
              <w:jc w:val="right"/>
              <w:rPr>
                <w:color w:val="000000"/>
                <w:sz w:val="20"/>
                <w:szCs w:val="20"/>
              </w:rPr>
            </w:pPr>
            <w:r w:rsidRPr="00F07FA5">
              <w:rPr>
                <w:color w:val="000000"/>
                <w:sz w:val="20"/>
                <w:szCs w:val="20"/>
              </w:rPr>
              <w:t>1.00</w:t>
            </w:r>
          </w:p>
        </w:tc>
        <w:tc>
          <w:tcPr>
            <w:tcW w:w="666" w:type="dxa"/>
            <w:shd w:val="clear" w:color="auto" w:fill="auto"/>
          </w:tcPr>
          <w:p w:rsidR="008038D2" w:rsidRPr="00F07FA5" w:rsidRDefault="008038D2" w:rsidP="00580297">
            <w:pPr>
              <w:jc w:val="right"/>
              <w:rPr>
                <w:color w:val="000000"/>
                <w:sz w:val="20"/>
                <w:szCs w:val="20"/>
              </w:rPr>
            </w:pPr>
          </w:p>
        </w:tc>
        <w:tc>
          <w:tcPr>
            <w:tcW w:w="666" w:type="dxa"/>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tcPr>
          <w:p w:rsidR="008038D2" w:rsidRPr="00F07FA5" w:rsidRDefault="008038D2" w:rsidP="00580297">
            <w:pPr>
              <w:jc w:val="right"/>
              <w:rPr>
                <w:color w:val="000000"/>
                <w:sz w:val="20"/>
                <w:szCs w:val="20"/>
              </w:rPr>
            </w:pPr>
          </w:p>
        </w:tc>
        <w:tc>
          <w:tcPr>
            <w:tcW w:w="666" w:type="dxa"/>
            <w:gridSpan w:val="2"/>
          </w:tcPr>
          <w:p w:rsidR="008038D2" w:rsidRPr="00F07FA5" w:rsidRDefault="008038D2" w:rsidP="00580297">
            <w:pPr>
              <w:jc w:val="right"/>
              <w:rPr>
                <w:color w:val="000000"/>
                <w:sz w:val="20"/>
                <w:szCs w:val="20"/>
              </w:rPr>
            </w:pPr>
          </w:p>
        </w:tc>
      </w:tr>
      <w:tr w:rsidR="008038D2" w:rsidRPr="00AD1AEF" w:rsidTr="00580297">
        <w:tc>
          <w:tcPr>
            <w:tcW w:w="554" w:type="dxa"/>
            <w:tcBorders>
              <w:left w:val="nil"/>
              <w:right w:val="nil"/>
            </w:tcBorders>
            <w:shd w:val="clear" w:color="auto" w:fill="auto"/>
          </w:tcPr>
          <w:p w:rsidR="008038D2" w:rsidRPr="00AD1AEF" w:rsidRDefault="008038D2" w:rsidP="00580297">
            <w:pPr>
              <w:rPr>
                <w:b/>
                <w:bCs/>
                <w:color w:val="000000"/>
              </w:rPr>
            </w:pPr>
            <w:r w:rsidRPr="00AD1AEF">
              <w:rPr>
                <w:b/>
                <w:bCs/>
                <w:color w:val="000000"/>
              </w:rPr>
              <w:t>7</w:t>
            </w:r>
          </w:p>
        </w:tc>
        <w:tc>
          <w:tcPr>
            <w:tcW w:w="3119" w:type="dxa"/>
            <w:tcBorders>
              <w:left w:val="nil"/>
              <w:right w:val="nil"/>
            </w:tcBorders>
            <w:shd w:val="clear" w:color="auto" w:fill="auto"/>
          </w:tcPr>
          <w:p w:rsidR="008038D2" w:rsidRPr="00597CE5" w:rsidRDefault="008038D2" w:rsidP="00580297">
            <w:pPr>
              <w:rPr>
                <w:rFonts w:eastAsia="Times New Roman"/>
                <w:bCs/>
                <w:color w:val="000000"/>
                <w:sz w:val="20"/>
                <w:szCs w:val="20"/>
              </w:rPr>
            </w:pPr>
            <w:r w:rsidRPr="00597CE5">
              <w:rPr>
                <w:rFonts w:eastAsia="Times New Roman"/>
                <w:bCs/>
                <w:color w:val="000000"/>
                <w:sz w:val="20"/>
                <w:szCs w:val="20"/>
              </w:rPr>
              <w:t>Rankings</w:t>
            </w:r>
          </w:p>
        </w:tc>
        <w:tc>
          <w:tcPr>
            <w:tcW w:w="709"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0.57</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0.29</w:t>
            </w:r>
          </w:p>
        </w:tc>
        <w:tc>
          <w:tcPr>
            <w:tcW w:w="745"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0.56</w:t>
            </w:r>
          </w:p>
        </w:tc>
        <w:tc>
          <w:tcPr>
            <w:tcW w:w="666" w:type="dxa"/>
            <w:gridSpan w:val="2"/>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0.67</w:t>
            </w:r>
          </w:p>
        </w:tc>
        <w:tc>
          <w:tcPr>
            <w:tcW w:w="666" w:type="dxa"/>
            <w:tcBorders>
              <w:left w:val="nil"/>
              <w:right w:val="nil"/>
            </w:tcBorders>
          </w:tcPr>
          <w:p w:rsidR="008038D2" w:rsidRPr="00F07FA5" w:rsidRDefault="008038D2" w:rsidP="00580297">
            <w:pPr>
              <w:jc w:val="right"/>
              <w:rPr>
                <w:color w:val="000000"/>
                <w:sz w:val="20"/>
                <w:szCs w:val="20"/>
              </w:rPr>
            </w:pPr>
            <w:r>
              <w:rPr>
                <w:color w:val="000000"/>
                <w:sz w:val="20"/>
                <w:szCs w:val="20"/>
              </w:rPr>
              <w:t>0.48</w:t>
            </w:r>
          </w:p>
        </w:tc>
        <w:tc>
          <w:tcPr>
            <w:tcW w:w="666" w:type="dxa"/>
            <w:gridSpan w:val="2"/>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0.60</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r w:rsidRPr="00F07FA5">
              <w:rPr>
                <w:color w:val="000000"/>
                <w:sz w:val="20"/>
                <w:szCs w:val="20"/>
              </w:rPr>
              <w:t>1.00</w:t>
            </w:r>
          </w:p>
        </w:tc>
        <w:tc>
          <w:tcPr>
            <w:tcW w:w="666" w:type="dxa"/>
            <w:tcBorders>
              <w:left w:val="nil"/>
              <w:right w:val="nil"/>
            </w:tcBorders>
          </w:tcPr>
          <w:p w:rsidR="008038D2" w:rsidRPr="00F07FA5" w:rsidRDefault="008038D2" w:rsidP="00580297">
            <w:pPr>
              <w:jc w:val="right"/>
              <w:rPr>
                <w:color w:val="000000"/>
                <w:sz w:val="20"/>
                <w:szCs w:val="20"/>
              </w:rPr>
            </w:pP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p>
        </w:tc>
        <w:tc>
          <w:tcPr>
            <w:tcW w:w="666" w:type="dxa"/>
            <w:tcBorders>
              <w:left w:val="nil"/>
              <w:right w:val="nil"/>
            </w:tcBorders>
          </w:tcPr>
          <w:p w:rsidR="008038D2" w:rsidRPr="00F07FA5" w:rsidRDefault="008038D2" w:rsidP="00580297">
            <w:pPr>
              <w:jc w:val="right"/>
              <w:rPr>
                <w:color w:val="000000"/>
                <w:sz w:val="20"/>
                <w:szCs w:val="20"/>
              </w:rPr>
            </w:pPr>
          </w:p>
        </w:tc>
        <w:tc>
          <w:tcPr>
            <w:tcW w:w="666" w:type="dxa"/>
            <w:gridSpan w:val="2"/>
            <w:tcBorders>
              <w:left w:val="nil"/>
              <w:right w:val="nil"/>
            </w:tcBorders>
          </w:tcPr>
          <w:p w:rsidR="008038D2" w:rsidRPr="00F07FA5" w:rsidRDefault="008038D2" w:rsidP="00580297">
            <w:pPr>
              <w:jc w:val="right"/>
              <w:rPr>
                <w:color w:val="000000"/>
                <w:sz w:val="20"/>
                <w:szCs w:val="20"/>
              </w:rPr>
            </w:pPr>
          </w:p>
        </w:tc>
      </w:tr>
      <w:tr w:rsidR="008038D2" w:rsidRPr="00AD1AEF" w:rsidTr="00580297">
        <w:tc>
          <w:tcPr>
            <w:tcW w:w="554" w:type="dxa"/>
            <w:shd w:val="clear" w:color="auto" w:fill="auto"/>
          </w:tcPr>
          <w:p w:rsidR="008038D2" w:rsidRPr="00AD1AEF" w:rsidRDefault="008038D2" w:rsidP="00580297">
            <w:pPr>
              <w:rPr>
                <w:b/>
                <w:bCs/>
                <w:color w:val="000000"/>
              </w:rPr>
            </w:pPr>
            <w:r w:rsidRPr="00AD1AEF">
              <w:rPr>
                <w:b/>
                <w:bCs/>
                <w:color w:val="000000"/>
              </w:rPr>
              <w:t>8</w:t>
            </w:r>
          </w:p>
        </w:tc>
        <w:tc>
          <w:tcPr>
            <w:tcW w:w="3119" w:type="dxa"/>
            <w:shd w:val="clear" w:color="auto" w:fill="auto"/>
          </w:tcPr>
          <w:p w:rsidR="008038D2" w:rsidRPr="00597CE5" w:rsidRDefault="008038D2" w:rsidP="00580297">
            <w:pPr>
              <w:rPr>
                <w:rFonts w:eastAsia="Times New Roman"/>
                <w:bCs/>
                <w:color w:val="000000"/>
                <w:sz w:val="20"/>
                <w:szCs w:val="20"/>
              </w:rPr>
            </w:pPr>
            <w:r>
              <w:rPr>
                <w:rFonts w:eastAsia="Times New Roman"/>
                <w:bCs/>
                <w:color w:val="000000"/>
                <w:sz w:val="20"/>
                <w:szCs w:val="20"/>
              </w:rPr>
              <w:t>Total Media Coverage</w:t>
            </w:r>
          </w:p>
        </w:tc>
        <w:tc>
          <w:tcPr>
            <w:tcW w:w="709" w:type="dxa"/>
            <w:shd w:val="clear" w:color="auto" w:fill="auto"/>
          </w:tcPr>
          <w:p w:rsidR="008038D2" w:rsidRPr="00F07FA5" w:rsidRDefault="008038D2" w:rsidP="00580297">
            <w:pPr>
              <w:jc w:val="right"/>
              <w:rPr>
                <w:color w:val="000000"/>
                <w:sz w:val="20"/>
                <w:szCs w:val="20"/>
              </w:rPr>
            </w:pPr>
            <w:r>
              <w:rPr>
                <w:color w:val="000000"/>
                <w:sz w:val="20"/>
                <w:szCs w:val="20"/>
              </w:rPr>
              <w:t>0.73</w:t>
            </w:r>
          </w:p>
        </w:tc>
        <w:tc>
          <w:tcPr>
            <w:tcW w:w="666" w:type="dxa"/>
            <w:shd w:val="clear" w:color="auto" w:fill="auto"/>
          </w:tcPr>
          <w:p w:rsidR="008038D2" w:rsidRPr="00F07FA5" w:rsidRDefault="008038D2" w:rsidP="00580297">
            <w:pPr>
              <w:jc w:val="right"/>
              <w:rPr>
                <w:color w:val="000000"/>
                <w:sz w:val="20"/>
                <w:szCs w:val="20"/>
              </w:rPr>
            </w:pPr>
            <w:r>
              <w:rPr>
                <w:color w:val="000000"/>
                <w:sz w:val="20"/>
                <w:szCs w:val="20"/>
              </w:rPr>
              <w:t>0.53</w:t>
            </w:r>
          </w:p>
        </w:tc>
        <w:tc>
          <w:tcPr>
            <w:tcW w:w="745" w:type="dxa"/>
            <w:shd w:val="clear" w:color="auto" w:fill="auto"/>
          </w:tcPr>
          <w:p w:rsidR="008038D2" w:rsidRPr="00F07FA5" w:rsidRDefault="008038D2" w:rsidP="00580297">
            <w:pPr>
              <w:jc w:val="right"/>
              <w:rPr>
                <w:color w:val="000000"/>
                <w:sz w:val="20"/>
                <w:szCs w:val="20"/>
              </w:rPr>
            </w:pPr>
            <w:r>
              <w:rPr>
                <w:color w:val="000000"/>
                <w:sz w:val="20"/>
                <w:szCs w:val="20"/>
              </w:rPr>
              <w:t>0.65</w:t>
            </w:r>
          </w:p>
        </w:tc>
        <w:tc>
          <w:tcPr>
            <w:tcW w:w="666" w:type="dxa"/>
            <w:gridSpan w:val="2"/>
            <w:shd w:val="clear" w:color="auto" w:fill="auto"/>
          </w:tcPr>
          <w:p w:rsidR="008038D2" w:rsidRPr="00F07FA5" w:rsidRDefault="008038D2" w:rsidP="00580297">
            <w:pPr>
              <w:jc w:val="right"/>
              <w:rPr>
                <w:color w:val="000000"/>
                <w:sz w:val="20"/>
                <w:szCs w:val="20"/>
              </w:rPr>
            </w:pPr>
            <w:r>
              <w:rPr>
                <w:color w:val="000000"/>
                <w:sz w:val="20"/>
                <w:szCs w:val="20"/>
              </w:rPr>
              <w:t>0.56</w:t>
            </w:r>
          </w:p>
        </w:tc>
        <w:tc>
          <w:tcPr>
            <w:tcW w:w="666" w:type="dxa"/>
          </w:tcPr>
          <w:p w:rsidR="008038D2" w:rsidRPr="00F07FA5" w:rsidRDefault="008038D2" w:rsidP="00580297">
            <w:pPr>
              <w:jc w:val="right"/>
              <w:rPr>
                <w:color w:val="000000"/>
                <w:sz w:val="20"/>
                <w:szCs w:val="20"/>
              </w:rPr>
            </w:pPr>
            <w:r>
              <w:rPr>
                <w:color w:val="000000"/>
                <w:sz w:val="20"/>
                <w:szCs w:val="20"/>
              </w:rPr>
              <w:t>0.52</w:t>
            </w:r>
          </w:p>
        </w:tc>
        <w:tc>
          <w:tcPr>
            <w:tcW w:w="666" w:type="dxa"/>
            <w:gridSpan w:val="2"/>
            <w:shd w:val="clear" w:color="auto" w:fill="auto"/>
          </w:tcPr>
          <w:p w:rsidR="008038D2" w:rsidRPr="00F07FA5" w:rsidRDefault="008038D2" w:rsidP="00580297">
            <w:pPr>
              <w:jc w:val="right"/>
              <w:rPr>
                <w:color w:val="000000"/>
                <w:sz w:val="20"/>
                <w:szCs w:val="20"/>
              </w:rPr>
            </w:pPr>
            <w:r>
              <w:rPr>
                <w:color w:val="000000"/>
                <w:sz w:val="20"/>
                <w:szCs w:val="20"/>
              </w:rPr>
              <w:t>0.41</w:t>
            </w:r>
          </w:p>
        </w:tc>
        <w:tc>
          <w:tcPr>
            <w:tcW w:w="666" w:type="dxa"/>
            <w:shd w:val="clear" w:color="auto" w:fill="auto"/>
          </w:tcPr>
          <w:p w:rsidR="008038D2" w:rsidRPr="00F07FA5" w:rsidRDefault="008038D2" w:rsidP="00580297">
            <w:pPr>
              <w:jc w:val="right"/>
              <w:rPr>
                <w:color w:val="000000"/>
                <w:sz w:val="20"/>
                <w:szCs w:val="20"/>
              </w:rPr>
            </w:pPr>
            <w:r>
              <w:rPr>
                <w:color w:val="000000"/>
                <w:sz w:val="20"/>
                <w:szCs w:val="20"/>
              </w:rPr>
              <w:t>0.40</w:t>
            </w:r>
          </w:p>
        </w:tc>
        <w:tc>
          <w:tcPr>
            <w:tcW w:w="666" w:type="dxa"/>
          </w:tcPr>
          <w:p w:rsidR="008038D2" w:rsidRPr="00F07FA5" w:rsidRDefault="008038D2" w:rsidP="00580297">
            <w:pPr>
              <w:jc w:val="right"/>
              <w:rPr>
                <w:color w:val="000000"/>
                <w:sz w:val="20"/>
                <w:szCs w:val="20"/>
              </w:rPr>
            </w:pPr>
            <w:r w:rsidRPr="00F07FA5">
              <w:rPr>
                <w:color w:val="000000"/>
                <w:sz w:val="20"/>
                <w:szCs w:val="20"/>
              </w:rPr>
              <w:t>1.00</w:t>
            </w: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tcPr>
          <w:p w:rsidR="008038D2" w:rsidRPr="00F07FA5" w:rsidRDefault="008038D2" w:rsidP="00580297">
            <w:pPr>
              <w:jc w:val="right"/>
              <w:rPr>
                <w:color w:val="000000"/>
                <w:sz w:val="20"/>
                <w:szCs w:val="20"/>
              </w:rPr>
            </w:pPr>
          </w:p>
        </w:tc>
        <w:tc>
          <w:tcPr>
            <w:tcW w:w="666" w:type="dxa"/>
            <w:gridSpan w:val="2"/>
          </w:tcPr>
          <w:p w:rsidR="008038D2" w:rsidRPr="00F07FA5" w:rsidRDefault="008038D2" w:rsidP="00580297">
            <w:pPr>
              <w:jc w:val="right"/>
              <w:rPr>
                <w:color w:val="000000"/>
                <w:sz w:val="20"/>
                <w:szCs w:val="20"/>
              </w:rPr>
            </w:pPr>
          </w:p>
        </w:tc>
      </w:tr>
      <w:tr w:rsidR="008038D2" w:rsidRPr="00AD1AEF" w:rsidTr="00580297">
        <w:tc>
          <w:tcPr>
            <w:tcW w:w="554" w:type="dxa"/>
            <w:shd w:val="clear" w:color="auto" w:fill="auto"/>
          </w:tcPr>
          <w:p w:rsidR="008038D2" w:rsidRPr="00AD1AEF" w:rsidRDefault="008038D2" w:rsidP="00580297">
            <w:pPr>
              <w:rPr>
                <w:b/>
                <w:bCs/>
                <w:color w:val="000000"/>
              </w:rPr>
            </w:pPr>
            <w:r w:rsidRPr="00AD1AEF">
              <w:rPr>
                <w:b/>
                <w:bCs/>
                <w:color w:val="000000"/>
              </w:rPr>
              <w:t>9</w:t>
            </w:r>
          </w:p>
        </w:tc>
        <w:tc>
          <w:tcPr>
            <w:tcW w:w="3119" w:type="dxa"/>
            <w:shd w:val="clear" w:color="auto" w:fill="auto"/>
          </w:tcPr>
          <w:p w:rsidR="008038D2" w:rsidRPr="00597CE5" w:rsidRDefault="008038D2" w:rsidP="00580297">
            <w:pPr>
              <w:rPr>
                <w:rFonts w:eastAsia="Times New Roman"/>
                <w:bCs/>
                <w:color w:val="000000"/>
                <w:sz w:val="20"/>
                <w:szCs w:val="20"/>
              </w:rPr>
            </w:pPr>
            <w:r>
              <w:rPr>
                <w:rFonts w:eastAsia="Times New Roman"/>
                <w:bCs/>
                <w:color w:val="000000"/>
                <w:sz w:val="20"/>
                <w:szCs w:val="20"/>
              </w:rPr>
              <w:t xml:space="preserve">TTO </w:t>
            </w:r>
            <w:r w:rsidRPr="00597CE5">
              <w:rPr>
                <w:rFonts w:eastAsia="Times New Roman"/>
                <w:bCs/>
                <w:color w:val="000000"/>
                <w:sz w:val="20"/>
                <w:szCs w:val="20"/>
              </w:rPr>
              <w:t>Structure</w:t>
            </w:r>
          </w:p>
        </w:tc>
        <w:tc>
          <w:tcPr>
            <w:tcW w:w="709" w:type="dxa"/>
            <w:shd w:val="clear" w:color="auto" w:fill="auto"/>
          </w:tcPr>
          <w:p w:rsidR="008038D2" w:rsidRPr="00F07FA5" w:rsidRDefault="008038D2" w:rsidP="00580297">
            <w:pPr>
              <w:jc w:val="right"/>
              <w:rPr>
                <w:color w:val="000000"/>
                <w:sz w:val="20"/>
                <w:szCs w:val="20"/>
              </w:rPr>
            </w:pPr>
            <w:r>
              <w:rPr>
                <w:color w:val="000000"/>
                <w:sz w:val="20"/>
                <w:szCs w:val="20"/>
              </w:rPr>
              <w:t>0.57</w:t>
            </w:r>
          </w:p>
        </w:tc>
        <w:tc>
          <w:tcPr>
            <w:tcW w:w="666" w:type="dxa"/>
            <w:shd w:val="clear" w:color="auto" w:fill="auto"/>
          </w:tcPr>
          <w:p w:rsidR="008038D2" w:rsidRPr="00F07FA5" w:rsidRDefault="008038D2" w:rsidP="00580297">
            <w:pPr>
              <w:jc w:val="right"/>
              <w:rPr>
                <w:color w:val="000000"/>
                <w:sz w:val="20"/>
                <w:szCs w:val="20"/>
              </w:rPr>
            </w:pPr>
            <w:r>
              <w:rPr>
                <w:color w:val="000000"/>
                <w:sz w:val="20"/>
                <w:szCs w:val="20"/>
              </w:rPr>
              <w:t>0.35</w:t>
            </w:r>
          </w:p>
        </w:tc>
        <w:tc>
          <w:tcPr>
            <w:tcW w:w="745" w:type="dxa"/>
            <w:shd w:val="clear" w:color="auto" w:fill="auto"/>
          </w:tcPr>
          <w:p w:rsidR="008038D2" w:rsidRPr="00F07FA5" w:rsidRDefault="008038D2" w:rsidP="00580297">
            <w:pPr>
              <w:jc w:val="right"/>
              <w:rPr>
                <w:color w:val="000000"/>
                <w:sz w:val="20"/>
                <w:szCs w:val="20"/>
              </w:rPr>
            </w:pPr>
            <w:r>
              <w:rPr>
                <w:color w:val="000000"/>
                <w:sz w:val="20"/>
                <w:szCs w:val="20"/>
              </w:rPr>
              <w:t>0.54</w:t>
            </w:r>
          </w:p>
        </w:tc>
        <w:tc>
          <w:tcPr>
            <w:tcW w:w="666" w:type="dxa"/>
            <w:gridSpan w:val="2"/>
            <w:shd w:val="clear" w:color="auto" w:fill="auto"/>
          </w:tcPr>
          <w:p w:rsidR="008038D2" w:rsidRPr="00F07FA5" w:rsidRDefault="008038D2" w:rsidP="00580297">
            <w:pPr>
              <w:jc w:val="right"/>
              <w:rPr>
                <w:color w:val="000000"/>
                <w:sz w:val="20"/>
                <w:szCs w:val="20"/>
              </w:rPr>
            </w:pPr>
            <w:r>
              <w:rPr>
                <w:color w:val="000000"/>
                <w:sz w:val="20"/>
                <w:szCs w:val="20"/>
              </w:rPr>
              <w:t>0.58</w:t>
            </w:r>
          </w:p>
        </w:tc>
        <w:tc>
          <w:tcPr>
            <w:tcW w:w="666" w:type="dxa"/>
          </w:tcPr>
          <w:p w:rsidR="008038D2" w:rsidRPr="00F07FA5" w:rsidRDefault="008038D2" w:rsidP="00580297">
            <w:pPr>
              <w:jc w:val="right"/>
              <w:rPr>
                <w:color w:val="000000"/>
                <w:sz w:val="20"/>
                <w:szCs w:val="20"/>
              </w:rPr>
            </w:pPr>
            <w:r>
              <w:rPr>
                <w:color w:val="000000"/>
                <w:sz w:val="20"/>
                <w:szCs w:val="20"/>
              </w:rPr>
              <w:t>0.46</w:t>
            </w:r>
          </w:p>
        </w:tc>
        <w:tc>
          <w:tcPr>
            <w:tcW w:w="666" w:type="dxa"/>
            <w:gridSpan w:val="2"/>
            <w:shd w:val="clear" w:color="auto" w:fill="auto"/>
          </w:tcPr>
          <w:p w:rsidR="008038D2" w:rsidRPr="00F07FA5" w:rsidRDefault="008038D2" w:rsidP="00580297">
            <w:pPr>
              <w:jc w:val="right"/>
              <w:rPr>
                <w:color w:val="000000"/>
                <w:sz w:val="20"/>
                <w:szCs w:val="20"/>
              </w:rPr>
            </w:pPr>
            <w:r>
              <w:rPr>
                <w:color w:val="000000"/>
                <w:sz w:val="20"/>
                <w:szCs w:val="20"/>
              </w:rPr>
              <w:t>0.48</w:t>
            </w:r>
          </w:p>
        </w:tc>
        <w:tc>
          <w:tcPr>
            <w:tcW w:w="666" w:type="dxa"/>
            <w:shd w:val="clear" w:color="auto" w:fill="auto"/>
          </w:tcPr>
          <w:p w:rsidR="008038D2" w:rsidRPr="00F07FA5" w:rsidRDefault="008038D2" w:rsidP="00580297">
            <w:pPr>
              <w:jc w:val="right"/>
              <w:rPr>
                <w:color w:val="000000"/>
                <w:sz w:val="20"/>
                <w:szCs w:val="20"/>
              </w:rPr>
            </w:pPr>
            <w:r>
              <w:rPr>
                <w:color w:val="000000"/>
                <w:sz w:val="20"/>
                <w:szCs w:val="20"/>
              </w:rPr>
              <w:t>0.38</w:t>
            </w:r>
          </w:p>
        </w:tc>
        <w:tc>
          <w:tcPr>
            <w:tcW w:w="666" w:type="dxa"/>
          </w:tcPr>
          <w:p w:rsidR="008038D2" w:rsidRPr="00F07FA5" w:rsidRDefault="008038D2" w:rsidP="00580297">
            <w:pPr>
              <w:jc w:val="right"/>
              <w:rPr>
                <w:color w:val="000000"/>
                <w:sz w:val="20"/>
                <w:szCs w:val="20"/>
              </w:rPr>
            </w:pPr>
            <w:r>
              <w:rPr>
                <w:color w:val="000000"/>
                <w:sz w:val="20"/>
                <w:szCs w:val="20"/>
              </w:rPr>
              <w:t>0.44</w:t>
            </w:r>
          </w:p>
        </w:tc>
        <w:tc>
          <w:tcPr>
            <w:tcW w:w="666" w:type="dxa"/>
            <w:shd w:val="clear" w:color="auto" w:fill="auto"/>
          </w:tcPr>
          <w:p w:rsidR="008038D2" w:rsidRPr="00F07FA5" w:rsidRDefault="008038D2" w:rsidP="00580297">
            <w:pPr>
              <w:jc w:val="right"/>
              <w:rPr>
                <w:color w:val="000000"/>
                <w:sz w:val="20"/>
                <w:szCs w:val="20"/>
              </w:rPr>
            </w:pPr>
            <w:r w:rsidRPr="00F07FA5">
              <w:rPr>
                <w:color w:val="000000"/>
                <w:sz w:val="20"/>
                <w:szCs w:val="20"/>
              </w:rPr>
              <w:t>1.00</w:t>
            </w: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shd w:val="clear" w:color="auto" w:fill="auto"/>
          </w:tcPr>
          <w:p w:rsidR="008038D2" w:rsidRPr="00F07FA5" w:rsidRDefault="008038D2" w:rsidP="00580297">
            <w:pPr>
              <w:jc w:val="right"/>
              <w:rPr>
                <w:color w:val="000000"/>
                <w:sz w:val="20"/>
                <w:szCs w:val="20"/>
              </w:rPr>
            </w:pPr>
          </w:p>
        </w:tc>
        <w:tc>
          <w:tcPr>
            <w:tcW w:w="666" w:type="dxa"/>
          </w:tcPr>
          <w:p w:rsidR="008038D2" w:rsidRPr="00F07FA5" w:rsidRDefault="008038D2" w:rsidP="00580297">
            <w:pPr>
              <w:jc w:val="right"/>
              <w:rPr>
                <w:color w:val="000000"/>
                <w:sz w:val="20"/>
                <w:szCs w:val="20"/>
              </w:rPr>
            </w:pPr>
          </w:p>
        </w:tc>
        <w:tc>
          <w:tcPr>
            <w:tcW w:w="666" w:type="dxa"/>
            <w:gridSpan w:val="2"/>
          </w:tcPr>
          <w:p w:rsidR="008038D2" w:rsidRPr="00F07FA5" w:rsidRDefault="008038D2" w:rsidP="00580297">
            <w:pPr>
              <w:jc w:val="right"/>
              <w:rPr>
                <w:color w:val="000000"/>
                <w:sz w:val="20"/>
                <w:szCs w:val="20"/>
              </w:rPr>
            </w:pPr>
          </w:p>
        </w:tc>
      </w:tr>
      <w:tr w:rsidR="008038D2" w:rsidRPr="00AD1AEF" w:rsidTr="00580297">
        <w:tc>
          <w:tcPr>
            <w:tcW w:w="554" w:type="dxa"/>
            <w:tcBorders>
              <w:left w:val="nil"/>
              <w:right w:val="nil"/>
            </w:tcBorders>
            <w:shd w:val="clear" w:color="auto" w:fill="auto"/>
          </w:tcPr>
          <w:p w:rsidR="008038D2" w:rsidRPr="00AD1AEF" w:rsidRDefault="008038D2" w:rsidP="00580297">
            <w:pPr>
              <w:rPr>
                <w:b/>
                <w:bCs/>
                <w:color w:val="000000"/>
              </w:rPr>
            </w:pPr>
            <w:r w:rsidRPr="00AD1AEF">
              <w:rPr>
                <w:b/>
                <w:bCs/>
                <w:color w:val="000000"/>
              </w:rPr>
              <w:t>10</w:t>
            </w:r>
          </w:p>
        </w:tc>
        <w:tc>
          <w:tcPr>
            <w:tcW w:w="3119" w:type="dxa"/>
            <w:tcBorders>
              <w:left w:val="nil"/>
              <w:right w:val="nil"/>
            </w:tcBorders>
            <w:shd w:val="clear" w:color="auto" w:fill="auto"/>
          </w:tcPr>
          <w:p w:rsidR="008038D2" w:rsidRPr="00597CE5" w:rsidRDefault="008038D2" w:rsidP="00580297">
            <w:pPr>
              <w:rPr>
                <w:rFonts w:eastAsia="Times New Roman"/>
                <w:bCs/>
                <w:color w:val="000000"/>
                <w:sz w:val="20"/>
                <w:szCs w:val="20"/>
              </w:rPr>
            </w:pPr>
            <w:r>
              <w:rPr>
                <w:rFonts w:eastAsia="Times New Roman"/>
                <w:bCs/>
                <w:color w:val="000000"/>
                <w:sz w:val="20"/>
                <w:szCs w:val="20"/>
              </w:rPr>
              <w:t xml:space="preserve">University </w:t>
            </w:r>
            <w:r w:rsidRPr="00597CE5">
              <w:rPr>
                <w:rFonts w:eastAsia="Times New Roman"/>
                <w:bCs/>
                <w:color w:val="000000"/>
                <w:sz w:val="20"/>
                <w:szCs w:val="20"/>
              </w:rPr>
              <w:t>Size</w:t>
            </w:r>
          </w:p>
        </w:tc>
        <w:tc>
          <w:tcPr>
            <w:tcW w:w="709"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0.32</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0.16</w:t>
            </w:r>
          </w:p>
        </w:tc>
        <w:tc>
          <w:tcPr>
            <w:tcW w:w="745"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0.28</w:t>
            </w:r>
          </w:p>
        </w:tc>
        <w:tc>
          <w:tcPr>
            <w:tcW w:w="666" w:type="dxa"/>
            <w:gridSpan w:val="2"/>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0.45</w:t>
            </w:r>
          </w:p>
        </w:tc>
        <w:tc>
          <w:tcPr>
            <w:tcW w:w="666" w:type="dxa"/>
            <w:tcBorders>
              <w:left w:val="nil"/>
              <w:right w:val="nil"/>
            </w:tcBorders>
          </w:tcPr>
          <w:p w:rsidR="008038D2" w:rsidRPr="00F07FA5" w:rsidRDefault="008038D2" w:rsidP="00580297">
            <w:pPr>
              <w:jc w:val="right"/>
              <w:rPr>
                <w:color w:val="000000"/>
                <w:sz w:val="20"/>
                <w:szCs w:val="20"/>
              </w:rPr>
            </w:pPr>
            <w:r>
              <w:rPr>
                <w:color w:val="000000"/>
                <w:sz w:val="20"/>
                <w:szCs w:val="20"/>
              </w:rPr>
              <w:t>0.29</w:t>
            </w:r>
          </w:p>
        </w:tc>
        <w:tc>
          <w:tcPr>
            <w:tcW w:w="666" w:type="dxa"/>
            <w:gridSpan w:val="2"/>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0.22</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0.09</w:t>
            </w:r>
          </w:p>
        </w:tc>
        <w:tc>
          <w:tcPr>
            <w:tcW w:w="666" w:type="dxa"/>
            <w:tcBorders>
              <w:left w:val="nil"/>
              <w:right w:val="nil"/>
            </w:tcBorders>
          </w:tcPr>
          <w:p w:rsidR="008038D2" w:rsidRPr="00F07FA5" w:rsidRDefault="008038D2" w:rsidP="00580297">
            <w:pPr>
              <w:jc w:val="right"/>
              <w:rPr>
                <w:color w:val="000000"/>
                <w:sz w:val="20"/>
                <w:szCs w:val="20"/>
              </w:rPr>
            </w:pPr>
            <w:r>
              <w:rPr>
                <w:color w:val="000000"/>
                <w:sz w:val="20"/>
                <w:szCs w:val="20"/>
              </w:rPr>
              <w:t>0.36</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0.35</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r w:rsidRPr="00F07FA5">
              <w:rPr>
                <w:color w:val="000000"/>
                <w:sz w:val="20"/>
                <w:szCs w:val="20"/>
              </w:rPr>
              <w:t>1.00</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p>
        </w:tc>
        <w:tc>
          <w:tcPr>
            <w:tcW w:w="666" w:type="dxa"/>
            <w:tcBorders>
              <w:left w:val="nil"/>
              <w:right w:val="nil"/>
            </w:tcBorders>
          </w:tcPr>
          <w:p w:rsidR="008038D2" w:rsidRPr="00F07FA5" w:rsidRDefault="008038D2" w:rsidP="00580297">
            <w:pPr>
              <w:jc w:val="right"/>
              <w:rPr>
                <w:color w:val="000000"/>
                <w:sz w:val="20"/>
                <w:szCs w:val="20"/>
              </w:rPr>
            </w:pPr>
          </w:p>
        </w:tc>
        <w:tc>
          <w:tcPr>
            <w:tcW w:w="666" w:type="dxa"/>
            <w:gridSpan w:val="2"/>
            <w:tcBorders>
              <w:left w:val="nil"/>
              <w:right w:val="nil"/>
            </w:tcBorders>
          </w:tcPr>
          <w:p w:rsidR="008038D2" w:rsidRPr="00F07FA5" w:rsidRDefault="008038D2" w:rsidP="00580297">
            <w:pPr>
              <w:jc w:val="right"/>
              <w:rPr>
                <w:color w:val="000000"/>
                <w:sz w:val="20"/>
                <w:szCs w:val="20"/>
              </w:rPr>
            </w:pPr>
          </w:p>
        </w:tc>
      </w:tr>
      <w:tr w:rsidR="008038D2" w:rsidRPr="00AD1AEF" w:rsidTr="00580297">
        <w:tc>
          <w:tcPr>
            <w:tcW w:w="554" w:type="dxa"/>
            <w:shd w:val="clear" w:color="auto" w:fill="auto"/>
          </w:tcPr>
          <w:p w:rsidR="008038D2" w:rsidRPr="00AD1AEF" w:rsidRDefault="008038D2" w:rsidP="00580297">
            <w:pPr>
              <w:rPr>
                <w:b/>
                <w:bCs/>
                <w:color w:val="000000"/>
              </w:rPr>
            </w:pPr>
            <w:r w:rsidRPr="00AD1AEF">
              <w:rPr>
                <w:b/>
                <w:bCs/>
                <w:color w:val="000000"/>
              </w:rPr>
              <w:t>11</w:t>
            </w:r>
          </w:p>
        </w:tc>
        <w:tc>
          <w:tcPr>
            <w:tcW w:w="3119" w:type="dxa"/>
            <w:shd w:val="clear" w:color="auto" w:fill="auto"/>
          </w:tcPr>
          <w:p w:rsidR="008038D2" w:rsidRPr="00597CE5" w:rsidRDefault="008038D2" w:rsidP="00580297">
            <w:pPr>
              <w:rPr>
                <w:rFonts w:eastAsia="Times New Roman"/>
                <w:bCs/>
                <w:color w:val="000000"/>
                <w:sz w:val="20"/>
                <w:szCs w:val="20"/>
              </w:rPr>
            </w:pPr>
            <w:r w:rsidRPr="00597CE5">
              <w:rPr>
                <w:rFonts w:eastAsia="Times New Roman"/>
                <w:bCs/>
                <w:color w:val="000000"/>
                <w:sz w:val="20"/>
                <w:szCs w:val="20"/>
              </w:rPr>
              <w:t>Russell Group</w:t>
            </w:r>
          </w:p>
        </w:tc>
        <w:tc>
          <w:tcPr>
            <w:tcW w:w="709" w:type="dxa"/>
            <w:shd w:val="clear" w:color="auto" w:fill="auto"/>
          </w:tcPr>
          <w:p w:rsidR="008038D2" w:rsidRPr="00F07FA5" w:rsidRDefault="008038D2" w:rsidP="00580297">
            <w:pPr>
              <w:jc w:val="right"/>
              <w:rPr>
                <w:color w:val="000000"/>
                <w:sz w:val="20"/>
                <w:szCs w:val="20"/>
              </w:rPr>
            </w:pPr>
            <w:r>
              <w:rPr>
                <w:color w:val="000000"/>
                <w:sz w:val="20"/>
                <w:szCs w:val="20"/>
              </w:rPr>
              <w:t>0.78</w:t>
            </w:r>
          </w:p>
        </w:tc>
        <w:tc>
          <w:tcPr>
            <w:tcW w:w="666" w:type="dxa"/>
            <w:shd w:val="clear" w:color="auto" w:fill="auto"/>
          </w:tcPr>
          <w:p w:rsidR="008038D2" w:rsidRPr="00F07FA5" w:rsidRDefault="008038D2" w:rsidP="00580297">
            <w:pPr>
              <w:jc w:val="right"/>
              <w:rPr>
                <w:color w:val="000000"/>
                <w:sz w:val="20"/>
                <w:szCs w:val="20"/>
              </w:rPr>
            </w:pPr>
            <w:r>
              <w:rPr>
                <w:color w:val="000000"/>
                <w:sz w:val="20"/>
                <w:szCs w:val="20"/>
              </w:rPr>
              <w:t>0.43</w:t>
            </w:r>
          </w:p>
        </w:tc>
        <w:tc>
          <w:tcPr>
            <w:tcW w:w="745" w:type="dxa"/>
            <w:shd w:val="clear" w:color="auto" w:fill="auto"/>
          </w:tcPr>
          <w:p w:rsidR="008038D2" w:rsidRPr="00F07FA5" w:rsidRDefault="008038D2" w:rsidP="00580297">
            <w:pPr>
              <w:jc w:val="right"/>
              <w:rPr>
                <w:color w:val="000000"/>
                <w:sz w:val="20"/>
                <w:szCs w:val="20"/>
              </w:rPr>
            </w:pPr>
            <w:r>
              <w:rPr>
                <w:color w:val="000000"/>
                <w:sz w:val="20"/>
                <w:szCs w:val="20"/>
              </w:rPr>
              <w:t>0.73</w:t>
            </w:r>
          </w:p>
        </w:tc>
        <w:tc>
          <w:tcPr>
            <w:tcW w:w="666" w:type="dxa"/>
            <w:gridSpan w:val="2"/>
            <w:shd w:val="clear" w:color="auto" w:fill="auto"/>
          </w:tcPr>
          <w:p w:rsidR="008038D2" w:rsidRPr="00F07FA5" w:rsidRDefault="008038D2" w:rsidP="00580297">
            <w:pPr>
              <w:jc w:val="right"/>
              <w:rPr>
                <w:color w:val="000000"/>
                <w:sz w:val="20"/>
                <w:szCs w:val="20"/>
              </w:rPr>
            </w:pPr>
            <w:r>
              <w:rPr>
                <w:color w:val="000000"/>
                <w:sz w:val="20"/>
                <w:szCs w:val="20"/>
              </w:rPr>
              <w:t>0.79</w:t>
            </w:r>
          </w:p>
        </w:tc>
        <w:tc>
          <w:tcPr>
            <w:tcW w:w="666" w:type="dxa"/>
          </w:tcPr>
          <w:p w:rsidR="008038D2" w:rsidRPr="00F07FA5" w:rsidRDefault="008038D2" w:rsidP="00580297">
            <w:pPr>
              <w:jc w:val="right"/>
              <w:rPr>
                <w:color w:val="000000"/>
                <w:sz w:val="20"/>
                <w:szCs w:val="20"/>
              </w:rPr>
            </w:pPr>
            <w:r>
              <w:rPr>
                <w:color w:val="000000"/>
                <w:sz w:val="20"/>
                <w:szCs w:val="20"/>
              </w:rPr>
              <w:t>0.65</w:t>
            </w:r>
          </w:p>
        </w:tc>
        <w:tc>
          <w:tcPr>
            <w:tcW w:w="666" w:type="dxa"/>
            <w:gridSpan w:val="2"/>
            <w:shd w:val="clear" w:color="auto" w:fill="auto"/>
          </w:tcPr>
          <w:p w:rsidR="008038D2" w:rsidRPr="00F07FA5" w:rsidRDefault="008038D2" w:rsidP="00580297">
            <w:pPr>
              <w:jc w:val="right"/>
              <w:rPr>
                <w:color w:val="000000"/>
                <w:sz w:val="20"/>
                <w:szCs w:val="20"/>
              </w:rPr>
            </w:pPr>
            <w:r>
              <w:rPr>
                <w:color w:val="000000"/>
                <w:sz w:val="20"/>
                <w:szCs w:val="20"/>
              </w:rPr>
              <w:t>0.70</w:t>
            </w:r>
          </w:p>
        </w:tc>
        <w:tc>
          <w:tcPr>
            <w:tcW w:w="666" w:type="dxa"/>
            <w:shd w:val="clear" w:color="auto" w:fill="auto"/>
          </w:tcPr>
          <w:p w:rsidR="008038D2" w:rsidRPr="00F07FA5" w:rsidRDefault="008038D2" w:rsidP="00580297">
            <w:pPr>
              <w:jc w:val="right"/>
              <w:rPr>
                <w:color w:val="000000"/>
                <w:sz w:val="20"/>
                <w:szCs w:val="20"/>
              </w:rPr>
            </w:pPr>
            <w:r>
              <w:rPr>
                <w:color w:val="000000"/>
                <w:sz w:val="20"/>
                <w:szCs w:val="20"/>
              </w:rPr>
              <w:t>0.51</w:t>
            </w:r>
          </w:p>
        </w:tc>
        <w:tc>
          <w:tcPr>
            <w:tcW w:w="666" w:type="dxa"/>
          </w:tcPr>
          <w:p w:rsidR="008038D2" w:rsidRPr="00F07FA5" w:rsidRDefault="008038D2" w:rsidP="00580297">
            <w:pPr>
              <w:jc w:val="right"/>
              <w:rPr>
                <w:color w:val="000000"/>
                <w:sz w:val="20"/>
                <w:szCs w:val="20"/>
              </w:rPr>
            </w:pPr>
            <w:r>
              <w:rPr>
                <w:color w:val="000000"/>
                <w:sz w:val="20"/>
                <w:szCs w:val="20"/>
              </w:rPr>
              <w:t>0.53</w:t>
            </w:r>
          </w:p>
        </w:tc>
        <w:tc>
          <w:tcPr>
            <w:tcW w:w="666" w:type="dxa"/>
            <w:shd w:val="clear" w:color="auto" w:fill="auto"/>
          </w:tcPr>
          <w:p w:rsidR="008038D2" w:rsidRPr="00F07FA5" w:rsidRDefault="008038D2" w:rsidP="00580297">
            <w:pPr>
              <w:jc w:val="right"/>
              <w:rPr>
                <w:color w:val="000000"/>
                <w:sz w:val="20"/>
                <w:szCs w:val="20"/>
              </w:rPr>
            </w:pPr>
            <w:r>
              <w:rPr>
                <w:color w:val="000000"/>
                <w:sz w:val="20"/>
                <w:szCs w:val="20"/>
              </w:rPr>
              <w:t>0.48</w:t>
            </w:r>
          </w:p>
        </w:tc>
        <w:tc>
          <w:tcPr>
            <w:tcW w:w="666" w:type="dxa"/>
            <w:shd w:val="clear" w:color="auto" w:fill="auto"/>
          </w:tcPr>
          <w:p w:rsidR="008038D2" w:rsidRPr="00F07FA5" w:rsidRDefault="008038D2" w:rsidP="00580297">
            <w:pPr>
              <w:jc w:val="right"/>
              <w:rPr>
                <w:color w:val="000000"/>
                <w:sz w:val="20"/>
                <w:szCs w:val="20"/>
              </w:rPr>
            </w:pPr>
            <w:r>
              <w:rPr>
                <w:color w:val="000000"/>
                <w:sz w:val="20"/>
                <w:szCs w:val="20"/>
              </w:rPr>
              <w:t>0.37</w:t>
            </w:r>
          </w:p>
        </w:tc>
        <w:tc>
          <w:tcPr>
            <w:tcW w:w="666" w:type="dxa"/>
            <w:shd w:val="clear" w:color="auto" w:fill="auto"/>
          </w:tcPr>
          <w:p w:rsidR="008038D2" w:rsidRPr="00F07FA5" w:rsidRDefault="008038D2" w:rsidP="00580297">
            <w:pPr>
              <w:jc w:val="right"/>
              <w:rPr>
                <w:color w:val="000000"/>
                <w:sz w:val="20"/>
                <w:szCs w:val="20"/>
              </w:rPr>
            </w:pPr>
            <w:r w:rsidRPr="00F07FA5">
              <w:rPr>
                <w:color w:val="000000"/>
                <w:sz w:val="20"/>
                <w:szCs w:val="20"/>
              </w:rPr>
              <w:t>1.00</w:t>
            </w:r>
          </w:p>
        </w:tc>
        <w:tc>
          <w:tcPr>
            <w:tcW w:w="666" w:type="dxa"/>
            <w:shd w:val="clear" w:color="auto" w:fill="auto"/>
          </w:tcPr>
          <w:p w:rsidR="008038D2" w:rsidRPr="00F07FA5" w:rsidRDefault="008038D2" w:rsidP="00580297">
            <w:pPr>
              <w:jc w:val="right"/>
              <w:rPr>
                <w:color w:val="000000"/>
                <w:sz w:val="20"/>
                <w:szCs w:val="20"/>
              </w:rPr>
            </w:pPr>
          </w:p>
        </w:tc>
        <w:tc>
          <w:tcPr>
            <w:tcW w:w="666" w:type="dxa"/>
          </w:tcPr>
          <w:p w:rsidR="008038D2" w:rsidRPr="00F07FA5" w:rsidRDefault="008038D2" w:rsidP="00580297">
            <w:pPr>
              <w:jc w:val="right"/>
              <w:rPr>
                <w:color w:val="000000"/>
                <w:sz w:val="20"/>
                <w:szCs w:val="20"/>
              </w:rPr>
            </w:pPr>
          </w:p>
        </w:tc>
        <w:tc>
          <w:tcPr>
            <w:tcW w:w="666" w:type="dxa"/>
            <w:gridSpan w:val="2"/>
          </w:tcPr>
          <w:p w:rsidR="008038D2" w:rsidRPr="00F07FA5" w:rsidRDefault="008038D2" w:rsidP="00580297">
            <w:pPr>
              <w:jc w:val="right"/>
              <w:rPr>
                <w:color w:val="000000"/>
                <w:sz w:val="20"/>
                <w:szCs w:val="20"/>
              </w:rPr>
            </w:pPr>
          </w:p>
        </w:tc>
      </w:tr>
      <w:tr w:rsidR="008038D2" w:rsidRPr="00AD1AEF" w:rsidTr="00580297">
        <w:tc>
          <w:tcPr>
            <w:tcW w:w="554" w:type="dxa"/>
            <w:tcBorders>
              <w:left w:val="nil"/>
              <w:right w:val="nil"/>
            </w:tcBorders>
            <w:shd w:val="clear" w:color="auto" w:fill="auto"/>
          </w:tcPr>
          <w:p w:rsidR="008038D2" w:rsidRPr="00AD1AEF" w:rsidRDefault="008038D2" w:rsidP="00580297">
            <w:pPr>
              <w:rPr>
                <w:b/>
                <w:bCs/>
                <w:color w:val="000000"/>
              </w:rPr>
            </w:pPr>
            <w:r w:rsidRPr="00AD1AEF">
              <w:rPr>
                <w:b/>
                <w:bCs/>
                <w:color w:val="000000"/>
              </w:rPr>
              <w:t>12</w:t>
            </w:r>
          </w:p>
        </w:tc>
        <w:tc>
          <w:tcPr>
            <w:tcW w:w="3119" w:type="dxa"/>
            <w:tcBorders>
              <w:left w:val="nil"/>
              <w:right w:val="nil"/>
            </w:tcBorders>
            <w:shd w:val="clear" w:color="auto" w:fill="auto"/>
          </w:tcPr>
          <w:p w:rsidR="008038D2" w:rsidRPr="00597CE5" w:rsidRDefault="008038D2" w:rsidP="00580297">
            <w:pPr>
              <w:rPr>
                <w:sz w:val="20"/>
                <w:szCs w:val="20"/>
              </w:rPr>
            </w:pPr>
            <w:r w:rsidRPr="00597CE5">
              <w:rPr>
                <w:sz w:val="20"/>
                <w:szCs w:val="20"/>
              </w:rPr>
              <w:t xml:space="preserve">Portfolio </w:t>
            </w:r>
            <w:r>
              <w:rPr>
                <w:sz w:val="20"/>
                <w:szCs w:val="20"/>
              </w:rPr>
              <w:t>S</w:t>
            </w:r>
            <w:r w:rsidRPr="00597CE5">
              <w:rPr>
                <w:sz w:val="20"/>
                <w:szCs w:val="20"/>
              </w:rPr>
              <w:t>ize</w:t>
            </w:r>
          </w:p>
        </w:tc>
        <w:tc>
          <w:tcPr>
            <w:tcW w:w="709"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0.84</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0.56</w:t>
            </w:r>
          </w:p>
        </w:tc>
        <w:tc>
          <w:tcPr>
            <w:tcW w:w="745"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0.77</w:t>
            </w:r>
          </w:p>
        </w:tc>
        <w:tc>
          <w:tcPr>
            <w:tcW w:w="666" w:type="dxa"/>
            <w:gridSpan w:val="2"/>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0.65</w:t>
            </w:r>
          </w:p>
        </w:tc>
        <w:tc>
          <w:tcPr>
            <w:tcW w:w="666" w:type="dxa"/>
            <w:tcBorders>
              <w:left w:val="nil"/>
              <w:right w:val="nil"/>
            </w:tcBorders>
          </w:tcPr>
          <w:p w:rsidR="008038D2" w:rsidRPr="00F07FA5" w:rsidRDefault="008038D2" w:rsidP="00580297">
            <w:pPr>
              <w:jc w:val="right"/>
              <w:rPr>
                <w:color w:val="000000"/>
                <w:sz w:val="20"/>
                <w:szCs w:val="20"/>
              </w:rPr>
            </w:pPr>
            <w:r>
              <w:rPr>
                <w:color w:val="000000"/>
                <w:sz w:val="20"/>
                <w:szCs w:val="20"/>
              </w:rPr>
              <w:t>0.71</w:t>
            </w:r>
          </w:p>
        </w:tc>
        <w:tc>
          <w:tcPr>
            <w:tcW w:w="666" w:type="dxa"/>
            <w:gridSpan w:val="2"/>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0.49</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0.43</w:t>
            </w:r>
          </w:p>
        </w:tc>
        <w:tc>
          <w:tcPr>
            <w:tcW w:w="666" w:type="dxa"/>
            <w:tcBorders>
              <w:left w:val="nil"/>
              <w:right w:val="nil"/>
            </w:tcBorders>
          </w:tcPr>
          <w:p w:rsidR="008038D2" w:rsidRPr="00F07FA5" w:rsidRDefault="008038D2" w:rsidP="00580297">
            <w:pPr>
              <w:jc w:val="right"/>
              <w:rPr>
                <w:color w:val="000000"/>
                <w:sz w:val="20"/>
                <w:szCs w:val="20"/>
              </w:rPr>
            </w:pPr>
            <w:r>
              <w:rPr>
                <w:color w:val="000000"/>
                <w:sz w:val="20"/>
                <w:szCs w:val="20"/>
              </w:rPr>
              <w:t>0.71</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0.49</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0.34</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0.57</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r w:rsidRPr="00F07FA5">
              <w:rPr>
                <w:color w:val="000000"/>
                <w:sz w:val="20"/>
                <w:szCs w:val="20"/>
              </w:rPr>
              <w:t>1.00</w:t>
            </w:r>
          </w:p>
        </w:tc>
        <w:tc>
          <w:tcPr>
            <w:tcW w:w="666" w:type="dxa"/>
            <w:tcBorders>
              <w:left w:val="nil"/>
              <w:right w:val="nil"/>
            </w:tcBorders>
          </w:tcPr>
          <w:p w:rsidR="008038D2" w:rsidRPr="00F07FA5" w:rsidRDefault="008038D2" w:rsidP="00580297">
            <w:pPr>
              <w:jc w:val="right"/>
              <w:rPr>
                <w:color w:val="000000"/>
                <w:sz w:val="20"/>
                <w:szCs w:val="20"/>
              </w:rPr>
            </w:pPr>
          </w:p>
        </w:tc>
        <w:tc>
          <w:tcPr>
            <w:tcW w:w="666" w:type="dxa"/>
            <w:gridSpan w:val="2"/>
            <w:tcBorders>
              <w:left w:val="nil"/>
              <w:right w:val="nil"/>
            </w:tcBorders>
          </w:tcPr>
          <w:p w:rsidR="008038D2" w:rsidRPr="00F07FA5" w:rsidRDefault="008038D2" w:rsidP="00580297">
            <w:pPr>
              <w:jc w:val="right"/>
              <w:rPr>
                <w:color w:val="000000"/>
                <w:sz w:val="20"/>
                <w:szCs w:val="20"/>
              </w:rPr>
            </w:pPr>
          </w:p>
        </w:tc>
      </w:tr>
      <w:tr w:rsidR="008038D2" w:rsidRPr="00AD1AEF" w:rsidTr="00580297">
        <w:tc>
          <w:tcPr>
            <w:tcW w:w="554" w:type="dxa"/>
            <w:tcBorders>
              <w:left w:val="nil"/>
              <w:right w:val="nil"/>
            </w:tcBorders>
            <w:shd w:val="clear" w:color="auto" w:fill="auto"/>
          </w:tcPr>
          <w:p w:rsidR="008038D2" w:rsidRPr="00AD1AEF" w:rsidRDefault="008038D2" w:rsidP="00580297">
            <w:pPr>
              <w:rPr>
                <w:b/>
                <w:bCs/>
                <w:color w:val="000000"/>
              </w:rPr>
            </w:pPr>
            <w:r w:rsidRPr="00AD1AEF">
              <w:rPr>
                <w:b/>
                <w:bCs/>
                <w:color w:val="000000"/>
              </w:rPr>
              <w:t>13</w:t>
            </w:r>
          </w:p>
        </w:tc>
        <w:tc>
          <w:tcPr>
            <w:tcW w:w="3119" w:type="dxa"/>
            <w:tcBorders>
              <w:left w:val="nil"/>
              <w:right w:val="nil"/>
            </w:tcBorders>
            <w:shd w:val="clear" w:color="auto" w:fill="auto"/>
          </w:tcPr>
          <w:p w:rsidR="008038D2" w:rsidRPr="00597CE5" w:rsidRDefault="008038D2" w:rsidP="00580297">
            <w:pPr>
              <w:rPr>
                <w:sz w:val="20"/>
                <w:szCs w:val="20"/>
              </w:rPr>
            </w:pPr>
            <w:r w:rsidRPr="00597CE5">
              <w:rPr>
                <w:sz w:val="20"/>
                <w:szCs w:val="20"/>
              </w:rPr>
              <w:t xml:space="preserve">Portfolio </w:t>
            </w:r>
            <w:r>
              <w:rPr>
                <w:sz w:val="20"/>
                <w:szCs w:val="20"/>
              </w:rPr>
              <w:t>Performance</w:t>
            </w:r>
            <w:r w:rsidRPr="00597CE5">
              <w:rPr>
                <w:sz w:val="20"/>
                <w:szCs w:val="20"/>
              </w:rPr>
              <w:t xml:space="preserve"> </w:t>
            </w:r>
          </w:p>
        </w:tc>
        <w:tc>
          <w:tcPr>
            <w:tcW w:w="709"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0.53</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0.48</w:t>
            </w:r>
          </w:p>
        </w:tc>
        <w:tc>
          <w:tcPr>
            <w:tcW w:w="745"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0.41</w:t>
            </w:r>
          </w:p>
        </w:tc>
        <w:tc>
          <w:tcPr>
            <w:tcW w:w="666" w:type="dxa"/>
            <w:gridSpan w:val="2"/>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0.27</w:t>
            </w:r>
          </w:p>
        </w:tc>
        <w:tc>
          <w:tcPr>
            <w:tcW w:w="666" w:type="dxa"/>
            <w:tcBorders>
              <w:left w:val="nil"/>
              <w:right w:val="nil"/>
            </w:tcBorders>
          </w:tcPr>
          <w:p w:rsidR="008038D2" w:rsidRPr="00F07FA5" w:rsidRDefault="008038D2" w:rsidP="00580297">
            <w:pPr>
              <w:jc w:val="right"/>
              <w:rPr>
                <w:color w:val="000000"/>
                <w:sz w:val="20"/>
                <w:szCs w:val="20"/>
              </w:rPr>
            </w:pPr>
            <w:r>
              <w:rPr>
                <w:color w:val="000000"/>
                <w:sz w:val="20"/>
                <w:szCs w:val="20"/>
              </w:rPr>
              <w:t>0.18</w:t>
            </w:r>
          </w:p>
        </w:tc>
        <w:tc>
          <w:tcPr>
            <w:tcW w:w="666" w:type="dxa"/>
            <w:gridSpan w:val="2"/>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0.22</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0.21</w:t>
            </w:r>
          </w:p>
        </w:tc>
        <w:tc>
          <w:tcPr>
            <w:tcW w:w="666" w:type="dxa"/>
            <w:tcBorders>
              <w:left w:val="nil"/>
              <w:right w:val="nil"/>
            </w:tcBorders>
          </w:tcPr>
          <w:p w:rsidR="008038D2" w:rsidRPr="00F07FA5" w:rsidRDefault="008038D2" w:rsidP="00580297">
            <w:pPr>
              <w:jc w:val="right"/>
              <w:rPr>
                <w:color w:val="000000"/>
                <w:sz w:val="20"/>
                <w:szCs w:val="20"/>
              </w:rPr>
            </w:pPr>
            <w:r>
              <w:rPr>
                <w:color w:val="000000"/>
                <w:sz w:val="20"/>
                <w:szCs w:val="20"/>
              </w:rPr>
              <w:t>0.62</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0.24</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0.14</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0.29</w:t>
            </w:r>
          </w:p>
        </w:tc>
        <w:tc>
          <w:tcPr>
            <w:tcW w:w="666" w:type="dxa"/>
            <w:tcBorders>
              <w:left w:val="nil"/>
              <w:right w:val="nil"/>
            </w:tcBorders>
            <w:shd w:val="clear" w:color="auto" w:fill="auto"/>
          </w:tcPr>
          <w:p w:rsidR="008038D2" w:rsidRPr="00F07FA5" w:rsidRDefault="008038D2" w:rsidP="00580297">
            <w:pPr>
              <w:jc w:val="right"/>
              <w:rPr>
                <w:color w:val="000000"/>
                <w:sz w:val="20"/>
                <w:szCs w:val="20"/>
              </w:rPr>
            </w:pPr>
            <w:r>
              <w:rPr>
                <w:color w:val="000000"/>
                <w:sz w:val="20"/>
                <w:szCs w:val="20"/>
              </w:rPr>
              <w:t>0.45</w:t>
            </w:r>
          </w:p>
        </w:tc>
        <w:tc>
          <w:tcPr>
            <w:tcW w:w="666" w:type="dxa"/>
            <w:tcBorders>
              <w:left w:val="nil"/>
              <w:right w:val="nil"/>
            </w:tcBorders>
          </w:tcPr>
          <w:p w:rsidR="008038D2" w:rsidRPr="00F07FA5" w:rsidRDefault="008038D2" w:rsidP="00580297">
            <w:pPr>
              <w:jc w:val="right"/>
              <w:rPr>
                <w:color w:val="000000"/>
                <w:sz w:val="20"/>
                <w:szCs w:val="20"/>
              </w:rPr>
            </w:pPr>
            <w:r w:rsidRPr="00F07FA5">
              <w:rPr>
                <w:color w:val="000000"/>
                <w:sz w:val="20"/>
                <w:szCs w:val="20"/>
              </w:rPr>
              <w:t>1.00</w:t>
            </w:r>
          </w:p>
        </w:tc>
        <w:tc>
          <w:tcPr>
            <w:tcW w:w="666" w:type="dxa"/>
            <w:gridSpan w:val="2"/>
            <w:tcBorders>
              <w:left w:val="nil"/>
              <w:right w:val="nil"/>
            </w:tcBorders>
          </w:tcPr>
          <w:p w:rsidR="008038D2" w:rsidRPr="00F07FA5" w:rsidRDefault="008038D2" w:rsidP="00580297">
            <w:pPr>
              <w:jc w:val="right"/>
              <w:rPr>
                <w:color w:val="000000"/>
                <w:sz w:val="20"/>
                <w:szCs w:val="20"/>
              </w:rPr>
            </w:pPr>
          </w:p>
        </w:tc>
      </w:tr>
      <w:tr w:rsidR="008038D2" w:rsidRPr="00AD1AEF" w:rsidTr="00580297">
        <w:tc>
          <w:tcPr>
            <w:tcW w:w="554" w:type="dxa"/>
            <w:shd w:val="clear" w:color="auto" w:fill="auto"/>
          </w:tcPr>
          <w:p w:rsidR="008038D2" w:rsidRPr="00AD1AEF" w:rsidRDefault="008038D2" w:rsidP="00580297">
            <w:pPr>
              <w:rPr>
                <w:b/>
                <w:bCs/>
                <w:color w:val="000000"/>
              </w:rPr>
            </w:pPr>
            <w:r w:rsidRPr="00AD1AEF">
              <w:rPr>
                <w:b/>
                <w:bCs/>
                <w:color w:val="000000"/>
              </w:rPr>
              <w:t>14</w:t>
            </w:r>
          </w:p>
        </w:tc>
        <w:tc>
          <w:tcPr>
            <w:tcW w:w="3119" w:type="dxa"/>
            <w:shd w:val="clear" w:color="auto" w:fill="auto"/>
          </w:tcPr>
          <w:p w:rsidR="008038D2" w:rsidRPr="00597CE5" w:rsidRDefault="008038D2" w:rsidP="00580297">
            <w:pPr>
              <w:rPr>
                <w:sz w:val="20"/>
                <w:szCs w:val="20"/>
              </w:rPr>
            </w:pPr>
            <w:r w:rsidRPr="00597CE5">
              <w:rPr>
                <w:sz w:val="20"/>
                <w:szCs w:val="20"/>
              </w:rPr>
              <w:t xml:space="preserve">Portfolio </w:t>
            </w:r>
            <w:r>
              <w:rPr>
                <w:sz w:val="20"/>
                <w:szCs w:val="20"/>
              </w:rPr>
              <w:t>M</w:t>
            </w:r>
            <w:r w:rsidRPr="00597CE5">
              <w:rPr>
                <w:sz w:val="20"/>
                <w:szCs w:val="20"/>
              </w:rPr>
              <w:t>edia</w:t>
            </w:r>
          </w:p>
        </w:tc>
        <w:tc>
          <w:tcPr>
            <w:tcW w:w="709" w:type="dxa"/>
            <w:shd w:val="clear" w:color="auto" w:fill="auto"/>
          </w:tcPr>
          <w:p w:rsidR="008038D2" w:rsidRPr="00F07FA5" w:rsidRDefault="008038D2" w:rsidP="00580297">
            <w:pPr>
              <w:jc w:val="right"/>
              <w:rPr>
                <w:color w:val="000000"/>
                <w:sz w:val="20"/>
                <w:szCs w:val="20"/>
              </w:rPr>
            </w:pPr>
            <w:r>
              <w:rPr>
                <w:color w:val="000000"/>
                <w:sz w:val="20"/>
                <w:szCs w:val="20"/>
              </w:rPr>
              <w:t>0.62</w:t>
            </w:r>
          </w:p>
        </w:tc>
        <w:tc>
          <w:tcPr>
            <w:tcW w:w="666" w:type="dxa"/>
            <w:shd w:val="clear" w:color="auto" w:fill="auto"/>
          </w:tcPr>
          <w:p w:rsidR="008038D2" w:rsidRPr="00F07FA5" w:rsidRDefault="008038D2" w:rsidP="00580297">
            <w:pPr>
              <w:jc w:val="right"/>
              <w:rPr>
                <w:color w:val="000000"/>
                <w:sz w:val="20"/>
                <w:szCs w:val="20"/>
              </w:rPr>
            </w:pPr>
            <w:r>
              <w:rPr>
                <w:color w:val="000000"/>
                <w:sz w:val="20"/>
                <w:szCs w:val="20"/>
              </w:rPr>
              <w:t>0.30</w:t>
            </w:r>
          </w:p>
        </w:tc>
        <w:tc>
          <w:tcPr>
            <w:tcW w:w="745" w:type="dxa"/>
            <w:shd w:val="clear" w:color="auto" w:fill="auto"/>
          </w:tcPr>
          <w:p w:rsidR="008038D2" w:rsidRPr="00F07FA5" w:rsidRDefault="008038D2" w:rsidP="00580297">
            <w:pPr>
              <w:jc w:val="right"/>
              <w:rPr>
                <w:color w:val="000000"/>
                <w:sz w:val="20"/>
                <w:szCs w:val="20"/>
              </w:rPr>
            </w:pPr>
            <w:r>
              <w:rPr>
                <w:color w:val="000000"/>
                <w:sz w:val="20"/>
                <w:szCs w:val="20"/>
              </w:rPr>
              <w:t>0.56</w:t>
            </w:r>
          </w:p>
        </w:tc>
        <w:tc>
          <w:tcPr>
            <w:tcW w:w="666" w:type="dxa"/>
            <w:gridSpan w:val="2"/>
            <w:shd w:val="clear" w:color="auto" w:fill="auto"/>
          </w:tcPr>
          <w:p w:rsidR="008038D2" w:rsidRPr="00F07FA5" w:rsidRDefault="008038D2" w:rsidP="00580297">
            <w:pPr>
              <w:jc w:val="right"/>
              <w:rPr>
                <w:color w:val="000000"/>
                <w:sz w:val="20"/>
                <w:szCs w:val="20"/>
              </w:rPr>
            </w:pPr>
            <w:r>
              <w:rPr>
                <w:color w:val="000000"/>
                <w:sz w:val="20"/>
                <w:szCs w:val="20"/>
              </w:rPr>
              <w:t>0.36</w:t>
            </w:r>
          </w:p>
        </w:tc>
        <w:tc>
          <w:tcPr>
            <w:tcW w:w="666" w:type="dxa"/>
          </w:tcPr>
          <w:p w:rsidR="008038D2" w:rsidRPr="00F07FA5" w:rsidRDefault="008038D2" w:rsidP="00580297">
            <w:pPr>
              <w:jc w:val="right"/>
              <w:rPr>
                <w:color w:val="000000"/>
                <w:sz w:val="20"/>
                <w:szCs w:val="20"/>
              </w:rPr>
            </w:pPr>
            <w:r>
              <w:rPr>
                <w:color w:val="000000"/>
                <w:sz w:val="20"/>
                <w:szCs w:val="20"/>
              </w:rPr>
              <w:t>0.39</w:t>
            </w:r>
          </w:p>
        </w:tc>
        <w:tc>
          <w:tcPr>
            <w:tcW w:w="666" w:type="dxa"/>
            <w:gridSpan w:val="2"/>
            <w:shd w:val="clear" w:color="auto" w:fill="auto"/>
          </w:tcPr>
          <w:p w:rsidR="008038D2" w:rsidRPr="00F07FA5" w:rsidRDefault="008038D2" w:rsidP="00580297">
            <w:pPr>
              <w:jc w:val="right"/>
              <w:rPr>
                <w:color w:val="000000"/>
                <w:sz w:val="20"/>
                <w:szCs w:val="20"/>
              </w:rPr>
            </w:pPr>
            <w:r>
              <w:rPr>
                <w:color w:val="000000"/>
                <w:sz w:val="20"/>
                <w:szCs w:val="20"/>
              </w:rPr>
              <w:t>0.25</w:t>
            </w:r>
          </w:p>
        </w:tc>
        <w:tc>
          <w:tcPr>
            <w:tcW w:w="666" w:type="dxa"/>
            <w:shd w:val="clear" w:color="auto" w:fill="auto"/>
          </w:tcPr>
          <w:p w:rsidR="008038D2" w:rsidRPr="00F07FA5" w:rsidRDefault="008038D2" w:rsidP="00580297">
            <w:pPr>
              <w:jc w:val="right"/>
              <w:rPr>
                <w:color w:val="000000"/>
                <w:sz w:val="20"/>
                <w:szCs w:val="20"/>
              </w:rPr>
            </w:pPr>
            <w:r>
              <w:rPr>
                <w:color w:val="000000"/>
                <w:sz w:val="20"/>
                <w:szCs w:val="20"/>
              </w:rPr>
              <w:t>0.25</w:t>
            </w:r>
          </w:p>
        </w:tc>
        <w:tc>
          <w:tcPr>
            <w:tcW w:w="666" w:type="dxa"/>
          </w:tcPr>
          <w:p w:rsidR="008038D2" w:rsidRPr="00F07FA5" w:rsidRDefault="008038D2" w:rsidP="00580297">
            <w:pPr>
              <w:jc w:val="right"/>
              <w:rPr>
                <w:color w:val="000000"/>
                <w:sz w:val="20"/>
                <w:szCs w:val="20"/>
              </w:rPr>
            </w:pPr>
            <w:r>
              <w:rPr>
                <w:color w:val="000000"/>
                <w:sz w:val="20"/>
                <w:szCs w:val="20"/>
              </w:rPr>
              <w:t>0.58</w:t>
            </w:r>
          </w:p>
        </w:tc>
        <w:tc>
          <w:tcPr>
            <w:tcW w:w="666" w:type="dxa"/>
            <w:shd w:val="clear" w:color="auto" w:fill="auto"/>
          </w:tcPr>
          <w:p w:rsidR="008038D2" w:rsidRPr="00F07FA5" w:rsidRDefault="008038D2" w:rsidP="00580297">
            <w:pPr>
              <w:jc w:val="right"/>
              <w:rPr>
                <w:color w:val="000000"/>
                <w:sz w:val="20"/>
                <w:szCs w:val="20"/>
              </w:rPr>
            </w:pPr>
            <w:r>
              <w:rPr>
                <w:color w:val="000000"/>
                <w:sz w:val="20"/>
                <w:szCs w:val="20"/>
              </w:rPr>
              <w:t>0.33</w:t>
            </w:r>
          </w:p>
        </w:tc>
        <w:tc>
          <w:tcPr>
            <w:tcW w:w="666" w:type="dxa"/>
            <w:shd w:val="clear" w:color="auto" w:fill="auto"/>
          </w:tcPr>
          <w:p w:rsidR="008038D2" w:rsidRPr="00F07FA5" w:rsidRDefault="008038D2" w:rsidP="00580297">
            <w:pPr>
              <w:jc w:val="right"/>
              <w:rPr>
                <w:color w:val="000000"/>
                <w:sz w:val="20"/>
                <w:szCs w:val="20"/>
              </w:rPr>
            </w:pPr>
            <w:r>
              <w:rPr>
                <w:color w:val="000000"/>
                <w:sz w:val="20"/>
                <w:szCs w:val="20"/>
              </w:rPr>
              <w:t>0.17</w:t>
            </w:r>
          </w:p>
        </w:tc>
        <w:tc>
          <w:tcPr>
            <w:tcW w:w="666" w:type="dxa"/>
            <w:shd w:val="clear" w:color="auto" w:fill="auto"/>
          </w:tcPr>
          <w:p w:rsidR="008038D2" w:rsidRPr="00F07FA5" w:rsidRDefault="008038D2" w:rsidP="00580297">
            <w:pPr>
              <w:jc w:val="right"/>
              <w:rPr>
                <w:color w:val="000000"/>
                <w:sz w:val="20"/>
                <w:szCs w:val="20"/>
              </w:rPr>
            </w:pPr>
            <w:r>
              <w:rPr>
                <w:color w:val="000000"/>
                <w:sz w:val="20"/>
                <w:szCs w:val="20"/>
              </w:rPr>
              <w:t>0.37</w:t>
            </w:r>
          </w:p>
        </w:tc>
        <w:tc>
          <w:tcPr>
            <w:tcW w:w="666" w:type="dxa"/>
            <w:shd w:val="clear" w:color="auto" w:fill="auto"/>
          </w:tcPr>
          <w:p w:rsidR="008038D2" w:rsidRPr="00F07FA5" w:rsidRDefault="008038D2" w:rsidP="00580297">
            <w:pPr>
              <w:jc w:val="right"/>
              <w:rPr>
                <w:color w:val="000000"/>
                <w:sz w:val="20"/>
                <w:szCs w:val="20"/>
              </w:rPr>
            </w:pPr>
            <w:r>
              <w:rPr>
                <w:color w:val="000000"/>
                <w:sz w:val="20"/>
                <w:szCs w:val="20"/>
              </w:rPr>
              <w:t>0.60</w:t>
            </w:r>
          </w:p>
        </w:tc>
        <w:tc>
          <w:tcPr>
            <w:tcW w:w="666" w:type="dxa"/>
          </w:tcPr>
          <w:p w:rsidR="008038D2" w:rsidRPr="00F07FA5" w:rsidRDefault="008038D2" w:rsidP="00580297">
            <w:pPr>
              <w:jc w:val="right"/>
              <w:rPr>
                <w:color w:val="000000"/>
                <w:sz w:val="20"/>
                <w:szCs w:val="20"/>
              </w:rPr>
            </w:pPr>
            <w:r>
              <w:rPr>
                <w:color w:val="000000"/>
                <w:sz w:val="20"/>
                <w:szCs w:val="20"/>
              </w:rPr>
              <w:t>0.47</w:t>
            </w:r>
          </w:p>
        </w:tc>
        <w:tc>
          <w:tcPr>
            <w:tcW w:w="666" w:type="dxa"/>
            <w:gridSpan w:val="2"/>
          </w:tcPr>
          <w:p w:rsidR="008038D2" w:rsidRPr="00F07FA5" w:rsidRDefault="008038D2" w:rsidP="00580297">
            <w:pPr>
              <w:jc w:val="right"/>
              <w:rPr>
                <w:color w:val="000000"/>
                <w:sz w:val="20"/>
                <w:szCs w:val="20"/>
              </w:rPr>
            </w:pPr>
            <w:r w:rsidRPr="00F07FA5">
              <w:rPr>
                <w:color w:val="000000"/>
                <w:sz w:val="20"/>
                <w:szCs w:val="20"/>
              </w:rPr>
              <w:t>1.00</w:t>
            </w:r>
          </w:p>
        </w:tc>
      </w:tr>
    </w:tbl>
    <w:p w:rsidR="008038D2" w:rsidRPr="00363483" w:rsidRDefault="008038D2" w:rsidP="008038D2">
      <w:pPr>
        <w:rPr>
          <w:sz w:val="20"/>
          <w:szCs w:val="20"/>
        </w:rPr>
      </w:pPr>
      <w:r w:rsidRPr="00363483">
        <w:rPr>
          <w:b/>
          <w:i/>
          <w:sz w:val="20"/>
          <w:szCs w:val="20"/>
        </w:rPr>
        <w:t>Note</w:t>
      </w:r>
      <w:r w:rsidRPr="00363483">
        <w:rPr>
          <w:sz w:val="20"/>
          <w:szCs w:val="20"/>
        </w:rPr>
        <w:t>: All correlations above 0.10 significant at 0.05</w:t>
      </w:r>
    </w:p>
    <w:p w:rsidR="008038D2" w:rsidRPr="00E96274" w:rsidRDefault="008038D2" w:rsidP="008038D2"/>
    <w:p w:rsidR="008038D2" w:rsidRPr="00AD1AEF" w:rsidRDefault="008038D2" w:rsidP="008038D2">
      <w:pPr>
        <w:rPr>
          <w:b/>
        </w:rPr>
      </w:pPr>
      <w:r>
        <w:rPr>
          <w:b/>
        </w:rPr>
        <w:br w:type="page"/>
      </w:r>
    </w:p>
    <w:p w:rsidR="008038D2" w:rsidRDefault="008038D2" w:rsidP="008038D2">
      <w:pPr>
        <w:outlineLvl w:val="0"/>
        <w:rPr>
          <w:b/>
        </w:rPr>
      </w:pPr>
    </w:p>
    <w:p w:rsidR="008038D2" w:rsidRPr="00AD1AEF" w:rsidRDefault="00203CEA" w:rsidP="008038D2">
      <w:pPr>
        <w:outlineLvl w:val="0"/>
        <w:rPr>
          <w:b/>
        </w:rPr>
      </w:pPr>
      <w:r>
        <w:rPr>
          <w:b/>
        </w:rPr>
        <w:t>Table 4</w:t>
      </w:r>
      <w:r w:rsidR="008038D2" w:rsidRPr="00AD1AEF">
        <w:rPr>
          <w:b/>
        </w:rPr>
        <w:t xml:space="preserve">. </w:t>
      </w:r>
      <w:r w:rsidR="008038D2" w:rsidRPr="00BA1C07">
        <w:t xml:space="preserve">GLS </w:t>
      </w:r>
      <w:r w:rsidR="008038D2">
        <w:t xml:space="preserve">random effects </w:t>
      </w:r>
      <w:r w:rsidR="008038D2" w:rsidRPr="00BA1C07">
        <w:t xml:space="preserve">models on total </w:t>
      </w:r>
      <w:r w:rsidR="008038D2">
        <w:t>sponsored research</w:t>
      </w:r>
      <w:r w:rsidR="008038D2" w:rsidRPr="00BA1C07">
        <w:t xml:space="preserve"> funding with 2-year time lags as instruments</w:t>
      </w:r>
    </w:p>
    <w:p w:rsidR="008038D2" w:rsidRDefault="008038D2" w:rsidP="008038D2">
      <w:pPr>
        <w:rPr>
          <w:b/>
        </w:rPr>
      </w:pPr>
    </w:p>
    <w:tbl>
      <w:tblPr>
        <w:tblpPr w:leftFromText="141" w:rightFromText="141" w:vertAnchor="page" w:horzAnchor="margin" w:tblpX="-601" w:tblpY="2530"/>
        <w:tblW w:w="14910" w:type="dxa"/>
        <w:tblLayout w:type="fixed"/>
        <w:tblLook w:val="04A0" w:firstRow="1" w:lastRow="0" w:firstColumn="1" w:lastColumn="0" w:noHBand="0" w:noVBand="1"/>
      </w:tblPr>
      <w:tblGrid>
        <w:gridCol w:w="2376"/>
        <w:gridCol w:w="1366"/>
        <w:gridCol w:w="1134"/>
        <w:gridCol w:w="1366"/>
        <w:gridCol w:w="1134"/>
        <w:gridCol w:w="1366"/>
        <w:gridCol w:w="1134"/>
        <w:gridCol w:w="1366"/>
        <w:gridCol w:w="1134"/>
        <w:gridCol w:w="1366"/>
        <w:gridCol w:w="1134"/>
        <w:gridCol w:w="34"/>
      </w:tblGrid>
      <w:tr w:rsidR="008038D2" w:rsidRPr="00AD1AEF" w:rsidTr="00580297">
        <w:tc>
          <w:tcPr>
            <w:tcW w:w="2376" w:type="dxa"/>
            <w:tcBorders>
              <w:top w:val="single" w:sz="4" w:space="0" w:color="auto"/>
              <w:bottom w:val="single" w:sz="4" w:space="0" w:color="auto"/>
            </w:tcBorders>
          </w:tcPr>
          <w:p w:rsidR="008038D2" w:rsidRPr="0042797A" w:rsidRDefault="008038D2" w:rsidP="00580297">
            <w:pPr>
              <w:pStyle w:val="BodyText"/>
              <w:framePr w:hSpace="0" w:wrap="auto" w:vAnchor="margin" w:hAnchor="text" w:yAlign="inline"/>
              <w:rPr>
                <w:b/>
                <w:lang w:eastAsia="en-GB"/>
              </w:rPr>
            </w:pPr>
            <w:r w:rsidRPr="0042797A">
              <w:rPr>
                <w:b/>
                <w:lang w:eastAsia="en-GB"/>
              </w:rPr>
              <w:t>Variables</w:t>
            </w:r>
          </w:p>
        </w:tc>
        <w:tc>
          <w:tcPr>
            <w:tcW w:w="12534" w:type="dxa"/>
            <w:gridSpan w:val="11"/>
            <w:tcBorders>
              <w:top w:val="single" w:sz="4" w:space="0" w:color="auto"/>
              <w:bottom w:val="single" w:sz="4" w:space="0" w:color="auto"/>
            </w:tcBorders>
          </w:tcPr>
          <w:p w:rsidR="008038D2" w:rsidRPr="0042797A" w:rsidRDefault="008038D2" w:rsidP="00580297">
            <w:pPr>
              <w:pStyle w:val="BodyText"/>
              <w:framePr w:hSpace="0" w:wrap="auto" w:vAnchor="margin" w:hAnchor="text" w:yAlign="inline"/>
              <w:rPr>
                <w:b/>
                <w:lang w:eastAsia="en-GB"/>
              </w:rPr>
            </w:pPr>
            <w:r w:rsidRPr="0042797A">
              <w:rPr>
                <w:b/>
                <w:lang w:eastAsia="en-GB"/>
              </w:rPr>
              <w:t>Random-effects GLS</w:t>
            </w:r>
          </w:p>
          <w:p w:rsidR="008038D2" w:rsidRPr="0042797A" w:rsidRDefault="008038D2" w:rsidP="00580297">
            <w:pPr>
              <w:pStyle w:val="BodyText"/>
              <w:framePr w:hSpace="0" w:wrap="auto" w:vAnchor="margin" w:hAnchor="text" w:yAlign="inline"/>
              <w:rPr>
                <w:b/>
                <w:lang w:eastAsia="en-GB"/>
              </w:rPr>
            </w:pPr>
          </w:p>
        </w:tc>
      </w:tr>
      <w:tr w:rsidR="008038D2" w:rsidRPr="00AD1AEF" w:rsidTr="00580297">
        <w:trPr>
          <w:gridAfter w:val="1"/>
          <w:wAfter w:w="34" w:type="dxa"/>
        </w:trPr>
        <w:tc>
          <w:tcPr>
            <w:tcW w:w="2376" w:type="dxa"/>
            <w:tcBorders>
              <w:top w:val="single" w:sz="4" w:space="0" w:color="auto"/>
              <w:bottom w:val="single" w:sz="4" w:space="0" w:color="auto"/>
            </w:tcBorders>
          </w:tcPr>
          <w:p w:rsidR="008038D2" w:rsidRPr="00581A9A" w:rsidRDefault="008038D2" w:rsidP="00580297">
            <w:pPr>
              <w:pStyle w:val="BodyText"/>
              <w:framePr w:hSpace="0" w:wrap="auto" w:vAnchor="margin" w:hAnchor="text" w:yAlign="inline"/>
              <w:rPr>
                <w:lang w:eastAsia="en-GB"/>
              </w:rPr>
            </w:pPr>
          </w:p>
        </w:tc>
        <w:tc>
          <w:tcPr>
            <w:tcW w:w="2500" w:type="dxa"/>
            <w:gridSpan w:val="2"/>
            <w:tcBorders>
              <w:top w:val="single" w:sz="4" w:space="0" w:color="auto"/>
              <w:bottom w:val="single" w:sz="4" w:space="0" w:color="auto"/>
            </w:tcBorders>
          </w:tcPr>
          <w:p w:rsidR="008038D2" w:rsidRPr="00581A9A" w:rsidRDefault="008038D2" w:rsidP="00580297">
            <w:pPr>
              <w:pStyle w:val="BodyText"/>
              <w:framePr w:hSpace="0" w:wrap="auto" w:vAnchor="margin" w:hAnchor="text" w:yAlign="inline"/>
              <w:rPr>
                <w:lang w:eastAsia="en-GB"/>
              </w:rPr>
            </w:pPr>
            <w:r w:rsidRPr="00581A9A">
              <w:rPr>
                <w:lang w:eastAsia="en-GB"/>
              </w:rPr>
              <w:t>Model 1</w:t>
            </w:r>
          </w:p>
        </w:tc>
        <w:tc>
          <w:tcPr>
            <w:tcW w:w="2500" w:type="dxa"/>
            <w:gridSpan w:val="2"/>
            <w:tcBorders>
              <w:top w:val="single" w:sz="4" w:space="0" w:color="auto"/>
              <w:bottom w:val="single" w:sz="4" w:space="0" w:color="auto"/>
            </w:tcBorders>
          </w:tcPr>
          <w:p w:rsidR="008038D2" w:rsidRPr="00581A9A" w:rsidRDefault="008038D2" w:rsidP="00580297">
            <w:pPr>
              <w:pStyle w:val="BodyText"/>
              <w:framePr w:hSpace="0" w:wrap="auto" w:vAnchor="margin" w:hAnchor="text" w:yAlign="inline"/>
              <w:rPr>
                <w:lang w:eastAsia="en-GB"/>
              </w:rPr>
            </w:pPr>
            <w:r w:rsidRPr="00581A9A">
              <w:rPr>
                <w:lang w:eastAsia="en-GB"/>
              </w:rPr>
              <w:t>Model 2</w:t>
            </w:r>
          </w:p>
        </w:tc>
        <w:tc>
          <w:tcPr>
            <w:tcW w:w="2500" w:type="dxa"/>
            <w:gridSpan w:val="2"/>
            <w:tcBorders>
              <w:top w:val="single" w:sz="4" w:space="0" w:color="auto"/>
              <w:bottom w:val="single" w:sz="4" w:space="0" w:color="auto"/>
            </w:tcBorders>
          </w:tcPr>
          <w:p w:rsidR="008038D2" w:rsidRPr="00581A9A" w:rsidRDefault="008038D2" w:rsidP="00580297">
            <w:pPr>
              <w:pStyle w:val="BodyText"/>
              <w:framePr w:hSpace="0" w:wrap="auto" w:vAnchor="margin" w:hAnchor="text" w:yAlign="inline"/>
              <w:rPr>
                <w:lang w:eastAsia="en-GB"/>
              </w:rPr>
            </w:pPr>
            <w:r w:rsidRPr="00581A9A">
              <w:rPr>
                <w:lang w:eastAsia="en-GB"/>
              </w:rPr>
              <w:t>Model 3</w:t>
            </w:r>
          </w:p>
        </w:tc>
        <w:tc>
          <w:tcPr>
            <w:tcW w:w="2500" w:type="dxa"/>
            <w:gridSpan w:val="2"/>
            <w:tcBorders>
              <w:top w:val="single" w:sz="4" w:space="0" w:color="auto"/>
              <w:bottom w:val="single" w:sz="4" w:space="0" w:color="auto"/>
            </w:tcBorders>
          </w:tcPr>
          <w:p w:rsidR="008038D2" w:rsidRPr="00581A9A" w:rsidRDefault="008038D2" w:rsidP="00580297">
            <w:pPr>
              <w:pStyle w:val="BodyText"/>
              <w:framePr w:hSpace="0" w:wrap="auto" w:vAnchor="margin" w:hAnchor="text" w:yAlign="inline"/>
              <w:rPr>
                <w:lang w:eastAsia="en-GB"/>
              </w:rPr>
            </w:pPr>
            <w:r w:rsidRPr="00581A9A">
              <w:rPr>
                <w:lang w:eastAsia="en-GB"/>
              </w:rPr>
              <w:t>Model 4</w:t>
            </w:r>
          </w:p>
        </w:tc>
        <w:tc>
          <w:tcPr>
            <w:tcW w:w="2500" w:type="dxa"/>
            <w:gridSpan w:val="2"/>
            <w:tcBorders>
              <w:top w:val="single" w:sz="4" w:space="0" w:color="auto"/>
              <w:bottom w:val="single" w:sz="4" w:space="0" w:color="auto"/>
            </w:tcBorders>
          </w:tcPr>
          <w:p w:rsidR="008038D2" w:rsidRPr="00581A9A" w:rsidRDefault="008038D2" w:rsidP="00580297">
            <w:pPr>
              <w:pStyle w:val="BodyText"/>
              <w:framePr w:hSpace="0" w:wrap="auto" w:vAnchor="margin" w:hAnchor="text" w:yAlign="inline"/>
              <w:rPr>
                <w:lang w:eastAsia="en-GB"/>
              </w:rPr>
            </w:pPr>
            <w:r w:rsidRPr="00581A9A">
              <w:rPr>
                <w:lang w:eastAsia="en-GB"/>
              </w:rPr>
              <w:t>Model 5</w:t>
            </w:r>
          </w:p>
        </w:tc>
      </w:tr>
      <w:tr w:rsidR="008038D2" w:rsidRPr="00AD1AEF" w:rsidTr="00580297">
        <w:trPr>
          <w:gridAfter w:val="1"/>
          <w:wAfter w:w="34" w:type="dxa"/>
        </w:trPr>
        <w:tc>
          <w:tcPr>
            <w:tcW w:w="2376" w:type="dxa"/>
            <w:tcBorders>
              <w:top w:val="single" w:sz="4" w:space="0" w:color="auto"/>
            </w:tcBorders>
          </w:tcPr>
          <w:p w:rsidR="008038D2" w:rsidRPr="00581A9A" w:rsidRDefault="008038D2" w:rsidP="00580297">
            <w:pPr>
              <w:pStyle w:val="BodyText"/>
              <w:framePr w:hSpace="0" w:wrap="auto" w:vAnchor="margin" w:hAnchor="text" w:yAlign="inline"/>
              <w:rPr>
                <w:lang w:eastAsia="en-GB"/>
              </w:rPr>
            </w:pPr>
            <w:r w:rsidRPr="00581A9A">
              <w:rPr>
                <w:lang w:eastAsia="en-GB"/>
              </w:rPr>
              <w:t>(Constant)</w:t>
            </w:r>
          </w:p>
        </w:tc>
        <w:tc>
          <w:tcPr>
            <w:tcW w:w="1366" w:type="dxa"/>
            <w:tcBorders>
              <w:top w:val="single" w:sz="4" w:space="0" w:color="auto"/>
            </w:tcBorders>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w:t>
            </w:r>
            <w:r w:rsidRPr="008A46F0">
              <w:rPr>
                <w:lang w:eastAsia="en-GB"/>
              </w:rPr>
              <w:t>.</w:t>
            </w:r>
            <w:r>
              <w:rPr>
                <w:lang w:val="en-GB" w:eastAsia="en-GB"/>
              </w:rPr>
              <w:t>008</w:t>
            </w:r>
          </w:p>
        </w:tc>
        <w:tc>
          <w:tcPr>
            <w:tcW w:w="1134" w:type="dxa"/>
            <w:tcBorders>
              <w:top w:val="single" w:sz="4" w:space="0" w:color="auto"/>
            </w:tcBorders>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60</w:t>
            </w:r>
            <w:r w:rsidRPr="008A46F0">
              <w:rPr>
                <w:lang w:eastAsia="en-GB"/>
              </w:rPr>
              <w:t>)</w:t>
            </w:r>
          </w:p>
        </w:tc>
        <w:tc>
          <w:tcPr>
            <w:tcW w:w="1366" w:type="dxa"/>
            <w:tcBorders>
              <w:top w:val="single" w:sz="4" w:space="0" w:color="auto"/>
            </w:tcBorders>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0.06</w:t>
            </w:r>
            <w:r>
              <w:rPr>
                <w:lang w:val="en-GB" w:eastAsia="en-GB"/>
              </w:rPr>
              <w:t>4</w:t>
            </w:r>
          </w:p>
        </w:tc>
        <w:tc>
          <w:tcPr>
            <w:tcW w:w="1134" w:type="dxa"/>
            <w:tcBorders>
              <w:top w:val="single" w:sz="4" w:space="0" w:color="auto"/>
            </w:tcBorders>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57</w:t>
            </w:r>
            <w:r w:rsidRPr="008A46F0">
              <w:rPr>
                <w:lang w:eastAsia="en-GB"/>
              </w:rPr>
              <w:t>)</w:t>
            </w:r>
          </w:p>
        </w:tc>
        <w:tc>
          <w:tcPr>
            <w:tcW w:w="1366" w:type="dxa"/>
            <w:tcBorders>
              <w:top w:val="single" w:sz="4" w:space="0" w:color="auto"/>
            </w:tcBorders>
          </w:tcPr>
          <w:p w:rsidR="008038D2" w:rsidRPr="00A31008" w:rsidRDefault="008038D2" w:rsidP="00580297">
            <w:pPr>
              <w:pStyle w:val="BodyText"/>
              <w:framePr w:hSpace="0" w:wrap="auto" w:vAnchor="margin" w:hAnchor="text" w:yAlign="inline"/>
              <w:rPr>
                <w:lang w:val="en-GB" w:eastAsia="en-GB"/>
              </w:rPr>
            </w:pPr>
            <w:r w:rsidRPr="008A46F0">
              <w:rPr>
                <w:lang w:eastAsia="en-GB"/>
              </w:rPr>
              <w:t>-</w:t>
            </w:r>
            <w:r>
              <w:rPr>
                <w:lang w:eastAsia="en-GB"/>
              </w:rPr>
              <w:t>0.0</w:t>
            </w:r>
            <w:r>
              <w:rPr>
                <w:lang w:val="en-GB" w:eastAsia="en-GB"/>
              </w:rPr>
              <w:t>22</w:t>
            </w:r>
          </w:p>
        </w:tc>
        <w:tc>
          <w:tcPr>
            <w:tcW w:w="1134" w:type="dxa"/>
            <w:tcBorders>
              <w:top w:val="single" w:sz="4" w:space="0" w:color="auto"/>
            </w:tcBorders>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53</w:t>
            </w:r>
            <w:r w:rsidRPr="008A46F0">
              <w:rPr>
                <w:lang w:eastAsia="en-GB"/>
              </w:rPr>
              <w:t>)</w:t>
            </w:r>
          </w:p>
        </w:tc>
        <w:tc>
          <w:tcPr>
            <w:tcW w:w="1366" w:type="dxa"/>
            <w:tcBorders>
              <w:top w:val="single" w:sz="4" w:space="0" w:color="auto"/>
            </w:tcBorders>
          </w:tcPr>
          <w:p w:rsidR="008038D2" w:rsidRPr="00A31008" w:rsidRDefault="008038D2" w:rsidP="00580297">
            <w:pPr>
              <w:pStyle w:val="BodyText"/>
              <w:framePr w:hSpace="0" w:wrap="auto" w:vAnchor="margin" w:hAnchor="text" w:yAlign="inline"/>
              <w:rPr>
                <w:lang w:val="en-GB" w:eastAsia="en-GB"/>
              </w:rPr>
            </w:pPr>
            <w:r w:rsidRPr="008A46F0">
              <w:rPr>
                <w:lang w:eastAsia="en-GB"/>
              </w:rPr>
              <w:t>-</w:t>
            </w:r>
            <w:r>
              <w:rPr>
                <w:lang w:eastAsia="en-GB"/>
              </w:rPr>
              <w:t>0.0</w:t>
            </w:r>
            <w:r>
              <w:rPr>
                <w:lang w:val="en-GB" w:eastAsia="en-GB"/>
              </w:rPr>
              <w:t>41</w:t>
            </w:r>
          </w:p>
        </w:tc>
        <w:tc>
          <w:tcPr>
            <w:tcW w:w="1134" w:type="dxa"/>
            <w:tcBorders>
              <w:top w:val="single" w:sz="4" w:space="0" w:color="auto"/>
            </w:tcBorders>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53</w:t>
            </w:r>
            <w:r w:rsidRPr="008A46F0">
              <w:rPr>
                <w:lang w:eastAsia="en-GB"/>
              </w:rPr>
              <w:t>)</w:t>
            </w:r>
          </w:p>
        </w:tc>
        <w:tc>
          <w:tcPr>
            <w:tcW w:w="1366" w:type="dxa"/>
            <w:tcBorders>
              <w:top w:val="single" w:sz="4" w:space="0" w:color="auto"/>
            </w:tcBorders>
          </w:tcPr>
          <w:p w:rsidR="008038D2" w:rsidRPr="00A31008" w:rsidRDefault="008038D2" w:rsidP="00580297">
            <w:pPr>
              <w:pStyle w:val="BodyText"/>
              <w:framePr w:hSpace="0" w:wrap="auto" w:vAnchor="margin" w:hAnchor="text" w:yAlign="inline"/>
              <w:rPr>
                <w:lang w:val="en-GB" w:eastAsia="en-GB"/>
              </w:rPr>
            </w:pPr>
            <w:r w:rsidRPr="00581A9A">
              <w:rPr>
                <w:lang w:eastAsia="en-GB"/>
              </w:rPr>
              <w:t>-</w:t>
            </w:r>
            <w:r>
              <w:rPr>
                <w:lang w:eastAsia="en-GB"/>
              </w:rPr>
              <w:t>0.0</w:t>
            </w:r>
            <w:r>
              <w:rPr>
                <w:lang w:val="en-GB" w:eastAsia="en-GB"/>
              </w:rPr>
              <w:t>79</w:t>
            </w:r>
          </w:p>
        </w:tc>
        <w:tc>
          <w:tcPr>
            <w:tcW w:w="1134" w:type="dxa"/>
            <w:tcBorders>
              <w:top w:val="single" w:sz="4" w:space="0" w:color="auto"/>
            </w:tcBorders>
          </w:tcPr>
          <w:p w:rsidR="008038D2" w:rsidRPr="00581A9A" w:rsidRDefault="008038D2" w:rsidP="00580297">
            <w:pPr>
              <w:pStyle w:val="BodyText"/>
              <w:framePr w:hSpace="0" w:wrap="auto" w:vAnchor="margin" w:hAnchor="text" w:yAlign="inline"/>
              <w:rPr>
                <w:lang w:eastAsia="en-GB"/>
              </w:rPr>
            </w:pPr>
            <w:r w:rsidRPr="00581A9A">
              <w:rPr>
                <w:lang w:eastAsia="en-GB"/>
              </w:rPr>
              <w:t>(</w:t>
            </w:r>
            <w:r>
              <w:rPr>
                <w:lang w:eastAsia="en-GB"/>
              </w:rPr>
              <w:t>0.04</w:t>
            </w:r>
            <w:r>
              <w:rPr>
                <w:lang w:val="en-GB" w:eastAsia="en-GB"/>
              </w:rPr>
              <w:t>8</w:t>
            </w:r>
            <w:r w:rsidRPr="00581A9A">
              <w:rPr>
                <w:lang w:eastAsia="en-GB"/>
              </w:rPr>
              <w:t>)</w:t>
            </w:r>
          </w:p>
        </w:tc>
      </w:tr>
      <w:tr w:rsidR="008038D2" w:rsidRPr="00AD1AEF" w:rsidTr="00580297">
        <w:trPr>
          <w:gridAfter w:val="1"/>
          <w:wAfter w:w="34" w:type="dxa"/>
        </w:trPr>
        <w:tc>
          <w:tcPr>
            <w:tcW w:w="2376" w:type="dxa"/>
          </w:tcPr>
          <w:p w:rsidR="008038D2" w:rsidRPr="00597CE5" w:rsidRDefault="008038D2" w:rsidP="00580297">
            <w:pPr>
              <w:rPr>
                <w:rFonts w:eastAsia="Times New Roman"/>
                <w:bCs/>
                <w:color w:val="000000"/>
                <w:sz w:val="20"/>
                <w:szCs w:val="20"/>
              </w:rPr>
            </w:pPr>
            <w:r w:rsidRPr="00597CE5">
              <w:rPr>
                <w:rFonts w:eastAsia="Times New Roman"/>
                <w:bCs/>
                <w:color w:val="000000"/>
                <w:sz w:val="20"/>
                <w:szCs w:val="20"/>
              </w:rPr>
              <w:t xml:space="preserve">Nobel </w:t>
            </w:r>
            <w:r>
              <w:rPr>
                <w:rFonts w:eastAsia="Times New Roman"/>
                <w:bCs/>
                <w:color w:val="000000"/>
                <w:sz w:val="20"/>
                <w:szCs w:val="20"/>
              </w:rPr>
              <w:t>A</w:t>
            </w:r>
            <w:r w:rsidRPr="00597CE5">
              <w:rPr>
                <w:rFonts w:eastAsia="Times New Roman"/>
                <w:bCs/>
                <w:color w:val="000000"/>
                <w:sz w:val="20"/>
                <w:szCs w:val="20"/>
              </w:rPr>
              <w:t xml:space="preserve">wards </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0.1</w:t>
            </w:r>
            <w:r>
              <w:rPr>
                <w:lang w:val="en-GB" w:eastAsia="en-GB"/>
              </w:rPr>
              <w:t>61</w:t>
            </w:r>
            <w:r>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23</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w:t>
            </w:r>
            <w:r>
              <w:rPr>
                <w:lang w:val="en-GB" w:eastAsia="en-GB"/>
              </w:rPr>
              <w:t>119</w:t>
            </w:r>
            <w:r w:rsidRPr="008A46F0">
              <w:rPr>
                <w:lang w:eastAsia="en-GB"/>
              </w:rPr>
              <w:t>**</w:t>
            </w:r>
            <w:r>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22</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w:t>
            </w:r>
            <w:r>
              <w:rPr>
                <w:lang w:val="en-GB" w:eastAsia="en-GB"/>
              </w:rPr>
              <w:t>103</w:t>
            </w:r>
            <w:r>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20</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w:t>
            </w:r>
            <w:r>
              <w:rPr>
                <w:lang w:val="en-GB" w:eastAsia="en-GB"/>
              </w:rPr>
              <w:t>174</w:t>
            </w:r>
            <w:r>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20</w:t>
            </w:r>
            <w:r w:rsidRPr="008A46F0">
              <w:rPr>
                <w:lang w:eastAsia="en-GB"/>
              </w:rPr>
              <w:t>)</w:t>
            </w:r>
          </w:p>
        </w:tc>
        <w:tc>
          <w:tcPr>
            <w:tcW w:w="1366" w:type="dxa"/>
          </w:tcPr>
          <w:p w:rsidR="008038D2" w:rsidRPr="00581A9A" w:rsidRDefault="008038D2" w:rsidP="00580297">
            <w:pPr>
              <w:pStyle w:val="BodyText"/>
              <w:framePr w:hSpace="0" w:wrap="auto" w:vAnchor="margin" w:hAnchor="text" w:yAlign="inline"/>
              <w:rPr>
                <w:lang w:eastAsia="en-GB"/>
              </w:rPr>
            </w:pPr>
            <w:r>
              <w:rPr>
                <w:lang w:eastAsia="en-GB"/>
              </w:rPr>
              <w:t xml:space="preserve"> 0.</w:t>
            </w:r>
            <w:r>
              <w:rPr>
                <w:lang w:val="en-GB" w:eastAsia="en-GB"/>
              </w:rPr>
              <w:t>105</w:t>
            </w:r>
            <w:r>
              <w:rPr>
                <w:lang w:eastAsia="en-GB"/>
              </w:rPr>
              <w:t>**</w:t>
            </w:r>
            <w:r w:rsidRPr="00581A9A">
              <w:rPr>
                <w:lang w:eastAsia="en-GB"/>
              </w:rPr>
              <w:t>*</w:t>
            </w:r>
          </w:p>
        </w:tc>
        <w:tc>
          <w:tcPr>
            <w:tcW w:w="1134" w:type="dxa"/>
          </w:tcPr>
          <w:p w:rsidR="008038D2" w:rsidRPr="00581A9A" w:rsidRDefault="008038D2" w:rsidP="00580297">
            <w:pPr>
              <w:pStyle w:val="BodyText"/>
              <w:framePr w:hSpace="0" w:wrap="auto" w:vAnchor="margin" w:hAnchor="text" w:yAlign="inline"/>
              <w:rPr>
                <w:lang w:eastAsia="en-GB"/>
              </w:rPr>
            </w:pPr>
            <w:r w:rsidRPr="00581A9A">
              <w:rPr>
                <w:lang w:eastAsia="en-GB"/>
              </w:rPr>
              <w:t>(</w:t>
            </w:r>
            <w:r>
              <w:rPr>
                <w:lang w:eastAsia="en-GB"/>
              </w:rPr>
              <w:t>0.0</w:t>
            </w:r>
            <w:r>
              <w:rPr>
                <w:lang w:val="en-GB" w:eastAsia="en-GB"/>
              </w:rPr>
              <w:t>19</w:t>
            </w:r>
            <w:r w:rsidRPr="00581A9A">
              <w:rPr>
                <w:lang w:eastAsia="en-GB"/>
              </w:rPr>
              <w:t>)</w:t>
            </w:r>
          </w:p>
        </w:tc>
      </w:tr>
      <w:tr w:rsidR="008038D2" w:rsidRPr="00AD1AEF" w:rsidTr="00580297">
        <w:trPr>
          <w:gridAfter w:val="1"/>
          <w:wAfter w:w="34" w:type="dxa"/>
        </w:trPr>
        <w:tc>
          <w:tcPr>
            <w:tcW w:w="2376" w:type="dxa"/>
          </w:tcPr>
          <w:p w:rsidR="008038D2" w:rsidRPr="00597CE5" w:rsidRDefault="008038D2" w:rsidP="00580297">
            <w:pPr>
              <w:rPr>
                <w:rFonts w:eastAsia="Times New Roman"/>
                <w:bCs/>
                <w:color w:val="000000"/>
                <w:sz w:val="20"/>
                <w:szCs w:val="20"/>
              </w:rPr>
            </w:pPr>
            <w:r w:rsidRPr="00597CE5">
              <w:rPr>
                <w:lang w:eastAsia="en-GB"/>
              </w:rPr>
              <w:t>Publications</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0.43</w:t>
            </w:r>
            <w:r>
              <w:rPr>
                <w:lang w:val="en-GB" w:eastAsia="en-GB"/>
              </w:rPr>
              <w:t>1</w:t>
            </w:r>
            <w:r w:rsidRPr="008A46F0">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16</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w:t>
            </w:r>
            <w:r>
              <w:rPr>
                <w:lang w:val="en-GB" w:eastAsia="en-GB"/>
              </w:rPr>
              <w:t>209</w:t>
            </w:r>
            <w:r w:rsidRPr="008A46F0">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14</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0.4</w:t>
            </w:r>
            <w:r>
              <w:rPr>
                <w:lang w:val="en-GB" w:eastAsia="en-GB"/>
              </w:rPr>
              <w:t>15</w:t>
            </w:r>
            <w:r w:rsidRPr="008A46F0">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15</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0.3</w:t>
            </w:r>
            <w:r>
              <w:rPr>
                <w:lang w:val="en-GB" w:eastAsia="en-GB"/>
              </w:rPr>
              <w:t>62</w:t>
            </w:r>
            <w:r w:rsidRPr="008A46F0">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15</w:t>
            </w:r>
            <w:r w:rsidRPr="008A46F0">
              <w:rPr>
                <w:lang w:eastAsia="en-GB"/>
              </w:rPr>
              <w:t>)</w:t>
            </w:r>
          </w:p>
        </w:tc>
        <w:tc>
          <w:tcPr>
            <w:tcW w:w="1366" w:type="dxa"/>
          </w:tcPr>
          <w:p w:rsidR="008038D2" w:rsidRPr="00581A9A" w:rsidRDefault="008038D2" w:rsidP="00580297">
            <w:pPr>
              <w:pStyle w:val="BodyText"/>
              <w:framePr w:hSpace="0" w:wrap="auto" w:vAnchor="margin" w:hAnchor="text" w:yAlign="inline"/>
              <w:rPr>
                <w:lang w:eastAsia="en-GB"/>
              </w:rPr>
            </w:pPr>
            <w:r>
              <w:rPr>
                <w:lang w:eastAsia="en-GB"/>
              </w:rPr>
              <w:t xml:space="preserve"> 0.</w:t>
            </w:r>
            <w:r>
              <w:rPr>
                <w:lang w:val="en-GB" w:eastAsia="en-GB"/>
              </w:rPr>
              <w:t>196</w:t>
            </w:r>
            <w:r w:rsidRPr="00581A9A">
              <w:rPr>
                <w:lang w:eastAsia="en-GB"/>
              </w:rPr>
              <w:t>***</w:t>
            </w:r>
          </w:p>
        </w:tc>
        <w:tc>
          <w:tcPr>
            <w:tcW w:w="1134" w:type="dxa"/>
          </w:tcPr>
          <w:p w:rsidR="008038D2" w:rsidRPr="00581A9A" w:rsidRDefault="008038D2" w:rsidP="00580297">
            <w:pPr>
              <w:pStyle w:val="BodyText"/>
              <w:framePr w:hSpace="0" w:wrap="auto" w:vAnchor="margin" w:hAnchor="text" w:yAlign="inline"/>
              <w:rPr>
                <w:lang w:eastAsia="en-GB"/>
              </w:rPr>
            </w:pPr>
            <w:r w:rsidRPr="00581A9A">
              <w:rPr>
                <w:lang w:eastAsia="en-GB"/>
              </w:rPr>
              <w:t>(</w:t>
            </w:r>
            <w:r>
              <w:rPr>
                <w:lang w:eastAsia="en-GB"/>
              </w:rPr>
              <w:t>0.0</w:t>
            </w:r>
            <w:r>
              <w:rPr>
                <w:lang w:val="en-GB" w:eastAsia="en-GB"/>
              </w:rPr>
              <w:t>13</w:t>
            </w:r>
            <w:r w:rsidRPr="00581A9A">
              <w:rPr>
                <w:lang w:eastAsia="en-GB"/>
              </w:rPr>
              <w:t>)</w:t>
            </w:r>
          </w:p>
        </w:tc>
      </w:tr>
      <w:tr w:rsidR="008038D2" w:rsidRPr="00AD1AEF" w:rsidTr="00580297">
        <w:trPr>
          <w:gridAfter w:val="1"/>
          <w:wAfter w:w="34" w:type="dxa"/>
        </w:trPr>
        <w:tc>
          <w:tcPr>
            <w:tcW w:w="2376" w:type="dxa"/>
          </w:tcPr>
          <w:p w:rsidR="008038D2" w:rsidRPr="00597CE5" w:rsidRDefault="008038D2" w:rsidP="00580297">
            <w:pPr>
              <w:pStyle w:val="BodyText"/>
              <w:framePr w:hSpace="0" w:wrap="auto" w:vAnchor="margin" w:hAnchor="text" w:yAlign="inline"/>
              <w:rPr>
                <w:lang w:eastAsia="en-GB"/>
              </w:rPr>
            </w:pPr>
            <w:r w:rsidRPr="00597CE5">
              <w:rPr>
                <w:bCs/>
                <w:color w:val="000000"/>
              </w:rPr>
              <w:t xml:space="preserve">RAE </w:t>
            </w:r>
            <w:r>
              <w:rPr>
                <w:bCs/>
                <w:color w:val="000000"/>
              </w:rPr>
              <w:t>Engineering-Biotech</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0.1</w:t>
            </w:r>
            <w:r>
              <w:rPr>
                <w:lang w:val="en-GB" w:eastAsia="en-GB"/>
              </w:rPr>
              <w:t>30</w:t>
            </w:r>
            <w:r w:rsidRPr="008A46F0">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26</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w:t>
            </w:r>
            <w:r>
              <w:rPr>
                <w:lang w:val="en-GB" w:eastAsia="en-GB"/>
              </w:rPr>
              <w:t>082</w:t>
            </w:r>
            <w:r w:rsidRPr="008A46F0">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22</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w:t>
            </w:r>
            <w:r>
              <w:rPr>
                <w:lang w:val="en-GB" w:eastAsia="en-GB"/>
              </w:rPr>
              <w:t>161</w:t>
            </w:r>
            <w:r w:rsidRPr="008A46F0">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25</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0.1</w:t>
            </w:r>
            <w:r>
              <w:rPr>
                <w:lang w:val="en-GB" w:eastAsia="en-GB"/>
              </w:rPr>
              <w:t>39</w:t>
            </w:r>
            <w:r>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24</w:t>
            </w:r>
            <w:r w:rsidRPr="008A46F0">
              <w:rPr>
                <w:lang w:eastAsia="en-GB"/>
              </w:rPr>
              <w:t>)</w:t>
            </w:r>
          </w:p>
        </w:tc>
        <w:tc>
          <w:tcPr>
            <w:tcW w:w="1366" w:type="dxa"/>
          </w:tcPr>
          <w:p w:rsidR="008038D2" w:rsidRPr="00581A9A" w:rsidRDefault="008038D2" w:rsidP="00580297">
            <w:pPr>
              <w:pStyle w:val="BodyText"/>
              <w:framePr w:hSpace="0" w:wrap="auto" w:vAnchor="margin" w:hAnchor="text" w:yAlign="inline"/>
              <w:rPr>
                <w:lang w:eastAsia="en-GB"/>
              </w:rPr>
            </w:pPr>
            <w:r>
              <w:rPr>
                <w:lang w:eastAsia="en-GB"/>
              </w:rPr>
              <w:t xml:space="preserve"> 0.1</w:t>
            </w:r>
            <w:r>
              <w:rPr>
                <w:lang w:val="en-GB" w:eastAsia="en-GB"/>
              </w:rPr>
              <w:t>11</w:t>
            </w:r>
            <w:r>
              <w:rPr>
                <w:lang w:eastAsia="en-GB"/>
              </w:rPr>
              <w:t>**</w:t>
            </w:r>
            <w:r w:rsidRPr="00581A9A">
              <w:rPr>
                <w:lang w:eastAsia="en-GB"/>
              </w:rPr>
              <w:t>*</w:t>
            </w:r>
          </w:p>
        </w:tc>
        <w:tc>
          <w:tcPr>
            <w:tcW w:w="1134" w:type="dxa"/>
          </w:tcPr>
          <w:p w:rsidR="008038D2" w:rsidRPr="00581A9A" w:rsidRDefault="008038D2" w:rsidP="00580297">
            <w:pPr>
              <w:pStyle w:val="BodyText"/>
              <w:framePr w:hSpace="0" w:wrap="auto" w:vAnchor="margin" w:hAnchor="text" w:yAlign="inline"/>
              <w:rPr>
                <w:lang w:eastAsia="en-GB"/>
              </w:rPr>
            </w:pPr>
            <w:r w:rsidRPr="00581A9A">
              <w:rPr>
                <w:lang w:eastAsia="en-GB"/>
              </w:rPr>
              <w:t>(</w:t>
            </w:r>
            <w:r>
              <w:rPr>
                <w:lang w:eastAsia="en-GB"/>
              </w:rPr>
              <w:t>0.0</w:t>
            </w:r>
            <w:r>
              <w:rPr>
                <w:lang w:val="en-GB" w:eastAsia="en-GB"/>
              </w:rPr>
              <w:t>20</w:t>
            </w:r>
            <w:r w:rsidRPr="00581A9A">
              <w:rPr>
                <w:lang w:eastAsia="en-GB"/>
              </w:rPr>
              <w:t>)</w:t>
            </w:r>
          </w:p>
        </w:tc>
      </w:tr>
      <w:tr w:rsidR="008038D2" w:rsidRPr="00AD1AEF" w:rsidTr="00580297">
        <w:trPr>
          <w:gridAfter w:val="1"/>
          <w:wAfter w:w="34" w:type="dxa"/>
        </w:trPr>
        <w:tc>
          <w:tcPr>
            <w:tcW w:w="2376" w:type="dxa"/>
          </w:tcPr>
          <w:p w:rsidR="008038D2" w:rsidRPr="00597CE5" w:rsidRDefault="008038D2" w:rsidP="00580297">
            <w:pPr>
              <w:pStyle w:val="BodyText"/>
              <w:framePr w:hSpace="0" w:wrap="auto" w:vAnchor="margin" w:hAnchor="text" w:yAlign="inline"/>
              <w:rPr>
                <w:lang w:eastAsia="en-GB"/>
              </w:rPr>
            </w:pPr>
            <w:r w:rsidRPr="00597CE5">
              <w:rPr>
                <w:bCs/>
                <w:color w:val="000000"/>
              </w:rPr>
              <w:t>Patents</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0.0</w:t>
            </w:r>
            <w:r>
              <w:rPr>
                <w:lang w:val="en-GB" w:eastAsia="en-GB"/>
              </w:rPr>
              <w:t>39</w:t>
            </w:r>
            <w:r w:rsidRPr="008A46F0">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11</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Pr>
                <w:lang w:val="en-GB" w:eastAsia="en-GB"/>
              </w:rPr>
              <w:t>-</w:t>
            </w:r>
            <w:r>
              <w:rPr>
                <w:lang w:eastAsia="en-GB"/>
              </w:rPr>
              <w:t>0.</w:t>
            </w:r>
            <w:r>
              <w:rPr>
                <w:lang w:val="en-GB" w:eastAsia="en-GB"/>
              </w:rPr>
              <w:t>010</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09</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w:t>
            </w:r>
            <w:r>
              <w:rPr>
                <w:lang w:val="en-GB" w:eastAsia="en-GB"/>
              </w:rPr>
              <w:t>048</w:t>
            </w:r>
            <w:r w:rsidRPr="008A46F0">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11</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0.0</w:t>
            </w:r>
            <w:r>
              <w:rPr>
                <w:lang w:val="en-GB" w:eastAsia="en-GB"/>
              </w:rPr>
              <w:t>53</w:t>
            </w:r>
            <w:r w:rsidRPr="008A46F0">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10</w:t>
            </w:r>
            <w:r w:rsidRPr="008A46F0">
              <w:rPr>
                <w:lang w:eastAsia="en-GB"/>
              </w:rPr>
              <w:t>)</w:t>
            </w:r>
          </w:p>
        </w:tc>
        <w:tc>
          <w:tcPr>
            <w:tcW w:w="1366" w:type="dxa"/>
          </w:tcPr>
          <w:p w:rsidR="008038D2" w:rsidRPr="00581A9A" w:rsidRDefault="008038D2" w:rsidP="00580297">
            <w:pPr>
              <w:pStyle w:val="BodyText"/>
              <w:framePr w:hSpace="0" w:wrap="auto" w:vAnchor="margin" w:hAnchor="text" w:yAlign="inline"/>
              <w:rPr>
                <w:lang w:eastAsia="en-GB"/>
              </w:rPr>
            </w:pPr>
            <w:r>
              <w:rPr>
                <w:lang w:eastAsia="en-GB"/>
              </w:rPr>
              <w:t xml:space="preserve"> 0.0</w:t>
            </w:r>
            <w:r>
              <w:rPr>
                <w:lang w:val="en-GB" w:eastAsia="en-GB"/>
              </w:rPr>
              <w:t>07</w:t>
            </w:r>
          </w:p>
        </w:tc>
        <w:tc>
          <w:tcPr>
            <w:tcW w:w="1134" w:type="dxa"/>
          </w:tcPr>
          <w:p w:rsidR="008038D2" w:rsidRPr="00581A9A" w:rsidRDefault="008038D2" w:rsidP="00580297">
            <w:pPr>
              <w:pStyle w:val="BodyText"/>
              <w:framePr w:hSpace="0" w:wrap="auto" w:vAnchor="margin" w:hAnchor="text" w:yAlign="inline"/>
              <w:rPr>
                <w:lang w:eastAsia="en-GB"/>
              </w:rPr>
            </w:pPr>
            <w:r>
              <w:rPr>
                <w:lang w:eastAsia="en-GB"/>
              </w:rPr>
              <w:t>(0.0</w:t>
            </w:r>
            <w:r>
              <w:rPr>
                <w:lang w:val="en-GB" w:eastAsia="en-GB"/>
              </w:rPr>
              <w:t>08</w:t>
            </w:r>
            <w:r w:rsidRPr="00581A9A">
              <w:rPr>
                <w:lang w:eastAsia="en-GB"/>
              </w:rPr>
              <w:t>)</w:t>
            </w:r>
          </w:p>
        </w:tc>
      </w:tr>
      <w:tr w:rsidR="008038D2" w:rsidRPr="00AD1AEF" w:rsidTr="00580297">
        <w:trPr>
          <w:gridAfter w:val="1"/>
          <w:wAfter w:w="34" w:type="dxa"/>
        </w:trPr>
        <w:tc>
          <w:tcPr>
            <w:tcW w:w="2376" w:type="dxa"/>
          </w:tcPr>
          <w:p w:rsidR="008038D2" w:rsidRPr="00597CE5" w:rsidRDefault="008038D2" w:rsidP="00580297">
            <w:pPr>
              <w:rPr>
                <w:rFonts w:eastAsia="Times New Roman"/>
                <w:bCs/>
                <w:color w:val="000000"/>
                <w:sz w:val="20"/>
                <w:szCs w:val="20"/>
              </w:rPr>
            </w:pPr>
            <w:r w:rsidRPr="00597CE5">
              <w:rPr>
                <w:rFonts w:eastAsia="Times New Roman"/>
                <w:bCs/>
                <w:color w:val="000000"/>
                <w:sz w:val="20"/>
                <w:szCs w:val="20"/>
              </w:rPr>
              <w:t xml:space="preserve">University </w:t>
            </w:r>
            <w:r>
              <w:rPr>
                <w:rFonts w:eastAsia="Times New Roman"/>
                <w:bCs/>
                <w:color w:val="000000"/>
                <w:sz w:val="20"/>
                <w:szCs w:val="20"/>
              </w:rPr>
              <w:t>H</w:t>
            </w:r>
            <w:r w:rsidRPr="00597CE5">
              <w:rPr>
                <w:rFonts w:eastAsia="Times New Roman"/>
                <w:bCs/>
                <w:color w:val="000000"/>
                <w:sz w:val="20"/>
                <w:szCs w:val="20"/>
              </w:rPr>
              <w:t>ospital</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0.0</w:t>
            </w:r>
            <w:r>
              <w:rPr>
                <w:lang w:val="en-GB" w:eastAsia="en-GB"/>
              </w:rPr>
              <w:t>01</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18</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Pr>
                <w:lang w:eastAsia="en-GB"/>
              </w:rPr>
              <w:t xml:space="preserve"> 0.0</w:t>
            </w:r>
            <w:r>
              <w:rPr>
                <w:lang w:val="en-GB" w:eastAsia="en-GB"/>
              </w:rPr>
              <w:t>32</w:t>
            </w:r>
            <w:r>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15</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0.0</w:t>
            </w:r>
            <w:r>
              <w:rPr>
                <w:lang w:val="en-GB" w:eastAsia="en-GB"/>
              </w:rPr>
              <w:t>06</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17</w:t>
            </w:r>
            <w:r w:rsidRPr="008A46F0">
              <w:rPr>
                <w:lang w:eastAsia="en-GB"/>
              </w:rPr>
              <w:t>)</w:t>
            </w:r>
          </w:p>
        </w:tc>
        <w:tc>
          <w:tcPr>
            <w:tcW w:w="1366" w:type="dxa"/>
          </w:tcPr>
          <w:p w:rsidR="008038D2" w:rsidRPr="00A31008" w:rsidRDefault="008038D2" w:rsidP="00580297">
            <w:pPr>
              <w:pStyle w:val="BodyText"/>
              <w:framePr w:hSpace="0" w:wrap="auto" w:vAnchor="margin" w:hAnchor="text" w:yAlign="inline"/>
              <w:rPr>
                <w:lang w:val="en-GB" w:eastAsia="en-GB"/>
              </w:rPr>
            </w:pPr>
            <w:r w:rsidRPr="008A46F0">
              <w:rPr>
                <w:lang w:eastAsia="en-GB"/>
              </w:rPr>
              <w:t xml:space="preserve"> </w:t>
            </w:r>
            <w:r>
              <w:rPr>
                <w:lang w:eastAsia="en-GB"/>
              </w:rPr>
              <w:t>0.0</w:t>
            </w:r>
            <w:r>
              <w:rPr>
                <w:lang w:val="en-GB" w:eastAsia="en-GB"/>
              </w:rPr>
              <w:t>12</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0.01</w:t>
            </w:r>
            <w:r>
              <w:rPr>
                <w:lang w:val="en-GB" w:eastAsia="en-GB"/>
              </w:rPr>
              <w:t>6</w:t>
            </w:r>
            <w:r w:rsidRPr="008A46F0">
              <w:rPr>
                <w:lang w:eastAsia="en-GB"/>
              </w:rPr>
              <w:t>)</w:t>
            </w:r>
          </w:p>
        </w:tc>
        <w:tc>
          <w:tcPr>
            <w:tcW w:w="1366" w:type="dxa"/>
          </w:tcPr>
          <w:p w:rsidR="008038D2" w:rsidRPr="00581A9A" w:rsidRDefault="008038D2" w:rsidP="00580297">
            <w:pPr>
              <w:pStyle w:val="BodyText"/>
              <w:framePr w:hSpace="0" w:wrap="auto" w:vAnchor="margin" w:hAnchor="text" w:yAlign="inline"/>
              <w:rPr>
                <w:lang w:eastAsia="en-GB"/>
              </w:rPr>
            </w:pPr>
            <w:r>
              <w:rPr>
                <w:lang w:eastAsia="en-GB"/>
              </w:rPr>
              <w:t xml:space="preserve"> 0.0</w:t>
            </w:r>
            <w:r>
              <w:rPr>
                <w:lang w:val="en-GB" w:eastAsia="en-GB"/>
              </w:rPr>
              <w:t>39</w:t>
            </w:r>
            <w:r>
              <w:rPr>
                <w:lang w:eastAsia="en-GB"/>
              </w:rPr>
              <w:t>**</w:t>
            </w:r>
          </w:p>
        </w:tc>
        <w:tc>
          <w:tcPr>
            <w:tcW w:w="1134" w:type="dxa"/>
          </w:tcPr>
          <w:p w:rsidR="008038D2" w:rsidRPr="00581A9A" w:rsidRDefault="008038D2" w:rsidP="00580297">
            <w:pPr>
              <w:pStyle w:val="BodyText"/>
              <w:framePr w:hSpace="0" w:wrap="auto" w:vAnchor="margin" w:hAnchor="text" w:yAlign="inline"/>
              <w:rPr>
                <w:lang w:eastAsia="en-GB"/>
              </w:rPr>
            </w:pPr>
            <w:r>
              <w:rPr>
                <w:lang w:eastAsia="en-GB"/>
              </w:rPr>
              <w:t>(0.0</w:t>
            </w:r>
            <w:r>
              <w:rPr>
                <w:lang w:val="en-GB" w:eastAsia="en-GB"/>
              </w:rPr>
              <w:t>14</w:t>
            </w:r>
            <w:r w:rsidRPr="00581A9A">
              <w:rPr>
                <w:lang w:eastAsia="en-GB"/>
              </w:rPr>
              <w:t>)</w:t>
            </w:r>
          </w:p>
        </w:tc>
      </w:tr>
      <w:tr w:rsidR="008038D2" w:rsidRPr="00AD1AEF" w:rsidTr="00580297">
        <w:trPr>
          <w:gridAfter w:val="1"/>
          <w:wAfter w:w="34" w:type="dxa"/>
        </w:trPr>
        <w:tc>
          <w:tcPr>
            <w:tcW w:w="2376" w:type="dxa"/>
          </w:tcPr>
          <w:p w:rsidR="008038D2" w:rsidRPr="00597CE5" w:rsidRDefault="008038D2" w:rsidP="00580297">
            <w:pPr>
              <w:rPr>
                <w:rFonts w:eastAsia="Times New Roman"/>
                <w:bCs/>
                <w:color w:val="000000"/>
                <w:sz w:val="20"/>
                <w:szCs w:val="20"/>
              </w:rPr>
            </w:pPr>
            <w:r w:rsidRPr="00597CE5">
              <w:rPr>
                <w:rFonts w:eastAsia="Times New Roman"/>
                <w:bCs/>
                <w:color w:val="000000"/>
                <w:sz w:val="20"/>
                <w:szCs w:val="20"/>
              </w:rPr>
              <w:t>Rankings</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0.0</w:t>
            </w:r>
            <w:r>
              <w:rPr>
                <w:lang w:val="en-GB" w:eastAsia="en-GB"/>
              </w:rPr>
              <w:t>10</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0.01</w:t>
            </w:r>
            <w:r>
              <w:rPr>
                <w:lang w:val="en-GB" w:eastAsia="en-GB"/>
              </w:rPr>
              <w:t>8</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0.0</w:t>
            </w:r>
            <w:r>
              <w:rPr>
                <w:lang w:val="en-GB" w:eastAsia="en-GB"/>
              </w:rPr>
              <w:t>38</w:t>
            </w:r>
            <w:r>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15</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0.0</w:t>
            </w:r>
            <w:r>
              <w:rPr>
                <w:lang w:val="en-GB" w:eastAsia="en-GB"/>
              </w:rPr>
              <w:t>08</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0.01</w:t>
            </w:r>
            <w:r>
              <w:rPr>
                <w:lang w:val="en-GB" w:eastAsia="en-GB"/>
              </w:rPr>
              <w:t>7</w:t>
            </w:r>
            <w:r w:rsidRPr="008A46F0">
              <w:rPr>
                <w:lang w:eastAsia="en-GB"/>
              </w:rPr>
              <w:t>)</w:t>
            </w:r>
          </w:p>
        </w:tc>
        <w:tc>
          <w:tcPr>
            <w:tcW w:w="1366" w:type="dxa"/>
          </w:tcPr>
          <w:p w:rsidR="008038D2" w:rsidRPr="00A31008" w:rsidRDefault="008038D2" w:rsidP="00580297">
            <w:pPr>
              <w:pStyle w:val="BodyText"/>
              <w:framePr w:hSpace="0" w:wrap="auto" w:vAnchor="margin" w:hAnchor="text" w:yAlign="inline"/>
              <w:rPr>
                <w:lang w:val="en-GB" w:eastAsia="en-GB"/>
              </w:rPr>
            </w:pPr>
            <w:r>
              <w:rPr>
                <w:lang w:eastAsia="en-GB"/>
              </w:rPr>
              <w:t xml:space="preserve"> 0.016</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0.01</w:t>
            </w:r>
            <w:r>
              <w:rPr>
                <w:lang w:val="en-GB" w:eastAsia="en-GB"/>
              </w:rPr>
              <w:t>6</w:t>
            </w:r>
            <w:r w:rsidRPr="008A46F0">
              <w:rPr>
                <w:lang w:eastAsia="en-GB"/>
              </w:rPr>
              <w:t>)</w:t>
            </w:r>
          </w:p>
        </w:tc>
        <w:tc>
          <w:tcPr>
            <w:tcW w:w="1366" w:type="dxa"/>
          </w:tcPr>
          <w:p w:rsidR="008038D2" w:rsidRPr="00581A9A" w:rsidRDefault="008038D2" w:rsidP="00580297">
            <w:pPr>
              <w:pStyle w:val="BodyText"/>
              <w:framePr w:hSpace="0" w:wrap="auto" w:vAnchor="margin" w:hAnchor="text" w:yAlign="inline"/>
              <w:rPr>
                <w:lang w:eastAsia="en-GB"/>
              </w:rPr>
            </w:pPr>
            <w:r>
              <w:rPr>
                <w:lang w:eastAsia="en-GB"/>
              </w:rPr>
              <w:t xml:space="preserve"> 0.</w:t>
            </w:r>
            <w:r>
              <w:rPr>
                <w:lang w:val="en-GB" w:eastAsia="en-GB"/>
              </w:rPr>
              <w:t>037*</w:t>
            </w:r>
            <w:r>
              <w:rPr>
                <w:lang w:eastAsia="en-GB"/>
              </w:rPr>
              <w:t>*</w:t>
            </w:r>
          </w:p>
        </w:tc>
        <w:tc>
          <w:tcPr>
            <w:tcW w:w="1134" w:type="dxa"/>
          </w:tcPr>
          <w:p w:rsidR="008038D2" w:rsidRPr="00581A9A" w:rsidRDefault="008038D2" w:rsidP="00580297">
            <w:pPr>
              <w:pStyle w:val="BodyText"/>
              <w:framePr w:hSpace="0" w:wrap="auto" w:vAnchor="margin" w:hAnchor="text" w:yAlign="inline"/>
              <w:rPr>
                <w:lang w:eastAsia="en-GB"/>
              </w:rPr>
            </w:pPr>
            <w:r>
              <w:rPr>
                <w:lang w:eastAsia="en-GB"/>
              </w:rPr>
              <w:t>(0.0</w:t>
            </w:r>
            <w:r>
              <w:rPr>
                <w:lang w:val="en-GB" w:eastAsia="en-GB"/>
              </w:rPr>
              <w:t>13</w:t>
            </w:r>
            <w:r w:rsidRPr="00581A9A">
              <w:rPr>
                <w:lang w:eastAsia="en-GB"/>
              </w:rPr>
              <w:t>)</w:t>
            </w:r>
          </w:p>
        </w:tc>
      </w:tr>
      <w:tr w:rsidR="008038D2" w:rsidRPr="00AD1AEF" w:rsidTr="00580297">
        <w:trPr>
          <w:gridAfter w:val="1"/>
          <w:wAfter w:w="34" w:type="dxa"/>
        </w:trPr>
        <w:tc>
          <w:tcPr>
            <w:tcW w:w="2376" w:type="dxa"/>
          </w:tcPr>
          <w:p w:rsidR="008038D2" w:rsidRPr="00597CE5" w:rsidRDefault="008038D2" w:rsidP="00580297">
            <w:pPr>
              <w:rPr>
                <w:rFonts w:eastAsia="Times New Roman"/>
                <w:bCs/>
                <w:color w:val="000000"/>
                <w:sz w:val="20"/>
                <w:szCs w:val="20"/>
              </w:rPr>
            </w:pPr>
            <w:r>
              <w:rPr>
                <w:rFonts w:eastAsia="Times New Roman"/>
                <w:bCs/>
                <w:color w:val="000000"/>
                <w:sz w:val="20"/>
                <w:szCs w:val="20"/>
              </w:rPr>
              <w:t>Total Media Coverage</w:t>
            </w:r>
          </w:p>
        </w:tc>
        <w:tc>
          <w:tcPr>
            <w:tcW w:w="1366" w:type="dxa"/>
          </w:tcPr>
          <w:p w:rsidR="008038D2" w:rsidRPr="008A46F0" w:rsidRDefault="008038D2" w:rsidP="00580297">
            <w:pPr>
              <w:pStyle w:val="BodyText"/>
              <w:framePr w:hSpace="0" w:wrap="auto" w:vAnchor="margin" w:hAnchor="text" w:yAlign="inline"/>
              <w:rPr>
                <w:lang w:eastAsia="en-GB"/>
              </w:rPr>
            </w:pPr>
            <w:r>
              <w:rPr>
                <w:lang w:eastAsia="en-GB"/>
              </w:rPr>
              <w:t xml:space="preserve"> 0.2</w:t>
            </w:r>
            <w:r>
              <w:rPr>
                <w:lang w:val="en-GB" w:eastAsia="en-GB"/>
              </w:rPr>
              <w:t>20</w:t>
            </w:r>
            <w:r>
              <w:rPr>
                <w:lang w:eastAsia="en-GB"/>
              </w:rPr>
              <w:t>**</w:t>
            </w:r>
            <w:r w:rsidRPr="008A46F0">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0.01</w:t>
            </w:r>
            <w:r>
              <w:rPr>
                <w:lang w:val="en-GB" w:eastAsia="en-GB"/>
              </w:rPr>
              <w:t>2</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w:t>
            </w:r>
            <w:r>
              <w:rPr>
                <w:lang w:val="en-GB" w:eastAsia="en-GB"/>
              </w:rPr>
              <w:t>092</w:t>
            </w:r>
            <w:r>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0.010</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Pr>
                <w:lang w:eastAsia="en-GB"/>
              </w:rPr>
              <w:t xml:space="preserve"> 0.15</w:t>
            </w:r>
            <w:r>
              <w:rPr>
                <w:lang w:val="en-GB" w:eastAsia="en-GB"/>
              </w:rPr>
              <w:t>2</w:t>
            </w:r>
            <w:r>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0.01</w:t>
            </w:r>
            <w:r>
              <w:rPr>
                <w:lang w:val="en-GB" w:eastAsia="en-GB"/>
              </w:rPr>
              <w:t>3</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Pr>
                <w:lang w:eastAsia="en-GB"/>
              </w:rPr>
              <w:t xml:space="preserve"> 0.</w:t>
            </w:r>
            <w:r>
              <w:rPr>
                <w:lang w:val="en-GB" w:eastAsia="en-GB"/>
              </w:rPr>
              <w:t>159</w:t>
            </w:r>
            <w:r>
              <w:rPr>
                <w:lang w:eastAsia="en-GB"/>
              </w:rPr>
              <w:t>**</w:t>
            </w:r>
            <w:r w:rsidRPr="008A46F0">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0.01</w:t>
            </w:r>
            <w:r>
              <w:rPr>
                <w:lang w:val="en-GB" w:eastAsia="en-GB"/>
              </w:rPr>
              <w:t>2</w:t>
            </w:r>
            <w:r w:rsidRPr="008A46F0">
              <w:rPr>
                <w:lang w:eastAsia="en-GB"/>
              </w:rPr>
              <w:t>)</w:t>
            </w:r>
          </w:p>
        </w:tc>
        <w:tc>
          <w:tcPr>
            <w:tcW w:w="1366" w:type="dxa"/>
          </w:tcPr>
          <w:p w:rsidR="008038D2" w:rsidRPr="00581A9A" w:rsidRDefault="008038D2" w:rsidP="00580297">
            <w:pPr>
              <w:pStyle w:val="BodyText"/>
              <w:framePr w:hSpace="0" w:wrap="auto" w:vAnchor="margin" w:hAnchor="text" w:yAlign="inline"/>
              <w:rPr>
                <w:lang w:eastAsia="en-GB"/>
              </w:rPr>
            </w:pPr>
            <w:r w:rsidRPr="00581A9A">
              <w:rPr>
                <w:lang w:eastAsia="en-GB"/>
              </w:rPr>
              <w:t xml:space="preserve"> </w:t>
            </w:r>
            <w:r>
              <w:rPr>
                <w:lang w:eastAsia="en-GB"/>
              </w:rPr>
              <w:t>0.04</w:t>
            </w:r>
            <w:r>
              <w:rPr>
                <w:lang w:val="en-GB" w:eastAsia="en-GB"/>
              </w:rPr>
              <w:t>0</w:t>
            </w:r>
            <w:r>
              <w:rPr>
                <w:lang w:eastAsia="en-GB"/>
              </w:rPr>
              <w:t>***</w:t>
            </w:r>
          </w:p>
        </w:tc>
        <w:tc>
          <w:tcPr>
            <w:tcW w:w="1134" w:type="dxa"/>
          </w:tcPr>
          <w:p w:rsidR="008038D2" w:rsidRPr="00581A9A" w:rsidRDefault="008038D2" w:rsidP="00580297">
            <w:pPr>
              <w:pStyle w:val="BodyText"/>
              <w:framePr w:hSpace="0" w:wrap="auto" w:vAnchor="margin" w:hAnchor="text" w:yAlign="inline"/>
              <w:rPr>
                <w:lang w:eastAsia="en-GB"/>
              </w:rPr>
            </w:pPr>
            <w:r w:rsidRPr="00581A9A">
              <w:rPr>
                <w:lang w:eastAsia="en-GB"/>
              </w:rPr>
              <w:t>(</w:t>
            </w:r>
            <w:r>
              <w:rPr>
                <w:lang w:eastAsia="en-GB"/>
              </w:rPr>
              <w:t>0.01</w:t>
            </w:r>
            <w:r>
              <w:rPr>
                <w:lang w:val="en-GB" w:eastAsia="en-GB"/>
              </w:rPr>
              <w:t>1</w:t>
            </w:r>
            <w:r w:rsidRPr="00581A9A">
              <w:rPr>
                <w:lang w:eastAsia="en-GB"/>
              </w:rPr>
              <w:t>)</w:t>
            </w:r>
          </w:p>
        </w:tc>
      </w:tr>
      <w:tr w:rsidR="008038D2" w:rsidRPr="00AD1AEF" w:rsidTr="00580297">
        <w:trPr>
          <w:gridAfter w:val="1"/>
          <w:wAfter w:w="34" w:type="dxa"/>
        </w:trPr>
        <w:tc>
          <w:tcPr>
            <w:tcW w:w="2376" w:type="dxa"/>
          </w:tcPr>
          <w:p w:rsidR="008038D2" w:rsidRPr="00597CE5" w:rsidRDefault="008038D2" w:rsidP="00580297">
            <w:pPr>
              <w:rPr>
                <w:rFonts w:eastAsia="Times New Roman"/>
                <w:bCs/>
                <w:color w:val="000000"/>
                <w:sz w:val="20"/>
                <w:szCs w:val="20"/>
              </w:rPr>
            </w:pPr>
            <w:r>
              <w:rPr>
                <w:rFonts w:eastAsia="Times New Roman"/>
                <w:bCs/>
                <w:color w:val="000000"/>
                <w:sz w:val="20"/>
                <w:szCs w:val="20"/>
              </w:rPr>
              <w:t xml:space="preserve">TTO </w:t>
            </w:r>
            <w:r w:rsidRPr="00597CE5">
              <w:rPr>
                <w:rFonts w:eastAsia="Times New Roman"/>
                <w:bCs/>
                <w:color w:val="000000"/>
                <w:sz w:val="20"/>
                <w:szCs w:val="20"/>
              </w:rPr>
              <w:t>Structure</w:t>
            </w:r>
          </w:p>
        </w:tc>
        <w:tc>
          <w:tcPr>
            <w:tcW w:w="1366" w:type="dxa"/>
          </w:tcPr>
          <w:p w:rsidR="008038D2" w:rsidRPr="00432345" w:rsidRDefault="008038D2" w:rsidP="00580297">
            <w:pPr>
              <w:pStyle w:val="BodyText"/>
              <w:framePr w:hSpace="0" w:wrap="auto" w:vAnchor="margin" w:hAnchor="text" w:yAlign="inline"/>
              <w:rPr>
                <w:lang w:val="en-GB" w:eastAsia="en-GB"/>
              </w:rPr>
            </w:pPr>
            <w:r>
              <w:rPr>
                <w:lang w:val="en-GB" w:eastAsia="en-GB"/>
              </w:rPr>
              <w:t>-</w:t>
            </w:r>
            <w:r>
              <w:rPr>
                <w:lang w:eastAsia="en-GB"/>
              </w:rPr>
              <w:t>0.</w:t>
            </w:r>
            <w:r>
              <w:rPr>
                <w:lang w:val="en-GB" w:eastAsia="en-GB"/>
              </w:rPr>
              <w:t>003*</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10</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0.00</w:t>
            </w:r>
            <w:r>
              <w:rPr>
                <w:lang w:val="en-GB" w:eastAsia="en-GB"/>
              </w:rPr>
              <w:t>3</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0.008</w:t>
            </w:r>
            <w:r w:rsidRPr="008A46F0">
              <w:rPr>
                <w:lang w:eastAsia="en-GB"/>
              </w:rPr>
              <w:t>)</w:t>
            </w:r>
          </w:p>
        </w:tc>
        <w:tc>
          <w:tcPr>
            <w:tcW w:w="1366" w:type="dxa"/>
          </w:tcPr>
          <w:p w:rsidR="008038D2" w:rsidRPr="00A31008" w:rsidRDefault="008038D2" w:rsidP="00580297">
            <w:pPr>
              <w:pStyle w:val="BodyText"/>
              <w:framePr w:hSpace="0" w:wrap="auto" w:vAnchor="margin" w:hAnchor="text" w:yAlign="inline"/>
              <w:rPr>
                <w:lang w:val="en-GB" w:eastAsia="en-GB"/>
              </w:rPr>
            </w:pPr>
            <w:r>
              <w:rPr>
                <w:lang w:val="en-GB" w:eastAsia="en-GB"/>
              </w:rPr>
              <w:t>-</w:t>
            </w:r>
            <w:r>
              <w:rPr>
                <w:lang w:eastAsia="en-GB"/>
              </w:rPr>
              <w:t>0.00</w:t>
            </w:r>
            <w:r>
              <w:rPr>
                <w:lang w:val="en-GB" w:eastAsia="en-GB"/>
              </w:rPr>
              <w:t>2*</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10</w:t>
            </w:r>
            <w:r w:rsidRPr="008A46F0">
              <w:rPr>
                <w:lang w:eastAsia="en-GB"/>
              </w:rPr>
              <w:t>)</w:t>
            </w:r>
          </w:p>
        </w:tc>
        <w:tc>
          <w:tcPr>
            <w:tcW w:w="1366" w:type="dxa"/>
          </w:tcPr>
          <w:p w:rsidR="008038D2" w:rsidRPr="00A31008" w:rsidRDefault="008038D2" w:rsidP="00580297">
            <w:pPr>
              <w:pStyle w:val="BodyText"/>
              <w:framePr w:hSpace="0" w:wrap="auto" w:vAnchor="margin" w:hAnchor="text" w:yAlign="inline"/>
              <w:rPr>
                <w:lang w:val="en-GB" w:eastAsia="en-GB"/>
              </w:rPr>
            </w:pPr>
            <w:r>
              <w:rPr>
                <w:lang w:val="en-GB" w:eastAsia="en-GB"/>
              </w:rPr>
              <w:t>-</w:t>
            </w:r>
            <w:r>
              <w:rPr>
                <w:lang w:eastAsia="en-GB"/>
              </w:rPr>
              <w:t>0.0</w:t>
            </w:r>
            <w:r>
              <w:rPr>
                <w:lang w:val="en-GB" w:eastAsia="en-GB"/>
              </w:rPr>
              <w:t>25*</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10</w:t>
            </w:r>
            <w:r w:rsidRPr="008A46F0">
              <w:rPr>
                <w:lang w:eastAsia="en-GB"/>
              </w:rPr>
              <w:t>)</w:t>
            </w:r>
          </w:p>
        </w:tc>
        <w:tc>
          <w:tcPr>
            <w:tcW w:w="1366" w:type="dxa"/>
          </w:tcPr>
          <w:p w:rsidR="008038D2" w:rsidRPr="00A31008" w:rsidRDefault="008038D2" w:rsidP="00580297">
            <w:pPr>
              <w:pStyle w:val="BodyText"/>
              <w:framePr w:hSpace="0" w:wrap="auto" w:vAnchor="margin" w:hAnchor="text" w:yAlign="inline"/>
              <w:rPr>
                <w:lang w:val="en-GB" w:eastAsia="en-GB"/>
              </w:rPr>
            </w:pPr>
            <w:r>
              <w:rPr>
                <w:lang w:eastAsia="en-GB"/>
              </w:rPr>
              <w:t xml:space="preserve"> 0.00</w:t>
            </w:r>
            <w:r>
              <w:rPr>
                <w:lang w:val="en-GB" w:eastAsia="en-GB"/>
              </w:rPr>
              <w:t>6</w:t>
            </w:r>
          </w:p>
        </w:tc>
        <w:tc>
          <w:tcPr>
            <w:tcW w:w="1134" w:type="dxa"/>
          </w:tcPr>
          <w:p w:rsidR="008038D2" w:rsidRPr="00581A9A" w:rsidRDefault="008038D2" w:rsidP="00580297">
            <w:pPr>
              <w:pStyle w:val="BodyText"/>
              <w:framePr w:hSpace="0" w:wrap="auto" w:vAnchor="margin" w:hAnchor="text" w:yAlign="inline"/>
              <w:rPr>
                <w:lang w:eastAsia="en-GB"/>
              </w:rPr>
            </w:pPr>
            <w:r>
              <w:rPr>
                <w:lang w:eastAsia="en-GB"/>
              </w:rPr>
              <w:t>(0.00</w:t>
            </w:r>
            <w:r>
              <w:rPr>
                <w:lang w:val="en-GB" w:eastAsia="en-GB"/>
              </w:rPr>
              <w:t>8</w:t>
            </w:r>
            <w:r w:rsidRPr="00581A9A">
              <w:rPr>
                <w:lang w:eastAsia="en-GB"/>
              </w:rPr>
              <w:t>)</w:t>
            </w:r>
          </w:p>
        </w:tc>
      </w:tr>
      <w:tr w:rsidR="008038D2" w:rsidRPr="00AD1AEF" w:rsidTr="00580297">
        <w:trPr>
          <w:gridAfter w:val="1"/>
          <w:wAfter w:w="34" w:type="dxa"/>
        </w:trPr>
        <w:tc>
          <w:tcPr>
            <w:tcW w:w="2376" w:type="dxa"/>
          </w:tcPr>
          <w:p w:rsidR="008038D2" w:rsidRPr="00597CE5" w:rsidRDefault="008038D2" w:rsidP="00580297">
            <w:pPr>
              <w:rPr>
                <w:rFonts w:eastAsia="Times New Roman"/>
                <w:bCs/>
                <w:color w:val="000000"/>
                <w:sz w:val="20"/>
                <w:szCs w:val="20"/>
              </w:rPr>
            </w:pPr>
            <w:r>
              <w:rPr>
                <w:rFonts w:eastAsia="Times New Roman"/>
                <w:bCs/>
                <w:color w:val="000000"/>
                <w:sz w:val="20"/>
                <w:szCs w:val="20"/>
              </w:rPr>
              <w:t xml:space="preserve">University </w:t>
            </w:r>
            <w:r w:rsidRPr="00597CE5">
              <w:rPr>
                <w:rFonts w:eastAsia="Times New Roman"/>
                <w:bCs/>
                <w:color w:val="000000"/>
                <w:sz w:val="20"/>
                <w:szCs w:val="20"/>
              </w:rPr>
              <w:t>Size</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w:t>
            </w:r>
            <w:r w:rsidRPr="008A46F0">
              <w:rPr>
                <w:lang w:eastAsia="en-GB"/>
              </w:rPr>
              <w:t>.</w:t>
            </w:r>
            <w:r>
              <w:rPr>
                <w:lang w:eastAsia="en-GB"/>
              </w:rPr>
              <w:t>0</w:t>
            </w:r>
            <w:r>
              <w:rPr>
                <w:lang w:val="en-GB" w:eastAsia="en-GB"/>
              </w:rPr>
              <w:t>08</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15</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10</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12</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w:t>
            </w:r>
            <w:r w:rsidRPr="008A46F0">
              <w:rPr>
                <w:lang w:eastAsia="en-GB"/>
              </w:rPr>
              <w:t>.0</w:t>
            </w:r>
            <w:r>
              <w:rPr>
                <w:lang w:val="en-GB" w:eastAsia="en-GB"/>
              </w:rPr>
              <w:t>09</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14</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Pr>
                <w:lang w:eastAsia="en-GB"/>
              </w:rPr>
              <w:t>-0.0</w:t>
            </w:r>
            <w:r>
              <w:rPr>
                <w:lang w:val="en-GB" w:eastAsia="en-GB"/>
              </w:rPr>
              <w:t>01</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13</w:t>
            </w:r>
            <w:r w:rsidRPr="008A46F0">
              <w:rPr>
                <w:lang w:eastAsia="en-GB"/>
              </w:rPr>
              <w:t>)</w:t>
            </w:r>
          </w:p>
        </w:tc>
        <w:tc>
          <w:tcPr>
            <w:tcW w:w="1366" w:type="dxa"/>
          </w:tcPr>
          <w:p w:rsidR="008038D2" w:rsidRPr="00581A9A" w:rsidRDefault="008038D2" w:rsidP="00580297">
            <w:pPr>
              <w:pStyle w:val="BodyText"/>
              <w:framePr w:hSpace="0" w:wrap="auto" w:vAnchor="margin" w:hAnchor="text" w:yAlign="inline"/>
              <w:rPr>
                <w:lang w:eastAsia="en-GB"/>
              </w:rPr>
            </w:pPr>
            <w:r>
              <w:rPr>
                <w:lang w:eastAsia="en-GB"/>
              </w:rPr>
              <w:t>-0.</w:t>
            </w:r>
            <w:r>
              <w:rPr>
                <w:lang w:val="en-GB" w:eastAsia="en-GB"/>
              </w:rPr>
              <w:t>004</w:t>
            </w:r>
          </w:p>
        </w:tc>
        <w:tc>
          <w:tcPr>
            <w:tcW w:w="1134" w:type="dxa"/>
          </w:tcPr>
          <w:p w:rsidR="008038D2" w:rsidRPr="00581A9A" w:rsidRDefault="008038D2" w:rsidP="00580297">
            <w:pPr>
              <w:pStyle w:val="BodyText"/>
              <w:framePr w:hSpace="0" w:wrap="auto" w:vAnchor="margin" w:hAnchor="text" w:yAlign="inline"/>
              <w:rPr>
                <w:lang w:eastAsia="en-GB"/>
              </w:rPr>
            </w:pPr>
            <w:r>
              <w:rPr>
                <w:lang w:eastAsia="en-GB"/>
              </w:rPr>
              <w:t>(0.0</w:t>
            </w:r>
            <w:r>
              <w:rPr>
                <w:lang w:val="en-GB" w:eastAsia="en-GB"/>
              </w:rPr>
              <w:t>11</w:t>
            </w:r>
            <w:r w:rsidRPr="00581A9A">
              <w:rPr>
                <w:lang w:eastAsia="en-GB"/>
              </w:rPr>
              <w:t>)</w:t>
            </w:r>
          </w:p>
        </w:tc>
      </w:tr>
      <w:tr w:rsidR="008038D2" w:rsidRPr="00AD1AEF" w:rsidTr="00580297">
        <w:trPr>
          <w:gridAfter w:val="1"/>
          <w:wAfter w:w="34" w:type="dxa"/>
        </w:trPr>
        <w:tc>
          <w:tcPr>
            <w:tcW w:w="2376" w:type="dxa"/>
          </w:tcPr>
          <w:p w:rsidR="008038D2" w:rsidRPr="00597CE5" w:rsidRDefault="008038D2" w:rsidP="00580297">
            <w:pPr>
              <w:rPr>
                <w:rFonts w:eastAsia="Times New Roman"/>
                <w:bCs/>
                <w:color w:val="000000"/>
                <w:sz w:val="20"/>
                <w:szCs w:val="20"/>
              </w:rPr>
            </w:pPr>
            <w:r w:rsidRPr="00597CE5">
              <w:rPr>
                <w:rFonts w:eastAsia="Times New Roman"/>
                <w:bCs/>
                <w:color w:val="000000"/>
                <w:sz w:val="20"/>
                <w:szCs w:val="20"/>
              </w:rPr>
              <w:t>Russell Group</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0.1</w:t>
            </w:r>
            <w:r>
              <w:rPr>
                <w:lang w:val="en-GB" w:eastAsia="en-GB"/>
              </w:rPr>
              <w:t>74</w:t>
            </w:r>
            <w:r w:rsidRPr="008A46F0">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0.01</w:t>
            </w:r>
            <w:r>
              <w:rPr>
                <w:lang w:val="en-GB" w:eastAsia="en-GB"/>
              </w:rPr>
              <w:t>8</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0.1</w:t>
            </w:r>
            <w:r>
              <w:rPr>
                <w:lang w:val="en-GB" w:eastAsia="en-GB"/>
              </w:rPr>
              <w:t>98</w:t>
            </w:r>
            <w:r w:rsidRPr="008A46F0">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0.01</w:t>
            </w:r>
            <w:r>
              <w:rPr>
                <w:lang w:val="en-GB" w:eastAsia="en-GB"/>
              </w:rPr>
              <w:t>4</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0.1</w:t>
            </w:r>
            <w:r>
              <w:rPr>
                <w:lang w:val="en-GB" w:eastAsia="en-GB"/>
              </w:rPr>
              <w:t>69</w:t>
            </w:r>
            <w:r w:rsidRPr="008A46F0">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w:t>
            </w:r>
            <w:r>
              <w:rPr>
                <w:lang w:val="en-GB" w:eastAsia="en-GB"/>
              </w:rPr>
              <w:t>17</w:t>
            </w:r>
            <w:r w:rsidRPr="008A46F0">
              <w:rPr>
                <w:lang w:eastAsia="en-GB"/>
              </w:rPr>
              <w:t>)</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 xml:space="preserve"> </w:t>
            </w:r>
            <w:r>
              <w:rPr>
                <w:lang w:eastAsia="en-GB"/>
              </w:rPr>
              <w:t>0.1</w:t>
            </w:r>
            <w:r>
              <w:rPr>
                <w:lang w:val="en-GB" w:eastAsia="en-GB"/>
              </w:rPr>
              <w:t>74</w:t>
            </w:r>
            <w:r w:rsidRPr="008A46F0">
              <w:rPr>
                <w:lang w:eastAsia="en-GB"/>
              </w:rPr>
              <w:t>***</w:t>
            </w:r>
          </w:p>
        </w:tc>
        <w:tc>
          <w:tcPr>
            <w:tcW w:w="1134" w:type="dxa"/>
          </w:tcPr>
          <w:p w:rsidR="008038D2" w:rsidRPr="008A46F0" w:rsidRDefault="008038D2" w:rsidP="00580297">
            <w:pPr>
              <w:pStyle w:val="BodyText"/>
              <w:framePr w:hSpace="0" w:wrap="auto" w:vAnchor="margin" w:hAnchor="text" w:yAlign="inline"/>
              <w:rPr>
                <w:lang w:eastAsia="en-GB"/>
              </w:rPr>
            </w:pPr>
            <w:r w:rsidRPr="008A46F0">
              <w:rPr>
                <w:lang w:eastAsia="en-GB"/>
              </w:rPr>
              <w:t>(</w:t>
            </w:r>
            <w:r>
              <w:rPr>
                <w:lang w:eastAsia="en-GB"/>
              </w:rPr>
              <w:t>0.01</w:t>
            </w:r>
            <w:r>
              <w:rPr>
                <w:lang w:val="en-GB" w:eastAsia="en-GB"/>
              </w:rPr>
              <w:t>7</w:t>
            </w:r>
            <w:r w:rsidRPr="008A46F0">
              <w:rPr>
                <w:lang w:eastAsia="en-GB"/>
              </w:rPr>
              <w:t>)</w:t>
            </w:r>
          </w:p>
        </w:tc>
        <w:tc>
          <w:tcPr>
            <w:tcW w:w="1366" w:type="dxa"/>
          </w:tcPr>
          <w:p w:rsidR="008038D2" w:rsidRPr="00581A9A" w:rsidRDefault="008038D2" w:rsidP="00580297">
            <w:pPr>
              <w:pStyle w:val="BodyText"/>
              <w:framePr w:hSpace="0" w:wrap="auto" w:vAnchor="margin" w:hAnchor="text" w:yAlign="inline"/>
              <w:rPr>
                <w:lang w:eastAsia="en-GB"/>
              </w:rPr>
            </w:pPr>
            <w:r>
              <w:rPr>
                <w:lang w:eastAsia="en-GB"/>
              </w:rPr>
              <w:t xml:space="preserve"> 0.</w:t>
            </w:r>
            <w:r>
              <w:rPr>
                <w:lang w:val="en-GB" w:eastAsia="en-GB"/>
              </w:rPr>
              <w:t>195</w:t>
            </w:r>
            <w:r>
              <w:rPr>
                <w:lang w:eastAsia="en-GB"/>
              </w:rPr>
              <w:t>***</w:t>
            </w:r>
          </w:p>
        </w:tc>
        <w:tc>
          <w:tcPr>
            <w:tcW w:w="1134" w:type="dxa"/>
          </w:tcPr>
          <w:p w:rsidR="008038D2" w:rsidRPr="00581A9A" w:rsidRDefault="008038D2" w:rsidP="00580297">
            <w:pPr>
              <w:pStyle w:val="BodyText"/>
              <w:framePr w:hSpace="0" w:wrap="auto" w:vAnchor="margin" w:hAnchor="text" w:yAlign="inline"/>
              <w:rPr>
                <w:lang w:eastAsia="en-GB"/>
              </w:rPr>
            </w:pPr>
            <w:r>
              <w:rPr>
                <w:lang w:eastAsia="en-GB"/>
              </w:rPr>
              <w:t>(0.01</w:t>
            </w:r>
            <w:r>
              <w:rPr>
                <w:lang w:val="en-GB" w:eastAsia="en-GB"/>
              </w:rPr>
              <w:t>3</w:t>
            </w:r>
            <w:r w:rsidRPr="00581A9A">
              <w:rPr>
                <w:lang w:eastAsia="en-GB"/>
              </w:rPr>
              <w:t>)</w:t>
            </w:r>
          </w:p>
        </w:tc>
      </w:tr>
      <w:tr w:rsidR="008038D2" w:rsidRPr="00AD1AEF" w:rsidTr="00580297">
        <w:trPr>
          <w:gridAfter w:val="1"/>
          <w:wAfter w:w="34" w:type="dxa"/>
        </w:trPr>
        <w:tc>
          <w:tcPr>
            <w:tcW w:w="2376" w:type="dxa"/>
          </w:tcPr>
          <w:p w:rsidR="008038D2" w:rsidRPr="00075B12" w:rsidRDefault="008038D2" w:rsidP="00580297">
            <w:pPr>
              <w:rPr>
                <w:b/>
                <w:sz w:val="20"/>
                <w:szCs w:val="20"/>
              </w:rPr>
            </w:pPr>
            <w:r w:rsidRPr="00075B12">
              <w:rPr>
                <w:b/>
                <w:sz w:val="20"/>
                <w:szCs w:val="20"/>
              </w:rPr>
              <w:t>Portfolio Size</w:t>
            </w:r>
          </w:p>
        </w:tc>
        <w:tc>
          <w:tcPr>
            <w:tcW w:w="1366" w:type="dxa"/>
          </w:tcPr>
          <w:p w:rsidR="008038D2" w:rsidRPr="008A46F0" w:rsidRDefault="008038D2" w:rsidP="00580297">
            <w:pPr>
              <w:pStyle w:val="BodyText"/>
              <w:framePr w:hSpace="0" w:wrap="auto" w:vAnchor="margin" w:hAnchor="text" w:yAlign="inline"/>
              <w:rPr>
                <w:lang w:eastAsia="en-GB"/>
              </w:rPr>
            </w:pPr>
          </w:p>
        </w:tc>
        <w:tc>
          <w:tcPr>
            <w:tcW w:w="1134" w:type="dxa"/>
          </w:tcPr>
          <w:p w:rsidR="008038D2" w:rsidRPr="008A46F0" w:rsidRDefault="008038D2" w:rsidP="00580297">
            <w:pPr>
              <w:pStyle w:val="BodyText"/>
              <w:framePr w:hSpace="0" w:wrap="auto" w:vAnchor="margin" w:hAnchor="text" w:yAlign="inline"/>
              <w:rPr>
                <w:lang w:eastAsia="en-GB"/>
              </w:rPr>
            </w:pPr>
          </w:p>
        </w:tc>
        <w:tc>
          <w:tcPr>
            <w:tcW w:w="1366" w:type="dxa"/>
          </w:tcPr>
          <w:p w:rsidR="008038D2" w:rsidRPr="009E31AE" w:rsidRDefault="008038D2" w:rsidP="00580297">
            <w:pPr>
              <w:pStyle w:val="BodyText"/>
              <w:framePr w:hSpace="0" w:wrap="auto" w:vAnchor="margin" w:hAnchor="text" w:yAlign="inline"/>
              <w:rPr>
                <w:b/>
                <w:lang w:eastAsia="en-GB"/>
              </w:rPr>
            </w:pPr>
            <w:r w:rsidRPr="009E31AE">
              <w:rPr>
                <w:b/>
                <w:lang w:eastAsia="en-GB"/>
              </w:rPr>
              <w:t xml:space="preserve"> </w:t>
            </w:r>
            <w:r>
              <w:rPr>
                <w:b/>
                <w:lang w:eastAsia="en-GB"/>
              </w:rPr>
              <w:t>0.</w:t>
            </w:r>
            <w:r>
              <w:rPr>
                <w:b/>
                <w:lang w:val="en-GB" w:eastAsia="en-GB"/>
              </w:rPr>
              <w:t>367</w:t>
            </w:r>
            <w:r w:rsidRPr="009E31AE">
              <w:rPr>
                <w:b/>
                <w:lang w:eastAsia="en-GB"/>
              </w:rPr>
              <w:t>***</w:t>
            </w:r>
          </w:p>
        </w:tc>
        <w:tc>
          <w:tcPr>
            <w:tcW w:w="1134" w:type="dxa"/>
          </w:tcPr>
          <w:p w:rsidR="008038D2" w:rsidRPr="009E31AE" w:rsidRDefault="008038D2" w:rsidP="00580297">
            <w:pPr>
              <w:pStyle w:val="BodyText"/>
              <w:framePr w:hSpace="0" w:wrap="auto" w:vAnchor="margin" w:hAnchor="text" w:yAlign="inline"/>
              <w:rPr>
                <w:b/>
                <w:lang w:eastAsia="en-GB"/>
              </w:rPr>
            </w:pPr>
            <w:r w:rsidRPr="009E31AE">
              <w:rPr>
                <w:b/>
                <w:lang w:eastAsia="en-GB"/>
              </w:rPr>
              <w:t>(</w:t>
            </w:r>
            <w:r>
              <w:rPr>
                <w:b/>
                <w:lang w:eastAsia="en-GB"/>
              </w:rPr>
              <w:t>0.01</w:t>
            </w:r>
            <w:r>
              <w:rPr>
                <w:b/>
                <w:lang w:val="en-GB" w:eastAsia="en-GB"/>
              </w:rPr>
              <w:t>1</w:t>
            </w:r>
            <w:r w:rsidRPr="009E31AE">
              <w:rPr>
                <w:b/>
                <w:lang w:eastAsia="en-GB"/>
              </w:rPr>
              <w:t>)</w:t>
            </w:r>
          </w:p>
        </w:tc>
        <w:tc>
          <w:tcPr>
            <w:tcW w:w="1366" w:type="dxa"/>
          </w:tcPr>
          <w:p w:rsidR="008038D2" w:rsidRPr="009E31AE" w:rsidRDefault="008038D2" w:rsidP="00580297">
            <w:pPr>
              <w:pStyle w:val="BodyText"/>
              <w:framePr w:hSpace="0" w:wrap="auto" w:vAnchor="margin" w:hAnchor="text" w:yAlign="inline"/>
              <w:rPr>
                <w:b/>
                <w:lang w:eastAsia="en-GB"/>
              </w:rPr>
            </w:pPr>
          </w:p>
        </w:tc>
        <w:tc>
          <w:tcPr>
            <w:tcW w:w="1134" w:type="dxa"/>
          </w:tcPr>
          <w:p w:rsidR="008038D2" w:rsidRPr="009E31AE" w:rsidRDefault="008038D2" w:rsidP="00580297">
            <w:pPr>
              <w:pStyle w:val="BodyText"/>
              <w:framePr w:hSpace="0" w:wrap="auto" w:vAnchor="margin" w:hAnchor="text" w:yAlign="inline"/>
              <w:rPr>
                <w:b/>
                <w:lang w:eastAsia="en-GB"/>
              </w:rPr>
            </w:pPr>
          </w:p>
        </w:tc>
        <w:tc>
          <w:tcPr>
            <w:tcW w:w="1366" w:type="dxa"/>
          </w:tcPr>
          <w:p w:rsidR="008038D2" w:rsidRPr="009E31AE" w:rsidRDefault="008038D2" w:rsidP="00580297">
            <w:pPr>
              <w:pStyle w:val="BodyText"/>
              <w:framePr w:hSpace="0" w:wrap="auto" w:vAnchor="margin" w:hAnchor="text" w:yAlign="inline"/>
              <w:rPr>
                <w:b/>
                <w:lang w:eastAsia="en-GB"/>
              </w:rPr>
            </w:pPr>
          </w:p>
        </w:tc>
        <w:tc>
          <w:tcPr>
            <w:tcW w:w="1134" w:type="dxa"/>
          </w:tcPr>
          <w:p w:rsidR="008038D2" w:rsidRPr="009E31AE" w:rsidRDefault="008038D2" w:rsidP="00580297">
            <w:pPr>
              <w:pStyle w:val="BodyText"/>
              <w:framePr w:hSpace="0" w:wrap="auto" w:vAnchor="margin" w:hAnchor="text" w:yAlign="inline"/>
              <w:rPr>
                <w:b/>
                <w:lang w:eastAsia="en-GB"/>
              </w:rPr>
            </w:pPr>
          </w:p>
        </w:tc>
        <w:tc>
          <w:tcPr>
            <w:tcW w:w="1366" w:type="dxa"/>
          </w:tcPr>
          <w:p w:rsidR="008038D2" w:rsidRPr="009E31AE" w:rsidRDefault="008038D2" w:rsidP="00580297">
            <w:pPr>
              <w:pStyle w:val="BodyText"/>
              <w:framePr w:hSpace="0" w:wrap="auto" w:vAnchor="margin" w:hAnchor="text" w:yAlign="inline"/>
              <w:rPr>
                <w:b/>
                <w:lang w:eastAsia="en-GB"/>
              </w:rPr>
            </w:pPr>
            <w:r w:rsidRPr="009E31AE">
              <w:rPr>
                <w:b/>
                <w:lang w:eastAsia="en-GB"/>
              </w:rPr>
              <w:t xml:space="preserve"> </w:t>
            </w:r>
            <w:r>
              <w:rPr>
                <w:b/>
                <w:lang w:eastAsia="en-GB"/>
              </w:rPr>
              <w:t>0.3</w:t>
            </w:r>
            <w:r>
              <w:rPr>
                <w:b/>
                <w:lang w:val="en-GB" w:eastAsia="en-GB"/>
              </w:rPr>
              <w:t>10</w:t>
            </w:r>
            <w:r w:rsidRPr="009E31AE">
              <w:rPr>
                <w:b/>
                <w:lang w:eastAsia="en-GB"/>
              </w:rPr>
              <w:t>***</w:t>
            </w:r>
          </w:p>
        </w:tc>
        <w:tc>
          <w:tcPr>
            <w:tcW w:w="1134" w:type="dxa"/>
          </w:tcPr>
          <w:p w:rsidR="008038D2" w:rsidRPr="009E31AE" w:rsidRDefault="008038D2" w:rsidP="00580297">
            <w:pPr>
              <w:pStyle w:val="BodyText"/>
              <w:framePr w:hSpace="0" w:wrap="auto" w:vAnchor="margin" w:hAnchor="text" w:yAlign="inline"/>
              <w:rPr>
                <w:b/>
                <w:lang w:eastAsia="en-GB"/>
              </w:rPr>
            </w:pPr>
            <w:r w:rsidRPr="009E31AE">
              <w:rPr>
                <w:b/>
                <w:lang w:eastAsia="en-GB"/>
              </w:rPr>
              <w:t>(</w:t>
            </w:r>
            <w:r>
              <w:rPr>
                <w:b/>
                <w:lang w:eastAsia="en-GB"/>
              </w:rPr>
              <w:t>0.01</w:t>
            </w:r>
            <w:r>
              <w:rPr>
                <w:b/>
                <w:lang w:val="en-GB" w:eastAsia="en-GB"/>
              </w:rPr>
              <w:t>1</w:t>
            </w:r>
            <w:r w:rsidRPr="009E31AE">
              <w:rPr>
                <w:b/>
                <w:lang w:eastAsia="en-GB"/>
              </w:rPr>
              <w:t>)</w:t>
            </w:r>
          </w:p>
        </w:tc>
      </w:tr>
      <w:tr w:rsidR="008038D2" w:rsidRPr="00AD1AEF" w:rsidTr="00580297">
        <w:trPr>
          <w:gridAfter w:val="1"/>
          <w:wAfter w:w="34" w:type="dxa"/>
        </w:trPr>
        <w:tc>
          <w:tcPr>
            <w:tcW w:w="2376" w:type="dxa"/>
          </w:tcPr>
          <w:p w:rsidR="008038D2" w:rsidRPr="00075B12" w:rsidRDefault="008038D2" w:rsidP="00580297">
            <w:pPr>
              <w:rPr>
                <w:b/>
                <w:sz w:val="20"/>
                <w:szCs w:val="20"/>
              </w:rPr>
            </w:pPr>
            <w:r w:rsidRPr="00075B12">
              <w:rPr>
                <w:b/>
                <w:sz w:val="20"/>
                <w:szCs w:val="20"/>
              </w:rPr>
              <w:t xml:space="preserve">Portfolio Performance </w:t>
            </w:r>
          </w:p>
        </w:tc>
        <w:tc>
          <w:tcPr>
            <w:tcW w:w="1366" w:type="dxa"/>
          </w:tcPr>
          <w:p w:rsidR="008038D2" w:rsidRPr="008A46F0" w:rsidRDefault="008038D2" w:rsidP="00580297">
            <w:pPr>
              <w:pStyle w:val="BodyText"/>
              <w:framePr w:hSpace="0" w:wrap="auto" w:vAnchor="margin" w:hAnchor="text" w:yAlign="inline"/>
              <w:rPr>
                <w:lang w:eastAsia="en-GB"/>
              </w:rPr>
            </w:pPr>
          </w:p>
        </w:tc>
        <w:tc>
          <w:tcPr>
            <w:tcW w:w="1134" w:type="dxa"/>
          </w:tcPr>
          <w:p w:rsidR="008038D2" w:rsidRPr="008A46F0" w:rsidRDefault="008038D2" w:rsidP="00580297">
            <w:pPr>
              <w:pStyle w:val="BodyText"/>
              <w:framePr w:hSpace="0" w:wrap="auto" w:vAnchor="margin" w:hAnchor="text" w:yAlign="inline"/>
              <w:rPr>
                <w:lang w:eastAsia="en-GB"/>
              </w:rPr>
            </w:pPr>
          </w:p>
        </w:tc>
        <w:tc>
          <w:tcPr>
            <w:tcW w:w="1366" w:type="dxa"/>
          </w:tcPr>
          <w:p w:rsidR="008038D2" w:rsidRPr="009E31AE" w:rsidRDefault="008038D2" w:rsidP="00580297">
            <w:pPr>
              <w:pStyle w:val="BodyText"/>
              <w:framePr w:hSpace="0" w:wrap="auto" w:vAnchor="margin" w:hAnchor="text" w:yAlign="inline"/>
              <w:rPr>
                <w:b/>
                <w:lang w:eastAsia="en-GB"/>
              </w:rPr>
            </w:pPr>
          </w:p>
        </w:tc>
        <w:tc>
          <w:tcPr>
            <w:tcW w:w="1134" w:type="dxa"/>
          </w:tcPr>
          <w:p w:rsidR="008038D2" w:rsidRPr="009E31AE" w:rsidRDefault="008038D2" w:rsidP="00580297">
            <w:pPr>
              <w:pStyle w:val="BodyText"/>
              <w:framePr w:hSpace="0" w:wrap="auto" w:vAnchor="margin" w:hAnchor="text" w:yAlign="inline"/>
              <w:rPr>
                <w:b/>
                <w:lang w:eastAsia="en-GB"/>
              </w:rPr>
            </w:pPr>
          </w:p>
        </w:tc>
        <w:tc>
          <w:tcPr>
            <w:tcW w:w="1366" w:type="dxa"/>
          </w:tcPr>
          <w:p w:rsidR="008038D2" w:rsidRPr="009E31AE" w:rsidRDefault="008038D2" w:rsidP="00580297">
            <w:pPr>
              <w:pStyle w:val="BodyText"/>
              <w:framePr w:hSpace="0" w:wrap="auto" w:vAnchor="margin" w:hAnchor="text" w:yAlign="inline"/>
              <w:rPr>
                <w:b/>
                <w:lang w:eastAsia="en-GB"/>
              </w:rPr>
            </w:pPr>
            <w:r w:rsidRPr="009E31AE">
              <w:rPr>
                <w:b/>
                <w:lang w:eastAsia="en-GB"/>
              </w:rPr>
              <w:t xml:space="preserve"> 0.1</w:t>
            </w:r>
            <w:r>
              <w:rPr>
                <w:b/>
                <w:lang w:eastAsia="en-GB"/>
              </w:rPr>
              <w:t>3</w:t>
            </w:r>
            <w:r>
              <w:rPr>
                <w:b/>
                <w:lang w:val="en-GB" w:eastAsia="en-GB"/>
              </w:rPr>
              <w:t>6</w:t>
            </w:r>
            <w:r w:rsidRPr="009E31AE">
              <w:rPr>
                <w:b/>
                <w:lang w:eastAsia="en-GB"/>
              </w:rPr>
              <w:t>***</w:t>
            </w:r>
          </w:p>
        </w:tc>
        <w:tc>
          <w:tcPr>
            <w:tcW w:w="1134" w:type="dxa"/>
          </w:tcPr>
          <w:p w:rsidR="008038D2" w:rsidRPr="009E31AE" w:rsidRDefault="008038D2" w:rsidP="00580297">
            <w:pPr>
              <w:pStyle w:val="BodyText"/>
              <w:framePr w:hSpace="0" w:wrap="auto" w:vAnchor="margin" w:hAnchor="text" w:yAlign="inline"/>
              <w:rPr>
                <w:b/>
                <w:lang w:eastAsia="en-GB"/>
              </w:rPr>
            </w:pPr>
            <w:r w:rsidRPr="009E31AE">
              <w:rPr>
                <w:b/>
                <w:lang w:eastAsia="en-GB"/>
              </w:rPr>
              <w:t>(0.0</w:t>
            </w:r>
            <w:r>
              <w:rPr>
                <w:b/>
                <w:lang w:val="en-GB" w:eastAsia="en-GB"/>
              </w:rPr>
              <w:t>12</w:t>
            </w:r>
            <w:r w:rsidRPr="009E31AE">
              <w:rPr>
                <w:b/>
                <w:lang w:eastAsia="en-GB"/>
              </w:rPr>
              <w:t>)</w:t>
            </w:r>
          </w:p>
        </w:tc>
        <w:tc>
          <w:tcPr>
            <w:tcW w:w="1366" w:type="dxa"/>
          </w:tcPr>
          <w:p w:rsidR="008038D2" w:rsidRPr="009E31AE" w:rsidRDefault="008038D2" w:rsidP="00580297">
            <w:pPr>
              <w:pStyle w:val="BodyText"/>
              <w:framePr w:hSpace="0" w:wrap="auto" w:vAnchor="margin" w:hAnchor="text" w:yAlign="inline"/>
              <w:rPr>
                <w:b/>
                <w:lang w:eastAsia="en-GB"/>
              </w:rPr>
            </w:pPr>
          </w:p>
        </w:tc>
        <w:tc>
          <w:tcPr>
            <w:tcW w:w="1134" w:type="dxa"/>
          </w:tcPr>
          <w:p w:rsidR="008038D2" w:rsidRPr="009E31AE" w:rsidRDefault="008038D2" w:rsidP="00580297">
            <w:pPr>
              <w:pStyle w:val="BodyText"/>
              <w:framePr w:hSpace="0" w:wrap="auto" w:vAnchor="margin" w:hAnchor="text" w:yAlign="inline"/>
              <w:rPr>
                <w:b/>
                <w:lang w:eastAsia="en-GB"/>
              </w:rPr>
            </w:pPr>
          </w:p>
        </w:tc>
        <w:tc>
          <w:tcPr>
            <w:tcW w:w="1366" w:type="dxa"/>
          </w:tcPr>
          <w:p w:rsidR="008038D2" w:rsidRPr="009E31AE" w:rsidRDefault="008038D2" w:rsidP="00580297">
            <w:pPr>
              <w:pStyle w:val="BodyText"/>
              <w:framePr w:hSpace="0" w:wrap="auto" w:vAnchor="margin" w:hAnchor="text" w:yAlign="inline"/>
              <w:rPr>
                <w:b/>
                <w:lang w:eastAsia="en-GB"/>
              </w:rPr>
            </w:pPr>
            <w:r w:rsidRPr="009E31AE">
              <w:rPr>
                <w:b/>
                <w:lang w:eastAsia="en-GB"/>
              </w:rPr>
              <w:t xml:space="preserve"> </w:t>
            </w:r>
            <w:r>
              <w:rPr>
                <w:b/>
                <w:lang w:eastAsia="en-GB"/>
              </w:rPr>
              <w:t>0.0</w:t>
            </w:r>
            <w:r>
              <w:rPr>
                <w:b/>
                <w:lang w:val="en-GB" w:eastAsia="en-GB"/>
              </w:rPr>
              <w:t>73</w:t>
            </w:r>
            <w:r w:rsidRPr="009E31AE">
              <w:rPr>
                <w:b/>
                <w:lang w:eastAsia="en-GB"/>
              </w:rPr>
              <w:t>***</w:t>
            </w:r>
          </w:p>
        </w:tc>
        <w:tc>
          <w:tcPr>
            <w:tcW w:w="1134" w:type="dxa"/>
          </w:tcPr>
          <w:p w:rsidR="008038D2" w:rsidRPr="009E31AE" w:rsidRDefault="008038D2" w:rsidP="00580297">
            <w:pPr>
              <w:pStyle w:val="BodyText"/>
              <w:framePr w:hSpace="0" w:wrap="auto" w:vAnchor="margin" w:hAnchor="text" w:yAlign="inline"/>
              <w:rPr>
                <w:b/>
                <w:lang w:eastAsia="en-GB"/>
              </w:rPr>
            </w:pPr>
            <w:r w:rsidRPr="009E31AE">
              <w:rPr>
                <w:b/>
                <w:lang w:eastAsia="en-GB"/>
              </w:rPr>
              <w:t>(0.0</w:t>
            </w:r>
            <w:r>
              <w:rPr>
                <w:b/>
                <w:lang w:eastAsia="en-GB"/>
              </w:rPr>
              <w:t>0</w:t>
            </w:r>
            <w:r>
              <w:rPr>
                <w:b/>
                <w:lang w:val="en-GB" w:eastAsia="en-GB"/>
              </w:rPr>
              <w:t>9</w:t>
            </w:r>
            <w:r w:rsidRPr="009E31AE">
              <w:rPr>
                <w:b/>
                <w:lang w:eastAsia="en-GB"/>
              </w:rPr>
              <w:t>)</w:t>
            </w:r>
          </w:p>
        </w:tc>
      </w:tr>
      <w:tr w:rsidR="008038D2" w:rsidRPr="00AD1AEF" w:rsidTr="00580297">
        <w:trPr>
          <w:gridAfter w:val="1"/>
          <w:wAfter w:w="34" w:type="dxa"/>
        </w:trPr>
        <w:tc>
          <w:tcPr>
            <w:tcW w:w="2376" w:type="dxa"/>
          </w:tcPr>
          <w:p w:rsidR="008038D2" w:rsidRPr="00075B12" w:rsidRDefault="008038D2" w:rsidP="00580297">
            <w:pPr>
              <w:rPr>
                <w:b/>
                <w:sz w:val="20"/>
                <w:szCs w:val="20"/>
              </w:rPr>
            </w:pPr>
            <w:r w:rsidRPr="00075B12">
              <w:rPr>
                <w:b/>
                <w:sz w:val="20"/>
                <w:szCs w:val="20"/>
              </w:rPr>
              <w:t>Portfolio Media</w:t>
            </w:r>
          </w:p>
        </w:tc>
        <w:tc>
          <w:tcPr>
            <w:tcW w:w="1366" w:type="dxa"/>
          </w:tcPr>
          <w:p w:rsidR="008038D2" w:rsidRPr="008A46F0" w:rsidRDefault="008038D2" w:rsidP="00580297">
            <w:pPr>
              <w:pStyle w:val="BodyText"/>
              <w:framePr w:hSpace="0" w:wrap="auto" w:vAnchor="margin" w:hAnchor="text" w:yAlign="inline"/>
              <w:rPr>
                <w:lang w:eastAsia="en-GB"/>
              </w:rPr>
            </w:pPr>
          </w:p>
        </w:tc>
        <w:tc>
          <w:tcPr>
            <w:tcW w:w="1134" w:type="dxa"/>
          </w:tcPr>
          <w:p w:rsidR="008038D2" w:rsidRPr="008A46F0" w:rsidRDefault="008038D2" w:rsidP="00580297">
            <w:pPr>
              <w:pStyle w:val="BodyText"/>
              <w:framePr w:hSpace="0" w:wrap="auto" w:vAnchor="margin" w:hAnchor="text" w:yAlign="inline"/>
              <w:rPr>
                <w:lang w:eastAsia="en-GB"/>
              </w:rPr>
            </w:pPr>
          </w:p>
        </w:tc>
        <w:tc>
          <w:tcPr>
            <w:tcW w:w="1366" w:type="dxa"/>
          </w:tcPr>
          <w:p w:rsidR="008038D2" w:rsidRPr="009E31AE" w:rsidRDefault="008038D2" w:rsidP="00580297">
            <w:pPr>
              <w:pStyle w:val="BodyText"/>
              <w:framePr w:hSpace="0" w:wrap="auto" w:vAnchor="margin" w:hAnchor="text" w:yAlign="inline"/>
              <w:rPr>
                <w:b/>
                <w:lang w:eastAsia="en-GB"/>
              </w:rPr>
            </w:pPr>
          </w:p>
        </w:tc>
        <w:tc>
          <w:tcPr>
            <w:tcW w:w="1134" w:type="dxa"/>
          </w:tcPr>
          <w:p w:rsidR="008038D2" w:rsidRPr="009E31AE" w:rsidRDefault="008038D2" w:rsidP="00580297">
            <w:pPr>
              <w:pStyle w:val="BodyText"/>
              <w:framePr w:hSpace="0" w:wrap="auto" w:vAnchor="margin" w:hAnchor="text" w:yAlign="inline"/>
              <w:rPr>
                <w:b/>
                <w:lang w:eastAsia="en-GB"/>
              </w:rPr>
            </w:pPr>
          </w:p>
        </w:tc>
        <w:tc>
          <w:tcPr>
            <w:tcW w:w="1366" w:type="dxa"/>
          </w:tcPr>
          <w:p w:rsidR="008038D2" w:rsidRPr="009E31AE" w:rsidRDefault="008038D2" w:rsidP="00580297">
            <w:pPr>
              <w:pStyle w:val="BodyText"/>
              <w:framePr w:hSpace="0" w:wrap="auto" w:vAnchor="margin" w:hAnchor="text" w:yAlign="inline"/>
              <w:rPr>
                <w:b/>
                <w:lang w:eastAsia="en-GB"/>
              </w:rPr>
            </w:pPr>
          </w:p>
        </w:tc>
        <w:tc>
          <w:tcPr>
            <w:tcW w:w="1134" w:type="dxa"/>
          </w:tcPr>
          <w:p w:rsidR="008038D2" w:rsidRPr="009E31AE" w:rsidRDefault="008038D2" w:rsidP="00580297">
            <w:pPr>
              <w:pStyle w:val="BodyText"/>
              <w:framePr w:hSpace="0" w:wrap="auto" w:vAnchor="margin" w:hAnchor="text" w:yAlign="inline"/>
              <w:rPr>
                <w:b/>
                <w:lang w:eastAsia="en-GB"/>
              </w:rPr>
            </w:pPr>
          </w:p>
        </w:tc>
        <w:tc>
          <w:tcPr>
            <w:tcW w:w="1366" w:type="dxa"/>
          </w:tcPr>
          <w:p w:rsidR="008038D2" w:rsidRPr="009E31AE" w:rsidRDefault="008038D2" w:rsidP="00580297">
            <w:pPr>
              <w:pStyle w:val="BodyText"/>
              <w:framePr w:hSpace="0" w:wrap="auto" w:vAnchor="margin" w:hAnchor="text" w:yAlign="inline"/>
              <w:rPr>
                <w:b/>
                <w:lang w:eastAsia="en-GB"/>
              </w:rPr>
            </w:pPr>
            <w:r w:rsidRPr="009E31AE">
              <w:rPr>
                <w:b/>
                <w:lang w:eastAsia="en-GB"/>
              </w:rPr>
              <w:t xml:space="preserve"> </w:t>
            </w:r>
            <w:r>
              <w:rPr>
                <w:b/>
                <w:lang w:eastAsia="en-GB"/>
              </w:rPr>
              <w:t>0.1</w:t>
            </w:r>
            <w:r>
              <w:rPr>
                <w:b/>
                <w:lang w:val="en-GB" w:eastAsia="en-GB"/>
              </w:rPr>
              <w:t>18</w:t>
            </w:r>
            <w:r w:rsidRPr="009E31AE">
              <w:rPr>
                <w:b/>
                <w:lang w:eastAsia="en-GB"/>
              </w:rPr>
              <w:t>***</w:t>
            </w:r>
          </w:p>
        </w:tc>
        <w:tc>
          <w:tcPr>
            <w:tcW w:w="1134" w:type="dxa"/>
          </w:tcPr>
          <w:p w:rsidR="008038D2" w:rsidRPr="009E31AE" w:rsidRDefault="008038D2" w:rsidP="00580297">
            <w:pPr>
              <w:pStyle w:val="BodyText"/>
              <w:framePr w:hSpace="0" w:wrap="auto" w:vAnchor="margin" w:hAnchor="text" w:yAlign="inline"/>
              <w:rPr>
                <w:b/>
                <w:lang w:eastAsia="en-GB"/>
              </w:rPr>
            </w:pPr>
            <w:r w:rsidRPr="009E31AE">
              <w:rPr>
                <w:b/>
                <w:lang w:eastAsia="en-GB"/>
              </w:rPr>
              <w:t>(</w:t>
            </w:r>
            <w:r>
              <w:rPr>
                <w:b/>
                <w:lang w:eastAsia="en-GB"/>
              </w:rPr>
              <w:t>0.00</w:t>
            </w:r>
            <w:r>
              <w:rPr>
                <w:b/>
                <w:lang w:val="en-GB" w:eastAsia="en-GB"/>
              </w:rPr>
              <w:t>7</w:t>
            </w:r>
            <w:r w:rsidRPr="009E31AE">
              <w:rPr>
                <w:b/>
                <w:lang w:eastAsia="en-GB"/>
              </w:rPr>
              <w:t>)</w:t>
            </w:r>
          </w:p>
        </w:tc>
        <w:tc>
          <w:tcPr>
            <w:tcW w:w="1366" w:type="dxa"/>
          </w:tcPr>
          <w:p w:rsidR="008038D2" w:rsidRPr="009E31AE" w:rsidRDefault="008038D2" w:rsidP="00580297">
            <w:pPr>
              <w:pStyle w:val="BodyText"/>
              <w:framePr w:hSpace="0" w:wrap="auto" w:vAnchor="margin" w:hAnchor="text" w:yAlign="inline"/>
              <w:rPr>
                <w:b/>
                <w:lang w:eastAsia="en-GB"/>
              </w:rPr>
            </w:pPr>
            <w:r w:rsidRPr="009E31AE">
              <w:rPr>
                <w:b/>
                <w:lang w:eastAsia="en-GB"/>
              </w:rPr>
              <w:t xml:space="preserve"> </w:t>
            </w:r>
            <w:r>
              <w:rPr>
                <w:b/>
                <w:lang w:eastAsia="en-GB"/>
              </w:rPr>
              <w:t>0.0</w:t>
            </w:r>
            <w:r>
              <w:rPr>
                <w:b/>
                <w:lang w:val="en-GB" w:eastAsia="en-GB"/>
              </w:rPr>
              <w:t>7</w:t>
            </w:r>
            <w:r>
              <w:rPr>
                <w:b/>
                <w:lang w:eastAsia="en-GB"/>
              </w:rPr>
              <w:t>1</w:t>
            </w:r>
            <w:r w:rsidRPr="009E31AE">
              <w:rPr>
                <w:b/>
                <w:lang w:eastAsia="en-GB"/>
              </w:rPr>
              <w:t>***</w:t>
            </w:r>
          </w:p>
        </w:tc>
        <w:tc>
          <w:tcPr>
            <w:tcW w:w="1134" w:type="dxa"/>
          </w:tcPr>
          <w:p w:rsidR="008038D2" w:rsidRPr="009E31AE" w:rsidRDefault="008038D2" w:rsidP="00580297">
            <w:pPr>
              <w:pStyle w:val="BodyText"/>
              <w:framePr w:hSpace="0" w:wrap="auto" w:vAnchor="margin" w:hAnchor="text" w:yAlign="inline"/>
              <w:rPr>
                <w:b/>
                <w:lang w:eastAsia="en-GB"/>
              </w:rPr>
            </w:pPr>
            <w:r w:rsidRPr="009E31AE">
              <w:rPr>
                <w:b/>
                <w:lang w:eastAsia="en-GB"/>
              </w:rPr>
              <w:t>(</w:t>
            </w:r>
            <w:r>
              <w:rPr>
                <w:b/>
                <w:lang w:eastAsia="en-GB"/>
              </w:rPr>
              <w:t>0.0</w:t>
            </w:r>
            <w:r>
              <w:rPr>
                <w:b/>
                <w:lang w:val="en-GB" w:eastAsia="en-GB"/>
              </w:rPr>
              <w:t>05</w:t>
            </w:r>
            <w:r w:rsidRPr="009E31AE">
              <w:rPr>
                <w:b/>
                <w:lang w:eastAsia="en-GB"/>
              </w:rPr>
              <w:t>)</w:t>
            </w:r>
          </w:p>
        </w:tc>
      </w:tr>
      <w:tr w:rsidR="008038D2" w:rsidRPr="00AD1AEF" w:rsidTr="00580297">
        <w:trPr>
          <w:gridAfter w:val="1"/>
          <w:wAfter w:w="34" w:type="dxa"/>
        </w:trPr>
        <w:tc>
          <w:tcPr>
            <w:tcW w:w="2376" w:type="dxa"/>
          </w:tcPr>
          <w:p w:rsidR="008038D2" w:rsidRPr="00581A9A" w:rsidRDefault="008038D2" w:rsidP="00580297">
            <w:pPr>
              <w:pStyle w:val="BodyText"/>
              <w:framePr w:hSpace="0" w:wrap="auto" w:vAnchor="margin" w:hAnchor="text" w:yAlign="inline"/>
              <w:rPr>
                <w:lang w:eastAsia="en-GB"/>
              </w:rPr>
            </w:pPr>
          </w:p>
        </w:tc>
        <w:tc>
          <w:tcPr>
            <w:tcW w:w="1366" w:type="dxa"/>
          </w:tcPr>
          <w:p w:rsidR="008038D2" w:rsidRPr="008A46F0" w:rsidRDefault="008038D2" w:rsidP="00580297">
            <w:pPr>
              <w:pStyle w:val="BodyText"/>
              <w:framePr w:hSpace="0" w:wrap="auto" w:vAnchor="margin" w:hAnchor="text" w:yAlign="inline"/>
              <w:rPr>
                <w:lang w:eastAsia="en-GB"/>
              </w:rPr>
            </w:pPr>
          </w:p>
        </w:tc>
        <w:tc>
          <w:tcPr>
            <w:tcW w:w="1134" w:type="dxa"/>
          </w:tcPr>
          <w:p w:rsidR="008038D2" w:rsidRPr="008A46F0" w:rsidRDefault="008038D2" w:rsidP="00580297">
            <w:pPr>
              <w:pStyle w:val="BodyText"/>
              <w:framePr w:hSpace="0" w:wrap="auto" w:vAnchor="margin" w:hAnchor="text" w:yAlign="inline"/>
              <w:rPr>
                <w:lang w:eastAsia="en-GB"/>
              </w:rPr>
            </w:pPr>
          </w:p>
        </w:tc>
        <w:tc>
          <w:tcPr>
            <w:tcW w:w="1366" w:type="dxa"/>
          </w:tcPr>
          <w:p w:rsidR="008038D2" w:rsidRPr="008A46F0" w:rsidRDefault="008038D2" w:rsidP="00580297">
            <w:pPr>
              <w:pStyle w:val="BodyText"/>
              <w:framePr w:hSpace="0" w:wrap="auto" w:vAnchor="margin" w:hAnchor="text" w:yAlign="inline"/>
              <w:rPr>
                <w:lang w:eastAsia="en-GB"/>
              </w:rPr>
            </w:pPr>
          </w:p>
        </w:tc>
        <w:tc>
          <w:tcPr>
            <w:tcW w:w="1134" w:type="dxa"/>
          </w:tcPr>
          <w:p w:rsidR="008038D2" w:rsidRPr="008A46F0" w:rsidRDefault="008038D2" w:rsidP="00580297">
            <w:pPr>
              <w:pStyle w:val="BodyText"/>
              <w:framePr w:hSpace="0" w:wrap="auto" w:vAnchor="margin" w:hAnchor="text" w:yAlign="inline"/>
              <w:rPr>
                <w:lang w:eastAsia="en-GB"/>
              </w:rPr>
            </w:pPr>
          </w:p>
        </w:tc>
        <w:tc>
          <w:tcPr>
            <w:tcW w:w="1366" w:type="dxa"/>
          </w:tcPr>
          <w:p w:rsidR="008038D2" w:rsidRPr="008A46F0" w:rsidRDefault="008038D2" w:rsidP="00580297">
            <w:pPr>
              <w:pStyle w:val="BodyText"/>
              <w:framePr w:hSpace="0" w:wrap="auto" w:vAnchor="margin" w:hAnchor="text" w:yAlign="inline"/>
              <w:rPr>
                <w:lang w:eastAsia="en-GB"/>
              </w:rPr>
            </w:pPr>
          </w:p>
        </w:tc>
        <w:tc>
          <w:tcPr>
            <w:tcW w:w="1134" w:type="dxa"/>
          </w:tcPr>
          <w:p w:rsidR="008038D2" w:rsidRPr="008A46F0" w:rsidRDefault="008038D2" w:rsidP="00580297">
            <w:pPr>
              <w:pStyle w:val="BodyText"/>
              <w:framePr w:hSpace="0" w:wrap="auto" w:vAnchor="margin" w:hAnchor="text" w:yAlign="inline"/>
              <w:rPr>
                <w:lang w:eastAsia="en-GB"/>
              </w:rPr>
            </w:pPr>
          </w:p>
        </w:tc>
        <w:tc>
          <w:tcPr>
            <w:tcW w:w="1366" w:type="dxa"/>
          </w:tcPr>
          <w:p w:rsidR="008038D2" w:rsidRPr="008A46F0" w:rsidRDefault="008038D2" w:rsidP="00580297">
            <w:pPr>
              <w:pStyle w:val="BodyText"/>
              <w:framePr w:hSpace="0" w:wrap="auto" w:vAnchor="margin" w:hAnchor="text" w:yAlign="inline"/>
              <w:rPr>
                <w:lang w:eastAsia="en-GB"/>
              </w:rPr>
            </w:pPr>
          </w:p>
        </w:tc>
        <w:tc>
          <w:tcPr>
            <w:tcW w:w="1134" w:type="dxa"/>
          </w:tcPr>
          <w:p w:rsidR="008038D2" w:rsidRPr="008A46F0" w:rsidRDefault="008038D2" w:rsidP="00580297">
            <w:pPr>
              <w:pStyle w:val="BodyText"/>
              <w:framePr w:hSpace="0" w:wrap="auto" w:vAnchor="margin" w:hAnchor="text" w:yAlign="inline"/>
              <w:rPr>
                <w:lang w:eastAsia="en-GB"/>
              </w:rPr>
            </w:pPr>
          </w:p>
        </w:tc>
        <w:tc>
          <w:tcPr>
            <w:tcW w:w="1366" w:type="dxa"/>
          </w:tcPr>
          <w:p w:rsidR="008038D2" w:rsidRPr="00581A9A" w:rsidRDefault="008038D2" w:rsidP="00580297">
            <w:pPr>
              <w:pStyle w:val="BodyText"/>
              <w:framePr w:hSpace="0" w:wrap="auto" w:vAnchor="margin" w:hAnchor="text" w:yAlign="inline"/>
              <w:rPr>
                <w:lang w:eastAsia="en-GB"/>
              </w:rPr>
            </w:pPr>
          </w:p>
        </w:tc>
        <w:tc>
          <w:tcPr>
            <w:tcW w:w="1134" w:type="dxa"/>
          </w:tcPr>
          <w:p w:rsidR="008038D2" w:rsidRPr="00581A9A" w:rsidRDefault="008038D2" w:rsidP="00580297">
            <w:pPr>
              <w:pStyle w:val="BodyText"/>
              <w:framePr w:hSpace="0" w:wrap="auto" w:vAnchor="margin" w:hAnchor="text" w:yAlign="inline"/>
              <w:rPr>
                <w:lang w:eastAsia="en-GB"/>
              </w:rPr>
            </w:pPr>
          </w:p>
        </w:tc>
      </w:tr>
      <w:tr w:rsidR="008038D2" w:rsidRPr="00AD1AEF" w:rsidTr="00580297">
        <w:trPr>
          <w:gridAfter w:val="1"/>
          <w:wAfter w:w="34" w:type="dxa"/>
        </w:trPr>
        <w:tc>
          <w:tcPr>
            <w:tcW w:w="2376" w:type="dxa"/>
          </w:tcPr>
          <w:p w:rsidR="008038D2" w:rsidRPr="00581A9A" w:rsidRDefault="008038D2" w:rsidP="00580297">
            <w:pPr>
              <w:pStyle w:val="BodyText"/>
              <w:framePr w:hSpace="0" w:wrap="auto" w:vAnchor="margin" w:hAnchor="text" w:yAlign="inline"/>
              <w:rPr>
                <w:lang w:eastAsia="en-GB"/>
              </w:rPr>
            </w:pPr>
            <w:r>
              <w:rPr>
                <w:lang w:eastAsia="en-GB"/>
              </w:rPr>
              <w:t>Year dummies</w:t>
            </w: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Yes</w:t>
            </w:r>
          </w:p>
        </w:tc>
        <w:tc>
          <w:tcPr>
            <w:tcW w:w="1134" w:type="dxa"/>
          </w:tcPr>
          <w:p w:rsidR="008038D2" w:rsidRPr="008A46F0" w:rsidRDefault="008038D2" w:rsidP="00580297">
            <w:pPr>
              <w:pStyle w:val="BodyText"/>
              <w:framePr w:hSpace="0" w:wrap="auto" w:vAnchor="margin" w:hAnchor="text" w:yAlign="inline"/>
              <w:rPr>
                <w:lang w:eastAsia="en-GB"/>
              </w:rPr>
            </w:pP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Yes</w:t>
            </w:r>
          </w:p>
        </w:tc>
        <w:tc>
          <w:tcPr>
            <w:tcW w:w="1134" w:type="dxa"/>
          </w:tcPr>
          <w:p w:rsidR="008038D2" w:rsidRPr="008A46F0" w:rsidRDefault="008038D2" w:rsidP="00580297">
            <w:pPr>
              <w:pStyle w:val="BodyText"/>
              <w:framePr w:hSpace="0" w:wrap="auto" w:vAnchor="margin" w:hAnchor="text" w:yAlign="inline"/>
              <w:rPr>
                <w:lang w:eastAsia="en-GB"/>
              </w:rPr>
            </w:pP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Yes</w:t>
            </w:r>
          </w:p>
        </w:tc>
        <w:tc>
          <w:tcPr>
            <w:tcW w:w="1134" w:type="dxa"/>
          </w:tcPr>
          <w:p w:rsidR="008038D2" w:rsidRPr="008A46F0" w:rsidRDefault="008038D2" w:rsidP="00580297">
            <w:pPr>
              <w:pStyle w:val="BodyText"/>
              <w:framePr w:hSpace="0" w:wrap="auto" w:vAnchor="margin" w:hAnchor="text" w:yAlign="inline"/>
              <w:rPr>
                <w:lang w:eastAsia="en-GB"/>
              </w:rPr>
            </w:pPr>
          </w:p>
        </w:tc>
        <w:tc>
          <w:tcPr>
            <w:tcW w:w="1366" w:type="dxa"/>
          </w:tcPr>
          <w:p w:rsidR="008038D2" w:rsidRPr="008A46F0" w:rsidRDefault="008038D2" w:rsidP="00580297">
            <w:pPr>
              <w:pStyle w:val="BodyText"/>
              <w:framePr w:hSpace="0" w:wrap="auto" w:vAnchor="margin" w:hAnchor="text" w:yAlign="inline"/>
              <w:rPr>
                <w:lang w:eastAsia="en-GB"/>
              </w:rPr>
            </w:pPr>
            <w:r w:rsidRPr="008A46F0">
              <w:rPr>
                <w:lang w:eastAsia="en-GB"/>
              </w:rPr>
              <w:t>Yes</w:t>
            </w:r>
          </w:p>
        </w:tc>
        <w:tc>
          <w:tcPr>
            <w:tcW w:w="1134" w:type="dxa"/>
          </w:tcPr>
          <w:p w:rsidR="008038D2" w:rsidRPr="008A46F0" w:rsidRDefault="008038D2" w:rsidP="00580297">
            <w:pPr>
              <w:pStyle w:val="BodyText"/>
              <w:framePr w:hSpace="0" w:wrap="auto" w:vAnchor="margin" w:hAnchor="text" w:yAlign="inline"/>
              <w:rPr>
                <w:lang w:eastAsia="en-GB"/>
              </w:rPr>
            </w:pPr>
          </w:p>
        </w:tc>
        <w:tc>
          <w:tcPr>
            <w:tcW w:w="1366" w:type="dxa"/>
          </w:tcPr>
          <w:p w:rsidR="008038D2" w:rsidRPr="00581A9A" w:rsidRDefault="008038D2" w:rsidP="00580297">
            <w:pPr>
              <w:pStyle w:val="BodyText"/>
              <w:framePr w:hSpace="0" w:wrap="auto" w:vAnchor="margin" w:hAnchor="text" w:yAlign="inline"/>
              <w:rPr>
                <w:lang w:eastAsia="en-GB"/>
              </w:rPr>
            </w:pPr>
            <w:r>
              <w:rPr>
                <w:lang w:eastAsia="en-GB"/>
              </w:rPr>
              <w:t xml:space="preserve"> Yes</w:t>
            </w:r>
          </w:p>
        </w:tc>
        <w:tc>
          <w:tcPr>
            <w:tcW w:w="1134" w:type="dxa"/>
          </w:tcPr>
          <w:p w:rsidR="008038D2" w:rsidRPr="00581A9A" w:rsidRDefault="008038D2" w:rsidP="00580297">
            <w:pPr>
              <w:pStyle w:val="BodyText"/>
              <w:framePr w:hSpace="0" w:wrap="auto" w:vAnchor="margin" w:hAnchor="text" w:yAlign="inline"/>
              <w:rPr>
                <w:lang w:eastAsia="en-GB"/>
              </w:rPr>
            </w:pPr>
          </w:p>
        </w:tc>
      </w:tr>
      <w:tr w:rsidR="008038D2" w:rsidRPr="00AD1AEF" w:rsidTr="00580297">
        <w:trPr>
          <w:gridAfter w:val="1"/>
          <w:wAfter w:w="34" w:type="dxa"/>
        </w:trPr>
        <w:tc>
          <w:tcPr>
            <w:tcW w:w="2376" w:type="dxa"/>
          </w:tcPr>
          <w:p w:rsidR="008038D2" w:rsidRDefault="008038D2" w:rsidP="00580297">
            <w:pPr>
              <w:pStyle w:val="BodyText"/>
              <w:framePr w:hSpace="0" w:wrap="auto" w:vAnchor="margin" w:hAnchor="text" w:yAlign="inline"/>
              <w:rPr>
                <w:lang w:eastAsia="en-GB"/>
              </w:rPr>
            </w:pPr>
            <w:r>
              <w:rPr>
                <w:lang w:eastAsia="en-GB"/>
              </w:rPr>
              <w:t>Regional dummies</w:t>
            </w:r>
          </w:p>
        </w:tc>
        <w:tc>
          <w:tcPr>
            <w:tcW w:w="1366" w:type="dxa"/>
          </w:tcPr>
          <w:p w:rsidR="008038D2" w:rsidRPr="008A46F0" w:rsidRDefault="008038D2" w:rsidP="00580297">
            <w:pPr>
              <w:pStyle w:val="BodyText"/>
              <w:framePr w:hSpace="0" w:wrap="auto" w:vAnchor="margin" w:hAnchor="text" w:yAlign="inline"/>
              <w:rPr>
                <w:lang w:eastAsia="en-GB"/>
              </w:rPr>
            </w:pPr>
            <w:r>
              <w:rPr>
                <w:lang w:eastAsia="en-GB"/>
              </w:rPr>
              <w:t>Yes</w:t>
            </w:r>
          </w:p>
        </w:tc>
        <w:tc>
          <w:tcPr>
            <w:tcW w:w="1134" w:type="dxa"/>
          </w:tcPr>
          <w:p w:rsidR="008038D2" w:rsidRPr="008A46F0" w:rsidRDefault="008038D2" w:rsidP="00580297">
            <w:pPr>
              <w:pStyle w:val="BodyText"/>
              <w:framePr w:hSpace="0" w:wrap="auto" w:vAnchor="margin" w:hAnchor="text" w:yAlign="inline"/>
              <w:rPr>
                <w:lang w:eastAsia="en-GB"/>
              </w:rPr>
            </w:pPr>
          </w:p>
        </w:tc>
        <w:tc>
          <w:tcPr>
            <w:tcW w:w="1366" w:type="dxa"/>
          </w:tcPr>
          <w:p w:rsidR="008038D2" w:rsidRPr="008A46F0" w:rsidRDefault="008038D2" w:rsidP="00580297">
            <w:pPr>
              <w:pStyle w:val="BodyText"/>
              <w:framePr w:hSpace="0" w:wrap="auto" w:vAnchor="margin" w:hAnchor="text" w:yAlign="inline"/>
              <w:rPr>
                <w:lang w:eastAsia="en-GB"/>
              </w:rPr>
            </w:pPr>
            <w:r>
              <w:rPr>
                <w:lang w:eastAsia="en-GB"/>
              </w:rPr>
              <w:t>Yes</w:t>
            </w:r>
          </w:p>
        </w:tc>
        <w:tc>
          <w:tcPr>
            <w:tcW w:w="1134" w:type="dxa"/>
          </w:tcPr>
          <w:p w:rsidR="008038D2" w:rsidRPr="008A46F0" w:rsidRDefault="008038D2" w:rsidP="00580297">
            <w:pPr>
              <w:pStyle w:val="BodyText"/>
              <w:framePr w:hSpace="0" w:wrap="auto" w:vAnchor="margin" w:hAnchor="text" w:yAlign="inline"/>
              <w:rPr>
                <w:lang w:eastAsia="en-GB"/>
              </w:rPr>
            </w:pPr>
          </w:p>
        </w:tc>
        <w:tc>
          <w:tcPr>
            <w:tcW w:w="1366" w:type="dxa"/>
          </w:tcPr>
          <w:p w:rsidR="008038D2" w:rsidRPr="008A46F0" w:rsidRDefault="008038D2" w:rsidP="00580297">
            <w:pPr>
              <w:pStyle w:val="BodyText"/>
              <w:framePr w:hSpace="0" w:wrap="auto" w:vAnchor="margin" w:hAnchor="text" w:yAlign="inline"/>
              <w:rPr>
                <w:lang w:eastAsia="en-GB"/>
              </w:rPr>
            </w:pPr>
            <w:r>
              <w:rPr>
                <w:lang w:eastAsia="en-GB"/>
              </w:rPr>
              <w:t>Yes</w:t>
            </w:r>
          </w:p>
        </w:tc>
        <w:tc>
          <w:tcPr>
            <w:tcW w:w="1134" w:type="dxa"/>
          </w:tcPr>
          <w:p w:rsidR="008038D2" w:rsidRPr="008A46F0" w:rsidRDefault="008038D2" w:rsidP="00580297">
            <w:pPr>
              <w:pStyle w:val="BodyText"/>
              <w:framePr w:hSpace="0" w:wrap="auto" w:vAnchor="margin" w:hAnchor="text" w:yAlign="inline"/>
              <w:rPr>
                <w:lang w:eastAsia="en-GB"/>
              </w:rPr>
            </w:pPr>
          </w:p>
        </w:tc>
        <w:tc>
          <w:tcPr>
            <w:tcW w:w="1366" w:type="dxa"/>
          </w:tcPr>
          <w:p w:rsidR="008038D2" w:rsidRPr="008A46F0" w:rsidRDefault="008038D2" w:rsidP="00580297">
            <w:pPr>
              <w:pStyle w:val="BodyText"/>
              <w:framePr w:hSpace="0" w:wrap="auto" w:vAnchor="margin" w:hAnchor="text" w:yAlign="inline"/>
              <w:rPr>
                <w:lang w:eastAsia="en-GB"/>
              </w:rPr>
            </w:pPr>
            <w:r>
              <w:rPr>
                <w:lang w:eastAsia="en-GB"/>
              </w:rPr>
              <w:t>Yes</w:t>
            </w:r>
          </w:p>
        </w:tc>
        <w:tc>
          <w:tcPr>
            <w:tcW w:w="1134" w:type="dxa"/>
          </w:tcPr>
          <w:p w:rsidR="008038D2" w:rsidRPr="008A46F0" w:rsidRDefault="008038D2" w:rsidP="00580297">
            <w:pPr>
              <w:pStyle w:val="BodyText"/>
              <w:framePr w:hSpace="0" w:wrap="auto" w:vAnchor="margin" w:hAnchor="text" w:yAlign="inline"/>
              <w:rPr>
                <w:lang w:eastAsia="en-GB"/>
              </w:rPr>
            </w:pPr>
          </w:p>
        </w:tc>
        <w:tc>
          <w:tcPr>
            <w:tcW w:w="1366" w:type="dxa"/>
          </w:tcPr>
          <w:p w:rsidR="008038D2" w:rsidRDefault="008038D2" w:rsidP="00580297">
            <w:pPr>
              <w:pStyle w:val="BodyText"/>
              <w:framePr w:hSpace="0" w:wrap="auto" w:vAnchor="margin" w:hAnchor="text" w:yAlign="inline"/>
              <w:rPr>
                <w:lang w:eastAsia="en-GB"/>
              </w:rPr>
            </w:pPr>
            <w:r>
              <w:rPr>
                <w:lang w:eastAsia="en-GB"/>
              </w:rPr>
              <w:t xml:space="preserve"> Yes</w:t>
            </w:r>
          </w:p>
        </w:tc>
        <w:tc>
          <w:tcPr>
            <w:tcW w:w="1134" w:type="dxa"/>
          </w:tcPr>
          <w:p w:rsidR="008038D2" w:rsidRPr="00581A9A" w:rsidRDefault="008038D2" w:rsidP="00580297">
            <w:pPr>
              <w:pStyle w:val="BodyText"/>
              <w:framePr w:hSpace="0" w:wrap="auto" w:vAnchor="margin" w:hAnchor="text" w:yAlign="inline"/>
              <w:rPr>
                <w:lang w:eastAsia="en-GB"/>
              </w:rPr>
            </w:pPr>
          </w:p>
        </w:tc>
      </w:tr>
      <w:tr w:rsidR="008038D2" w:rsidRPr="00AD1AEF" w:rsidTr="00580297">
        <w:trPr>
          <w:gridAfter w:val="1"/>
          <w:wAfter w:w="34" w:type="dxa"/>
        </w:trPr>
        <w:tc>
          <w:tcPr>
            <w:tcW w:w="2376" w:type="dxa"/>
          </w:tcPr>
          <w:p w:rsidR="008038D2" w:rsidRPr="00581A9A" w:rsidRDefault="008038D2" w:rsidP="00580297">
            <w:pPr>
              <w:pStyle w:val="BodyText"/>
              <w:framePr w:hSpace="0" w:wrap="auto" w:vAnchor="margin" w:hAnchor="text" w:yAlign="inline"/>
              <w:rPr>
                <w:lang w:eastAsia="en-GB"/>
              </w:rPr>
            </w:pPr>
            <w:r w:rsidRPr="00581A9A">
              <w:rPr>
                <w:lang w:eastAsia="en-GB"/>
              </w:rPr>
              <w:t>Wald-chi</w:t>
            </w:r>
            <w:r w:rsidRPr="00581A9A">
              <w:rPr>
                <w:vertAlign w:val="superscript"/>
                <w:lang w:eastAsia="en-GB"/>
              </w:rPr>
              <w:t>2</w:t>
            </w:r>
          </w:p>
        </w:tc>
        <w:tc>
          <w:tcPr>
            <w:tcW w:w="2500" w:type="dxa"/>
            <w:gridSpan w:val="2"/>
          </w:tcPr>
          <w:p w:rsidR="008038D2" w:rsidRPr="008A46F0" w:rsidRDefault="008038D2" w:rsidP="00580297">
            <w:pPr>
              <w:pStyle w:val="BodyText"/>
              <w:framePr w:hSpace="0" w:wrap="auto" w:vAnchor="margin" w:hAnchor="text" w:yAlign="inline"/>
              <w:rPr>
                <w:lang w:eastAsia="en-GB"/>
              </w:rPr>
            </w:pPr>
            <w:r>
              <w:rPr>
                <w:lang w:val="en-GB" w:eastAsia="en-GB"/>
              </w:rPr>
              <w:t>6170</w:t>
            </w:r>
            <w:r w:rsidRPr="008A46F0">
              <w:rPr>
                <w:lang w:eastAsia="en-GB"/>
              </w:rPr>
              <w:t>.</w:t>
            </w:r>
            <w:r>
              <w:rPr>
                <w:lang w:val="en-GB" w:eastAsia="en-GB"/>
              </w:rPr>
              <w:t>9</w:t>
            </w:r>
            <w:r>
              <w:rPr>
                <w:lang w:eastAsia="en-GB"/>
              </w:rPr>
              <w:t>8</w:t>
            </w:r>
            <w:r w:rsidRPr="008A46F0">
              <w:rPr>
                <w:lang w:eastAsia="en-GB"/>
              </w:rPr>
              <w:t>***</w:t>
            </w:r>
          </w:p>
        </w:tc>
        <w:tc>
          <w:tcPr>
            <w:tcW w:w="2500" w:type="dxa"/>
            <w:gridSpan w:val="2"/>
          </w:tcPr>
          <w:p w:rsidR="008038D2" w:rsidRPr="008A46F0" w:rsidRDefault="008038D2" w:rsidP="00580297">
            <w:pPr>
              <w:pStyle w:val="BodyText"/>
              <w:framePr w:hSpace="0" w:wrap="auto" w:vAnchor="margin" w:hAnchor="text" w:yAlign="inline"/>
              <w:rPr>
                <w:lang w:eastAsia="en-GB"/>
              </w:rPr>
            </w:pPr>
            <w:r>
              <w:rPr>
                <w:lang w:eastAsia="en-GB"/>
              </w:rPr>
              <w:t>1</w:t>
            </w:r>
            <w:r>
              <w:rPr>
                <w:lang w:val="en-GB" w:eastAsia="en-GB"/>
              </w:rPr>
              <w:t>0104</w:t>
            </w:r>
            <w:r w:rsidRPr="008A46F0">
              <w:rPr>
                <w:lang w:eastAsia="en-GB"/>
              </w:rPr>
              <w:t>.</w:t>
            </w:r>
            <w:r>
              <w:rPr>
                <w:lang w:val="en-GB" w:eastAsia="en-GB"/>
              </w:rPr>
              <w:t>72</w:t>
            </w:r>
            <w:r w:rsidRPr="008A46F0">
              <w:rPr>
                <w:lang w:eastAsia="en-GB"/>
              </w:rPr>
              <w:t>***</w:t>
            </w:r>
          </w:p>
        </w:tc>
        <w:tc>
          <w:tcPr>
            <w:tcW w:w="2500" w:type="dxa"/>
            <w:gridSpan w:val="2"/>
          </w:tcPr>
          <w:p w:rsidR="008038D2" w:rsidRPr="008A46F0" w:rsidRDefault="008038D2" w:rsidP="00580297">
            <w:pPr>
              <w:pStyle w:val="BodyText"/>
              <w:framePr w:hSpace="0" w:wrap="auto" w:vAnchor="margin" w:hAnchor="text" w:yAlign="inline"/>
              <w:rPr>
                <w:lang w:eastAsia="en-GB"/>
              </w:rPr>
            </w:pPr>
            <w:r>
              <w:rPr>
                <w:lang w:val="en-GB" w:eastAsia="en-GB"/>
              </w:rPr>
              <w:t>7289</w:t>
            </w:r>
            <w:r w:rsidRPr="008A46F0">
              <w:rPr>
                <w:lang w:eastAsia="en-GB"/>
              </w:rPr>
              <w:t>.</w:t>
            </w:r>
            <w:r>
              <w:rPr>
                <w:lang w:val="en-GB" w:eastAsia="en-GB"/>
              </w:rPr>
              <w:t>88</w:t>
            </w:r>
            <w:r w:rsidRPr="008A46F0">
              <w:rPr>
                <w:lang w:eastAsia="en-GB"/>
              </w:rPr>
              <w:t>***</w:t>
            </w:r>
          </w:p>
        </w:tc>
        <w:tc>
          <w:tcPr>
            <w:tcW w:w="2500" w:type="dxa"/>
            <w:gridSpan w:val="2"/>
          </w:tcPr>
          <w:p w:rsidR="008038D2" w:rsidRPr="008A46F0" w:rsidRDefault="008038D2" w:rsidP="00580297">
            <w:pPr>
              <w:pStyle w:val="BodyText"/>
              <w:framePr w:hSpace="0" w:wrap="auto" w:vAnchor="margin" w:hAnchor="text" w:yAlign="inline"/>
              <w:rPr>
                <w:lang w:eastAsia="en-GB"/>
              </w:rPr>
            </w:pPr>
            <w:r>
              <w:rPr>
                <w:lang w:val="en-GB" w:eastAsia="en-GB"/>
              </w:rPr>
              <w:t>7773</w:t>
            </w:r>
            <w:r w:rsidRPr="008A46F0">
              <w:rPr>
                <w:lang w:eastAsia="en-GB"/>
              </w:rPr>
              <w:t>.</w:t>
            </w:r>
            <w:r>
              <w:rPr>
                <w:lang w:val="en-GB" w:eastAsia="en-GB"/>
              </w:rPr>
              <w:t>07</w:t>
            </w:r>
            <w:r w:rsidRPr="008A46F0">
              <w:rPr>
                <w:lang w:eastAsia="en-GB"/>
              </w:rPr>
              <w:t>***</w:t>
            </w:r>
          </w:p>
        </w:tc>
        <w:tc>
          <w:tcPr>
            <w:tcW w:w="2500" w:type="dxa"/>
            <w:gridSpan w:val="2"/>
          </w:tcPr>
          <w:p w:rsidR="008038D2" w:rsidRPr="00581A9A" w:rsidRDefault="008038D2" w:rsidP="00580297">
            <w:pPr>
              <w:pStyle w:val="BodyText"/>
              <w:framePr w:hSpace="0" w:wrap="auto" w:vAnchor="margin" w:hAnchor="text" w:yAlign="inline"/>
              <w:rPr>
                <w:lang w:eastAsia="en-GB"/>
              </w:rPr>
            </w:pPr>
            <w:r>
              <w:rPr>
                <w:lang w:eastAsia="en-GB"/>
              </w:rPr>
              <w:t xml:space="preserve"> </w:t>
            </w:r>
            <w:r>
              <w:rPr>
                <w:lang w:val="en-GB" w:eastAsia="en-GB"/>
              </w:rPr>
              <w:t>12048</w:t>
            </w:r>
            <w:r w:rsidRPr="00581A9A">
              <w:rPr>
                <w:lang w:eastAsia="en-GB"/>
              </w:rPr>
              <w:t>.</w:t>
            </w:r>
            <w:r>
              <w:rPr>
                <w:lang w:val="en-GB" w:eastAsia="en-GB"/>
              </w:rPr>
              <w:t>5</w:t>
            </w:r>
            <w:r>
              <w:rPr>
                <w:lang w:eastAsia="en-GB"/>
              </w:rPr>
              <w:t>0</w:t>
            </w:r>
            <w:r w:rsidRPr="00581A9A">
              <w:rPr>
                <w:lang w:eastAsia="en-GB"/>
              </w:rPr>
              <w:t>***</w:t>
            </w:r>
          </w:p>
        </w:tc>
      </w:tr>
      <w:tr w:rsidR="008038D2" w:rsidRPr="00AD1AEF" w:rsidTr="00580297">
        <w:trPr>
          <w:gridAfter w:val="1"/>
          <w:wAfter w:w="34" w:type="dxa"/>
        </w:trPr>
        <w:tc>
          <w:tcPr>
            <w:tcW w:w="2376" w:type="dxa"/>
          </w:tcPr>
          <w:p w:rsidR="008038D2" w:rsidRPr="00581A9A" w:rsidRDefault="008038D2" w:rsidP="00580297">
            <w:pPr>
              <w:pStyle w:val="BodyText"/>
              <w:framePr w:hSpace="0" w:wrap="auto" w:vAnchor="margin" w:hAnchor="text" w:yAlign="inline"/>
              <w:rPr>
                <w:lang w:eastAsia="en-GB"/>
              </w:rPr>
            </w:pPr>
            <w:r w:rsidRPr="00581A9A">
              <w:rPr>
                <w:lang w:eastAsia="en-GB"/>
              </w:rPr>
              <w:t>N</w:t>
            </w:r>
          </w:p>
        </w:tc>
        <w:tc>
          <w:tcPr>
            <w:tcW w:w="2500" w:type="dxa"/>
            <w:gridSpan w:val="2"/>
          </w:tcPr>
          <w:p w:rsidR="008038D2" w:rsidRPr="008A46F0" w:rsidRDefault="008038D2" w:rsidP="00580297">
            <w:pPr>
              <w:pStyle w:val="BodyText"/>
              <w:framePr w:hSpace="0" w:wrap="auto" w:vAnchor="margin" w:hAnchor="text" w:yAlign="inline"/>
              <w:rPr>
                <w:lang w:eastAsia="en-GB"/>
              </w:rPr>
            </w:pPr>
            <w:r w:rsidRPr="008A46F0">
              <w:rPr>
                <w:lang w:eastAsia="en-GB"/>
              </w:rPr>
              <w:t>1650</w:t>
            </w:r>
          </w:p>
        </w:tc>
        <w:tc>
          <w:tcPr>
            <w:tcW w:w="2500" w:type="dxa"/>
            <w:gridSpan w:val="2"/>
          </w:tcPr>
          <w:p w:rsidR="008038D2" w:rsidRPr="008A46F0" w:rsidRDefault="008038D2" w:rsidP="00580297">
            <w:pPr>
              <w:pStyle w:val="BodyText"/>
              <w:framePr w:hSpace="0" w:wrap="auto" w:vAnchor="margin" w:hAnchor="text" w:yAlign="inline"/>
              <w:rPr>
                <w:lang w:eastAsia="en-GB"/>
              </w:rPr>
            </w:pPr>
            <w:r w:rsidRPr="008A46F0">
              <w:rPr>
                <w:lang w:eastAsia="en-GB"/>
              </w:rPr>
              <w:t>1650</w:t>
            </w:r>
          </w:p>
        </w:tc>
        <w:tc>
          <w:tcPr>
            <w:tcW w:w="2500" w:type="dxa"/>
            <w:gridSpan w:val="2"/>
          </w:tcPr>
          <w:p w:rsidR="008038D2" w:rsidRPr="008A46F0" w:rsidRDefault="008038D2" w:rsidP="00580297">
            <w:pPr>
              <w:pStyle w:val="BodyText"/>
              <w:framePr w:hSpace="0" w:wrap="auto" w:vAnchor="margin" w:hAnchor="text" w:yAlign="inline"/>
              <w:rPr>
                <w:lang w:eastAsia="en-GB"/>
              </w:rPr>
            </w:pPr>
            <w:r w:rsidRPr="008A46F0">
              <w:rPr>
                <w:lang w:eastAsia="en-GB"/>
              </w:rPr>
              <w:t>1650</w:t>
            </w:r>
          </w:p>
        </w:tc>
        <w:tc>
          <w:tcPr>
            <w:tcW w:w="2500" w:type="dxa"/>
            <w:gridSpan w:val="2"/>
          </w:tcPr>
          <w:p w:rsidR="008038D2" w:rsidRPr="008A46F0" w:rsidRDefault="008038D2" w:rsidP="00580297">
            <w:pPr>
              <w:pStyle w:val="BodyText"/>
              <w:framePr w:hSpace="0" w:wrap="auto" w:vAnchor="margin" w:hAnchor="text" w:yAlign="inline"/>
              <w:rPr>
                <w:lang w:eastAsia="en-GB"/>
              </w:rPr>
            </w:pPr>
            <w:r w:rsidRPr="008A46F0">
              <w:rPr>
                <w:lang w:eastAsia="en-GB"/>
              </w:rPr>
              <w:t>1650</w:t>
            </w:r>
          </w:p>
        </w:tc>
        <w:tc>
          <w:tcPr>
            <w:tcW w:w="2500" w:type="dxa"/>
            <w:gridSpan w:val="2"/>
          </w:tcPr>
          <w:p w:rsidR="008038D2" w:rsidRPr="00581A9A" w:rsidRDefault="008038D2" w:rsidP="00580297">
            <w:pPr>
              <w:pStyle w:val="BodyText"/>
              <w:framePr w:hSpace="0" w:wrap="auto" w:vAnchor="margin" w:hAnchor="text" w:yAlign="inline"/>
              <w:rPr>
                <w:lang w:eastAsia="en-GB"/>
              </w:rPr>
            </w:pPr>
            <w:r>
              <w:rPr>
                <w:lang w:eastAsia="en-GB"/>
              </w:rPr>
              <w:t xml:space="preserve"> </w:t>
            </w:r>
            <w:r w:rsidRPr="00581A9A">
              <w:rPr>
                <w:lang w:eastAsia="en-GB"/>
              </w:rPr>
              <w:t>1650</w:t>
            </w:r>
          </w:p>
        </w:tc>
      </w:tr>
      <w:tr w:rsidR="008038D2" w:rsidRPr="00AD1AEF" w:rsidTr="00580297">
        <w:trPr>
          <w:gridAfter w:val="1"/>
          <w:wAfter w:w="34" w:type="dxa"/>
        </w:trPr>
        <w:tc>
          <w:tcPr>
            <w:tcW w:w="2376" w:type="dxa"/>
            <w:tcBorders>
              <w:bottom w:val="single" w:sz="4" w:space="0" w:color="auto"/>
            </w:tcBorders>
          </w:tcPr>
          <w:p w:rsidR="008038D2" w:rsidRPr="00581A9A" w:rsidRDefault="008038D2" w:rsidP="00580297">
            <w:pPr>
              <w:pStyle w:val="BodyText"/>
              <w:framePr w:hSpace="0" w:wrap="auto" w:vAnchor="margin" w:hAnchor="text" w:yAlign="inline"/>
              <w:rPr>
                <w:lang w:eastAsia="en-GB"/>
              </w:rPr>
            </w:pPr>
            <w:r w:rsidRPr="00581A9A">
              <w:rPr>
                <w:lang w:eastAsia="en-GB"/>
              </w:rPr>
              <w:t>R</w:t>
            </w:r>
            <w:r w:rsidRPr="00581A9A">
              <w:rPr>
                <w:vertAlign w:val="superscript"/>
                <w:lang w:eastAsia="en-GB"/>
              </w:rPr>
              <w:t>2</w:t>
            </w:r>
          </w:p>
        </w:tc>
        <w:tc>
          <w:tcPr>
            <w:tcW w:w="2500" w:type="dxa"/>
            <w:gridSpan w:val="2"/>
            <w:tcBorders>
              <w:bottom w:val="single" w:sz="4" w:space="0" w:color="auto"/>
            </w:tcBorders>
          </w:tcPr>
          <w:p w:rsidR="008038D2" w:rsidRPr="004108F9" w:rsidRDefault="008038D2" w:rsidP="00580297">
            <w:pPr>
              <w:pStyle w:val="BodyText"/>
              <w:framePr w:hSpace="0" w:wrap="auto" w:vAnchor="margin" w:hAnchor="text" w:yAlign="inline"/>
              <w:rPr>
                <w:lang w:eastAsia="en-GB"/>
              </w:rPr>
            </w:pPr>
            <w:r w:rsidRPr="004108F9">
              <w:rPr>
                <w:lang w:eastAsia="en-GB"/>
              </w:rPr>
              <w:t>0.73</w:t>
            </w:r>
          </w:p>
        </w:tc>
        <w:tc>
          <w:tcPr>
            <w:tcW w:w="2500" w:type="dxa"/>
            <w:gridSpan w:val="2"/>
            <w:tcBorders>
              <w:bottom w:val="single" w:sz="4" w:space="0" w:color="auto"/>
            </w:tcBorders>
          </w:tcPr>
          <w:p w:rsidR="008038D2" w:rsidRPr="004108F9" w:rsidRDefault="008038D2" w:rsidP="00580297">
            <w:pPr>
              <w:pStyle w:val="BodyText"/>
              <w:framePr w:hSpace="0" w:wrap="auto" w:vAnchor="margin" w:hAnchor="text" w:yAlign="inline"/>
              <w:rPr>
                <w:lang w:eastAsia="en-GB"/>
              </w:rPr>
            </w:pPr>
            <w:r w:rsidRPr="004108F9">
              <w:rPr>
                <w:lang w:eastAsia="en-GB"/>
              </w:rPr>
              <w:t>0.84</w:t>
            </w:r>
          </w:p>
        </w:tc>
        <w:tc>
          <w:tcPr>
            <w:tcW w:w="2500" w:type="dxa"/>
            <w:gridSpan w:val="2"/>
            <w:tcBorders>
              <w:bottom w:val="single" w:sz="4" w:space="0" w:color="auto"/>
            </w:tcBorders>
          </w:tcPr>
          <w:p w:rsidR="008038D2" w:rsidRPr="004108F9" w:rsidRDefault="008038D2" w:rsidP="00580297">
            <w:pPr>
              <w:pStyle w:val="BodyText"/>
              <w:framePr w:hSpace="0" w:wrap="auto" w:vAnchor="margin" w:hAnchor="text" w:yAlign="inline"/>
              <w:rPr>
                <w:lang w:eastAsia="en-GB"/>
              </w:rPr>
            </w:pPr>
            <w:r w:rsidRPr="004108F9">
              <w:rPr>
                <w:lang w:eastAsia="en-GB"/>
              </w:rPr>
              <w:t>0.75</w:t>
            </w:r>
          </w:p>
        </w:tc>
        <w:tc>
          <w:tcPr>
            <w:tcW w:w="2500" w:type="dxa"/>
            <w:gridSpan w:val="2"/>
            <w:tcBorders>
              <w:bottom w:val="single" w:sz="4" w:space="0" w:color="auto"/>
            </w:tcBorders>
          </w:tcPr>
          <w:p w:rsidR="008038D2" w:rsidRPr="004108F9" w:rsidRDefault="008038D2" w:rsidP="00580297">
            <w:pPr>
              <w:pStyle w:val="BodyText"/>
              <w:framePr w:hSpace="0" w:wrap="auto" w:vAnchor="margin" w:hAnchor="text" w:yAlign="inline"/>
              <w:rPr>
                <w:lang w:eastAsia="en-GB"/>
              </w:rPr>
            </w:pPr>
            <w:r w:rsidRPr="004108F9">
              <w:rPr>
                <w:lang w:eastAsia="en-GB"/>
              </w:rPr>
              <w:t>0.77</w:t>
            </w:r>
          </w:p>
        </w:tc>
        <w:tc>
          <w:tcPr>
            <w:tcW w:w="2500" w:type="dxa"/>
            <w:gridSpan w:val="2"/>
            <w:tcBorders>
              <w:bottom w:val="single" w:sz="4" w:space="0" w:color="auto"/>
            </w:tcBorders>
          </w:tcPr>
          <w:p w:rsidR="008038D2" w:rsidRPr="004108F9" w:rsidRDefault="008038D2" w:rsidP="00580297">
            <w:pPr>
              <w:pStyle w:val="BodyText"/>
              <w:framePr w:hSpace="0" w:wrap="auto" w:vAnchor="margin" w:hAnchor="text" w:yAlign="inline"/>
              <w:rPr>
                <w:lang w:eastAsia="en-GB"/>
              </w:rPr>
            </w:pPr>
            <w:r w:rsidRPr="004108F9">
              <w:rPr>
                <w:lang w:eastAsia="en-GB"/>
              </w:rPr>
              <w:t xml:space="preserve"> 0.86</w:t>
            </w:r>
          </w:p>
        </w:tc>
      </w:tr>
      <w:tr w:rsidR="008038D2" w:rsidRPr="00AD1AEF" w:rsidTr="00580297">
        <w:tc>
          <w:tcPr>
            <w:tcW w:w="14910" w:type="dxa"/>
            <w:gridSpan w:val="12"/>
            <w:tcBorders>
              <w:top w:val="single" w:sz="4" w:space="0" w:color="auto"/>
            </w:tcBorders>
          </w:tcPr>
          <w:p w:rsidR="008038D2" w:rsidRPr="00363483" w:rsidRDefault="008038D2" w:rsidP="00580297">
            <w:pPr>
              <w:pStyle w:val="BodyText"/>
              <w:framePr w:hSpace="0" w:wrap="auto" w:vAnchor="margin" w:hAnchor="text" w:yAlign="inline"/>
              <w:rPr>
                <w:lang w:eastAsia="en-GB"/>
              </w:rPr>
            </w:pPr>
            <w:r w:rsidRPr="00363483">
              <w:rPr>
                <w:lang w:eastAsia="en-GB"/>
              </w:rPr>
              <w:t>***p&lt;0.001, **p&lt;0.01, *p&lt;0.05, †p&lt;0.10</w:t>
            </w:r>
          </w:p>
          <w:p w:rsidR="008038D2" w:rsidRPr="00363483" w:rsidRDefault="008038D2" w:rsidP="00580297">
            <w:pPr>
              <w:pStyle w:val="BodyText"/>
              <w:framePr w:hSpace="0" w:wrap="auto" w:vAnchor="margin" w:hAnchor="text" w:yAlign="inline"/>
              <w:rPr>
                <w:lang w:eastAsia="en-GB"/>
              </w:rPr>
            </w:pPr>
            <w:r>
              <w:rPr>
                <w:lang w:eastAsia="en-GB"/>
              </w:rPr>
              <w:t>Standardized coefficients; s</w:t>
            </w:r>
            <w:r w:rsidRPr="00363483">
              <w:rPr>
                <w:lang w:eastAsia="en-GB"/>
              </w:rPr>
              <w:t>tandard errors in parentheses</w:t>
            </w:r>
          </w:p>
        </w:tc>
      </w:tr>
    </w:tbl>
    <w:p w:rsidR="008038D2" w:rsidRPr="00AD1AEF" w:rsidRDefault="008038D2" w:rsidP="008038D2">
      <w:pPr>
        <w:rPr>
          <w:b/>
        </w:rPr>
      </w:pPr>
    </w:p>
    <w:p w:rsidR="008038D2" w:rsidRDefault="008038D2" w:rsidP="008038D2">
      <w:pPr>
        <w:framePr w:w="151" w:h="76" w:hRule="exact" w:wrap="auto" w:vAnchor="text" w:hAnchor="text" w:y="5107"/>
        <w:outlineLvl w:val="0"/>
        <w:rPr>
          <w:b/>
        </w:rPr>
      </w:pPr>
    </w:p>
    <w:p w:rsidR="008038D2" w:rsidRPr="00AD1AEF" w:rsidRDefault="008038D2" w:rsidP="008038D2">
      <w:pPr>
        <w:framePr w:w="151" w:h="76" w:hRule="exact" w:wrap="auto" w:vAnchor="text" w:hAnchor="text" w:y="5107"/>
        <w:outlineLvl w:val="0"/>
        <w:rPr>
          <w:b/>
        </w:rPr>
        <w:sectPr w:rsidR="008038D2" w:rsidRPr="00AD1AEF" w:rsidSect="0097208F">
          <w:pgSz w:w="15840" w:h="12240" w:orient="landscape" w:code="1"/>
          <w:pgMar w:top="1418" w:right="1418" w:bottom="1418" w:left="1418" w:header="709" w:footer="709" w:gutter="0"/>
          <w:cols w:space="708"/>
          <w:docGrid w:linePitch="360"/>
        </w:sect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Pr="003D77D9" w:rsidRDefault="008038D2" w:rsidP="008038D2">
      <w:pPr>
        <w:rPr>
          <w:lang w:eastAsia="en-GB"/>
        </w:rPr>
      </w:pPr>
      <w:r w:rsidRPr="002E4B92">
        <w:rPr>
          <w:b/>
          <w:lang w:eastAsia="en-GB"/>
        </w:rPr>
        <w:t xml:space="preserve">Table </w:t>
      </w:r>
      <w:r w:rsidR="00203CEA">
        <w:rPr>
          <w:b/>
          <w:lang w:eastAsia="en-GB"/>
        </w:rPr>
        <w:t>5</w:t>
      </w:r>
      <w:r>
        <w:rPr>
          <w:lang w:eastAsia="en-GB"/>
        </w:rPr>
        <w:t>. Interaction effects between Russell Group and three independent variables</w:t>
      </w:r>
    </w:p>
    <w:p w:rsidR="008038D2" w:rsidRDefault="008038D2" w:rsidP="008038D2">
      <w:pPr>
        <w:rPr>
          <w:lang w:eastAsia="en-GB"/>
        </w:rPr>
      </w:pPr>
    </w:p>
    <w:tbl>
      <w:tblPr>
        <w:tblpPr w:leftFromText="180" w:rightFromText="180" w:vertAnchor="text" w:horzAnchor="margin" w:tblpY="452"/>
        <w:tblW w:w="0" w:type="auto"/>
        <w:tblBorders>
          <w:top w:val="single" w:sz="8" w:space="0" w:color="000000"/>
          <w:bottom w:val="single" w:sz="8" w:space="0" w:color="000000"/>
        </w:tblBorders>
        <w:tblLook w:val="04A0" w:firstRow="1" w:lastRow="0" w:firstColumn="1" w:lastColumn="0" w:noHBand="0" w:noVBand="1"/>
      </w:tblPr>
      <w:tblGrid>
        <w:gridCol w:w="2943"/>
        <w:gridCol w:w="1560"/>
        <w:gridCol w:w="966"/>
      </w:tblGrid>
      <w:tr w:rsidR="008038D2" w:rsidRPr="001A5521" w:rsidTr="00580297">
        <w:tc>
          <w:tcPr>
            <w:tcW w:w="2943" w:type="dxa"/>
            <w:tcBorders>
              <w:top w:val="single" w:sz="8" w:space="0" w:color="000000"/>
              <w:bottom w:val="single" w:sz="4" w:space="0" w:color="auto"/>
            </w:tcBorders>
            <w:hideMark/>
          </w:tcPr>
          <w:p w:rsidR="008038D2" w:rsidRPr="000D489C" w:rsidRDefault="008038D2" w:rsidP="00580297">
            <w:pPr>
              <w:rPr>
                <w:rFonts w:eastAsia="Times New Roman"/>
                <w:b/>
                <w:bCs/>
                <w:color w:val="000000"/>
                <w:sz w:val="20"/>
                <w:szCs w:val="20"/>
              </w:rPr>
            </w:pPr>
            <w:r w:rsidRPr="000D489C">
              <w:rPr>
                <w:rFonts w:eastAsia="Times New Roman"/>
                <w:b/>
                <w:bCs/>
                <w:color w:val="000000"/>
                <w:sz w:val="20"/>
                <w:szCs w:val="20"/>
              </w:rPr>
              <w:t>Variables</w:t>
            </w:r>
          </w:p>
        </w:tc>
        <w:tc>
          <w:tcPr>
            <w:tcW w:w="2526" w:type="dxa"/>
            <w:gridSpan w:val="2"/>
            <w:tcBorders>
              <w:top w:val="single" w:sz="8" w:space="0" w:color="000000"/>
              <w:bottom w:val="single" w:sz="4" w:space="0" w:color="auto"/>
            </w:tcBorders>
            <w:hideMark/>
          </w:tcPr>
          <w:p w:rsidR="008038D2" w:rsidRPr="000D489C" w:rsidRDefault="008038D2" w:rsidP="00580297">
            <w:pPr>
              <w:rPr>
                <w:rFonts w:eastAsia="Times New Roman"/>
                <w:b/>
                <w:bCs/>
                <w:color w:val="000000"/>
                <w:sz w:val="20"/>
                <w:szCs w:val="20"/>
              </w:rPr>
            </w:pPr>
            <w:r w:rsidRPr="000D489C">
              <w:rPr>
                <w:rFonts w:eastAsia="Times New Roman"/>
                <w:b/>
                <w:bCs/>
                <w:color w:val="000000"/>
                <w:sz w:val="20"/>
                <w:szCs w:val="20"/>
              </w:rPr>
              <w:t>GLS interactions</w:t>
            </w:r>
          </w:p>
        </w:tc>
      </w:tr>
      <w:tr w:rsidR="008038D2" w:rsidRPr="001A5521" w:rsidTr="00580297">
        <w:trPr>
          <w:trHeight w:val="227"/>
        </w:trPr>
        <w:tc>
          <w:tcPr>
            <w:tcW w:w="2943" w:type="dxa"/>
            <w:tcBorders>
              <w:top w:val="single" w:sz="4" w:space="0" w:color="auto"/>
            </w:tcBorders>
            <w:shd w:val="clear" w:color="auto" w:fill="auto"/>
            <w:hideMark/>
          </w:tcPr>
          <w:p w:rsidR="008038D2" w:rsidRPr="000D489C" w:rsidRDefault="008038D2" w:rsidP="00580297">
            <w:pPr>
              <w:rPr>
                <w:rFonts w:eastAsia="Times New Roman"/>
                <w:bCs/>
                <w:color w:val="000000"/>
                <w:sz w:val="20"/>
                <w:szCs w:val="20"/>
              </w:rPr>
            </w:pPr>
            <w:r w:rsidRPr="000D489C">
              <w:rPr>
                <w:rFonts w:eastAsia="Times New Roman"/>
                <w:bCs/>
                <w:color w:val="000000"/>
                <w:sz w:val="20"/>
                <w:szCs w:val="20"/>
              </w:rPr>
              <w:t>(Constant)</w:t>
            </w:r>
          </w:p>
        </w:tc>
        <w:tc>
          <w:tcPr>
            <w:tcW w:w="1560" w:type="dxa"/>
            <w:tcBorders>
              <w:top w:val="single" w:sz="4" w:space="0" w:color="auto"/>
            </w:tcBorders>
            <w:shd w:val="clear" w:color="auto" w:fill="auto"/>
            <w:hideMark/>
          </w:tcPr>
          <w:p w:rsidR="008038D2" w:rsidRPr="000D489C" w:rsidRDefault="008038D2" w:rsidP="00081753">
            <w:pPr>
              <w:rPr>
                <w:rFonts w:eastAsia="Times New Roman"/>
                <w:color w:val="000000"/>
                <w:sz w:val="20"/>
                <w:szCs w:val="20"/>
              </w:rPr>
            </w:pPr>
            <w:r w:rsidRPr="000D489C">
              <w:rPr>
                <w:rFonts w:eastAsia="Times New Roman"/>
                <w:color w:val="000000"/>
                <w:sz w:val="20"/>
                <w:szCs w:val="20"/>
              </w:rPr>
              <w:t>-</w:t>
            </w:r>
            <w:r>
              <w:rPr>
                <w:rFonts w:eastAsia="Times New Roman"/>
                <w:color w:val="000000"/>
                <w:sz w:val="20"/>
                <w:szCs w:val="20"/>
              </w:rPr>
              <w:t>0.</w:t>
            </w:r>
            <w:r w:rsidR="00081753">
              <w:rPr>
                <w:rFonts w:eastAsia="Times New Roman"/>
                <w:color w:val="000000"/>
                <w:sz w:val="20"/>
                <w:szCs w:val="20"/>
              </w:rPr>
              <w:t>001</w:t>
            </w:r>
          </w:p>
        </w:tc>
        <w:tc>
          <w:tcPr>
            <w:tcW w:w="0" w:type="auto"/>
            <w:tcBorders>
              <w:top w:val="single" w:sz="4" w:space="0" w:color="auto"/>
            </w:tcBorders>
            <w:shd w:val="clear" w:color="auto" w:fill="auto"/>
            <w:hideMark/>
          </w:tcPr>
          <w:p w:rsidR="008038D2" w:rsidRPr="000D489C" w:rsidRDefault="008038D2" w:rsidP="00081753">
            <w:pPr>
              <w:rPr>
                <w:rFonts w:eastAsia="Times New Roman"/>
                <w:color w:val="000000"/>
                <w:sz w:val="20"/>
                <w:szCs w:val="20"/>
              </w:rPr>
            </w:pPr>
            <w:r w:rsidRPr="000D489C">
              <w:rPr>
                <w:rFonts w:eastAsia="Times New Roman"/>
                <w:color w:val="000000"/>
                <w:sz w:val="20"/>
                <w:szCs w:val="20"/>
              </w:rPr>
              <w:t>(</w:t>
            </w:r>
            <w:r>
              <w:rPr>
                <w:rFonts w:eastAsia="Times New Roman"/>
                <w:color w:val="000000"/>
                <w:sz w:val="20"/>
                <w:szCs w:val="20"/>
              </w:rPr>
              <w:t>0.03</w:t>
            </w:r>
            <w:r w:rsidR="00081753">
              <w:rPr>
                <w:rFonts w:eastAsia="Times New Roman"/>
                <w:color w:val="000000"/>
                <w:sz w:val="20"/>
                <w:szCs w:val="20"/>
              </w:rPr>
              <w:t>2</w:t>
            </w:r>
            <w:r w:rsidRPr="000D489C">
              <w:rPr>
                <w:rFonts w:eastAsia="Times New Roman"/>
                <w:color w:val="000000"/>
                <w:sz w:val="20"/>
                <w:szCs w:val="20"/>
              </w:rPr>
              <w:t>)</w:t>
            </w:r>
          </w:p>
        </w:tc>
      </w:tr>
      <w:tr w:rsidR="008038D2" w:rsidRPr="001A5521" w:rsidTr="00580297">
        <w:trPr>
          <w:trHeight w:val="227"/>
        </w:trPr>
        <w:tc>
          <w:tcPr>
            <w:tcW w:w="2943" w:type="dxa"/>
            <w:shd w:val="clear" w:color="auto" w:fill="auto"/>
            <w:hideMark/>
          </w:tcPr>
          <w:p w:rsidR="008038D2" w:rsidRPr="000D489C" w:rsidRDefault="008038D2" w:rsidP="00580297">
            <w:pPr>
              <w:rPr>
                <w:rFonts w:eastAsia="Times New Roman"/>
                <w:bCs/>
                <w:color w:val="000000"/>
                <w:sz w:val="20"/>
                <w:szCs w:val="20"/>
              </w:rPr>
            </w:pPr>
            <w:r w:rsidRPr="000D489C">
              <w:rPr>
                <w:rFonts w:eastAsia="Times New Roman"/>
                <w:bCs/>
                <w:color w:val="000000"/>
                <w:sz w:val="20"/>
                <w:szCs w:val="20"/>
              </w:rPr>
              <w:t xml:space="preserve">Nobel Awards </w:t>
            </w:r>
          </w:p>
        </w:tc>
        <w:tc>
          <w:tcPr>
            <w:tcW w:w="1560" w:type="dxa"/>
            <w:shd w:val="clear" w:color="auto" w:fill="auto"/>
            <w:hideMark/>
          </w:tcPr>
          <w:p w:rsidR="008038D2" w:rsidRPr="000D489C" w:rsidRDefault="008038D2" w:rsidP="00081753">
            <w:pPr>
              <w:rPr>
                <w:rFonts w:eastAsia="Times New Roman"/>
                <w:color w:val="000000"/>
                <w:sz w:val="20"/>
                <w:szCs w:val="20"/>
              </w:rPr>
            </w:pPr>
            <w:r w:rsidRPr="000D489C">
              <w:rPr>
                <w:rFonts w:eastAsia="Times New Roman"/>
                <w:color w:val="000000"/>
                <w:sz w:val="20"/>
                <w:szCs w:val="20"/>
              </w:rPr>
              <w:t xml:space="preserve"> </w:t>
            </w:r>
            <w:r>
              <w:rPr>
                <w:rFonts w:eastAsia="Times New Roman"/>
                <w:color w:val="000000"/>
                <w:sz w:val="20"/>
                <w:szCs w:val="20"/>
              </w:rPr>
              <w:t>0.04</w:t>
            </w:r>
            <w:r w:rsidR="00081753">
              <w:rPr>
                <w:rFonts w:eastAsia="Times New Roman"/>
                <w:color w:val="000000"/>
                <w:sz w:val="20"/>
                <w:szCs w:val="20"/>
              </w:rPr>
              <w:t>7</w:t>
            </w:r>
            <w:r>
              <w:rPr>
                <w:rFonts w:eastAsia="Times New Roman"/>
                <w:color w:val="000000"/>
                <w:sz w:val="20"/>
                <w:szCs w:val="20"/>
              </w:rPr>
              <w:t>**</w:t>
            </w:r>
            <w:r w:rsidRPr="000D489C">
              <w:rPr>
                <w:rFonts w:eastAsia="Times New Roman"/>
                <w:color w:val="000000"/>
                <w:sz w:val="20"/>
                <w:szCs w:val="20"/>
              </w:rPr>
              <w:t>*</w:t>
            </w:r>
          </w:p>
        </w:tc>
        <w:tc>
          <w:tcPr>
            <w:tcW w:w="0" w:type="auto"/>
            <w:shd w:val="clear" w:color="auto" w:fill="auto"/>
            <w:hideMark/>
          </w:tcPr>
          <w:p w:rsidR="008038D2" w:rsidRPr="000D489C" w:rsidRDefault="008038D2" w:rsidP="00580297">
            <w:pPr>
              <w:rPr>
                <w:rFonts w:eastAsia="Times New Roman"/>
                <w:color w:val="000000"/>
                <w:sz w:val="20"/>
                <w:szCs w:val="20"/>
              </w:rPr>
            </w:pPr>
            <w:r w:rsidRPr="000D489C">
              <w:rPr>
                <w:rFonts w:eastAsia="Times New Roman"/>
                <w:color w:val="000000"/>
                <w:sz w:val="20"/>
                <w:szCs w:val="20"/>
              </w:rPr>
              <w:t>(</w:t>
            </w:r>
            <w:r>
              <w:rPr>
                <w:rFonts w:eastAsia="Times New Roman"/>
                <w:color w:val="000000"/>
                <w:sz w:val="20"/>
                <w:szCs w:val="20"/>
              </w:rPr>
              <w:t>0.008</w:t>
            </w:r>
            <w:r w:rsidRPr="000D489C">
              <w:rPr>
                <w:rFonts w:eastAsia="Times New Roman"/>
                <w:color w:val="000000"/>
                <w:sz w:val="20"/>
                <w:szCs w:val="20"/>
              </w:rPr>
              <w:t>)</w:t>
            </w:r>
          </w:p>
        </w:tc>
      </w:tr>
      <w:tr w:rsidR="008038D2" w:rsidRPr="001A5521" w:rsidTr="00580297">
        <w:trPr>
          <w:trHeight w:val="227"/>
        </w:trPr>
        <w:tc>
          <w:tcPr>
            <w:tcW w:w="2943" w:type="dxa"/>
            <w:shd w:val="clear" w:color="auto" w:fill="auto"/>
            <w:hideMark/>
          </w:tcPr>
          <w:p w:rsidR="008038D2" w:rsidRPr="000D489C" w:rsidRDefault="008038D2" w:rsidP="00580297">
            <w:pPr>
              <w:rPr>
                <w:rFonts w:eastAsia="Times New Roman"/>
                <w:bCs/>
                <w:color w:val="000000"/>
                <w:sz w:val="20"/>
                <w:szCs w:val="20"/>
              </w:rPr>
            </w:pPr>
            <w:r w:rsidRPr="000D489C">
              <w:rPr>
                <w:sz w:val="20"/>
                <w:szCs w:val="20"/>
                <w:lang w:eastAsia="en-GB"/>
              </w:rPr>
              <w:t>Publications</w:t>
            </w:r>
          </w:p>
        </w:tc>
        <w:tc>
          <w:tcPr>
            <w:tcW w:w="1560" w:type="dxa"/>
            <w:shd w:val="clear" w:color="auto" w:fill="auto"/>
            <w:hideMark/>
          </w:tcPr>
          <w:p w:rsidR="008038D2" w:rsidRPr="000D489C" w:rsidRDefault="008038D2" w:rsidP="00081753">
            <w:pPr>
              <w:rPr>
                <w:rFonts w:eastAsia="Times New Roman"/>
                <w:color w:val="000000"/>
                <w:sz w:val="20"/>
                <w:szCs w:val="20"/>
              </w:rPr>
            </w:pPr>
            <w:r w:rsidRPr="000D489C">
              <w:rPr>
                <w:rFonts w:eastAsia="Times New Roman"/>
                <w:color w:val="000000"/>
                <w:sz w:val="20"/>
                <w:szCs w:val="20"/>
              </w:rPr>
              <w:t xml:space="preserve"> </w:t>
            </w:r>
            <w:r>
              <w:rPr>
                <w:rFonts w:eastAsia="Times New Roman"/>
                <w:color w:val="000000"/>
                <w:sz w:val="20"/>
                <w:szCs w:val="20"/>
              </w:rPr>
              <w:t>0.2</w:t>
            </w:r>
            <w:r w:rsidR="00081753">
              <w:rPr>
                <w:rFonts w:eastAsia="Times New Roman"/>
                <w:color w:val="000000"/>
                <w:sz w:val="20"/>
                <w:szCs w:val="20"/>
              </w:rPr>
              <w:t>21</w:t>
            </w:r>
            <w:r w:rsidRPr="000D489C">
              <w:rPr>
                <w:rFonts w:eastAsia="Times New Roman"/>
                <w:color w:val="000000"/>
                <w:sz w:val="20"/>
                <w:szCs w:val="20"/>
              </w:rPr>
              <w:t>***</w:t>
            </w:r>
          </w:p>
        </w:tc>
        <w:tc>
          <w:tcPr>
            <w:tcW w:w="0" w:type="auto"/>
            <w:shd w:val="clear" w:color="auto" w:fill="auto"/>
            <w:hideMark/>
          </w:tcPr>
          <w:p w:rsidR="008038D2" w:rsidRPr="000D489C" w:rsidRDefault="008038D2" w:rsidP="00580297">
            <w:pPr>
              <w:rPr>
                <w:rFonts w:eastAsia="Times New Roman"/>
                <w:color w:val="000000"/>
                <w:sz w:val="20"/>
                <w:szCs w:val="20"/>
              </w:rPr>
            </w:pPr>
            <w:r w:rsidRPr="000D489C">
              <w:rPr>
                <w:rFonts w:eastAsia="Times New Roman"/>
                <w:color w:val="000000"/>
                <w:sz w:val="20"/>
                <w:szCs w:val="20"/>
              </w:rPr>
              <w:t>(</w:t>
            </w:r>
            <w:r>
              <w:rPr>
                <w:rFonts w:eastAsia="Times New Roman"/>
                <w:color w:val="000000"/>
                <w:sz w:val="20"/>
                <w:szCs w:val="20"/>
              </w:rPr>
              <w:t>0.013</w:t>
            </w:r>
            <w:r w:rsidRPr="000D489C">
              <w:rPr>
                <w:rFonts w:eastAsia="Times New Roman"/>
                <w:color w:val="000000"/>
                <w:sz w:val="20"/>
                <w:szCs w:val="20"/>
              </w:rPr>
              <w:t>)</w:t>
            </w:r>
          </w:p>
        </w:tc>
      </w:tr>
      <w:tr w:rsidR="008038D2" w:rsidRPr="001A5521" w:rsidTr="00580297">
        <w:trPr>
          <w:trHeight w:val="227"/>
        </w:trPr>
        <w:tc>
          <w:tcPr>
            <w:tcW w:w="2943" w:type="dxa"/>
            <w:shd w:val="clear" w:color="auto" w:fill="auto"/>
            <w:hideMark/>
          </w:tcPr>
          <w:p w:rsidR="008038D2" w:rsidRPr="000D489C" w:rsidRDefault="008038D2" w:rsidP="00580297">
            <w:pPr>
              <w:pStyle w:val="BodyText"/>
              <w:framePr w:hSpace="0" w:wrap="auto" w:vAnchor="margin" w:hAnchor="text" w:yAlign="inline"/>
              <w:rPr>
                <w:lang w:eastAsia="en-GB"/>
              </w:rPr>
            </w:pPr>
            <w:r w:rsidRPr="000D489C">
              <w:rPr>
                <w:bCs/>
                <w:color w:val="000000"/>
              </w:rPr>
              <w:t>RAE Engineering-Biotech</w:t>
            </w:r>
          </w:p>
        </w:tc>
        <w:tc>
          <w:tcPr>
            <w:tcW w:w="1560" w:type="dxa"/>
            <w:shd w:val="clear" w:color="auto" w:fill="auto"/>
            <w:hideMark/>
          </w:tcPr>
          <w:p w:rsidR="008038D2" w:rsidRPr="000D489C" w:rsidRDefault="008038D2" w:rsidP="00081753">
            <w:pPr>
              <w:rPr>
                <w:rFonts w:eastAsia="Times New Roman"/>
                <w:color w:val="000000"/>
                <w:sz w:val="20"/>
                <w:szCs w:val="20"/>
              </w:rPr>
            </w:pPr>
            <w:r w:rsidRPr="000D489C">
              <w:rPr>
                <w:rFonts w:eastAsia="Times New Roman"/>
                <w:color w:val="000000"/>
                <w:sz w:val="20"/>
                <w:szCs w:val="20"/>
              </w:rPr>
              <w:t xml:space="preserve"> </w:t>
            </w:r>
            <w:r>
              <w:rPr>
                <w:rFonts w:eastAsia="Times New Roman"/>
                <w:color w:val="000000"/>
                <w:sz w:val="20"/>
                <w:szCs w:val="20"/>
              </w:rPr>
              <w:t>0.19</w:t>
            </w:r>
            <w:r w:rsidR="00081753">
              <w:rPr>
                <w:rFonts w:eastAsia="Times New Roman"/>
                <w:color w:val="000000"/>
                <w:sz w:val="20"/>
                <w:szCs w:val="20"/>
              </w:rPr>
              <w:t>0</w:t>
            </w:r>
            <w:r w:rsidRPr="000D489C">
              <w:rPr>
                <w:rFonts w:eastAsia="Times New Roman"/>
                <w:color w:val="000000"/>
                <w:sz w:val="20"/>
                <w:szCs w:val="20"/>
              </w:rPr>
              <w:t>***</w:t>
            </w:r>
          </w:p>
        </w:tc>
        <w:tc>
          <w:tcPr>
            <w:tcW w:w="0" w:type="auto"/>
            <w:shd w:val="clear" w:color="auto" w:fill="auto"/>
            <w:hideMark/>
          </w:tcPr>
          <w:p w:rsidR="008038D2" w:rsidRPr="000D489C" w:rsidRDefault="008038D2" w:rsidP="00580297">
            <w:pPr>
              <w:rPr>
                <w:rFonts w:eastAsia="Times New Roman"/>
                <w:color w:val="000000"/>
                <w:sz w:val="20"/>
                <w:szCs w:val="20"/>
              </w:rPr>
            </w:pPr>
            <w:r w:rsidRPr="000D489C">
              <w:rPr>
                <w:rFonts w:eastAsia="Times New Roman"/>
                <w:color w:val="000000"/>
                <w:sz w:val="20"/>
                <w:szCs w:val="20"/>
              </w:rPr>
              <w:t>(</w:t>
            </w:r>
            <w:r>
              <w:rPr>
                <w:rFonts w:eastAsia="Times New Roman"/>
                <w:color w:val="000000"/>
                <w:sz w:val="20"/>
                <w:szCs w:val="20"/>
              </w:rPr>
              <w:t>0.013</w:t>
            </w:r>
            <w:r w:rsidRPr="000D489C">
              <w:rPr>
                <w:rFonts w:eastAsia="Times New Roman"/>
                <w:color w:val="000000"/>
                <w:sz w:val="20"/>
                <w:szCs w:val="20"/>
              </w:rPr>
              <w:t>)</w:t>
            </w:r>
          </w:p>
        </w:tc>
      </w:tr>
      <w:tr w:rsidR="008038D2" w:rsidRPr="001A5521" w:rsidTr="00580297">
        <w:trPr>
          <w:trHeight w:val="227"/>
        </w:trPr>
        <w:tc>
          <w:tcPr>
            <w:tcW w:w="2943" w:type="dxa"/>
            <w:shd w:val="clear" w:color="auto" w:fill="auto"/>
            <w:hideMark/>
          </w:tcPr>
          <w:p w:rsidR="008038D2" w:rsidRPr="000D489C" w:rsidRDefault="008038D2" w:rsidP="00580297">
            <w:pPr>
              <w:pStyle w:val="BodyText"/>
              <w:framePr w:hSpace="0" w:wrap="auto" w:vAnchor="margin" w:hAnchor="text" w:yAlign="inline"/>
              <w:rPr>
                <w:lang w:eastAsia="en-GB"/>
              </w:rPr>
            </w:pPr>
            <w:r w:rsidRPr="000D489C">
              <w:rPr>
                <w:bCs/>
                <w:color w:val="000000"/>
              </w:rPr>
              <w:t>Patents</w:t>
            </w:r>
          </w:p>
        </w:tc>
        <w:tc>
          <w:tcPr>
            <w:tcW w:w="1560" w:type="dxa"/>
            <w:shd w:val="clear" w:color="auto" w:fill="auto"/>
            <w:hideMark/>
          </w:tcPr>
          <w:p w:rsidR="008038D2" w:rsidRPr="000D489C" w:rsidRDefault="008038D2" w:rsidP="00580297">
            <w:pPr>
              <w:rPr>
                <w:rFonts w:eastAsia="Times New Roman"/>
                <w:color w:val="000000"/>
                <w:sz w:val="20"/>
                <w:szCs w:val="20"/>
              </w:rPr>
            </w:pPr>
            <w:r w:rsidRPr="000D489C">
              <w:rPr>
                <w:rFonts w:eastAsia="Times New Roman"/>
                <w:color w:val="000000"/>
                <w:sz w:val="20"/>
                <w:szCs w:val="20"/>
              </w:rPr>
              <w:t xml:space="preserve"> </w:t>
            </w:r>
            <w:r>
              <w:rPr>
                <w:rFonts w:eastAsia="Times New Roman"/>
                <w:color w:val="000000"/>
                <w:sz w:val="20"/>
                <w:szCs w:val="20"/>
              </w:rPr>
              <w:t>0.087</w:t>
            </w:r>
            <w:r w:rsidRPr="000D489C">
              <w:rPr>
                <w:rFonts w:eastAsia="Times New Roman"/>
                <w:color w:val="000000"/>
                <w:sz w:val="20"/>
                <w:szCs w:val="20"/>
              </w:rPr>
              <w:t>***</w:t>
            </w:r>
          </w:p>
        </w:tc>
        <w:tc>
          <w:tcPr>
            <w:tcW w:w="0" w:type="auto"/>
            <w:shd w:val="clear" w:color="auto" w:fill="auto"/>
            <w:hideMark/>
          </w:tcPr>
          <w:p w:rsidR="008038D2" w:rsidRPr="000D489C" w:rsidRDefault="008038D2" w:rsidP="00580297">
            <w:pPr>
              <w:rPr>
                <w:rFonts w:eastAsia="Times New Roman"/>
                <w:color w:val="000000"/>
                <w:sz w:val="20"/>
                <w:szCs w:val="20"/>
              </w:rPr>
            </w:pPr>
            <w:r w:rsidRPr="000D489C">
              <w:rPr>
                <w:rFonts w:eastAsia="Times New Roman"/>
                <w:color w:val="000000"/>
                <w:sz w:val="20"/>
                <w:szCs w:val="20"/>
              </w:rPr>
              <w:t>(</w:t>
            </w:r>
            <w:r>
              <w:rPr>
                <w:rFonts w:eastAsia="Times New Roman"/>
                <w:color w:val="000000"/>
                <w:sz w:val="20"/>
                <w:szCs w:val="20"/>
              </w:rPr>
              <w:t>0.009</w:t>
            </w:r>
            <w:r w:rsidRPr="000D489C">
              <w:rPr>
                <w:rFonts w:eastAsia="Times New Roman"/>
                <w:color w:val="000000"/>
                <w:sz w:val="20"/>
                <w:szCs w:val="20"/>
              </w:rPr>
              <w:t>)</w:t>
            </w:r>
          </w:p>
        </w:tc>
      </w:tr>
      <w:tr w:rsidR="008038D2" w:rsidRPr="001A5521" w:rsidTr="00580297">
        <w:trPr>
          <w:trHeight w:val="227"/>
        </w:trPr>
        <w:tc>
          <w:tcPr>
            <w:tcW w:w="2943" w:type="dxa"/>
            <w:shd w:val="clear" w:color="auto" w:fill="auto"/>
            <w:hideMark/>
          </w:tcPr>
          <w:p w:rsidR="008038D2" w:rsidRPr="000D489C" w:rsidRDefault="008038D2" w:rsidP="00580297">
            <w:pPr>
              <w:rPr>
                <w:rFonts w:eastAsia="Times New Roman"/>
                <w:bCs/>
                <w:color w:val="000000"/>
                <w:sz w:val="20"/>
                <w:szCs w:val="20"/>
              </w:rPr>
            </w:pPr>
            <w:r w:rsidRPr="000D489C">
              <w:rPr>
                <w:rFonts w:eastAsia="Times New Roman"/>
                <w:bCs/>
                <w:color w:val="000000"/>
                <w:sz w:val="20"/>
                <w:szCs w:val="20"/>
              </w:rPr>
              <w:t>University Hospital</w:t>
            </w:r>
          </w:p>
        </w:tc>
        <w:tc>
          <w:tcPr>
            <w:tcW w:w="1560" w:type="dxa"/>
            <w:shd w:val="clear" w:color="auto" w:fill="auto"/>
            <w:hideMark/>
          </w:tcPr>
          <w:p w:rsidR="008038D2" w:rsidRPr="000D489C" w:rsidRDefault="008038D2" w:rsidP="00580297">
            <w:pPr>
              <w:rPr>
                <w:rFonts w:eastAsia="Times New Roman"/>
                <w:color w:val="000000"/>
                <w:sz w:val="20"/>
                <w:szCs w:val="20"/>
              </w:rPr>
            </w:pPr>
            <w:r w:rsidRPr="000D489C">
              <w:rPr>
                <w:rFonts w:eastAsia="Times New Roman"/>
                <w:color w:val="000000"/>
                <w:sz w:val="20"/>
                <w:szCs w:val="20"/>
              </w:rPr>
              <w:t xml:space="preserve"> </w:t>
            </w:r>
            <w:r>
              <w:rPr>
                <w:rFonts w:eastAsia="Times New Roman"/>
                <w:color w:val="000000"/>
                <w:sz w:val="20"/>
                <w:szCs w:val="20"/>
              </w:rPr>
              <w:t>0.061</w:t>
            </w:r>
            <w:r w:rsidRPr="000D489C">
              <w:rPr>
                <w:rFonts w:eastAsia="Times New Roman"/>
                <w:color w:val="000000"/>
                <w:sz w:val="20"/>
                <w:szCs w:val="20"/>
              </w:rPr>
              <w:t>***</w:t>
            </w:r>
          </w:p>
        </w:tc>
        <w:tc>
          <w:tcPr>
            <w:tcW w:w="0" w:type="auto"/>
            <w:shd w:val="clear" w:color="auto" w:fill="auto"/>
            <w:hideMark/>
          </w:tcPr>
          <w:p w:rsidR="008038D2" w:rsidRPr="000D489C" w:rsidRDefault="008038D2" w:rsidP="00580297">
            <w:pPr>
              <w:rPr>
                <w:rFonts w:eastAsia="Times New Roman"/>
                <w:color w:val="000000"/>
                <w:sz w:val="20"/>
                <w:szCs w:val="20"/>
              </w:rPr>
            </w:pPr>
            <w:r w:rsidRPr="000D489C">
              <w:rPr>
                <w:rFonts w:eastAsia="Times New Roman"/>
                <w:color w:val="000000"/>
                <w:sz w:val="20"/>
                <w:szCs w:val="20"/>
              </w:rPr>
              <w:t>(</w:t>
            </w:r>
            <w:r>
              <w:rPr>
                <w:rFonts w:eastAsia="Times New Roman"/>
                <w:color w:val="000000"/>
                <w:sz w:val="20"/>
                <w:szCs w:val="20"/>
              </w:rPr>
              <w:t>0.009</w:t>
            </w:r>
            <w:r w:rsidRPr="000D489C">
              <w:rPr>
                <w:rFonts w:eastAsia="Times New Roman"/>
                <w:color w:val="000000"/>
                <w:sz w:val="20"/>
                <w:szCs w:val="20"/>
              </w:rPr>
              <w:t>)</w:t>
            </w:r>
          </w:p>
        </w:tc>
      </w:tr>
      <w:tr w:rsidR="008038D2" w:rsidRPr="001A5521" w:rsidTr="00580297">
        <w:trPr>
          <w:trHeight w:val="227"/>
        </w:trPr>
        <w:tc>
          <w:tcPr>
            <w:tcW w:w="2943" w:type="dxa"/>
            <w:shd w:val="clear" w:color="auto" w:fill="auto"/>
            <w:hideMark/>
          </w:tcPr>
          <w:p w:rsidR="008038D2" w:rsidRPr="000D489C" w:rsidRDefault="008038D2" w:rsidP="00580297">
            <w:pPr>
              <w:rPr>
                <w:rFonts w:eastAsia="Times New Roman"/>
                <w:bCs/>
                <w:color w:val="000000"/>
                <w:sz w:val="20"/>
                <w:szCs w:val="20"/>
              </w:rPr>
            </w:pPr>
            <w:r w:rsidRPr="000D489C">
              <w:rPr>
                <w:rFonts w:eastAsia="Times New Roman"/>
                <w:bCs/>
                <w:color w:val="000000"/>
                <w:sz w:val="20"/>
                <w:szCs w:val="20"/>
              </w:rPr>
              <w:t>Rankings</w:t>
            </w:r>
          </w:p>
        </w:tc>
        <w:tc>
          <w:tcPr>
            <w:tcW w:w="1560" w:type="dxa"/>
            <w:shd w:val="clear" w:color="auto" w:fill="auto"/>
            <w:hideMark/>
          </w:tcPr>
          <w:p w:rsidR="008038D2" w:rsidRPr="000D489C" w:rsidRDefault="008038D2" w:rsidP="00580297">
            <w:pPr>
              <w:rPr>
                <w:rFonts w:eastAsia="Times New Roman"/>
                <w:color w:val="000000"/>
                <w:sz w:val="20"/>
                <w:szCs w:val="20"/>
              </w:rPr>
            </w:pPr>
            <w:r w:rsidRPr="000D489C">
              <w:rPr>
                <w:rFonts w:eastAsia="Times New Roman"/>
                <w:color w:val="000000"/>
                <w:sz w:val="20"/>
                <w:szCs w:val="20"/>
              </w:rPr>
              <w:t xml:space="preserve"> </w:t>
            </w:r>
            <w:r>
              <w:rPr>
                <w:rFonts w:eastAsia="Times New Roman"/>
                <w:color w:val="000000"/>
                <w:sz w:val="20"/>
                <w:szCs w:val="20"/>
              </w:rPr>
              <w:t>0.009</w:t>
            </w:r>
          </w:p>
        </w:tc>
        <w:tc>
          <w:tcPr>
            <w:tcW w:w="0" w:type="auto"/>
            <w:shd w:val="clear" w:color="auto" w:fill="auto"/>
            <w:hideMark/>
          </w:tcPr>
          <w:p w:rsidR="008038D2" w:rsidRPr="000D489C" w:rsidRDefault="008038D2" w:rsidP="00580297">
            <w:pPr>
              <w:rPr>
                <w:rFonts w:eastAsia="Times New Roman"/>
                <w:color w:val="000000"/>
                <w:sz w:val="20"/>
                <w:szCs w:val="20"/>
              </w:rPr>
            </w:pPr>
            <w:r w:rsidRPr="000D489C">
              <w:rPr>
                <w:rFonts w:eastAsia="Times New Roman"/>
                <w:color w:val="000000"/>
                <w:sz w:val="20"/>
                <w:szCs w:val="20"/>
              </w:rPr>
              <w:t>(</w:t>
            </w:r>
            <w:r>
              <w:rPr>
                <w:rFonts w:eastAsia="Times New Roman"/>
                <w:color w:val="000000"/>
                <w:sz w:val="20"/>
                <w:szCs w:val="20"/>
              </w:rPr>
              <w:t>0.008</w:t>
            </w:r>
            <w:r w:rsidRPr="000D489C">
              <w:rPr>
                <w:rFonts w:eastAsia="Times New Roman"/>
                <w:color w:val="000000"/>
                <w:sz w:val="20"/>
                <w:szCs w:val="20"/>
              </w:rPr>
              <w:t>)</w:t>
            </w:r>
          </w:p>
        </w:tc>
      </w:tr>
      <w:tr w:rsidR="008038D2" w:rsidRPr="001A5521" w:rsidTr="00580297">
        <w:trPr>
          <w:trHeight w:val="227"/>
        </w:trPr>
        <w:tc>
          <w:tcPr>
            <w:tcW w:w="2943" w:type="dxa"/>
            <w:shd w:val="clear" w:color="auto" w:fill="auto"/>
            <w:hideMark/>
          </w:tcPr>
          <w:p w:rsidR="008038D2" w:rsidRPr="000D489C" w:rsidRDefault="008038D2" w:rsidP="00580297">
            <w:pPr>
              <w:rPr>
                <w:rFonts w:eastAsia="Times New Roman"/>
                <w:bCs/>
                <w:color w:val="000000"/>
                <w:sz w:val="20"/>
                <w:szCs w:val="20"/>
              </w:rPr>
            </w:pPr>
            <w:r w:rsidRPr="000D489C">
              <w:rPr>
                <w:rFonts w:eastAsia="Times New Roman"/>
                <w:bCs/>
                <w:color w:val="000000"/>
                <w:sz w:val="20"/>
                <w:szCs w:val="20"/>
              </w:rPr>
              <w:t>Total Media Coverage</w:t>
            </w:r>
          </w:p>
        </w:tc>
        <w:tc>
          <w:tcPr>
            <w:tcW w:w="1560" w:type="dxa"/>
            <w:shd w:val="clear" w:color="auto" w:fill="auto"/>
            <w:hideMark/>
          </w:tcPr>
          <w:p w:rsidR="008038D2" w:rsidRPr="000D489C" w:rsidRDefault="008038D2" w:rsidP="00580297">
            <w:pPr>
              <w:rPr>
                <w:rFonts w:eastAsia="Times New Roman"/>
                <w:color w:val="000000"/>
                <w:sz w:val="20"/>
                <w:szCs w:val="20"/>
              </w:rPr>
            </w:pPr>
            <w:r w:rsidRPr="000D489C">
              <w:rPr>
                <w:rFonts w:eastAsia="Times New Roman"/>
                <w:color w:val="000000"/>
                <w:sz w:val="20"/>
                <w:szCs w:val="20"/>
              </w:rPr>
              <w:t xml:space="preserve"> </w:t>
            </w:r>
            <w:r>
              <w:rPr>
                <w:rFonts w:eastAsia="Times New Roman"/>
                <w:color w:val="000000"/>
                <w:sz w:val="20"/>
                <w:szCs w:val="20"/>
              </w:rPr>
              <w:t>0.052**</w:t>
            </w:r>
            <w:r w:rsidRPr="000D489C">
              <w:rPr>
                <w:rFonts w:eastAsia="Times New Roman"/>
                <w:color w:val="000000"/>
                <w:sz w:val="20"/>
                <w:szCs w:val="20"/>
              </w:rPr>
              <w:t>*</w:t>
            </w:r>
          </w:p>
        </w:tc>
        <w:tc>
          <w:tcPr>
            <w:tcW w:w="0" w:type="auto"/>
            <w:shd w:val="clear" w:color="auto" w:fill="auto"/>
            <w:hideMark/>
          </w:tcPr>
          <w:p w:rsidR="008038D2" w:rsidRPr="000D489C" w:rsidRDefault="008038D2" w:rsidP="00580297">
            <w:pPr>
              <w:rPr>
                <w:rFonts w:eastAsia="Times New Roman"/>
                <w:color w:val="000000"/>
                <w:sz w:val="20"/>
                <w:szCs w:val="20"/>
              </w:rPr>
            </w:pPr>
            <w:r w:rsidRPr="000D489C">
              <w:rPr>
                <w:rFonts w:eastAsia="Times New Roman"/>
                <w:color w:val="000000"/>
                <w:sz w:val="20"/>
                <w:szCs w:val="20"/>
              </w:rPr>
              <w:t>(</w:t>
            </w:r>
            <w:r>
              <w:rPr>
                <w:rFonts w:eastAsia="Times New Roman"/>
                <w:color w:val="000000"/>
                <w:sz w:val="20"/>
                <w:szCs w:val="20"/>
              </w:rPr>
              <w:t>0.010</w:t>
            </w:r>
            <w:r w:rsidRPr="000D489C">
              <w:rPr>
                <w:rFonts w:eastAsia="Times New Roman"/>
                <w:color w:val="000000"/>
                <w:sz w:val="20"/>
                <w:szCs w:val="20"/>
              </w:rPr>
              <w:t>)</w:t>
            </w:r>
          </w:p>
        </w:tc>
      </w:tr>
      <w:tr w:rsidR="008038D2" w:rsidRPr="001A5521" w:rsidTr="00580297">
        <w:trPr>
          <w:trHeight w:val="227"/>
        </w:trPr>
        <w:tc>
          <w:tcPr>
            <w:tcW w:w="2943" w:type="dxa"/>
            <w:shd w:val="clear" w:color="auto" w:fill="auto"/>
            <w:hideMark/>
          </w:tcPr>
          <w:p w:rsidR="008038D2" w:rsidRPr="000D489C" w:rsidRDefault="008038D2" w:rsidP="00580297">
            <w:pPr>
              <w:rPr>
                <w:rFonts w:eastAsia="Times New Roman"/>
                <w:bCs/>
                <w:color w:val="000000"/>
                <w:sz w:val="20"/>
                <w:szCs w:val="20"/>
              </w:rPr>
            </w:pPr>
            <w:r w:rsidRPr="000D489C">
              <w:rPr>
                <w:rFonts w:eastAsia="Times New Roman"/>
                <w:bCs/>
                <w:color w:val="000000"/>
                <w:sz w:val="20"/>
                <w:szCs w:val="20"/>
              </w:rPr>
              <w:t>TTO Structure</w:t>
            </w:r>
          </w:p>
        </w:tc>
        <w:tc>
          <w:tcPr>
            <w:tcW w:w="1560" w:type="dxa"/>
            <w:shd w:val="clear" w:color="auto" w:fill="auto"/>
            <w:hideMark/>
          </w:tcPr>
          <w:p w:rsidR="008038D2" w:rsidRPr="000D489C" w:rsidRDefault="008038D2" w:rsidP="00081753">
            <w:pPr>
              <w:rPr>
                <w:rFonts w:eastAsia="Times New Roman"/>
                <w:color w:val="000000"/>
                <w:sz w:val="20"/>
                <w:szCs w:val="20"/>
              </w:rPr>
            </w:pPr>
            <w:r w:rsidRPr="000D489C">
              <w:rPr>
                <w:rFonts w:eastAsia="Times New Roman"/>
                <w:color w:val="000000"/>
                <w:sz w:val="20"/>
                <w:szCs w:val="20"/>
              </w:rPr>
              <w:t xml:space="preserve"> </w:t>
            </w:r>
            <w:r>
              <w:rPr>
                <w:rFonts w:eastAsia="Times New Roman"/>
                <w:color w:val="000000"/>
                <w:sz w:val="20"/>
                <w:szCs w:val="20"/>
              </w:rPr>
              <w:t>0.02</w:t>
            </w:r>
            <w:r w:rsidR="00081753">
              <w:rPr>
                <w:rFonts w:eastAsia="Times New Roman"/>
                <w:color w:val="000000"/>
                <w:sz w:val="20"/>
                <w:szCs w:val="20"/>
              </w:rPr>
              <w:t>7</w:t>
            </w:r>
            <w:r w:rsidRPr="000D489C">
              <w:rPr>
                <w:rFonts w:eastAsia="Times New Roman"/>
                <w:color w:val="000000"/>
                <w:sz w:val="20"/>
                <w:szCs w:val="20"/>
              </w:rPr>
              <w:t>***</w:t>
            </w:r>
          </w:p>
        </w:tc>
        <w:tc>
          <w:tcPr>
            <w:tcW w:w="0" w:type="auto"/>
            <w:shd w:val="clear" w:color="auto" w:fill="auto"/>
            <w:hideMark/>
          </w:tcPr>
          <w:p w:rsidR="008038D2" w:rsidRPr="000D489C" w:rsidRDefault="008038D2" w:rsidP="00580297">
            <w:pPr>
              <w:rPr>
                <w:rFonts w:eastAsia="Times New Roman"/>
                <w:color w:val="000000"/>
                <w:sz w:val="20"/>
                <w:szCs w:val="20"/>
              </w:rPr>
            </w:pPr>
            <w:r w:rsidRPr="000D489C">
              <w:rPr>
                <w:rFonts w:eastAsia="Times New Roman"/>
                <w:color w:val="000000"/>
                <w:sz w:val="20"/>
                <w:szCs w:val="20"/>
              </w:rPr>
              <w:t>(</w:t>
            </w:r>
            <w:r>
              <w:rPr>
                <w:rFonts w:eastAsia="Times New Roman"/>
                <w:color w:val="000000"/>
                <w:sz w:val="20"/>
                <w:szCs w:val="20"/>
              </w:rPr>
              <w:t>0.007</w:t>
            </w:r>
            <w:r w:rsidRPr="000D489C">
              <w:rPr>
                <w:rFonts w:eastAsia="Times New Roman"/>
                <w:color w:val="000000"/>
                <w:sz w:val="20"/>
                <w:szCs w:val="20"/>
              </w:rPr>
              <w:t>)</w:t>
            </w:r>
          </w:p>
        </w:tc>
      </w:tr>
      <w:tr w:rsidR="008038D2" w:rsidRPr="001A5521" w:rsidTr="00580297">
        <w:trPr>
          <w:trHeight w:val="227"/>
        </w:trPr>
        <w:tc>
          <w:tcPr>
            <w:tcW w:w="2943" w:type="dxa"/>
            <w:shd w:val="clear" w:color="auto" w:fill="auto"/>
            <w:hideMark/>
          </w:tcPr>
          <w:p w:rsidR="008038D2" w:rsidRPr="000D489C" w:rsidRDefault="008038D2" w:rsidP="00580297">
            <w:pPr>
              <w:rPr>
                <w:rFonts w:eastAsia="Times New Roman"/>
                <w:bCs/>
                <w:color w:val="000000"/>
                <w:sz w:val="20"/>
                <w:szCs w:val="20"/>
              </w:rPr>
            </w:pPr>
            <w:r w:rsidRPr="000D489C">
              <w:rPr>
                <w:rFonts w:eastAsia="Times New Roman"/>
                <w:bCs/>
                <w:color w:val="000000"/>
                <w:sz w:val="20"/>
                <w:szCs w:val="20"/>
              </w:rPr>
              <w:t>University Size</w:t>
            </w:r>
          </w:p>
        </w:tc>
        <w:tc>
          <w:tcPr>
            <w:tcW w:w="1560" w:type="dxa"/>
            <w:shd w:val="clear" w:color="auto" w:fill="auto"/>
            <w:hideMark/>
          </w:tcPr>
          <w:p w:rsidR="008038D2" w:rsidRPr="000D489C" w:rsidRDefault="008038D2" w:rsidP="00081753">
            <w:pPr>
              <w:rPr>
                <w:rFonts w:eastAsia="Times New Roman"/>
                <w:color w:val="000000"/>
                <w:sz w:val="20"/>
                <w:szCs w:val="20"/>
              </w:rPr>
            </w:pPr>
            <w:r w:rsidRPr="000D489C">
              <w:rPr>
                <w:rFonts w:eastAsia="Times New Roman"/>
                <w:color w:val="000000"/>
                <w:sz w:val="20"/>
                <w:szCs w:val="20"/>
              </w:rPr>
              <w:t>-0</w:t>
            </w:r>
            <w:r>
              <w:rPr>
                <w:rFonts w:eastAsia="Times New Roman"/>
                <w:color w:val="000000"/>
                <w:sz w:val="20"/>
                <w:szCs w:val="20"/>
              </w:rPr>
              <w:t>.0</w:t>
            </w:r>
            <w:r w:rsidR="00081753">
              <w:rPr>
                <w:rFonts w:eastAsia="Times New Roman"/>
                <w:color w:val="000000"/>
                <w:sz w:val="20"/>
                <w:szCs w:val="20"/>
              </w:rPr>
              <w:t>39</w:t>
            </w:r>
            <w:r w:rsidRPr="000D489C">
              <w:rPr>
                <w:rFonts w:eastAsia="Times New Roman"/>
                <w:color w:val="000000"/>
                <w:sz w:val="20"/>
                <w:szCs w:val="20"/>
              </w:rPr>
              <w:t>***</w:t>
            </w:r>
          </w:p>
        </w:tc>
        <w:tc>
          <w:tcPr>
            <w:tcW w:w="0" w:type="auto"/>
            <w:shd w:val="clear" w:color="auto" w:fill="auto"/>
            <w:hideMark/>
          </w:tcPr>
          <w:p w:rsidR="008038D2" w:rsidRPr="000D489C" w:rsidRDefault="008038D2" w:rsidP="00580297">
            <w:pPr>
              <w:rPr>
                <w:rFonts w:eastAsia="Times New Roman"/>
                <w:color w:val="000000"/>
                <w:sz w:val="20"/>
                <w:szCs w:val="20"/>
              </w:rPr>
            </w:pPr>
            <w:r w:rsidRPr="000D489C">
              <w:rPr>
                <w:rFonts w:eastAsia="Times New Roman"/>
                <w:color w:val="000000"/>
                <w:sz w:val="20"/>
                <w:szCs w:val="20"/>
              </w:rPr>
              <w:t>(</w:t>
            </w:r>
            <w:r>
              <w:rPr>
                <w:rFonts w:eastAsia="Times New Roman"/>
                <w:color w:val="000000"/>
                <w:sz w:val="20"/>
                <w:szCs w:val="20"/>
              </w:rPr>
              <w:t>0.007</w:t>
            </w:r>
            <w:r w:rsidRPr="000D489C">
              <w:rPr>
                <w:rFonts w:eastAsia="Times New Roman"/>
                <w:color w:val="000000"/>
                <w:sz w:val="20"/>
                <w:szCs w:val="20"/>
              </w:rPr>
              <w:t>)</w:t>
            </w:r>
          </w:p>
        </w:tc>
      </w:tr>
      <w:tr w:rsidR="008038D2" w:rsidRPr="001A5521" w:rsidTr="00580297">
        <w:trPr>
          <w:trHeight w:val="227"/>
        </w:trPr>
        <w:tc>
          <w:tcPr>
            <w:tcW w:w="2943" w:type="dxa"/>
            <w:shd w:val="clear" w:color="auto" w:fill="auto"/>
            <w:hideMark/>
          </w:tcPr>
          <w:p w:rsidR="008038D2" w:rsidRPr="000D489C" w:rsidRDefault="008038D2" w:rsidP="00580297">
            <w:pPr>
              <w:rPr>
                <w:rFonts w:eastAsia="Times New Roman"/>
                <w:bCs/>
                <w:color w:val="000000"/>
                <w:sz w:val="20"/>
                <w:szCs w:val="20"/>
              </w:rPr>
            </w:pPr>
            <w:r w:rsidRPr="000D489C">
              <w:rPr>
                <w:rFonts w:eastAsia="Times New Roman"/>
                <w:bCs/>
                <w:color w:val="000000"/>
                <w:sz w:val="20"/>
                <w:szCs w:val="20"/>
              </w:rPr>
              <w:t>Russell Group</w:t>
            </w:r>
          </w:p>
        </w:tc>
        <w:tc>
          <w:tcPr>
            <w:tcW w:w="1560" w:type="dxa"/>
            <w:shd w:val="clear" w:color="auto" w:fill="auto"/>
            <w:hideMark/>
          </w:tcPr>
          <w:p w:rsidR="008038D2" w:rsidRPr="000D489C" w:rsidRDefault="008038D2" w:rsidP="00081753">
            <w:pPr>
              <w:rPr>
                <w:rFonts w:eastAsia="Times New Roman"/>
                <w:color w:val="000000"/>
                <w:sz w:val="20"/>
                <w:szCs w:val="20"/>
              </w:rPr>
            </w:pPr>
            <w:r w:rsidRPr="000D489C">
              <w:rPr>
                <w:rFonts w:eastAsia="Times New Roman"/>
                <w:color w:val="000000"/>
                <w:sz w:val="20"/>
                <w:szCs w:val="20"/>
              </w:rPr>
              <w:t xml:space="preserve"> </w:t>
            </w:r>
            <w:r>
              <w:rPr>
                <w:rFonts w:eastAsia="Times New Roman"/>
                <w:color w:val="000000"/>
                <w:sz w:val="20"/>
                <w:szCs w:val="20"/>
              </w:rPr>
              <w:t>0.1</w:t>
            </w:r>
            <w:r w:rsidR="00081753">
              <w:rPr>
                <w:rFonts w:eastAsia="Times New Roman"/>
                <w:color w:val="000000"/>
                <w:sz w:val="20"/>
                <w:szCs w:val="20"/>
              </w:rPr>
              <w:t>1</w:t>
            </w:r>
            <w:r>
              <w:rPr>
                <w:rFonts w:eastAsia="Times New Roman"/>
                <w:color w:val="000000"/>
                <w:sz w:val="20"/>
                <w:szCs w:val="20"/>
              </w:rPr>
              <w:t>7**</w:t>
            </w:r>
            <w:r w:rsidRPr="000D489C">
              <w:rPr>
                <w:rFonts w:eastAsia="Times New Roman"/>
                <w:color w:val="000000"/>
                <w:sz w:val="20"/>
                <w:szCs w:val="20"/>
              </w:rPr>
              <w:t>*</w:t>
            </w:r>
          </w:p>
        </w:tc>
        <w:tc>
          <w:tcPr>
            <w:tcW w:w="0" w:type="auto"/>
            <w:shd w:val="clear" w:color="auto" w:fill="auto"/>
            <w:hideMark/>
          </w:tcPr>
          <w:p w:rsidR="008038D2" w:rsidRPr="000D489C" w:rsidRDefault="008038D2" w:rsidP="00580297">
            <w:pPr>
              <w:rPr>
                <w:rFonts w:eastAsia="Times New Roman"/>
                <w:color w:val="000000"/>
                <w:sz w:val="20"/>
                <w:szCs w:val="20"/>
              </w:rPr>
            </w:pPr>
            <w:r w:rsidRPr="000D489C">
              <w:rPr>
                <w:rFonts w:eastAsia="Times New Roman"/>
                <w:color w:val="000000"/>
                <w:sz w:val="20"/>
                <w:szCs w:val="20"/>
              </w:rPr>
              <w:t>(</w:t>
            </w:r>
            <w:r>
              <w:rPr>
                <w:rFonts w:eastAsia="Times New Roman"/>
                <w:color w:val="000000"/>
                <w:sz w:val="20"/>
                <w:szCs w:val="20"/>
              </w:rPr>
              <w:t>0.010</w:t>
            </w:r>
            <w:r w:rsidRPr="000D489C">
              <w:rPr>
                <w:rFonts w:eastAsia="Times New Roman"/>
                <w:color w:val="000000"/>
                <w:sz w:val="20"/>
                <w:szCs w:val="20"/>
              </w:rPr>
              <w:t>)</w:t>
            </w:r>
          </w:p>
        </w:tc>
      </w:tr>
      <w:tr w:rsidR="008038D2" w:rsidRPr="001A5521" w:rsidTr="00580297">
        <w:trPr>
          <w:trHeight w:val="227"/>
        </w:trPr>
        <w:tc>
          <w:tcPr>
            <w:tcW w:w="2943" w:type="dxa"/>
            <w:shd w:val="clear" w:color="auto" w:fill="auto"/>
            <w:hideMark/>
          </w:tcPr>
          <w:p w:rsidR="008038D2" w:rsidRPr="00081753" w:rsidRDefault="008038D2" w:rsidP="00580297">
            <w:pPr>
              <w:rPr>
                <w:bCs/>
                <w:color w:val="000000"/>
                <w:sz w:val="20"/>
                <w:szCs w:val="20"/>
              </w:rPr>
            </w:pPr>
            <w:r w:rsidRPr="00081753">
              <w:rPr>
                <w:bCs/>
                <w:color w:val="000000"/>
                <w:sz w:val="20"/>
                <w:szCs w:val="20"/>
              </w:rPr>
              <w:t>Portfolio Size</w:t>
            </w:r>
          </w:p>
        </w:tc>
        <w:tc>
          <w:tcPr>
            <w:tcW w:w="1560" w:type="dxa"/>
            <w:shd w:val="clear" w:color="auto" w:fill="auto"/>
            <w:hideMark/>
          </w:tcPr>
          <w:p w:rsidR="008038D2" w:rsidRPr="00081753" w:rsidRDefault="00081753" w:rsidP="00081753">
            <w:pPr>
              <w:rPr>
                <w:rFonts w:eastAsia="Times New Roman"/>
                <w:color w:val="000000"/>
                <w:sz w:val="20"/>
                <w:szCs w:val="20"/>
              </w:rPr>
            </w:pPr>
            <w:r>
              <w:rPr>
                <w:rFonts w:eastAsia="Times New Roman"/>
                <w:color w:val="000000"/>
                <w:sz w:val="20"/>
                <w:szCs w:val="20"/>
              </w:rPr>
              <w:t xml:space="preserve"> </w:t>
            </w:r>
            <w:r w:rsidR="008038D2" w:rsidRPr="00081753">
              <w:rPr>
                <w:rFonts w:eastAsia="Times New Roman"/>
                <w:color w:val="000000"/>
                <w:sz w:val="20"/>
                <w:szCs w:val="20"/>
              </w:rPr>
              <w:t>0.</w:t>
            </w:r>
            <w:r>
              <w:rPr>
                <w:rFonts w:eastAsia="Times New Roman"/>
                <w:color w:val="000000"/>
                <w:sz w:val="20"/>
                <w:szCs w:val="20"/>
              </w:rPr>
              <w:t>097</w:t>
            </w:r>
            <w:r w:rsidR="008038D2" w:rsidRPr="00081753">
              <w:rPr>
                <w:rFonts w:eastAsia="Times New Roman"/>
                <w:color w:val="000000"/>
                <w:sz w:val="20"/>
                <w:szCs w:val="20"/>
              </w:rPr>
              <w:t>***</w:t>
            </w:r>
          </w:p>
        </w:tc>
        <w:tc>
          <w:tcPr>
            <w:tcW w:w="0" w:type="auto"/>
            <w:shd w:val="clear" w:color="auto" w:fill="auto"/>
            <w:hideMark/>
          </w:tcPr>
          <w:p w:rsidR="008038D2" w:rsidRPr="000D489C" w:rsidRDefault="008038D2" w:rsidP="00081753">
            <w:pPr>
              <w:rPr>
                <w:rFonts w:eastAsia="Times New Roman"/>
                <w:color w:val="000000"/>
                <w:sz w:val="20"/>
                <w:szCs w:val="20"/>
              </w:rPr>
            </w:pPr>
            <w:r w:rsidRPr="000D489C">
              <w:rPr>
                <w:rFonts w:eastAsia="Times New Roman"/>
                <w:color w:val="000000"/>
                <w:sz w:val="20"/>
                <w:szCs w:val="20"/>
              </w:rPr>
              <w:t>(</w:t>
            </w:r>
            <w:r>
              <w:rPr>
                <w:rFonts w:eastAsia="Times New Roman"/>
                <w:color w:val="000000"/>
                <w:sz w:val="20"/>
                <w:szCs w:val="20"/>
              </w:rPr>
              <w:t>0.0</w:t>
            </w:r>
            <w:r w:rsidR="00081753">
              <w:rPr>
                <w:rFonts w:eastAsia="Times New Roman"/>
                <w:color w:val="000000"/>
                <w:sz w:val="20"/>
                <w:szCs w:val="20"/>
              </w:rPr>
              <w:t>15</w:t>
            </w:r>
            <w:r w:rsidRPr="000D489C">
              <w:rPr>
                <w:rFonts w:eastAsia="Times New Roman"/>
                <w:color w:val="000000"/>
                <w:sz w:val="20"/>
                <w:szCs w:val="20"/>
              </w:rPr>
              <w:t>)</w:t>
            </w:r>
          </w:p>
        </w:tc>
      </w:tr>
      <w:tr w:rsidR="008038D2" w:rsidRPr="001A5521" w:rsidTr="00580297">
        <w:trPr>
          <w:trHeight w:val="227"/>
        </w:trPr>
        <w:tc>
          <w:tcPr>
            <w:tcW w:w="2943" w:type="dxa"/>
            <w:shd w:val="clear" w:color="auto" w:fill="auto"/>
            <w:hideMark/>
          </w:tcPr>
          <w:p w:rsidR="008038D2" w:rsidRPr="00081753" w:rsidRDefault="008038D2" w:rsidP="00580297">
            <w:pPr>
              <w:rPr>
                <w:bCs/>
                <w:color w:val="000000"/>
                <w:sz w:val="20"/>
                <w:szCs w:val="20"/>
              </w:rPr>
            </w:pPr>
            <w:r w:rsidRPr="00081753">
              <w:rPr>
                <w:bCs/>
                <w:color w:val="000000"/>
                <w:sz w:val="20"/>
                <w:szCs w:val="20"/>
              </w:rPr>
              <w:t xml:space="preserve">Portfolio Performance </w:t>
            </w:r>
          </w:p>
        </w:tc>
        <w:tc>
          <w:tcPr>
            <w:tcW w:w="1560" w:type="dxa"/>
            <w:shd w:val="clear" w:color="auto" w:fill="auto"/>
            <w:hideMark/>
          </w:tcPr>
          <w:p w:rsidR="008038D2" w:rsidRPr="00081753" w:rsidRDefault="00081753" w:rsidP="00081753">
            <w:pPr>
              <w:rPr>
                <w:rFonts w:eastAsia="Times New Roman"/>
                <w:color w:val="000000"/>
                <w:sz w:val="20"/>
                <w:szCs w:val="20"/>
              </w:rPr>
            </w:pPr>
            <w:r>
              <w:rPr>
                <w:rFonts w:eastAsia="Times New Roman"/>
                <w:color w:val="000000"/>
                <w:sz w:val="20"/>
                <w:szCs w:val="20"/>
              </w:rPr>
              <w:t xml:space="preserve"> </w:t>
            </w:r>
            <w:r w:rsidR="008038D2" w:rsidRPr="00081753">
              <w:rPr>
                <w:rFonts w:eastAsia="Times New Roman"/>
                <w:color w:val="000000"/>
                <w:sz w:val="20"/>
                <w:szCs w:val="20"/>
              </w:rPr>
              <w:t>0.</w:t>
            </w:r>
            <w:r>
              <w:rPr>
                <w:rFonts w:eastAsia="Times New Roman"/>
                <w:color w:val="000000"/>
                <w:sz w:val="20"/>
                <w:szCs w:val="20"/>
              </w:rPr>
              <w:t>0</w:t>
            </w:r>
            <w:r w:rsidR="008038D2" w:rsidRPr="00081753">
              <w:rPr>
                <w:rFonts w:eastAsia="Times New Roman"/>
                <w:color w:val="000000"/>
                <w:sz w:val="20"/>
                <w:szCs w:val="20"/>
              </w:rPr>
              <w:t>1</w:t>
            </w:r>
            <w:r>
              <w:rPr>
                <w:rFonts w:eastAsia="Times New Roman"/>
                <w:color w:val="000000"/>
                <w:sz w:val="20"/>
                <w:szCs w:val="20"/>
              </w:rPr>
              <w:t>2</w:t>
            </w:r>
          </w:p>
        </w:tc>
        <w:tc>
          <w:tcPr>
            <w:tcW w:w="0" w:type="auto"/>
            <w:shd w:val="clear" w:color="auto" w:fill="auto"/>
            <w:hideMark/>
          </w:tcPr>
          <w:p w:rsidR="008038D2" w:rsidRPr="000D489C" w:rsidRDefault="008038D2" w:rsidP="00081753">
            <w:pPr>
              <w:rPr>
                <w:rFonts w:eastAsia="Times New Roman"/>
                <w:color w:val="000000"/>
                <w:sz w:val="20"/>
                <w:szCs w:val="20"/>
              </w:rPr>
            </w:pPr>
            <w:r w:rsidRPr="000D489C">
              <w:rPr>
                <w:rFonts w:eastAsia="Times New Roman"/>
                <w:color w:val="000000"/>
                <w:sz w:val="20"/>
                <w:szCs w:val="20"/>
              </w:rPr>
              <w:t>(0.0</w:t>
            </w:r>
            <w:r w:rsidR="00081753">
              <w:rPr>
                <w:rFonts w:eastAsia="Times New Roman"/>
                <w:color w:val="000000"/>
                <w:sz w:val="20"/>
                <w:szCs w:val="20"/>
              </w:rPr>
              <w:t>24</w:t>
            </w:r>
            <w:r w:rsidRPr="000D489C">
              <w:rPr>
                <w:rFonts w:eastAsia="Times New Roman"/>
                <w:color w:val="000000"/>
                <w:sz w:val="20"/>
                <w:szCs w:val="20"/>
              </w:rPr>
              <w:t>)</w:t>
            </w:r>
          </w:p>
        </w:tc>
      </w:tr>
      <w:tr w:rsidR="008038D2" w:rsidRPr="001A5521" w:rsidTr="00580297">
        <w:trPr>
          <w:trHeight w:val="227"/>
        </w:trPr>
        <w:tc>
          <w:tcPr>
            <w:tcW w:w="2943" w:type="dxa"/>
            <w:tcBorders>
              <w:bottom w:val="nil"/>
            </w:tcBorders>
            <w:shd w:val="clear" w:color="auto" w:fill="auto"/>
            <w:hideMark/>
          </w:tcPr>
          <w:p w:rsidR="008038D2" w:rsidRPr="000D489C" w:rsidRDefault="008038D2" w:rsidP="00580297">
            <w:pPr>
              <w:rPr>
                <w:bCs/>
                <w:color w:val="000000"/>
                <w:sz w:val="20"/>
                <w:szCs w:val="20"/>
              </w:rPr>
            </w:pPr>
            <w:r w:rsidRPr="000D489C">
              <w:rPr>
                <w:bCs/>
                <w:color w:val="000000"/>
                <w:sz w:val="20"/>
                <w:szCs w:val="20"/>
              </w:rPr>
              <w:t>Portfolio Media</w:t>
            </w:r>
          </w:p>
        </w:tc>
        <w:tc>
          <w:tcPr>
            <w:tcW w:w="1560" w:type="dxa"/>
            <w:tcBorders>
              <w:bottom w:val="nil"/>
            </w:tcBorders>
            <w:shd w:val="clear" w:color="auto" w:fill="auto"/>
            <w:hideMark/>
          </w:tcPr>
          <w:p w:rsidR="008038D2" w:rsidRPr="000D489C" w:rsidRDefault="008038D2" w:rsidP="00081753">
            <w:pPr>
              <w:rPr>
                <w:rFonts w:eastAsia="Times New Roman"/>
                <w:color w:val="000000"/>
                <w:sz w:val="20"/>
                <w:szCs w:val="20"/>
              </w:rPr>
            </w:pPr>
            <w:r w:rsidRPr="000D489C">
              <w:rPr>
                <w:rFonts w:eastAsia="Times New Roman"/>
                <w:color w:val="000000"/>
                <w:sz w:val="20"/>
                <w:szCs w:val="20"/>
              </w:rPr>
              <w:t xml:space="preserve"> </w:t>
            </w:r>
            <w:r>
              <w:rPr>
                <w:rFonts w:eastAsia="Times New Roman"/>
                <w:color w:val="000000"/>
                <w:sz w:val="20"/>
                <w:szCs w:val="20"/>
              </w:rPr>
              <w:t>0.0</w:t>
            </w:r>
            <w:r w:rsidR="00081753">
              <w:rPr>
                <w:rFonts w:eastAsia="Times New Roman"/>
                <w:color w:val="000000"/>
                <w:sz w:val="20"/>
                <w:szCs w:val="20"/>
              </w:rPr>
              <w:t>62***</w:t>
            </w:r>
          </w:p>
        </w:tc>
        <w:tc>
          <w:tcPr>
            <w:tcW w:w="0" w:type="auto"/>
            <w:tcBorders>
              <w:bottom w:val="nil"/>
            </w:tcBorders>
            <w:shd w:val="clear" w:color="auto" w:fill="auto"/>
            <w:hideMark/>
          </w:tcPr>
          <w:p w:rsidR="008038D2" w:rsidRPr="000D489C" w:rsidRDefault="008038D2" w:rsidP="00081753">
            <w:pPr>
              <w:rPr>
                <w:rFonts w:eastAsia="Times New Roman"/>
                <w:color w:val="000000"/>
                <w:sz w:val="20"/>
                <w:szCs w:val="20"/>
              </w:rPr>
            </w:pPr>
            <w:r w:rsidRPr="000D489C">
              <w:rPr>
                <w:rFonts w:eastAsia="Times New Roman"/>
                <w:color w:val="000000"/>
                <w:sz w:val="20"/>
                <w:szCs w:val="20"/>
              </w:rPr>
              <w:t>(</w:t>
            </w:r>
            <w:r>
              <w:rPr>
                <w:rFonts w:eastAsia="Times New Roman"/>
                <w:color w:val="000000"/>
                <w:sz w:val="20"/>
                <w:szCs w:val="20"/>
              </w:rPr>
              <w:t>0.0</w:t>
            </w:r>
            <w:r w:rsidR="00081753">
              <w:rPr>
                <w:rFonts w:eastAsia="Times New Roman"/>
                <w:color w:val="000000"/>
                <w:sz w:val="20"/>
                <w:szCs w:val="20"/>
              </w:rPr>
              <w:t>16</w:t>
            </w:r>
            <w:r w:rsidRPr="000D489C">
              <w:rPr>
                <w:rFonts w:eastAsia="Times New Roman"/>
                <w:color w:val="000000"/>
                <w:sz w:val="20"/>
                <w:szCs w:val="20"/>
              </w:rPr>
              <w:t>)</w:t>
            </w:r>
          </w:p>
        </w:tc>
      </w:tr>
      <w:tr w:rsidR="008038D2" w:rsidRPr="001A5521" w:rsidTr="00580297">
        <w:trPr>
          <w:trHeight w:val="227"/>
        </w:trPr>
        <w:tc>
          <w:tcPr>
            <w:tcW w:w="2943" w:type="dxa"/>
            <w:tcBorders>
              <w:top w:val="nil"/>
              <w:bottom w:val="nil"/>
            </w:tcBorders>
            <w:shd w:val="clear" w:color="auto" w:fill="auto"/>
            <w:hideMark/>
          </w:tcPr>
          <w:p w:rsidR="008038D2" w:rsidRPr="000D489C" w:rsidRDefault="008038D2" w:rsidP="00580297">
            <w:pPr>
              <w:rPr>
                <w:rFonts w:eastAsia="Times New Roman"/>
                <w:b/>
                <w:bCs/>
                <w:color w:val="000000"/>
                <w:sz w:val="20"/>
                <w:szCs w:val="20"/>
              </w:rPr>
            </w:pPr>
            <w:r w:rsidRPr="000D489C">
              <w:rPr>
                <w:rFonts w:eastAsia="Times New Roman"/>
                <w:b/>
                <w:bCs/>
                <w:color w:val="000000"/>
                <w:sz w:val="20"/>
                <w:szCs w:val="20"/>
              </w:rPr>
              <w:t xml:space="preserve">Russell * </w:t>
            </w:r>
            <w:r w:rsidRPr="000D489C">
              <w:rPr>
                <w:b/>
                <w:bCs/>
                <w:color w:val="000000"/>
                <w:sz w:val="20"/>
                <w:szCs w:val="20"/>
              </w:rPr>
              <w:t>Portfolio Size</w:t>
            </w:r>
          </w:p>
        </w:tc>
        <w:tc>
          <w:tcPr>
            <w:tcW w:w="1560" w:type="dxa"/>
            <w:tcBorders>
              <w:top w:val="nil"/>
              <w:bottom w:val="nil"/>
            </w:tcBorders>
            <w:shd w:val="clear" w:color="auto" w:fill="auto"/>
            <w:hideMark/>
          </w:tcPr>
          <w:p w:rsidR="008038D2" w:rsidRPr="000D489C" w:rsidRDefault="008038D2" w:rsidP="00081753">
            <w:pPr>
              <w:rPr>
                <w:rFonts w:eastAsia="Times New Roman"/>
                <w:b/>
                <w:color w:val="000000"/>
                <w:sz w:val="20"/>
                <w:szCs w:val="20"/>
              </w:rPr>
            </w:pPr>
            <w:r w:rsidRPr="000D489C">
              <w:rPr>
                <w:rFonts w:eastAsia="Times New Roman"/>
                <w:b/>
                <w:color w:val="000000"/>
                <w:sz w:val="20"/>
                <w:szCs w:val="20"/>
              </w:rPr>
              <w:t xml:space="preserve"> </w:t>
            </w:r>
            <w:r>
              <w:rPr>
                <w:rFonts w:eastAsia="Times New Roman"/>
                <w:b/>
                <w:color w:val="000000"/>
                <w:sz w:val="20"/>
                <w:szCs w:val="20"/>
              </w:rPr>
              <w:t>0.</w:t>
            </w:r>
            <w:r w:rsidR="00081753">
              <w:rPr>
                <w:rFonts w:eastAsia="Times New Roman"/>
                <w:b/>
                <w:color w:val="000000"/>
                <w:sz w:val="20"/>
                <w:szCs w:val="20"/>
              </w:rPr>
              <w:t>150</w:t>
            </w:r>
            <w:r w:rsidRPr="000D489C">
              <w:rPr>
                <w:rFonts w:eastAsia="Times New Roman"/>
                <w:b/>
                <w:color w:val="000000"/>
                <w:sz w:val="20"/>
                <w:szCs w:val="20"/>
              </w:rPr>
              <w:t>***</w:t>
            </w:r>
          </w:p>
        </w:tc>
        <w:tc>
          <w:tcPr>
            <w:tcW w:w="0" w:type="auto"/>
            <w:tcBorders>
              <w:top w:val="nil"/>
              <w:bottom w:val="nil"/>
            </w:tcBorders>
            <w:shd w:val="clear" w:color="auto" w:fill="auto"/>
            <w:hideMark/>
          </w:tcPr>
          <w:p w:rsidR="008038D2" w:rsidRPr="000D489C" w:rsidRDefault="008038D2" w:rsidP="00081753">
            <w:pPr>
              <w:rPr>
                <w:rFonts w:eastAsia="Times New Roman"/>
                <w:b/>
                <w:color w:val="000000"/>
                <w:sz w:val="20"/>
                <w:szCs w:val="20"/>
              </w:rPr>
            </w:pPr>
            <w:r w:rsidRPr="000D489C">
              <w:rPr>
                <w:rFonts w:eastAsia="Times New Roman"/>
                <w:b/>
                <w:color w:val="000000"/>
                <w:sz w:val="20"/>
                <w:szCs w:val="20"/>
              </w:rPr>
              <w:t>(</w:t>
            </w:r>
            <w:r>
              <w:rPr>
                <w:rFonts w:eastAsia="Times New Roman"/>
                <w:b/>
                <w:color w:val="000000"/>
                <w:sz w:val="20"/>
                <w:szCs w:val="20"/>
              </w:rPr>
              <w:t>0.01</w:t>
            </w:r>
            <w:r w:rsidR="00081753">
              <w:rPr>
                <w:rFonts w:eastAsia="Times New Roman"/>
                <w:b/>
                <w:color w:val="000000"/>
                <w:sz w:val="20"/>
                <w:szCs w:val="20"/>
              </w:rPr>
              <w:t>4</w:t>
            </w:r>
            <w:r w:rsidRPr="000D489C">
              <w:rPr>
                <w:rFonts w:eastAsia="Times New Roman"/>
                <w:b/>
                <w:color w:val="000000"/>
                <w:sz w:val="20"/>
                <w:szCs w:val="20"/>
              </w:rPr>
              <w:t>)</w:t>
            </w:r>
          </w:p>
        </w:tc>
      </w:tr>
      <w:tr w:rsidR="008038D2" w:rsidRPr="001A5521" w:rsidTr="00580297">
        <w:trPr>
          <w:trHeight w:val="227"/>
        </w:trPr>
        <w:tc>
          <w:tcPr>
            <w:tcW w:w="2943" w:type="dxa"/>
            <w:tcBorders>
              <w:top w:val="nil"/>
              <w:bottom w:val="nil"/>
            </w:tcBorders>
            <w:shd w:val="clear" w:color="auto" w:fill="auto"/>
            <w:hideMark/>
          </w:tcPr>
          <w:p w:rsidR="008038D2" w:rsidRPr="000D489C" w:rsidRDefault="008038D2" w:rsidP="00580297">
            <w:pPr>
              <w:rPr>
                <w:rFonts w:eastAsia="Times New Roman"/>
                <w:b/>
                <w:bCs/>
                <w:color w:val="000000"/>
                <w:sz w:val="20"/>
                <w:szCs w:val="20"/>
              </w:rPr>
            </w:pPr>
            <w:r w:rsidRPr="000D489C">
              <w:rPr>
                <w:rFonts w:eastAsia="Times New Roman"/>
                <w:b/>
                <w:bCs/>
                <w:color w:val="000000"/>
                <w:sz w:val="20"/>
                <w:szCs w:val="20"/>
              </w:rPr>
              <w:t xml:space="preserve">Russell * </w:t>
            </w:r>
            <w:r w:rsidRPr="000D489C">
              <w:rPr>
                <w:b/>
                <w:bCs/>
                <w:color w:val="000000"/>
                <w:sz w:val="20"/>
                <w:szCs w:val="20"/>
              </w:rPr>
              <w:t>Portfolio Performance</w:t>
            </w:r>
          </w:p>
        </w:tc>
        <w:tc>
          <w:tcPr>
            <w:tcW w:w="1560" w:type="dxa"/>
            <w:tcBorders>
              <w:top w:val="nil"/>
              <w:bottom w:val="nil"/>
            </w:tcBorders>
            <w:shd w:val="clear" w:color="auto" w:fill="auto"/>
            <w:hideMark/>
          </w:tcPr>
          <w:p w:rsidR="008038D2" w:rsidRPr="000D489C" w:rsidRDefault="008038D2" w:rsidP="00081753">
            <w:pPr>
              <w:rPr>
                <w:rFonts w:eastAsia="Times New Roman"/>
                <w:b/>
                <w:color w:val="000000"/>
                <w:sz w:val="20"/>
                <w:szCs w:val="20"/>
              </w:rPr>
            </w:pPr>
            <w:r w:rsidRPr="000D489C">
              <w:rPr>
                <w:rFonts w:eastAsia="Times New Roman"/>
                <w:b/>
                <w:color w:val="000000"/>
                <w:sz w:val="20"/>
                <w:szCs w:val="20"/>
              </w:rPr>
              <w:t xml:space="preserve"> 0.</w:t>
            </w:r>
            <w:r w:rsidR="00081753">
              <w:rPr>
                <w:rFonts w:eastAsia="Times New Roman"/>
                <w:b/>
                <w:color w:val="000000"/>
                <w:sz w:val="20"/>
                <w:szCs w:val="20"/>
              </w:rPr>
              <w:t>0</w:t>
            </w:r>
            <w:r>
              <w:rPr>
                <w:rFonts w:eastAsia="Times New Roman"/>
                <w:b/>
                <w:color w:val="000000"/>
                <w:sz w:val="20"/>
                <w:szCs w:val="20"/>
              </w:rPr>
              <w:t>9</w:t>
            </w:r>
            <w:r w:rsidR="00081753">
              <w:rPr>
                <w:rFonts w:eastAsia="Times New Roman"/>
                <w:b/>
                <w:color w:val="000000"/>
                <w:sz w:val="20"/>
                <w:szCs w:val="20"/>
              </w:rPr>
              <w:t>1</w:t>
            </w:r>
            <w:r>
              <w:rPr>
                <w:rFonts w:eastAsia="Times New Roman"/>
                <w:b/>
                <w:color w:val="000000"/>
                <w:sz w:val="20"/>
                <w:szCs w:val="20"/>
              </w:rPr>
              <w:t>*</w:t>
            </w:r>
            <w:r w:rsidRPr="000D489C">
              <w:rPr>
                <w:rFonts w:eastAsia="Times New Roman"/>
                <w:b/>
                <w:color w:val="000000"/>
                <w:sz w:val="20"/>
                <w:szCs w:val="20"/>
              </w:rPr>
              <w:t>**</w:t>
            </w:r>
          </w:p>
        </w:tc>
        <w:tc>
          <w:tcPr>
            <w:tcW w:w="0" w:type="auto"/>
            <w:tcBorders>
              <w:top w:val="nil"/>
              <w:bottom w:val="nil"/>
            </w:tcBorders>
            <w:shd w:val="clear" w:color="auto" w:fill="auto"/>
            <w:hideMark/>
          </w:tcPr>
          <w:p w:rsidR="008038D2" w:rsidRPr="000D489C" w:rsidRDefault="008038D2" w:rsidP="00081753">
            <w:pPr>
              <w:rPr>
                <w:rFonts w:eastAsia="Times New Roman"/>
                <w:b/>
                <w:color w:val="000000"/>
                <w:sz w:val="20"/>
                <w:szCs w:val="20"/>
              </w:rPr>
            </w:pPr>
            <w:r w:rsidRPr="000D489C">
              <w:rPr>
                <w:rFonts w:eastAsia="Times New Roman"/>
                <w:b/>
                <w:color w:val="000000"/>
                <w:sz w:val="20"/>
                <w:szCs w:val="20"/>
              </w:rPr>
              <w:t>(0.0</w:t>
            </w:r>
            <w:r w:rsidR="00081753">
              <w:rPr>
                <w:rFonts w:eastAsia="Times New Roman"/>
                <w:b/>
                <w:color w:val="000000"/>
                <w:sz w:val="20"/>
                <w:szCs w:val="20"/>
              </w:rPr>
              <w:t>24</w:t>
            </w:r>
            <w:r w:rsidRPr="000D489C">
              <w:rPr>
                <w:rFonts w:eastAsia="Times New Roman"/>
                <w:b/>
                <w:color w:val="000000"/>
                <w:sz w:val="20"/>
                <w:szCs w:val="20"/>
              </w:rPr>
              <w:t>)</w:t>
            </w:r>
          </w:p>
        </w:tc>
      </w:tr>
      <w:tr w:rsidR="008038D2" w:rsidRPr="001A5521" w:rsidTr="00580297">
        <w:trPr>
          <w:trHeight w:val="227"/>
        </w:trPr>
        <w:tc>
          <w:tcPr>
            <w:tcW w:w="2943" w:type="dxa"/>
            <w:tcBorders>
              <w:top w:val="nil"/>
              <w:bottom w:val="nil"/>
            </w:tcBorders>
            <w:shd w:val="clear" w:color="auto" w:fill="auto"/>
            <w:hideMark/>
          </w:tcPr>
          <w:p w:rsidR="008038D2" w:rsidRPr="000D489C" w:rsidRDefault="008038D2" w:rsidP="00580297">
            <w:pPr>
              <w:rPr>
                <w:rFonts w:eastAsia="Times New Roman"/>
                <w:b/>
                <w:bCs/>
                <w:color w:val="000000"/>
                <w:sz w:val="20"/>
                <w:szCs w:val="20"/>
              </w:rPr>
            </w:pPr>
            <w:r w:rsidRPr="000D489C">
              <w:rPr>
                <w:rFonts w:eastAsia="Times New Roman"/>
                <w:b/>
                <w:bCs/>
                <w:color w:val="000000"/>
                <w:sz w:val="20"/>
                <w:szCs w:val="20"/>
              </w:rPr>
              <w:t xml:space="preserve">Russell * </w:t>
            </w:r>
            <w:r w:rsidRPr="000D489C">
              <w:rPr>
                <w:b/>
                <w:bCs/>
                <w:color w:val="000000"/>
                <w:sz w:val="20"/>
                <w:szCs w:val="20"/>
              </w:rPr>
              <w:t>Portfolio Media</w:t>
            </w:r>
          </w:p>
        </w:tc>
        <w:tc>
          <w:tcPr>
            <w:tcW w:w="1560" w:type="dxa"/>
            <w:tcBorders>
              <w:top w:val="nil"/>
              <w:bottom w:val="nil"/>
            </w:tcBorders>
            <w:shd w:val="clear" w:color="auto" w:fill="auto"/>
            <w:hideMark/>
          </w:tcPr>
          <w:p w:rsidR="008038D2" w:rsidRPr="000D489C" w:rsidRDefault="008038D2" w:rsidP="00081753">
            <w:pPr>
              <w:rPr>
                <w:rFonts w:eastAsia="Times New Roman"/>
                <w:b/>
                <w:color w:val="000000"/>
                <w:sz w:val="20"/>
                <w:szCs w:val="20"/>
              </w:rPr>
            </w:pPr>
            <w:r w:rsidRPr="000D489C">
              <w:rPr>
                <w:rFonts w:eastAsia="Times New Roman"/>
                <w:b/>
                <w:color w:val="000000"/>
                <w:sz w:val="20"/>
                <w:szCs w:val="20"/>
              </w:rPr>
              <w:t xml:space="preserve"> </w:t>
            </w:r>
            <w:r>
              <w:rPr>
                <w:rFonts w:eastAsia="Times New Roman"/>
                <w:b/>
                <w:color w:val="000000"/>
                <w:sz w:val="20"/>
                <w:szCs w:val="20"/>
              </w:rPr>
              <w:t>0.03</w:t>
            </w:r>
            <w:r w:rsidR="00081753">
              <w:rPr>
                <w:rFonts w:eastAsia="Times New Roman"/>
                <w:b/>
                <w:color w:val="000000"/>
                <w:sz w:val="20"/>
                <w:szCs w:val="20"/>
              </w:rPr>
              <w:t>5</w:t>
            </w:r>
            <w:r w:rsidRPr="000D489C">
              <w:rPr>
                <w:rFonts w:eastAsia="Times New Roman"/>
                <w:b/>
                <w:color w:val="000000"/>
                <w:sz w:val="20"/>
                <w:szCs w:val="20"/>
              </w:rPr>
              <w:t>*</w:t>
            </w:r>
          </w:p>
        </w:tc>
        <w:tc>
          <w:tcPr>
            <w:tcW w:w="0" w:type="auto"/>
            <w:tcBorders>
              <w:top w:val="nil"/>
              <w:bottom w:val="nil"/>
            </w:tcBorders>
            <w:shd w:val="clear" w:color="auto" w:fill="auto"/>
            <w:hideMark/>
          </w:tcPr>
          <w:p w:rsidR="008038D2" w:rsidRPr="000D489C" w:rsidRDefault="008038D2" w:rsidP="00081753">
            <w:pPr>
              <w:rPr>
                <w:rFonts w:eastAsia="Times New Roman"/>
                <w:b/>
                <w:color w:val="000000"/>
                <w:sz w:val="20"/>
                <w:szCs w:val="20"/>
              </w:rPr>
            </w:pPr>
            <w:r w:rsidRPr="000D489C">
              <w:rPr>
                <w:rFonts w:eastAsia="Times New Roman"/>
                <w:b/>
                <w:color w:val="000000"/>
                <w:sz w:val="20"/>
                <w:szCs w:val="20"/>
              </w:rPr>
              <w:t>(</w:t>
            </w:r>
            <w:r>
              <w:rPr>
                <w:rFonts w:eastAsia="Times New Roman"/>
                <w:b/>
                <w:color w:val="000000"/>
                <w:sz w:val="20"/>
                <w:szCs w:val="20"/>
              </w:rPr>
              <w:t>0.0</w:t>
            </w:r>
            <w:r w:rsidR="00081753">
              <w:rPr>
                <w:rFonts w:eastAsia="Times New Roman"/>
                <w:b/>
                <w:color w:val="000000"/>
                <w:sz w:val="20"/>
                <w:szCs w:val="20"/>
              </w:rPr>
              <w:t>16</w:t>
            </w:r>
            <w:r w:rsidRPr="000D489C">
              <w:rPr>
                <w:rFonts w:eastAsia="Times New Roman"/>
                <w:b/>
                <w:color w:val="000000"/>
                <w:sz w:val="20"/>
                <w:szCs w:val="20"/>
              </w:rPr>
              <w:t>)</w:t>
            </w:r>
          </w:p>
        </w:tc>
      </w:tr>
      <w:tr w:rsidR="008038D2" w:rsidRPr="001A5521" w:rsidTr="00580297">
        <w:trPr>
          <w:trHeight w:val="227"/>
        </w:trPr>
        <w:tc>
          <w:tcPr>
            <w:tcW w:w="2943" w:type="dxa"/>
            <w:tcBorders>
              <w:top w:val="nil"/>
              <w:bottom w:val="nil"/>
            </w:tcBorders>
            <w:shd w:val="clear" w:color="auto" w:fill="auto"/>
            <w:hideMark/>
          </w:tcPr>
          <w:p w:rsidR="008038D2" w:rsidRPr="000D489C" w:rsidRDefault="008038D2" w:rsidP="00580297">
            <w:pPr>
              <w:rPr>
                <w:rFonts w:eastAsia="Times New Roman"/>
                <w:bCs/>
                <w:color w:val="000000"/>
                <w:sz w:val="20"/>
                <w:szCs w:val="20"/>
              </w:rPr>
            </w:pPr>
          </w:p>
        </w:tc>
        <w:tc>
          <w:tcPr>
            <w:tcW w:w="1560" w:type="dxa"/>
            <w:tcBorders>
              <w:top w:val="nil"/>
              <w:bottom w:val="nil"/>
            </w:tcBorders>
            <w:shd w:val="clear" w:color="auto" w:fill="auto"/>
            <w:hideMark/>
          </w:tcPr>
          <w:p w:rsidR="008038D2" w:rsidRPr="000D489C" w:rsidRDefault="008038D2" w:rsidP="00580297">
            <w:pPr>
              <w:rPr>
                <w:rFonts w:eastAsia="Times New Roman"/>
                <w:color w:val="000000"/>
                <w:sz w:val="20"/>
                <w:szCs w:val="20"/>
              </w:rPr>
            </w:pPr>
          </w:p>
        </w:tc>
        <w:tc>
          <w:tcPr>
            <w:tcW w:w="0" w:type="auto"/>
            <w:tcBorders>
              <w:top w:val="nil"/>
              <w:bottom w:val="nil"/>
            </w:tcBorders>
            <w:shd w:val="clear" w:color="auto" w:fill="auto"/>
            <w:hideMark/>
          </w:tcPr>
          <w:p w:rsidR="008038D2" w:rsidRPr="000D489C" w:rsidRDefault="008038D2" w:rsidP="00580297">
            <w:pPr>
              <w:rPr>
                <w:rFonts w:eastAsia="Times New Roman"/>
                <w:b/>
                <w:color w:val="000000"/>
                <w:sz w:val="20"/>
                <w:szCs w:val="20"/>
              </w:rPr>
            </w:pPr>
          </w:p>
        </w:tc>
      </w:tr>
      <w:tr w:rsidR="008038D2" w:rsidRPr="001A5521" w:rsidTr="00580297">
        <w:trPr>
          <w:trHeight w:val="227"/>
        </w:trPr>
        <w:tc>
          <w:tcPr>
            <w:tcW w:w="2943" w:type="dxa"/>
            <w:tcBorders>
              <w:top w:val="nil"/>
              <w:bottom w:val="nil"/>
            </w:tcBorders>
            <w:shd w:val="clear" w:color="auto" w:fill="auto"/>
            <w:hideMark/>
          </w:tcPr>
          <w:p w:rsidR="008038D2" w:rsidRPr="000D489C" w:rsidRDefault="008038D2" w:rsidP="00580297">
            <w:pPr>
              <w:rPr>
                <w:rFonts w:eastAsia="Times New Roman"/>
                <w:bCs/>
                <w:color w:val="000000"/>
                <w:sz w:val="20"/>
                <w:szCs w:val="20"/>
              </w:rPr>
            </w:pPr>
            <w:r w:rsidRPr="000D489C">
              <w:rPr>
                <w:rFonts w:eastAsia="Times New Roman"/>
                <w:bCs/>
                <w:color w:val="000000"/>
                <w:sz w:val="20"/>
                <w:szCs w:val="20"/>
              </w:rPr>
              <w:t>Year dummies</w:t>
            </w:r>
          </w:p>
        </w:tc>
        <w:tc>
          <w:tcPr>
            <w:tcW w:w="1560" w:type="dxa"/>
            <w:tcBorders>
              <w:top w:val="nil"/>
              <w:bottom w:val="nil"/>
            </w:tcBorders>
            <w:shd w:val="clear" w:color="auto" w:fill="auto"/>
            <w:hideMark/>
          </w:tcPr>
          <w:p w:rsidR="008038D2" w:rsidRPr="000D489C" w:rsidRDefault="008038D2" w:rsidP="00580297">
            <w:pPr>
              <w:rPr>
                <w:rFonts w:eastAsia="Times New Roman"/>
                <w:color w:val="000000"/>
                <w:sz w:val="20"/>
                <w:szCs w:val="20"/>
              </w:rPr>
            </w:pPr>
            <w:r w:rsidRPr="000D489C">
              <w:rPr>
                <w:rFonts w:eastAsia="Times New Roman"/>
                <w:color w:val="000000"/>
                <w:sz w:val="20"/>
                <w:szCs w:val="20"/>
              </w:rPr>
              <w:t>Yes</w:t>
            </w:r>
          </w:p>
        </w:tc>
        <w:tc>
          <w:tcPr>
            <w:tcW w:w="0" w:type="auto"/>
            <w:tcBorders>
              <w:top w:val="nil"/>
              <w:bottom w:val="nil"/>
            </w:tcBorders>
            <w:shd w:val="clear" w:color="auto" w:fill="auto"/>
            <w:hideMark/>
          </w:tcPr>
          <w:p w:rsidR="008038D2" w:rsidRPr="000D489C" w:rsidRDefault="008038D2" w:rsidP="00580297">
            <w:pPr>
              <w:rPr>
                <w:rFonts w:eastAsia="Times New Roman"/>
                <w:b/>
                <w:color w:val="000000"/>
                <w:sz w:val="20"/>
                <w:szCs w:val="20"/>
              </w:rPr>
            </w:pPr>
          </w:p>
        </w:tc>
      </w:tr>
      <w:tr w:rsidR="008038D2" w:rsidRPr="001A5521" w:rsidTr="00580297">
        <w:trPr>
          <w:trHeight w:val="227"/>
        </w:trPr>
        <w:tc>
          <w:tcPr>
            <w:tcW w:w="2943" w:type="dxa"/>
            <w:tcBorders>
              <w:top w:val="nil"/>
              <w:bottom w:val="nil"/>
            </w:tcBorders>
            <w:shd w:val="clear" w:color="auto" w:fill="auto"/>
            <w:hideMark/>
          </w:tcPr>
          <w:p w:rsidR="008038D2" w:rsidRPr="000D489C" w:rsidRDefault="008038D2" w:rsidP="00580297">
            <w:pPr>
              <w:rPr>
                <w:rFonts w:eastAsia="Times New Roman"/>
                <w:bCs/>
                <w:color w:val="000000"/>
                <w:sz w:val="20"/>
                <w:szCs w:val="20"/>
              </w:rPr>
            </w:pPr>
            <w:r>
              <w:rPr>
                <w:rFonts w:eastAsia="Times New Roman"/>
                <w:bCs/>
                <w:color w:val="000000"/>
                <w:sz w:val="20"/>
                <w:szCs w:val="20"/>
              </w:rPr>
              <w:t>Regional dummies</w:t>
            </w:r>
          </w:p>
        </w:tc>
        <w:tc>
          <w:tcPr>
            <w:tcW w:w="1560" w:type="dxa"/>
            <w:tcBorders>
              <w:top w:val="nil"/>
              <w:bottom w:val="nil"/>
            </w:tcBorders>
            <w:shd w:val="clear" w:color="auto" w:fill="auto"/>
            <w:hideMark/>
          </w:tcPr>
          <w:p w:rsidR="008038D2" w:rsidRPr="000D489C" w:rsidRDefault="008038D2" w:rsidP="00580297">
            <w:pPr>
              <w:rPr>
                <w:rFonts w:eastAsia="Times New Roman"/>
                <w:color w:val="000000"/>
                <w:sz w:val="20"/>
                <w:szCs w:val="20"/>
              </w:rPr>
            </w:pPr>
            <w:r>
              <w:rPr>
                <w:rFonts w:eastAsia="Times New Roman"/>
                <w:color w:val="000000"/>
                <w:sz w:val="20"/>
                <w:szCs w:val="20"/>
              </w:rPr>
              <w:t>Yes</w:t>
            </w:r>
          </w:p>
        </w:tc>
        <w:tc>
          <w:tcPr>
            <w:tcW w:w="0" w:type="auto"/>
            <w:tcBorders>
              <w:top w:val="nil"/>
              <w:bottom w:val="nil"/>
            </w:tcBorders>
            <w:shd w:val="clear" w:color="auto" w:fill="auto"/>
            <w:hideMark/>
          </w:tcPr>
          <w:p w:rsidR="008038D2" w:rsidRPr="000D489C" w:rsidRDefault="008038D2" w:rsidP="00580297">
            <w:pPr>
              <w:rPr>
                <w:rFonts w:eastAsia="Times New Roman"/>
                <w:b/>
                <w:color w:val="000000"/>
                <w:sz w:val="20"/>
                <w:szCs w:val="20"/>
              </w:rPr>
            </w:pPr>
          </w:p>
        </w:tc>
      </w:tr>
      <w:tr w:rsidR="008038D2" w:rsidRPr="001A5521" w:rsidTr="00580297">
        <w:trPr>
          <w:trHeight w:val="227"/>
        </w:trPr>
        <w:tc>
          <w:tcPr>
            <w:tcW w:w="2943" w:type="dxa"/>
            <w:tcBorders>
              <w:top w:val="nil"/>
              <w:bottom w:val="nil"/>
            </w:tcBorders>
            <w:shd w:val="clear" w:color="auto" w:fill="auto"/>
          </w:tcPr>
          <w:p w:rsidR="008038D2" w:rsidRPr="000D489C" w:rsidRDefault="008038D2" w:rsidP="00580297">
            <w:pPr>
              <w:rPr>
                <w:sz w:val="20"/>
                <w:szCs w:val="20"/>
              </w:rPr>
            </w:pPr>
            <w:r w:rsidRPr="000D489C">
              <w:rPr>
                <w:sz w:val="20"/>
                <w:szCs w:val="20"/>
              </w:rPr>
              <w:t>N</w:t>
            </w:r>
          </w:p>
        </w:tc>
        <w:tc>
          <w:tcPr>
            <w:tcW w:w="1560" w:type="dxa"/>
            <w:tcBorders>
              <w:top w:val="nil"/>
              <w:bottom w:val="nil"/>
            </w:tcBorders>
            <w:shd w:val="clear" w:color="auto" w:fill="auto"/>
          </w:tcPr>
          <w:p w:rsidR="008038D2" w:rsidRPr="000D489C" w:rsidRDefault="008038D2" w:rsidP="00580297">
            <w:pPr>
              <w:rPr>
                <w:rFonts w:eastAsia="Times New Roman"/>
                <w:color w:val="000000"/>
                <w:sz w:val="20"/>
                <w:szCs w:val="20"/>
              </w:rPr>
            </w:pPr>
            <w:r w:rsidRPr="000D489C">
              <w:rPr>
                <w:rFonts w:eastAsia="Times New Roman"/>
                <w:color w:val="000000"/>
                <w:sz w:val="20"/>
                <w:szCs w:val="20"/>
              </w:rPr>
              <w:t>1650</w:t>
            </w:r>
          </w:p>
        </w:tc>
        <w:tc>
          <w:tcPr>
            <w:tcW w:w="0" w:type="auto"/>
            <w:tcBorders>
              <w:top w:val="nil"/>
              <w:bottom w:val="nil"/>
            </w:tcBorders>
            <w:shd w:val="clear" w:color="auto" w:fill="auto"/>
          </w:tcPr>
          <w:p w:rsidR="008038D2" w:rsidRPr="000D489C" w:rsidRDefault="008038D2" w:rsidP="00580297">
            <w:pPr>
              <w:rPr>
                <w:rFonts w:eastAsia="Times New Roman"/>
                <w:b/>
                <w:color w:val="000000"/>
                <w:sz w:val="20"/>
                <w:szCs w:val="20"/>
              </w:rPr>
            </w:pPr>
          </w:p>
        </w:tc>
      </w:tr>
      <w:tr w:rsidR="008038D2" w:rsidRPr="001A5521" w:rsidTr="00580297">
        <w:trPr>
          <w:trHeight w:val="227"/>
        </w:trPr>
        <w:tc>
          <w:tcPr>
            <w:tcW w:w="2943" w:type="dxa"/>
            <w:tcBorders>
              <w:top w:val="nil"/>
              <w:bottom w:val="single" w:sz="4" w:space="0" w:color="auto"/>
            </w:tcBorders>
            <w:shd w:val="clear" w:color="auto" w:fill="auto"/>
          </w:tcPr>
          <w:p w:rsidR="008038D2" w:rsidRPr="000D489C" w:rsidRDefault="008038D2" w:rsidP="00580297">
            <w:pPr>
              <w:rPr>
                <w:sz w:val="20"/>
                <w:szCs w:val="20"/>
              </w:rPr>
            </w:pPr>
            <w:r w:rsidRPr="000D489C">
              <w:rPr>
                <w:sz w:val="20"/>
                <w:szCs w:val="20"/>
              </w:rPr>
              <w:t>R</w:t>
            </w:r>
            <w:r w:rsidRPr="000D489C">
              <w:rPr>
                <w:sz w:val="20"/>
                <w:szCs w:val="20"/>
                <w:vertAlign w:val="superscript"/>
              </w:rPr>
              <w:t>2</w:t>
            </w:r>
          </w:p>
        </w:tc>
        <w:tc>
          <w:tcPr>
            <w:tcW w:w="1560" w:type="dxa"/>
            <w:tcBorders>
              <w:top w:val="nil"/>
              <w:bottom w:val="single" w:sz="4" w:space="0" w:color="auto"/>
            </w:tcBorders>
            <w:shd w:val="clear" w:color="auto" w:fill="auto"/>
          </w:tcPr>
          <w:p w:rsidR="008038D2" w:rsidRPr="000D489C" w:rsidRDefault="00081753" w:rsidP="00DA1DF1">
            <w:pPr>
              <w:rPr>
                <w:rFonts w:eastAsia="Times New Roman"/>
                <w:color w:val="000000"/>
                <w:sz w:val="20"/>
                <w:szCs w:val="20"/>
              </w:rPr>
            </w:pPr>
            <w:r>
              <w:rPr>
                <w:rFonts w:eastAsia="Times New Roman"/>
                <w:color w:val="000000"/>
                <w:sz w:val="20"/>
                <w:szCs w:val="20"/>
              </w:rPr>
              <w:t>0.</w:t>
            </w:r>
            <w:r w:rsidR="00DA1DF1">
              <w:rPr>
                <w:rFonts w:eastAsia="Times New Roman"/>
                <w:color w:val="000000"/>
                <w:sz w:val="20"/>
                <w:szCs w:val="20"/>
              </w:rPr>
              <w:t>95</w:t>
            </w:r>
          </w:p>
        </w:tc>
        <w:tc>
          <w:tcPr>
            <w:tcW w:w="0" w:type="auto"/>
            <w:tcBorders>
              <w:top w:val="nil"/>
              <w:bottom w:val="single" w:sz="4" w:space="0" w:color="auto"/>
            </w:tcBorders>
            <w:shd w:val="clear" w:color="auto" w:fill="auto"/>
          </w:tcPr>
          <w:p w:rsidR="008038D2" w:rsidRPr="000D489C" w:rsidRDefault="008038D2" w:rsidP="00580297">
            <w:pPr>
              <w:rPr>
                <w:rFonts w:eastAsia="Times New Roman"/>
                <w:b/>
                <w:color w:val="000000"/>
                <w:sz w:val="20"/>
                <w:szCs w:val="20"/>
              </w:rPr>
            </w:pPr>
          </w:p>
        </w:tc>
      </w:tr>
      <w:tr w:rsidR="008038D2" w:rsidRPr="001A5521" w:rsidTr="00580297">
        <w:trPr>
          <w:trHeight w:val="227"/>
        </w:trPr>
        <w:tc>
          <w:tcPr>
            <w:tcW w:w="5469" w:type="dxa"/>
            <w:gridSpan w:val="3"/>
            <w:tcBorders>
              <w:top w:val="single" w:sz="4" w:space="0" w:color="auto"/>
              <w:bottom w:val="nil"/>
            </w:tcBorders>
            <w:shd w:val="clear" w:color="auto" w:fill="auto"/>
          </w:tcPr>
          <w:p w:rsidR="008038D2" w:rsidRPr="000D489C" w:rsidRDefault="008038D2" w:rsidP="00580297">
            <w:pPr>
              <w:pStyle w:val="BodyText"/>
              <w:framePr w:hSpace="0" w:wrap="auto" w:vAnchor="margin" w:hAnchor="text" w:yAlign="inline"/>
              <w:rPr>
                <w:lang w:eastAsia="en-GB"/>
              </w:rPr>
            </w:pPr>
            <w:r w:rsidRPr="000D489C">
              <w:rPr>
                <w:lang w:eastAsia="en-GB"/>
              </w:rPr>
              <w:t>***p&lt;0.001, **p&lt;0.01, *p&lt;0.05, †p&lt;0.10</w:t>
            </w:r>
          </w:p>
          <w:p w:rsidR="008038D2" w:rsidRPr="000D489C" w:rsidRDefault="008038D2" w:rsidP="00580297">
            <w:pPr>
              <w:rPr>
                <w:rFonts w:eastAsia="Times New Roman"/>
                <w:b/>
                <w:color w:val="000000"/>
                <w:sz w:val="20"/>
                <w:szCs w:val="20"/>
              </w:rPr>
            </w:pPr>
            <w:r w:rsidRPr="000D489C">
              <w:rPr>
                <w:sz w:val="20"/>
                <w:szCs w:val="20"/>
                <w:lang w:eastAsia="en-GB"/>
              </w:rPr>
              <w:t>Standardized coefficients; standard errors in parentheses</w:t>
            </w:r>
          </w:p>
        </w:tc>
      </w:tr>
    </w:tbl>
    <w:p w:rsidR="008038D2" w:rsidRPr="001A5521" w:rsidRDefault="008038D2" w:rsidP="008038D2">
      <w:pPr>
        <w:rPr>
          <w:lang w:eastAsia="en-G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rPr>
      </w:pPr>
    </w:p>
    <w:p w:rsidR="008038D2" w:rsidRDefault="008038D2" w:rsidP="008038D2">
      <w:pPr>
        <w:rPr>
          <w:b/>
          <w:lang w:eastAsia="en-GB"/>
        </w:rPr>
      </w:pPr>
    </w:p>
    <w:p w:rsidR="008038D2" w:rsidRDefault="008038D2" w:rsidP="008038D2">
      <w:pPr>
        <w:rPr>
          <w:b/>
          <w:lang w:eastAsia="en-GB"/>
        </w:rPr>
      </w:pPr>
    </w:p>
    <w:p w:rsidR="008038D2" w:rsidRDefault="008038D2" w:rsidP="008038D2">
      <w:pPr>
        <w:rPr>
          <w:b/>
          <w:lang w:eastAsia="en-GB"/>
        </w:rPr>
      </w:pPr>
    </w:p>
    <w:p w:rsidR="008038D2" w:rsidRDefault="008038D2" w:rsidP="008038D2">
      <w:pPr>
        <w:rPr>
          <w:b/>
          <w:lang w:eastAsia="en-GB"/>
        </w:rPr>
      </w:pPr>
    </w:p>
    <w:p w:rsidR="00082A7E" w:rsidRDefault="00082A7E">
      <w:pPr>
        <w:rPr>
          <w:b/>
          <w:lang w:eastAsia="en-GB"/>
        </w:rPr>
      </w:pPr>
    </w:p>
    <w:p w:rsidR="008038D2" w:rsidRPr="00082A7E" w:rsidRDefault="00082A7E" w:rsidP="008038D2">
      <w:pPr>
        <w:rPr>
          <w:lang w:eastAsia="en-GB"/>
        </w:rPr>
      </w:pPr>
      <w:r>
        <w:rPr>
          <w:b/>
          <w:lang w:eastAsia="en-GB"/>
        </w:rPr>
        <w:t xml:space="preserve">Figure 2. </w:t>
      </w:r>
      <w:r w:rsidRPr="00082A7E">
        <w:rPr>
          <w:lang w:eastAsia="en-GB"/>
        </w:rPr>
        <w:t xml:space="preserve">Interaction effect between Status and Signals of </w:t>
      </w:r>
      <w:r w:rsidR="00EB3361">
        <w:rPr>
          <w:lang w:eastAsia="en-GB"/>
        </w:rPr>
        <w:t>Effort</w:t>
      </w:r>
    </w:p>
    <w:p w:rsidR="00082A7E" w:rsidRDefault="00082A7E" w:rsidP="008038D2">
      <w:pPr>
        <w:rPr>
          <w:b/>
          <w:lang w:eastAsia="en-GB"/>
        </w:rPr>
      </w:pPr>
    </w:p>
    <w:p w:rsidR="00082A7E" w:rsidRDefault="00F21C0A" w:rsidP="008038D2">
      <w:pPr>
        <w:rPr>
          <w:b/>
          <w:lang w:eastAsia="en-GB"/>
        </w:rPr>
      </w:pPr>
      <w:r>
        <w:rPr>
          <w:noProof/>
          <w:lang w:val="en-GB" w:eastAsia="en-GB"/>
        </w:rPr>
        <w:drawing>
          <wp:inline distT="0" distB="0" distL="0" distR="0">
            <wp:extent cx="5945757" cy="3578355"/>
            <wp:effectExtent l="0" t="0" r="6098" b="3045"/>
            <wp:docPr id="1"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82A7E" w:rsidRDefault="00082A7E" w:rsidP="008038D2">
      <w:pPr>
        <w:rPr>
          <w:b/>
          <w:lang w:eastAsia="en-GB"/>
        </w:rPr>
      </w:pPr>
    </w:p>
    <w:p w:rsidR="00082A7E" w:rsidRDefault="00082A7E">
      <w:pPr>
        <w:rPr>
          <w:b/>
          <w:lang w:eastAsia="en-GB"/>
        </w:rPr>
      </w:pPr>
      <w:r>
        <w:rPr>
          <w:b/>
          <w:lang w:eastAsia="en-GB"/>
        </w:rPr>
        <w:br w:type="page"/>
      </w:r>
    </w:p>
    <w:p w:rsidR="00082A7E" w:rsidRDefault="00082A7E" w:rsidP="00082A7E">
      <w:pPr>
        <w:rPr>
          <w:lang w:eastAsia="en-GB"/>
        </w:rPr>
      </w:pPr>
      <w:r>
        <w:rPr>
          <w:b/>
          <w:lang w:eastAsia="en-GB"/>
        </w:rPr>
        <w:lastRenderedPageBreak/>
        <w:t xml:space="preserve">Figure 3. </w:t>
      </w:r>
      <w:r w:rsidRPr="00082A7E">
        <w:rPr>
          <w:lang w:eastAsia="en-GB"/>
        </w:rPr>
        <w:t xml:space="preserve">Interaction effect between Status and Signals of </w:t>
      </w:r>
      <w:r>
        <w:rPr>
          <w:lang w:eastAsia="en-GB"/>
        </w:rPr>
        <w:t xml:space="preserve">Performance </w:t>
      </w:r>
    </w:p>
    <w:p w:rsidR="00082A7E" w:rsidRPr="00082A7E" w:rsidRDefault="00082A7E" w:rsidP="00082A7E">
      <w:pPr>
        <w:rPr>
          <w:lang w:eastAsia="en-GB"/>
        </w:rPr>
      </w:pPr>
    </w:p>
    <w:p w:rsidR="00082A7E" w:rsidRDefault="00F21C0A" w:rsidP="008038D2">
      <w:pPr>
        <w:rPr>
          <w:b/>
          <w:lang w:eastAsia="en-GB"/>
        </w:rPr>
      </w:pPr>
      <w:r>
        <w:rPr>
          <w:noProof/>
          <w:lang w:val="en-GB" w:eastAsia="en-GB"/>
        </w:rPr>
        <w:drawing>
          <wp:inline distT="0" distB="0" distL="0" distR="0">
            <wp:extent cx="5945757" cy="3686806"/>
            <wp:effectExtent l="0" t="0" r="6098" b="4449"/>
            <wp:docPr id="2"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082A7E">
        <w:rPr>
          <w:b/>
          <w:lang w:eastAsia="en-GB"/>
        </w:rPr>
        <w:t>.</w:t>
      </w:r>
    </w:p>
    <w:p w:rsidR="00082A7E" w:rsidRDefault="00082A7E" w:rsidP="008038D2">
      <w:pPr>
        <w:rPr>
          <w:b/>
          <w:lang w:eastAsia="en-GB"/>
        </w:rPr>
      </w:pPr>
    </w:p>
    <w:p w:rsidR="00082A7E" w:rsidRDefault="00082A7E">
      <w:pPr>
        <w:rPr>
          <w:b/>
          <w:lang w:eastAsia="en-GB"/>
        </w:rPr>
      </w:pPr>
      <w:r>
        <w:rPr>
          <w:b/>
          <w:lang w:eastAsia="en-GB"/>
        </w:rPr>
        <w:br w:type="page"/>
      </w:r>
    </w:p>
    <w:p w:rsidR="00082A7E" w:rsidRDefault="00082A7E" w:rsidP="00082A7E">
      <w:pPr>
        <w:rPr>
          <w:lang w:eastAsia="en-GB"/>
        </w:rPr>
      </w:pPr>
      <w:r>
        <w:rPr>
          <w:b/>
          <w:lang w:eastAsia="en-GB"/>
        </w:rPr>
        <w:lastRenderedPageBreak/>
        <w:t xml:space="preserve">Figure 4. </w:t>
      </w:r>
      <w:r w:rsidRPr="00082A7E">
        <w:rPr>
          <w:lang w:eastAsia="en-GB"/>
        </w:rPr>
        <w:t xml:space="preserve">Interaction effect between Status and </w:t>
      </w:r>
      <w:r>
        <w:rPr>
          <w:lang w:eastAsia="en-GB"/>
        </w:rPr>
        <w:t xml:space="preserve">Refracted Media </w:t>
      </w:r>
      <w:r w:rsidRPr="00082A7E">
        <w:rPr>
          <w:lang w:eastAsia="en-GB"/>
        </w:rPr>
        <w:t>Signals</w:t>
      </w:r>
      <w:r>
        <w:rPr>
          <w:lang w:eastAsia="en-GB"/>
        </w:rPr>
        <w:t xml:space="preserve"> </w:t>
      </w:r>
    </w:p>
    <w:p w:rsidR="00082A7E" w:rsidRDefault="00082A7E" w:rsidP="00082A7E">
      <w:pPr>
        <w:rPr>
          <w:lang w:eastAsia="en-GB"/>
        </w:rPr>
      </w:pPr>
    </w:p>
    <w:p w:rsidR="00082A7E" w:rsidRDefault="00F21C0A" w:rsidP="008038D2">
      <w:pPr>
        <w:rPr>
          <w:b/>
          <w:lang w:eastAsia="en-GB"/>
        </w:rPr>
      </w:pPr>
      <w:r>
        <w:rPr>
          <w:noProof/>
          <w:lang w:val="en-GB" w:eastAsia="en-GB"/>
        </w:rPr>
        <w:drawing>
          <wp:inline distT="0" distB="0" distL="0" distR="0">
            <wp:extent cx="5811265" cy="3592827"/>
            <wp:effectExtent l="0" t="0" r="5335" b="5718"/>
            <wp:docPr id="3" name="Char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sectPr w:rsidR="00082A7E" w:rsidSect="0097208F">
      <w:headerReference w:type="default" r:id="rId24"/>
      <w:footerReference w:type="default" r:id="rId25"/>
      <w:pgSz w:w="15840" w:h="12240" w:orient="landscape"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3F4" w:rsidRDefault="005B53F4" w:rsidP="007001EB">
      <w:r>
        <w:separator/>
      </w:r>
    </w:p>
  </w:endnote>
  <w:endnote w:type="continuationSeparator" w:id="0">
    <w:p w:rsidR="005B53F4" w:rsidRDefault="005B53F4" w:rsidP="00700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S Ingrid Light">
    <w:altName w:val="FS Ingrid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pple Symbols">
    <w:charset w:val="00"/>
    <w:family w:val="auto"/>
    <w:pitch w:val="variable"/>
    <w:sig w:usb0="800000A3" w:usb1="08007BEB" w:usb2="01840034" w:usb3="00000000" w:csb0="000001FB" w:csb1="00000000"/>
  </w:font>
  <w:font w:name="Memphis-Bold">
    <w:altName w:val="Cambria"/>
    <w:panose1 w:val="00000000000000000000"/>
    <w:charset w:val="00"/>
    <w:family w:val="roman"/>
    <w:notTrueType/>
    <w:pitch w:val="default"/>
    <w:sig w:usb0="00000003" w:usb1="00000000" w:usb2="00000000" w:usb3="00000000" w:csb0="00000001" w:csb1="00000000"/>
  </w:font>
  <w:font w:name="SizedSym151">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F14" w:rsidRDefault="00F54F14">
    <w:pPr>
      <w:pStyle w:val="Footer"/>
      <w:jc w:val="right"/>
    </w:pPr>
  </w:p>
  <w:p w:rsidR="00F54F14" w:rsidRDefault="00F54F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F14" w:rsidRDefault="00F54F14">
    <w:pPr>
      <w:pStyle w:val="Footer"/>
      <w:jc w:val="right"/>
    </w:pPr>
  </w:p>
  <w:p w:rsidR="00F54F14" w:rsidRDefault="00F54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3F4" w:rsidRDefault="005B53F4" w:rsidP="007001EB">
      <w:r>
        <w:separator/>
      </w:r>
    </w:p>
  </w:footnote>
  <w:footnote w:type="continuationSeparator" w:id="0">
    <w:p w:rsidR="005B53F4" w:rsidRDefault="005B53F4" w:rsidP="00700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F14" w:rsidRDefault="005B53F4">
    <w:pPr>
      <w:pStyle w:val="Header"/>
      <w:jc w:val="right"/>
    </w:pPr>
    <w:r>
      <w:fldChar w:fldCharType="begin"/>
    </w:r>
    <w:r>
      <w:instrText xml:space="preserve"> PAGE   \* MERGEFORMAT </w:instrText>
    </w:r>
    <w:r>
      <w:fldChar w:fldCharType="separate"/>
    </w:r>
    <w:r w:rsidR="00745DF7">
      <w:rPr>
        <w:noProof/>
      </w:rPr>
      <w:t>1</w:t>
    </w:r>
    <w:r>
      <w:rPr>
        <w:noProof/>
      </w:rPr>
      <w:fldChar w:fldCharType="end"/>
    </w:r>
  </w:p>
  <w:p w:rsidR="00F54F14" w:rsidRDefault="00F54F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F14" w:rsidRDefault="005B53F4">
    <w:pPr>
      <w:pStyle w:val="Header"/>
      <w:jc w:val="right"/>
    </w:pPr>
    <w:r>
      <w:fldChar w:fldCharType="begin"/>
    </w:r>
    <w:r>
      <w:instrText xml:space="preserve"> PAGE   \* MERGEFORMAT </w:instrText>
    </w:r>
    <w:r>
      <w:fldChar w:fldCharType="separate"/>
    </w:r>
    <w:r w:rsidR="00825176">
      <w:rPr>
        <w:noProof/>
      </w:rPr>
      <w:t>50</w:t>
    </w:r>
    <w:r>
      <w:rPr>
        <w:noProof/>
      </w:rPr>
      <w:fldChar w:fldCharType="end"/>
    </w:r>
  </w:p>
  <w:p w:rsidR="00F54F14" w:rsidRDefault="00F54F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7360E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D55B6"/>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02774A48"/>
    <w:multiLevelType w:val="hybridMultilevel"/>
    <w:tmpl w:val="1AFEEA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BC070B4"/>
    <w:multiLevelType w:val="hybridMultilevel"/>
    <w:tmpl w:val="C51E84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200759"/>
    <w:multiLevelType w:val="hybridMultilevel"/>
    <w:tmpl w:val="4F12F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267D87"/>
    <w:multiLevelType w:val="multilevel"/>
    <w:tmpl w:val="D5D0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B3418A"/>
    <w:multiLevelType w:val="hybridMultilevel"/>
    <w:tmpl w:val="1E841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E43BA8"/>
    <w:multiLevelType w:val="hybridMultilevel"/>
    <w:tmpl w:val="340ADC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176E5E"/>
    <w:multiLevelType w:val="hybridMultilevel"/>
    <w:tmpl w:val="CEC8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76321A"/>
    <w:multiLevelType w:val="multilevel"/>
    <w:tmpl w:val="77022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347BDF"/>
    <w:multiLevelType w:val="hybridMultilevel"/>
    <w:tmpl w:val="BDE48D6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B440047"/>
    <w:multiLevelType w:val="hybridMultilevel"/>
    <w:tmpl w:val="9E803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DB74E00"/>
    <w:multiLevelType w:val="hybridMultilevel"/>
    <w:tmpl w:val="3E466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3EA225A"/>
    <w:multiLevelType w:val="singleLevel"/>
    <w:tmpl w:val="01D470DA"/>
    <w:lvl w:ilvl="0">
      <w:start w:val="1"/>
      <w:numFmt w:val="bullet"/>
      <w:lvlText w:val=""/>
      <w:lvlJc w:val="left"/>
      <w:pPr>
        <w:tabs>
          <w:tab w:val="num" w:pos="936"/>
        </w:tabs>
        <w:ind w:left="360" w:firstLine="216"/>
      </w:pPr>
      <w:rPr>
        <w:rFonts w:ascii="Symbol" w:hAnsi="Symbol" w:hint="default"/>
      </w:rPr>
    </w:lvl>
  </w:abstractNum>
  <w:num w:numId="1">
    <w:abstractNumId w:val="13"/>
  </w:num>
  <w:num w:numId="2">
    <w:abstractNumId w:val="8"/>
  </w:num>
  <w:num w:numId="3">
    <w:abstractNumId w:val="4"/>
  </w:num>
  <w:num w:numId="4">
    <w:abstractNumId w:val="6"/>
  </w:num>
  <w:num w:numId="5">
    <w:abstractNumId w:val="2"/>
  </w:num>
  <w:num w:numId="6">
    <w:abstractNumId w:val="7"/>
  </w:num>
  <w:num w:numId="7">
    <w:abstractNumId w:val="11"/>
  </w:num>
  <w:num w:numId="8">
    <w:abstractNumId w:val="3"/>
  </w:num>
  <w:num w:numId="9">
    <w:abstractNumId w:val="1"/>
  </w:num>
  <w:num w:numId="10">
    <w:abstractNumId w:val="10"/>
  </w:num>
  <w:num w:numId="11">
    <w:abstractNumId w:val="0"/>
  </w:num>
  <w:num w:numId="12">
    <w:abstractNumId w:val="12"/>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683"/>
    <w:rsid w:val="000007F4"/>
    <w:rsid w:val="00000E75"/>
    <w:rsid w:val="000011E7"/>
    <w:rsid w:val="000012F3"/>
    <w:rsid w:val="00001491"/>
    <w:rsid w:val="000014B3"/>
    <w:rsid w:val="000014DC"/>
    <w:rsid w:val="000018F4"/>
    <w:rsid w:val="0000233E"/>
    <w:rsid w:val="000024AD"/>
    <w:rsid w:val="000025AE"/>
    <w:rsid w:val="000027CF"/>
    <w:rsid w:val="00002868"/>
    <w:rsid w:val="00002942"/>
    <w:rsid w:val="00002E64"/>
    <w:rsid w:val="00002F65"/>
    <w:rsid w:val="00003150"/>
    <w:rsid w:val="000038B1"/>
    <w:rsid w:val="000041EF"/>
    <w:rsid w:val="00004623"/>
    <w:rsid w:val="00004B4A"/>
    <w:rsid w:val="00004E4A"/>
    <w:rsid w:val="00005019"/>
    <w:rsid w:val="00005BB2"/>
    <w:rsid w:val="00006C4A"/>
    <w:rsid w:val="00006C61"/>
    <w:rsid w:val="000071FC"/>
    <w:rsid w:val="000074C7"/>
    <w:rsid w:val="00007BE7"/>
    <w:rsid w:val="00007BF6"/>
    <w:rsid w:val="00010263"/>
    <w:rsid w:val="00011091"/>
    <w:rsid w:val="000112EF"/>
    <w:rsid w:val="00011EFB"/>
    <w:rsid w:val="00012120"/>
    <w:rsid w:val="000121F0"/>
    <w:rsid w:val="00012493"/>
    <w:rsid w:val="000124F5"/>
    <w:rsid w:val="000125D9"/>
    <w:rsid w:val="00012B01"/>
    <w:rsid w:val="000131A4"/>
    <w:rsid w:val="0001363A"/>
    <w:rsid w:val="000138F1"/>
    <w:rsid w:val="00014490"/>
    <w:rsid w:val="00014681"/>
    <w:rsid w:val="00015945"/>
    <w:rsid w:val="00015E92"/>
    <w:rsid w:val="000160A3"/>
    <w:rsid w:val="00016E19"/>
    <w:rsid w:val="00017D2A"/>
    <w:rsid w:val="0002071F"/>
    <w:rsid w:val="0002079E"/>
    <w:rsid w:val="00020959"/>
    <w:rsid w:val="00020ECC"/>
    <w:rsid w:val="00021000"/>
    <w:rsid w:val="000217C9"/>
    <w:rsid w:val="00021C23"/>
    <w:rsid w:val="00021D1A"/>
    <w:rsid w:val="00022B77"/>
    <w:rsid w:val="000235AB"/>
    <w:rsid w:val="000235F7"/>
    <w:rsid w:val="000236D2"/>
    <w:rsid w:val="00023C66"/>
    <w:rsid w:val="00023F67"/>
    <w:rsid w:val="00024A6B"/>
    <w:rsid w:val="00024BF5"/>
    <w:rsid w:val="00024C3A"/>
    <w:rsid w:val="00024F54"/>
    <w:rsid w:val="00024FB5"/>
    <w:rsid w:val="0002556A"/>
    <w:rsid w:val="00025891"/>
    <w:rsid w:val="00025991"/>
    <w:rsid w:val="00025EEA"/>
    <w:rsid w:val="0002657D"/>
    <w:rsid w:val="000266E5"/>
    <w:rsid w:val="000267D6"/>
    <w:rsid w:val="00026981"/>
    <w:rsid w:val="000272E0"/>
    <w:rsid w:val="00027622"/>
    <w:rsid w:val="0003006A"/>
    <w:rsid w:val="00030E55"/>
    <w:rsid w:val="00030EA7"/>
    <w:rsid w:val="000311B0"/>
    <w:rsid w:val="000317F9"/>
    <w:rsid w:val="00031C71"/>
    <w:rsid w:val="00032394"/>
    <w:rsid w:val="0003328E"/>
    <w:rsid w:val="000339EE"/>
    <w:rsid w:val="00033B28"/>
    <w:rsid w:val="00033D42"/>
    <w:rsid w:val="00034454"/>
    <w:rsid w:val="000344F5"/>
    <w:rsid w:val="00034586"/>
    <w:rsid w:val="00034A8C"/>
    <w:rsid w:val="000359F3"/>
    <w:rsid w:val="00036509"/>
    <w:rsid w:val="00036643"/>
    <w:rsid w:val="00036903"/>
    <w:rsid w:val="00036C13"/>
    <w:rsid w:val="000373BA"/>
    <w:rsid w:val="000402E7"/>
    <w:rsid w:val="000403BF"/>
    <w:rsid w:val="000406CD"/>
    <w:rsid w:val="000407FE"/>
    <w:rsid w:val="00040FE4"/>
    <w:rsid w:val="00041185"/>
    <w:rsid w:val="0004136C"/>
    <w:rsid w:val="00041BE7"/>
    <w:rsid w:val="00042195"/>
    <w:rsid w:val="000425B0"/>
    <w:rsid w:val="0004280B"/>
    <w:rsid w:val="00042C70"/>
    <w:rsid w:val="0004330F"/>
    <w:rsid w:val="00043B97"/>
    <w:rsid w:val="000443FC"/>
    <w:rsid w:val="0004455E"/>
    <w:rsid w:val="00044926"/>
    <w:rsid w:val="00044FCD"/>
    <w:rsid w:val="000458B4"/>
    <w:rsid w:val="000459BC"/>
    <w:rsid w:val="00045C19"/>
    <w:rsid w:val="00046516"/>
    <w:rsid w:val="00046D4A"/>
    <w:rsid w:val="00047098"/>
    <w:rsid w:val="00047405"/>
    <w:rsid w:val="00047DBC"/>
    <w:rsid w:val="0005039F"/>
    <w:rsid w:val="000507A1"/>
    <w:rsid w:val="00050FBD"/>
    <w:rsid w:val="00051458"/>
    <w:rsid w:val="00052592"/>
    <w:rsid w:val="00052D2D"/>
    <w:rsid w:val="00052D70"/>
    <w:rsid w:val="00052E62"/>
    <w:rsid w:val="0005325F"/>
    <w:rsid w:val="0005339C"/>
    <w:rsid w:val="00054116"/>
    <w:rsid w:val="00054314"/>
    <w:rsid w:val="00055BDF"/>
    <w:rsid w:val="00055C56"/>
    <w:rsid w:val="00055D8F"/>
    <w:rsid w:val="00055F18"/>
    <w:rsid w:val="00056786"/>
    <w:rsid w:val="0005678D"/>
    <w:rsid w:val="000571A4"/>
    <w:rsid w:val="000574F6"/>
    <w:rsid w:val="00057681"/>
    <w:rsid w:val="00057C05"/>
    <w:rsid w:val="00060446"/>
    <w:rsid w:val="000604B9"/>
    <w:rsid w:val="0006050D"/>
    <w:rsid w:val="00060621"/>
    <w:rsid w:val="00060836"/>
    <w:rsid w:val="00060F83"/>
    <w:rsid w:val="0006140E"/>
    <w:rsid w:val="000616CB"/>
    <w:rsid w:val="00061A8A"/>
    <w:rsid w:val="00062599"/>
    <w:rsid w:val="00062C24"/>
    <w:rsid w:val="00062D7E"/>
    <w:rsid w:val="00063169"/>
    <w:rsid w:val="00063712"/>
    <w:rsid w:val="00064CD3"/>
    <w:rsid w:val="00064CFD"/>
    <w:rsid w:val="00065CFA"/>
    <w:rsid w:val="00066308"/>
    <w:rsid w:val="000671EB"/>
    <w:rsid w:val="000672CE"/>
    <w:rsid w:val="00067D3F"/>
    <w:rsid w:val="00067EBC"/>
    <w:rsid w:val="00067F3D"/>
    <w:rsid w:val="00067FF1"/>
    <w:rsid w:val="00070021"/>
    <w:rsid w:val="00070127"/>
    <w:rsid w:val="00070697"/>
    <w:rsid w:val="000708DC"/>
    <w:rsid w:val="00070D5C"/>
    <w:rsid w:val="00072931"/>
    <w:rsid w:val="00073071"/>
    <w:rsid w:val="0007319E"/>
    <w:rsid w:val="00073778"/>
    <w:rsid w:val="00074586"/>
    <w:rsid w:val="0007459F"/>
    <w:rsid w:val="00074E10"/>
    <w:rsid w:val="0007528A"/>
    <w:rsid w:val="000754BB"/>
    <w:rsid w:val="0007579C"/>
    <w:rsid w:val="00075B12"/>
    <w:rsid w:val="00076647"/>
    <w:rsid w:val="00076957"/>
    <w:rsid w:val="0007699B"/>
    <w:rsid w:val="00076DE3"/>
    <w:rsid w:val="0008039A"/>
    <w:rsid w:val="00080569"/>
    <w:rsid w:val="00081753"/>
    <w:rsid w:val="00081ABD"/>
    <w:rsid w:val="00081D21"/>
    <w:rsid w:val="000824C2"/>
    <w:rsid w:val="000825BE"/>
    <w:rsid w:val="00082668"/>
    <w:rsid w:val="00082A7E"/>
    <w:rsid w:val="000832DB"/>
    <w:rsid w:val="0008340B"/>
    <w:rsid w:val="00083779"/>
    <w:rsid w:val="00084024"/>
    <w:rsid w:val="00084065"/>
    <w:rsid w:val="0008432D"/>
    <w:rsid w:val="000845D6"/>
    <w:rsid w:val="0008481B"/>
    <w:rsid w:val="0008488B"/>
    <w:rsid w:val="00084A5A"/>
    <w:rsid w:val="00084ACA"/>
    <w:rsid w:val="00084E60"/>
    <w:rsid w:val="000868D3"/>
    <w:rsid w:val="00086C48"/>
    <w:rsid w:val="00086CDB"/>
    <w:rsid w:val="00086FD9"/>
    <w:rsid w:val="000872FF"/>
    <w:rsid w:val="00087376"/>
    <w:rsid w:val="00087D49"/>
    <w:rsid w:val="000901D6"/>
    <w:rsid w:val="0009044D"/>
    <w:rsid w:val="000904DC"/>
    <w:rsid w:val="000904E6"/>
    <w:rsid w:val="00090C47"/>
    <w:rsid w:val="00091119"/>
    <w:rsid w:val="00091175"/>
    <w:rsid w:val="000918BA"/>
    <w:rsid w:val="000926E7"/>
    <w:rsid w:val="00093317"/>
    <w:rsid w:val="00095ACF"/>
    <w:rsid w:val="00095E0B"/>
    <w:rsid w:val="00095EE5"/>
    <w:rsid w:val="00096B00"/>
    <w:rsid w:val="00096D50"/>
    <w:rsid w:val="000970A2"/>
    <w:rsid w:val="000974FA"/>
    <w:rsid w:val="00097C02"/>
    <w:rsid w:val="000A03BD"/>
    <w:rsid w:val="000A0FA3"/>
    <w:rsid w:val="000A12F7"/>
    <w:rsid w:val="000A145C"/>
    <w:rsid w:val="000A1796"/>
    <w:rsid w:val="000A2AAD"/>
    <w:rsid w:val="000A2CF2"/>
    <w:rsid w:val="000A2F22"/>
    <w:rsid w:val="000A3046"/>
    <w:rsid w:val="000A3800"/>
    <w:rsid w:val="000A3846"/>
    <w:rsid w:val="000A3A9A"/>
    <w:rsid w:val="000A3AE8"/>
    <w:rsid w:val="000A3E13"/>
    <w:rsid w:val="000A3E87"/>
    <w:rsid w:val="000A409C"/>
    <w:rsid w:val="000A4242"/>
    <w:rsid w:val="000A474C"/>
    <w:rsid w:val="000A5B11"/>
    <w:rsid w:val="000A687F"/>
    <w:rsid w:val="000A69C0"/>
    <w:rsid w:val="000A6AD0"/>
    <w:rsid w:val="000A6D39"/>
    <w:rsid w:val="000A6E2F"/>
    <w:rsid w:val="000A7740"/>
    <w:rsid w:val="000A7A18"/>
    <w:rsid w:val="000B0CBD"/>
    <w:rsid w:val="000B187F"/>
    <w:rsid w:val="000B1BCA"/>
    <w:rsid w:val="000B1D41"/>
    <w:rsid w:val="000B2671"/>
    <w:rsid w:val="000B29AC"/>
    <w:rsid w:val="000B30CB"/>
    <w:rsid w:val="000B4102"/>
    <w:rsid w:val="000B4424"/>
    <w:rsid w:val="000B46BC"/>
    <w:rsid w:val="000B4F5A"/>
    <w:rsid w:val="000B52CA"/>
    <w:rsid w:val="000B55F6"/>
    <w:rsid w:val="000B56F3"/>
    <w:rsid w:val="000B5CB9"/>
    <w:rsid w:val="000B607C"/>
    <w:rsid w:val="000B6148"/>
    <w:rsid w:val="000B6225"/>
    <w:rsid w:val="000B672C"/>
    <w:rsid w:val="000B6948"/>
    <w:rsid w:val="000B714F"/>
    <w:rsid w:val="000B7376"/>
    <w:rsid w:val="000B756F"/>
    <w:rsid w:val="000B79FB"/>
    <w:rsid w:val="000C01AE"/>
    <w:rsid w:val="000C07BA"/>
    <w:rsid w:val="000C0F8A"/>
    <w:rsid w:val="000C1E0A"/>
    <w:rsid w:val="000C2106"/>
    <w:rsid w:val="000C213E"/>
    <w:rsid w:val="000C2558"/>
    <w:rsid w:val="000C2737"/>
    <w:rsid w:val="000C2BEE"/>
    <w:rsid w:val="000C381F"/>
    <w:rsid w:val="000C38CC"/>
    <w:rsid w:val="000C3915"/>
    <w:rsid w:val="000C3BDC"/>
    <w:rsid w:val="000C4124"/>
    <w:rsid w:val="000C470D"/>
    <w:rsid w:val="000C472B"/>
    <w:rsid w:val="000C5973"/>
    <w:rsid w:val="000C5D15"/>
    <w:rsid w:val="000C5D29"/>
    <w:rsid w:val="000C60B3"/>
    <w:rsid w:val="000C6E78"/>
    <w:rsid w:val="000C70A1"/>
    <w:rsid w:val="000C736D"/>
    <w:rsid w:val="000C7B15"/>
    <w:rsid w:val="000C7BBF"/>
    <w:rsid w:val="000D056E"/>
    <w:rsid w:val="000D0A71"/>
    <w:rsid w:val="000D0D87"/>
    <w:rsid w:val="000D1DEC"/>
    <w:rsid w:val="000D2AEB"/>
    <w:rsid w:val="000D37DC"/>
    <w:rsid w:val="000D3DF8"/>
    <w:rsid w:val="000D4BD1"/>
    <w:rsid w:val="000D4D38"/>
    <w:rsid w:val="000D4E39"/>
    <w:rsid w:val="000D4F99"/>
    <w:rsid w:val="000D5068"/>
    <w:rsid w:val="000D50EF"/>
    <w:rsid w:val="000D53D7"/>
    <w:rsid w:val="000D58A6"/>
    <w:rsid w:val="000D5D5F"/>
    <w:rsid w:val="000D5F11"/>
    <w:rsid w:val="000D6452"/>
    <w:rsid w:val="000D6734"/>
    <w:rsid w:val="000D719D"/>
    <w:rsid w:val="000D736F"/>
    <w:rsid w:val="000E0444"/>
    <w:rsid w:val="000E09D1"/>
    <w:rsid w:val="000E19C0"/>
    <w:rsid w:val="000E1D3A"/>
    <w:rsid w:val="000E1E2C"/>
    <w:rsid w:val="000E21E4"/>
    <w:rsid w:val="000E2566"/>
    <w:rsid w:val="000E25F7"/>
    <w:rsid w:val="000E3C38"/>
    <w:rsid w:val="000E4417"/>
    <w:rsid w:val="000E4ADB"/>
    <w:rsid w:val="000E5701"/>
    <w:rsid w:val="000E58D9"/>
    <w:rsid w:val="000E58E4"/>
    <w:rsid w:val="000E590D"/>
    <w:rsid w:val="000E5916"/>
    <w:rsid w:val="000E5C14"/>
    <w:rsid w:val="000E5CF6"/>
    <w:rsid w:val="000E667F"/>
    <w:rsid w:val="000E6ED3"/>
    <w:rsid w:val="000E78D5"/>
    <w:rsid w:val="000F0352"/>
    <w:rsid w:val="000F05BE"/>
    <w:rsid w:val="000F1590"/>
    <w:rsid w:val="000F1BF5"/>
    <w:rsid w:val="000F226E"/>
    <w:rsid w:val="000F27C0"/>
    <w:rsid w:val="000F2CAB"/>
    <w:rsid w:val="000F4181"/>
    <w:rsid w:val="000F4997"/>
    <w:rsid w:val="000F4A19"/>
    <w:rsid w:val="000F4E64"/>
    <w:rsid w:val="000F54BA"/>
    <w:rsid w:val="000F677C"/>
    <w:rsid w:val="000F67DC"/>
    <w:rsid w:val="000F6D10"/>
    <w:rsid w:val="000F7EA6"/>
    <w:rsid w:val="0010059E"/>
    <w:rsid w:val="0010218F"/>
    <w:rsid w:val="00102276"/>
    <w:rsid w:val="00102548"/>
    <w:rsid w:val="00102692"/>
    <w:rsid w:val="00102BA3"/>
    <w:rsid w:val="00102D64"/>
    <w:rsid w:val="0010377D"/>
    <w:rsid w:val="001040CE"/>
    <w:rsid w:val="001041CD"/>
    <w:rsid w:val="00104343"/>
    <w:rsid w:val="0010445F"/>
    <w:rsid w:val="00104C51"/>
    <w:rsid w:val="00104CEE"/>
    <w:rsid w:val="00104F95"/>
    <w:rsid w:val="001058F3"/>
    <w:rsid w:val="00105A54"/>
    <w:rsid w:val="00105E0B"/>
    <w:rsid w:val="00106268"/>
    <w:rsid w:val="00106278"/>
    <w:rsid w:val="00106F46"/>
    <w:rsid w:val="001071A8"/>
    <w:rsid w:val="00110901"/>
    <w:rsid w:val="00110A67"/>
    <w:rsid w:val="00110BB5"/>
    <w:rsid w:val="00110F85"/>
    <w:rsid w:val="0011215D"/>
    <w:rsid w:val="001145A4"/>
    <w:rsid w:val="00114625"/>
    <w:rsid w:val="001148C6"/>
    <w:rsid w:val="00114E3B"/>
    <w:rsid w:val="001154A5"/>
    <w:rsid w:val="001155DF"/>
    <w:rsid w:val="0011568A"/>
    <w:rsid w:val="001158E7"/>
    <w:rsid w:val="0011677B"/>
    <w:rsid w:val="00116A81"/>
    <w:rsid w:val="001172EC"/>
    <w:rsid w:val="00117664"/>
    <w:rsid w:val="00120770"/>
    <w:rsid w:val="00120B95"/>
    <w:rsid w:val="00120E95"/>
    <w:rsid w:val="0012174D"/>
    <w:rsid w:val="00121F19"/>
    <w:rsid w:val="00122D2C"/>
    <w:rsid w:val="0012301F"/>
    <w:rsid w:val="001233C7"/>
    <w:rsid w:val="00123A0B"/>
    <w:rsid w:val="001247D2"/>
    <w:rsid w:val="00124882"/>
    <w:rsid w:val="001249C5"/>
    <w:rsid w:val="0012524B"/>
    <w:rsid w:val="0012589D"/>
    <w:rsid w:val="001259E9"/>
    <w:rsid w:val="00125A16"/>
    <w:rsid w:val="00126012"/>
    <w:rsid w:val="001260E5"/>
    <w:rsid w:val="0012714F"/>
    <w:rsid w:val="001275FB"/>
    <w:rsid w:val="00127EE8"/>
    <w:rsid w:val="001302A6"/>
    <w:rsid w:val="00130732"/>
    <w:rsid w:val="00131346"/>
    <w:rsid w:val="00131422"/>
    <w:rsid w:val="00131428"/>
    <w:rsid w:val="00131547"/>
    <w:rsid w:val="00131641"/>
    <w:rsid w:val="0013187F"/>
    <w:rsid w:val="0013198D"/>
    <w:rsid w:val="00132807"/>
    <w:rsid w:val="0013308D"/>
    <w:rsid w:val="0013311B"/>
    <w:rsid w:val="001331DC"/>
    <w:rsid w:val="00133604"/>
    <w:rsid w:val="00133B6B"/>
    <w:rsid w:val="00133C63"/>
    <w:rsid w:val="0013424C"/>
    <w:rsid w:val="001348BC"/>
    <w:rsid w:val="00134EDC"/>
    <w:rsid w:val="0013521B"/>
    <w:rsid w:val="0013546A"/>
    <w:rsid w:val="00135790"/>
    <w:rsid w:val="001359C5"/>
    <w:rsid w:val="00135A7D"/>
    <w:rsid w:val="00135E3A"/>
    <w:rsid w:val="00136B62"/>
    <w:rsid w:val="00136CFF"/>
    <w:rsid w:val="00136D90"/>
    <w:rsid w:val="0013712B"/>
    <w:rsid w:val="00137215"/>
    <w:rsid w:val="00137489"/>
    <w:rsid w:val="00137E1C"/>
    <w:rsid w:val="00137ECB"/>
    <w:rsid w:val="00140165"/>
    <w:rsid w:val="00140A6D"/>
    <w:rsid w:val="0014147F"/>
    <w:rsid w:val="00141BA3"/>
    <w:rsid w:val="00141BCD"/>
    <w:rsid w:val="00141FAB"/>
    <w:rsid w:val="001420CF"/>
    <w:rsid w:val="00142263"/>
    <w:rsid w:val="00142D89"/>
    <w:rsid w:val="001434CE"/>
    <w:rsid w:val="00143657"/>
    <w:rsid w:val="0014411D"/>
    <w:rsid w:val="0014463C"/>
    <w:rsid w:val="001447BB"/>
    <w:rsid w:val="00144B5E"/>
    <w:rsid w:val="00145187"/>
    <w:rsid w:val="00145281"/>
    <w:rsid w:val="00145C1A"/>
    <w:rsid w:val="00146A6E"/>
    <w:rsid w:val="00146FB3"/>
    <w:rsid w:val="0014759C"/>
    <w:rsid w:val="00147CE2"/>
    <w:rsid w:val="001503D8"/>
    <w:rsid w:val="00150711"/>
    <w:rsid w:val="00150826"/>
    <w:rsid w:val="00150F28"/>
    <w:rsid w:val="00151053"/>
    <w:rsid w:val="00151218"/>
    <w:rsid w:val="00151BFD"/>
    <w:rsid w:val="001520C2"/>
    <w:rsid w:val="00152111"/>
    <w:rsid w:val="001525BD"/>
    <w:rsid w:val="00152AE2"/>
    <w:rsid w:val="00152B43"/>
    <w:rsid w:val="00152BBF"/>
    <w:rsid w:val="00152E69"/>
    <w:rsid w:val="00153187"/>
    <w:rsid w:val="0015393F"/>
    <w:rsid w:val="00153BF4"/>
    <w:rsid w:val="00154054"/>
    <w:rsid w:val="00154692"/>
    <w:rsid w:val="001552F2"/>
    <w:rsid w:val="001555D2"/>
    <w:rsid w:val="00155EAC"/>
    <w:rsid w:val="00156081"/>
    <w:rsid w:val="00156997"/>
    <w:rsid w:val="001575A8"/>
    <w:rsid w:val="00157806"/>
    <w:rsid w:val="00160013"/>
    <w:rsid w:val="00160307"/>
    <w:rsid w:val="0016046D"/>
    <w:rsid w:val="0016088D"/>
    <w:rsid w:val="0016132A"/>
    <w:rsid w:val="00161B8B"/>
    <w:rsid w:val="00161B91"/>
    <w:rsid w:val="00161C5E"/>
    <w:rsid w:val="00162561"/>
    <w:rsid w:val="00162D06"/>
    <w:rsid w:val="00163378"/>
    <w:rsid w:val="00163874"/>
    <w:rsid w:val="0016427E"/>
    <w:rsid w:val="00164324"/>
    <w:rsid w:val="00164378"/>
    <w:rsid w:val="00164468"/>
    <w:rsid w:val="00164623"/>
    <w:rsid w:val="00164ACA"/>
    <w:rsid w:val="00164B5C"/>
    <w:rsid w:val="00165D6B"/>
    <w:rsid w:val="001665F4"/>
    <w:rsid w:val="00166902"/>
    <w:rsid w:val="00166D8B"/>
    <w:rsid w:val="00166F6D"/>
    <w:rsid w:val="00167281"/>
    <w:rsid w:val="001674A8"/>
    <w:rsid w:val="001704FF"/>
    <w:rsid w:val="0017050F"/>
    <w:rsid w:val="00171147"/>
    <w:rsid w:val="00172D2E"/>
    <w:rsid w:val="00172EB5"/>
    <w:rsid w:val="0017360A"/>
    <w:rsid w:val="00173CED"/>
    <w:rsid w:val="00174211"/>
    <w:rsid w:val="00174240"/>
    <w:rsid w:val="0017440D"/>
    <w:rsid w:val="00174AC9"/>
    <w:rsid w:val="00174E55"/>
    <w:rsid w:val="001750FE"/>
    <w:rsid w:val="00175F79"/>
    <w:rsid w:val="0017610C"/>
    <w:rsid w:val="00176343"/>
    <w:rsid w:val="001763B3"/>
    <w:rsid w:val="00176D2A"/>
    <w:rsid w:val="00176D3A"/>
    <w:rsid w:val="001770AF"/>
    <w:rsid w:val="00177187"/>
    <w:rsid w:val="00177674"/>
    <w:rsid w:val="00177DA1"/>
    <w:rsid w:val="00177E23"/>
    <w:rsid w:val="00180061"/>
    <w:rsid w:val="0018070E"/>
    <w:rsid w:val="00180FCD"/>
    <w:rsid w:val="00181156"/>
    <w:rsid w:val="00181318"/>
    <w:rsid w:val="00181428"/>
    <w:rsid w:val="00181436"/>
    <w:rsid w:val="001822C4"/>
    <w:rsid w:val="00182773"/>
    <w:rsid w:val="00182AA9"/>
    <w:rsid w:val="00182E27"/>
    <w:rsid w:val="00183677"/>
    <w:rsid w:val="00184502"/>
    <w:rsid w:val="00184818"/>
    <w:rsid w:val="00184C78"/>
    <w:rsid w:val="00185091"/>
    <w:rsid w:val="001856B2"/>
    <w:rsid w:val="0018584B"/>
    <w:rsid w:val="001858D1"/>
    <w:rsid w:val="00185946"/>
    <w:rsid w:val="00185B5E"/>
    <w:rsid w:val="00185F2C"/>
    <w:rsid w:val="001863E5"/>
    <w:rsid w:val="001867B9"/>
    <w:rsid w:val="001869B0"/>
    <w:rsid w:val="00186DAA"/>
    <w:rsid w:val="001872AF"/>
    <w:rsid w:val="00187827"/>
    <w:rsid w:val="00187D9F"/>
    <w:rsid w:val="00187E67"/>
    <w:rsid w:val="00187F9F"/>
    <w:rsid w:val="00190267"/>
    <w:rsid w:val="00190387"/>
    <w:rsid w:val="0019040D"/>
    <w:rsid w:val="00190446"/>
    <w:rsid w:val="001904A3"/>
    <w:rsid w:val="001904FC"/>
    <w:rsid w:val="00190E76"/>
    <w:rsid w:val="0019152C"/>
    <w:rsid w:val="00191845"/>
    <w:rsid w:val="00191C32"/>
    <w:rsid w:val="00192093"/>
    <w:rsid w:val="00192096"/>
    <w:rsid w:val="001921FC"/>
    <w:rsid w:val="0019274B"/>
    <w:rsid w:val="00192D9A"/>
    <w:rsid w:val="00192E4D"/>
    <w:rsid w:val="00193139"/>
    <w:rsid w:val="00193735"/>
    <w:rsid w:val="00194DB6"/>
    <w:rsid w:val="00195170"/>
    <w:rsid w:val="001952BC"/>
    <w:rsid w:val="0019631F"/>
    <w:rsid w:val="00196484"/>
    <w:rsid w:val="001965BD"/>
    <w:rsid w:val="00196A22"/>
    <w:rsid w:val="00196C87"/>
    <w:rsid w:val="001975DE"/>
    <w:rsid w:val="001A0238"/>
    <w:rsid w:val="001A07B8"/>
    <w:rsid w:val="001A091C"/>
    <w:rsid w:val="001A0A71"/>
    <w:rsid w:val="001A0EBA"/>
    <w:rsid w:val="001A10AE"/>
    <w:rsid w:val="001A18F4"/>
    <w:rsid w:val="001A1C6F"/>
    <w:rsid w:val="001A1CF0"/>
    <w:rsid w:val="001A300D"/>
    <w:rsid w:val="001A3393"/>
    <w:rsid w:val="001A33FA"/>
    <w:rsid w:val="001A48C5"/>
    <w:rsid w:val="001A4AD2"/>
    <w:rsid w:val="001A5162"/>
    <w:rsid w:val="001A53A5"/>
    <w:rsid w:val="001A5521"/>
    <w:rsid w:val="001A592D"/>
    <w:rsid w:val="001A5E50"/>
    <w:rsid w:val="001A62FA"/>
    <w:rsid w:val="001A68FA"/>
    <w:rsid w:val="001A7132"/>
    <w:rsid w:val="001A79BB"/>
    <w:rsid w:val="001B00A4"/>
    <w:rsid w:val="001B045F"/>
    <w:rsid w:val="001B0922"/>
    <w:rsid w:val="001B0FEA"/>
    <w:rsid w:val="001B134E"/>
    <w:rsid w:val="001B15B3"/>
    <w:rsid w:val="001B1BA8"/>
    <w:rsid w:val="001B1F82"/>
    <w:rsid w:val="001B2CB8"/>
    <w:rsid w:val="001B3927"/>
    <w:rsid w:val="001B633D"/>
    <w:rsid w:val="001B6937"/>
    <w:rsid w:val="001B6A84"/>
    <w:rsid w:val="001B6F40"/>
    <w:rsid w:val="001B73E7"/>
    <w:rsid w:val="001B749C"/>
    <w:rsid w:val="001B74DD"/>
    <w:rsid w:val="001B753B"/>
    <w:rsid w:val="001B75D1"/>
    <w:rsid w:val="001B7DA6"/>
    <w:rsid w:val="001B7DE0"/>
    <w:rsid w:val="001C02F3"/>
    <w:rsid w:val="001C09A0"/>
    <w:rsid w:val="001C0C5E"/>
    <w:rsid w:val="001C18C4"/>
    <w:rsid w:val="001C1BE7"/>
    <w:rsid w:val="001C1BF2"/>
    <w:rsid w:val="001C1F22"/>
    <w:rsid w:val="001C2385"/>
    <w:rsid w:val="001C27CB"/>
    <w:rsid w:val="001C28BA"/>
    <w:rsid w:val="001C2DC7"/>
    <w:rsid w:val="001C33FD"/>
    <w:rsid w:val="001C3708"/>
    <w:rsid w:val="001C3BE2"/>
    <w:rsid w:val="001C3C35"/>
    <w:rsid w:val="001C46EA"/>
    <w:rsid w:val="001C48FF"/>
    <w:rsid w:val="001C4C7F"/>
    <w:rsid w:val="001C4D18"/>
    <w:rsid w:val="001C5554"/>
    <w:rsid w:val="001C5BE4"/>
    <w:rsid w:val="001C62E1"/>
    <w:rsid w:val="001C6422"/>
    <w:rsid w:val="001C6F91"/>
    <w:rsid w:val="001C7361"/>
    <w:rsid w:val="001C789B"/>
    <w:rsid w:val="001C7A51"/>
    <w:rsid w:val="001D0091"/>
    <w:rsid w:val="001D00E0"/>
    <w:rsid w:val="001D0CD9"/>
    <w:rsid w:val="001D1B55"/>
    <w:rsid w:val="001D21C5"/>
    <w:rsid w:val="001D24B9"/>
    <w:rsid w:val="001D2933"/>
    <w:rsid w:val="001D3314"/>
    <w:rsid w:val="001D3A2D"/>
    <w:rsid w:val="001D3FC0"/>
    <w:rsid w:val="001D4CED"/>
    <w:rsid w:val="001D5C77"/>
    <w:rsid w:val="001D630A"/>
    <w:rsid w:val="001D6DAC"/>
    <w:rsid w:val="001D6F58"/>
    <w:rsid w:val="001D762C"/>
    <w:rsid w:val="001E04AB"/>
    <w:rsid w:val="001E0758"/>
    <w:rsid w:val="001E0F27"/>
    <w:rsid w:val="001E15A5"/>
    <w:rsid w:val="001E19BD"/>
    <w:rsid w:val="001E2A5D"/>
    <w:rsid w:val="001E2FB9"/>
    <w:rsid w:val="001E47D4"/>
    <w:rsid w:val="001E4B37"/>
    <w:rsid w:val="001E5453"/>
    <w:rsid w:val="001E5859"/>
    <w:rsid w:val="001E635A"/>
    <w:rsid w:val="001E6434"/>
    <w:rsid w:val="001E6A33"/>
    <w:rsid w:val="001E71AC"/>
    <w:rsid w:val="001E78DE"/>
    <w:rsid w:val="001E78E2"/>
    <w:rsid w:val="001E7B0E"/>
    <w:rsid w:val="001F06C0"/>
    <w:rsid w:val="001F0965"/>
    <w:rsid w:val="001F0A74"/>
    <w:rsid w:val="001F0A97"/>
    <w:rsid w:val="001F0C8D"/>
    <w:rsid w:val="001F0E5C"/>
    <w:rsid w:val="001F0EC6"/>
    <w:rsid w:val="001F1EDE"/>
    <w:rsid w:val="001F2AD7"/>
    <w:rsid w:val="001F2B26"/>
    <w:rsid w:val="001F33A8"/>
    <w:rsid w:val="001F34DC"/>
    <w:rsid w:val="001F4CB9"/>
    <w:rsid w:val="001F539D"/>
    <w:rsid w:val="001F57CB"/>
    <w:rsid w:val="001F5BF3"/>
    <w:rsid w:val="001F6387"/>
    <w:rsid w:val="001F6A85"/>
    <w:rsid w:val="001F6C21"/>
    <w:rsid w:val="001F6C37"/>
    <w:rsid w:val="001F7453"/>
    <w:rsid w:val="00200AD0"/>
    <w:rsid w:val="00200C88"/>
    <w:rsid w:val="0020134F"/>
    <w:rsid w:val="002021CC"/>
    <w:rsid w:val="002023F2"/>
    <w:rsid w:val="00202888"/>
    <w:rsid w:val="00202CE9"/>
    <w:rsid w:val="00202E1E"/>
    <w:rsid w:val="00202EDF"/>
    <w:rsid w:val="002038C5"/>
    <w:rsid w:val="00203CEA"/>
    <w:rsid w:val="00203DD4"/>
    <w:rsid w:val="00203F41"/>
    <w:rsid w:val="0020486A"/>
    <w:rsid w:val="00204B71"/>
    <w:rsid w:val="002050AE"/>
    <w:rsid w:val="002055FC"/>
    <w:rsid w:val="002056EF"/>
    <w:rsid w:val="00205B86"/>
    <w:rsid w:val="00205C93"/>
    <w:rsid w:val="0020601B"/>
    <w:rsid w:val="002060E4"/>
    <w:rsid w:val="0020626F"/>
    <w:rsid w:val="002066CD"/>
    <w:rsid w:val="002076BF"/>
    <w:rsid w:val="00207FA7"/>
    <w:rsid w:val="0021202B"/>
    <w:rsid w:val="00212E15"/>
    <w:rsid w:val="00213807"/>
    <w:rsid w:val="00213BDA"/>
    <w:rsid w:val="00213E9F"/>
    <w:rsid w:val="002142FF"/>
    <w:rsid w:val="002149D4"/>
    <w:rsid w:val="002158AF"/>
    <w:rsid w:val="00215913"/>
    <w:rsid w:val="00215D35"/>
    <w:rsid w:val="00215E56"/>
    <w:rsid w:val="00215F77"/>
    <w:rsid w:val="002166F4"/>
    <w:rsid w:val="0021699E"/>
    <w:rsid w:val="00216AB7"/>
    <w:rsid w:val="00216C62"/>
    <w:rsid w:val="00216D05"/>
    <w:rsid w:val="00217767"/>
    <w:rsid w:val="002179F6"/>
    <w:rsid w:val="00217AB4"/>
    <w:rsid w:val="00217DCF"/>
    <w:rsid w:val="00217EC0"/>
    <w:rsid w:val="00220A8B"/>
    <w:rsid w:val="00221086"/>
    <w:rsid w:val="00221091"/>
    <w:rsid w:val="002218B0"/>
    <w:rsid w:val="00221F9B"/>
    <w:rsid w:val="00221FAB"/>
    <w:rsid w:val="0022207F"/>
    <w:rsid w:val="0022231A"/>
    <w:rsid w:val="00222625"/>
    <w:rsid w:val="00222B71"/>
    <w:rsid w:val="00222BE5"/>
    <w:rsid w:val="00222D55"/>
    <w:rsid w:val="0022317E"/>
    <w:rsid w:val="00223500"/>
    <w:rsid w:val="00223DDA"/>
    <w:rsid w:val="00224241"/>
    <w:rsid w:val="0022526E"/>
    <w:rsid w:val="002266FD"/>
    <w:rsid w:val="002267B2"/>
    <w:rsid w:val="002269CA"/>
    <w:rsid w:val="002269D5"/>
    <w:rsid w:val="00226A8D"/>
    <w:rsid w:val="00226B1F"/>
    <w:rsid w:val="00226CEC"/>
    <w:rsid w:val="00227468"/>
    <w:rsid w:val="0022750E"/>
    <w:rsid w:val="00227925"/>
    <w:rsid w:val="00227D5B"/>
    <w:rsid w:val="00227E66"/>
    <w:rsid w:val="00230001"/>
    <w:rsid w:val="00230D34"/>
    <w:rsid w:val="00230E88"/>
    <w:rsid w:val="00233175"/>
    <w:rsid w:val="00233D99"/>
    <w:rsid w:val="00233FE0"/>
    <w:rsid w:val="0023499A"/>
    <w:rsid w:val="00234B2D"/>
    <w:rsid w:val="00234C95"/>
    <w:rsid w:val="00234F29"/>
    <w:rsid w:val="00236177"/>
    <w:rsid w:val="002364D6"/>
    <w:rsid w:val="00237637"/>
    <w:rsid w:val="00237BDC"/>
    <w:rsid w:val="00240171"/>
    <w:rsid w:val="00240463"/>
    <w:rsid w:val="0024072C"/>
    <w:rsid w:val="00240924"/>
    <w:rsid w:val="00241049"/>
    <w:rsid w:val="00241292"/>
    <w:rsid w:val="00241B18"/>
    <w:rsid w:val="00241E23"/>
    <w:rsid w:val="00242195"/>
    <w:rsid w:val="00242E08"/>
    <w:rsid w:val="00242FE5"/>
    <w:rsid w:val="002437BD"/>
    <w:rsid w:val="00243C4D"/>
    <w:rsid w:val="00243C7B"/>
    <w:rsid w:val="00244244"/>
    <w:rsid w:val="00244F01"/>
    <w:rsid w:val="002450F4"/>
    <w:rsid w:val="00245830"/>
    <w:rsid w:val="00245D50"/>
    <w:rsid w:val="00246125"/>
    <w:rsid w:val="0024629B"/>
    <w:rsid w:val="002462F1"/>
    <w:rsid w:val="00246C17"/>
    <w:rsid w:val="002473C5"/>
    <w:rsid w:val="0024742A"/>
    <w:rsid w:val="00247850"/>
    <w:rsid w:val="0025001E"/>
    <w:rsid w:val="00250BCF"/>
    <w:rsid w:val="00250CBD"/>
    <w:rsid w:val="00250FCC"/>
    <w:rsid w:val="002510C4"/>
    <w:rsid w:val="002512D1"/>
    <w:rsid w:val="00251799"/>
    <w:rsid w:val="0025239C"/>
    <w:rsid w:val="002532D5"/>
    <w:rsid w:val="00254044"/>
    <w:rsid w:val="0025453A"/>
    <w:rsid w:val="00254811"/>
    <w:rsid w:val="00256683"/>
    <w:rsid w:val="00257097"/>
    <w:rsid w:val="002574DC"/>
    <w:rsid w:val="00260272"/>
    <w:rsid w:val="00260977"/>
    <w:rsid w:val="00261255"/>
    <w:rsid w:val="002615D7"/>
    <w:rsid w:val="00261B36"/>
    <w:rsid w:val="00261D4B"/>
    <w:rsid w:val="00261F50"/>
    <w:rsid w:val="002626CF"/>
    <w:rsid w:val="00262A63"/>
    <w:rsid w:val="00263940"/>
    <w:rsid w:val="00263BBD"/>
    <w:rsid w:val="00264108"/>
    <w:rsid w:val="00264162"/>
    <w:rsid w:val="002641DC"/>
    <w:rsid w:val="002645F6"/>
    <w:rsid w:val="00264AC1"/>
    <w:rsid w:val="00264E82"/>
    <w:rsid w:val="00264FDC"/>
    <w:rsid w:val="00265738"/>
    <w:rsid w:val="0026673B"/>
    <w:rsid w:val="002668D0"/>
    <w:rsid w:val="0026769C"/>
    <w:rsid w:val="002701B0"/>
    <w:rsid w:val="00270291"/>
    <w:rsid w:val="00270B76"/>
    <w:rsid w:val="00271054"/>
    <w:rsid w:val="00271997"/>
    <w:rsid w:val="002719AD"/>
    <w:rsid w:val="002724C4"/>
    <w:rsid w:val="002726F5"/>
    <w:rsid w:val="00272A5A"/>
    <w:rsid w:val="00272D81"/>
    <w:rsid w:val="00273A45"/>
    <w:rsid w:val="00273F74"/>
    <w:rsid w:val="002740E2"/>
    <w:rsid w:val="00274F4F"/>
    <w:rsid w:val="002752B9"/>
    <w:rsid w:val="0027570A"/>
    <w:rsid w:val="0027581E"/>
    <w:rsid w:val="00275DFC"/>
    <w:rsid w:val="00275F20"/>
    <w:rsid w:val="002768D5"/>
    <w:rsid w:val="00276A15"/>
    <w:rsid w:val="00276BE3"/>
    <w:rsid w:val="00276C31"/>
    <w:rsid w:val="00277415"/>
    <w:rsid w:val="00277539"/>
    <w:rsid w:val="00277634"/>
    <w:rsid w:val="00277ABA"/>
    <w:rsid w:val="0028007F"/>
    <w:rsid w:val="002800AF"/>
    <w:rsid w:val="002800E7"/>
    <w:rsid w:val="00280FEE"/>
    <w:rsid w:val="00281B2A"/>
    <w:rsid w:val="0028257F"/>
    <w:rsid w:val="00282902"/>
    <w:rsid w:val="00282B5A"/>
    <w:rsid w:val="00282B7A"/>
    <w:rsid w:val="002834FA"/>
    <w:rsid w:val="002836ED"/>
    <w:rsid w:val="00283EFF"/>
    <w:rsid w:val="0028462F"/>
    <w:rsid w:val="00284719"/>
    <w:rsid w:val="002849FE"/>
    <w:rsid w:val="00285EAC"/>
    <w:rsid w:val="00286D20"/>
    <w:rsid w:val="00286EFF"/>
    <w:rsid w:val="00287084"/>
    <w:rsid w:val="0028735F"/>
    <w:rsid w:val="00287843"/>
    <w:rsid w:val="0028789C"/>
    <w:rsid w:val="002909AE"/>
    <w:rsid w:val="00290C11"/>
    <w:rsid w:val="002913B4"/>
    <w:rsid w:val="00291806"/>
    <w:rsid w:val="002918F3"/>
    <w:rsid w:val="00291ABA"/>
    <w:rsid w:val="0029298D"/>
    <w:rsid w:val="00293167"/>
    <w:rsid w:val="0029345D"/>
    <w:rsid w:val="002936BB"/>
    <w:rsid w:val="002938BD"/>
    <w:rsid w:val="002940CF"/>
    <w:rsid w:val="00294294"/>
    <w:rsid w:val="002951C3"/>
    <w:rsid w:val="00295B63"/>
    <w:rsid w:val="00295E93"/>
    <w:rsid w:val="0029613F"/>
    <w:rsid w:val="0029699F"/>
    <w:rsid w:val="00296A88"/>
    <w:rsid w:val="00296B18"/>
    <w:rsid w:val="00297199"/>
    <w:rsid w:val="002A0A84"/>
    <w:rsid w:val="002A14F5"/>
    <w:rsid w:val="002A168F"/>
    <w:rsid w:val="002A19BF"/>
    <w:rsid w:val="002A232D"/>
    <w:rsid w:val="002A25A8"/>
    <w:rsid w:val="002A266C"/>
    <w:rsid w:val="002A2783"/>
    <w:rsid w:val="002A2956"/>
    <w:rsid w:val="002A3DAA"/>
    <w:rsid w:val="002A3E8D"/>
    <w:rsid w:val="002A449D"/>
    <w:rsid w:val="002A4A36"/>
    <w:rsid w:val="002A51D1"/>
    <w:rsid w:val="002A553A"/>
    <w:rsid w:val="002A58ED"/>
    <w:rsid w:val="002A5901"/>
    <w:rsid w:val="002A591E"/>
    <w:rsid w:val="002A5AE8"/>
    <w:rsid w:val="002A5D14"/>
    <w:rsid w:val="002A5D4A"/>
    <w:rsid w:val="002A5FB0"/>
    <w:rsid w:val="002A69E2"/>
    <w:rsid w:val="002A6BFA"/>
    <w:rsid w:val="002A6CEA"/>
    <w:rsid w:val="002B00AA"/>
    <w:rsid w:val="002B147C"/>
    <w:rsid w:val="002B157C"/>
    <w:rsid w:val="002B1735"/>
    <w:rsid w:val="002B1B28"/>
    <w:rsid w:val="002B1EF5"/>
    <w:rsid w:val="002B248A"/>
    <w:rsid w:val="002B24F8"/>
    <w:rsid w:val="002B2834"/>
    <w:rsid w:val="002B288A"/>
    <w:rsid w:val="002B2DFB"/>
    <w:rsid w:val="002B3461"/>
    <w:rsid w:val="002B349E"/>
    <w:rsid w:val="002B3755"/>
    <w:rsid w:val="002B3E6B"/>
    <w:rsid w:val="002B464F"/>
    <w:rsid w:val="002B47CC"/>
    <w:rsid w:val="002B4A0B"/>
    <w:rsid w:val="002B4FF7"/>
    <w:rsid w:val="002B57A6"/>
    <w:rsid w:val="002B5E7E"/>
    <w:rsid w:val="002B6216"/>
    <w:rsid w:val="002B6425"/>
    <w:rsid w:val="002B666C"/>
    <w:rsid w:val="002B68BE"/>
    <w:rsid w:val="002B6BED"/>
    <w:rsid w:val="002B703D"/>
    <w:rsid w:val="002B71AC"/>
    <w:rsid w:val="002B789A"/>
    <w:rsid w:val="002B78AA"/>
    <w:rsid w:val="002B78BB"/>
    <w:rsid w:val="002B7987"/>
    <w:rsid w:val="002C016D"/>
    <w:rsid w:val="002C0BC8"/>
    <w:rsid w:val="002C0EE7"/>
    <w:rsid w:val="002C2AB3"/>
    <w:rsid w:val="002C2B82"/>
    <w:rsid w:val="002C2DF5"/>
    <w:rsid w:val="002C2EE2"/>
    <w:rsid w:val="002C310F"/>
    <w:rsid w:val="002C45CE"/>
    <w:rsid w:val="002C4C49"/>
    <w:rsid w:val="002C543A"/>
    <w:rsid w:val="002C5549"/>
    <w:rsid w:val="002C5842"/>
    <w:rsid w:val="002C5E9A"/>
    <w:rsid w:val="002C6571"/>
    <w:rsid w:val="002C6791"/>
    <w:rsid w:val="002C67E3"/>
    <w:rsid w:val="002C6B4D"/>
    <w:rsid w:val="002C6DDA"/>
    <w:rsid w:val="002C6FB0"/>
    <w:rsid w:val="002C7B18"/>
    <w:rsid w:val="002C7B19"/>
    <w:rsid w:val="002C7F16"/>
    <w:rsid w:val="002D0A26"/>
    <w:rsid w:val="002D185B"/>
    <w:rsid w:val="002D214E"/>
    <w:rsid w:val="002D28EE"/>
    <w:rsid w:val="002D391F"/>
    <w:rsid w:val="002D39A8"/>
    <w:rsid w:val="002D39FA"/>
    <w:rsid w:val="002D3B9B"/>
    <w:rsid w:val="002D3BC4"/>
    <w:rsid w:val="002D3BF2"/>
    <w:rsid w:val="002D4300"/>
    <w:rsid w:val="002D4AE4"/>
    <w:rsid w:val="002D5473"/>
    <w:rsid w:val="002D55E2"/>
    <w:rsid w:val="002D5B0B"/>
    <w:rsid w:val="002D5BCF"/>
    <w:rsid w:val="002D5BF2"/>
    <w:rsid w:val="002D5CF6"/>
    <w:rsid w:val="002D6DD8"/>
    <w:rsid w:val="002D72D6"/>
    <w:rsid w:val="002D7D1F"/>
    <w:rsid w:val="002E037B"/>
    <w:rsid w:val="002E0967"/>
    <w:rsid w:val="002E0CA3"/>
    <w:rsid w:val="002E110C"/>
    <w:rsid w:val="002E1334"/>
    <w:rsid w:val="002E1755"/>
    <w:rsid w:val="002E1776"/>
    <w:rsid w:val="002E1920"/>
    <w:rsid w:val="002E2E43"/>
    <w:rsid w:val="002E3392"/>
    <w:rsid w:val="002E3464"/>
    <w:rsid w:val="002E4821"/>
    <w:rsid w:val="002E4B92"/>
    <w:rsid w:val="002E4F5B"/>
    <w:rsid w:val="002E58EC"/>
    <w:rsid w:val="002E5A5D"/>
    <w:rsid w:val="002E5C13"/>
    <w:rsid w:val="002E67D7"/>
    <w:rsid w:val="002E6E8A"/>
    <w:rsid w:val="002F0294"/>
    <w:rsid w:val="002F03E9"/>
    <w:rsid w:val="002F0740"/>
    <w:rsid w:val="002F0A86"/>
    <w:rsid w:val="002F1B69"/>
    <w:rsid w:val="002F1B79"/>
    <w:rsid w:val="002F1EB6"/>
    <w:rsid w:val="002F20A4"/>
    <w:rsid w:val="002F268B"/>
    <w:rsid w:val="002F2800"/>
    <w:rsid w:val="002F2850"/>
    <w:rsid w:val="002F30B5"/>
    <w:rsid w:val="002F3271"/>
    <w:rsid w:val="002F3296"/>
    <w:rsid w:val="002F43D3"/>
    <w:rsid w:val="002F45E2"/>
    <w:rsid w:val="002F4BBA"/>
    <w:rsid w:val="002F4FBF"/>
    <w:rsid w:val="002F54DA"/>
    <w:rsid w:val="002F5629"/>
    <w:rsid w:val="002F56F7"/>
    <w:rsid w:val="002F5768"/>
    <w:rsid w:val="002F598B"/>
    <w:rsid w:val="002F5D8C"/>
    <w:rsid w:val="002F637D"/>
    <w:rsid w:val="002F647A"/>
    <w:rsid w:val="002F6A97"/>
    <w:rsid w:val="002F6BD7"/>
    <w:rsid w:val="002F6D7D"/>
    <w:rsid w:val="002F7414"/>
    <w:rsid w:val="002F75CA"/>
    <w:rsid w:val="002F79C1"/>
    <w:rsid w:val="002F7B35"/>
    <w:rsid w:val="002F7C0E"/>
    <w:rsid w:val="003003A1"/>
    <w:rsid w:val="00300747"/>
    <w:rsid w:val="003009A6"/>
    <w:rsid w:val="00300D3E"/>
    <w:rsid w:val="00301136"/>
    <w:rsid w:val="00301185"/>
    <w:rsid w:val="0030204C"/>
    <w:rsid w:val="0030242D"/>
    <w:rsid w:val="00302739"/>
    <w:rsid w:val="00302801"/>
    <w:rsid w:val="00302B3E"/>
    <w:rsid w:val="00302EB7"/>
    <w:rsid w:val="003034DD"/>
    <w:rsid w:val="003035A8"/>
    <w:rsid w:val="00303770"/>
    <w:rsid w:val="00303920"/>
    <w:rsid w:val="00303DAD"/>
    <w:rsid w:val="003040F7"/>
    <w:rsid w:val="00304C4C"/>
    <w:rsid w:val="00305618"/>
    <w:rsid w:val="0030563B"/>
    <w:rsid w:val="003059B9"/>
    <w:rsid w:val="003060F4"/>
    <w:rsid w:val="00307963"/>
    <w:rsid w:val="00307B04"/>
    <w:rsid w:val="0031002D"/>
    <w:rsid w:val="003102EF"/>
    <w:rsid w:val="003102F7"/>
    <w:rsid w:val="00310563"/>
    <w:rsid w:val="003110B3"/>
    <w:rsid w:val="00311154"/>
    <w:rsid w:val="00311703"/>
    <w:rsid w:val="00311E42"/>
    <w:rsid w:val="00312333"/>
    <w:rsid w:val="00312590"/>
    <w:rsid w:val="00312D47"/>
    <w:rsid w:val="00313851"/>
    <w:rsid w:val="00313BD5"/>
    <w:rsid w:val="00313D07"/>
    <w:rsid w:val="00313FEA"/>
    <w:rsid w:val="00314C0F"/>
    <w:rsid w:val="00315305"/>
    <w:rsid w:val="00315441"/>
    <w:rsid w:val="0031544E"/>
    <w:rsid w:val="00315B89"/>
    <w:rsid w:val="0031707D"/>
    <w:rsid w:val="00317317"/>
    <w:rsid w:val="003175E6"/>
    <w:rsid w:val="003205FC"/>
    <w:rsid w:val="00320926"/>
    <w:rsid w:val="0032117D"/>
    <w:rsid w:val="00321617"/>
    <w:rsid w:val="00321BD0"/>
    <w:rsid w:val="00322331"/>
    <w:rsid w:val="003224A2"/>
    <w:rsid w:val="0032281D"/>
    <w:rsid w:val="00323679"/>
    <w:rsid w:val="00323953"/>
    <w:rsid w:val="00323BA0"/>
    <w:rsid w:val="00323D71"/>
    <w:rsid w:val="00323DFB"/>
    <w:rsid w:val="003245F1"/>
    <w:rsid w:val="00324E9E"/>
    <w:rsid w:val="00325076"/>
    <w:rsid w:val="00325535"/>
    <w:rsid w:val="00326461"/>
    <w:rsid w:val="00326621"/>
    <w:rsid w:val="003268D3"/>
    <w:rsid w:val="00326C64"/>
    <w:rsid w:val="00326E7F"/>
    <w:rsid w:val="00327A4B"/>
    <w:rsid w:val="00327B39"/>
    <w:rsid w:val="00327BA4"/>
    <w:rsid w:val="00327C9B"/>
    <w:rsid w:val="00330A3C"/>
    <w:rsid w:val="00330C40"/>
    <w:rsid w:val="00330D31"/>
    <w:rsid w:val="0033111B"/>
    <w:rsid w:val="00331323"/>
    <w:rsid w:val="0033150D"/>
    <w:rsid w:val="0033172F"/>
    <w:rsid w:val="00331D19"/>
    <w:rsid w:val="00331DAD"/>
    <w:rsid w:val="00331F54"/>
    <w:rsid w:val="003325D4"/>
    <w:rsid w:val="0033278E"/>
    <w:rsid w:val="00332843"/>
    <w:rsid w:val="00332FBF"/>
    <w:rsid w:val="00333C29"/>
    <w:rsid w:val="00334B4D"/>
    <w:rsid w:val="00334CE8"/>
    <w:rsid w:val="0033523E"/>
    <w:rsid w:val="00335C4A"/>
    <w:rsid w:val="00335C87"/>
    <w:rsid w:val="00335F8E"/>
    <w:rsid w:val="00336243"/>
    <w:rsid w:val="00336F58"/>
    <w:rsid w:val="00337EAA"/>
    <w:rsid w:val="003402FB"/>
    <w:rsid w:val="003406A9"/>
    <w:rsid w:val="00340894"/>
    <w:rsid w:val="00340D13"/>
    <w:rsid w:val="00340F25"/>
    <w:rsid w:val="003418D9"/>
    <w:rsid w:val="00341BEE"/>
    <w:rsid w:val="00341BFA"/>
    <w:rsid w:val="00341FC0"/>
    <w:rsid w:val="003427E6"/>
    <w:rsid w:val="0034283A"/>
    <w:rsid w:val="003433AF"/>
    <w:rsid w:val="0034382A"/>
    <w:rsid w:val="003439DC"/>
    <w:rsid w:val="00343B18"/>
    <w:rsid w:val="003441D9"/>
    <w:rsid w:val="00344628"/>
    <w:rsid w:val="00344FFD"/>
    <w:rsid w:val="00345347"/>
    <w:rsid w:val="00345512"/>
    <w:rsid w:val="003457C4"/>
    <w:rsid w:val="003464E5"/>
    <w:rsid w:val="00346A76"/>
    <w:rsid w:val="00346DB9"/>
    <w:rsid w:val="00347063"/>
    <w:rsid w:val="0034761D"/>
    <w:rsid w:val="00347BA6"/>
    <w:rsid w:val="00347BA7"/>
    <w:rsid w:val="00347C10"/>
    <w:rsid w:val="0035037C"/>
    <w:rsid w:val="0035066D"/>
    <w:rsid w:val="00350690"/>
    <w:rsid w:val="00350A64"/>
    <w:rsid w:val="003522CE"/>
    <w:rsid w:val="003534EF"/>
    <w:rsid w:val="0035387B"/>
    <w:rsid w:val="0035398C"/>
    <w:rsid w:val="00353C20"/>
    <w:rsid w:val="00354105"/>
    <w:rsid w:val="003547A1"/>
    <w:rsid w:val="00354DE0"/>
    <w:rsid w:val="00354F59"/>
    <w:rsid w:val="0035563B"/>
    <w:rsid w:val="00355955"/>
    <w:rsid w:val="003562BE"/>
    <w:rsid w:val="0035702A"/>
    <w:rsid w:val="00357663"/>
    <w:rsid w:val="003577A3"/>
    <w:rsid w:val="00360B47"/>
    <w:rsid w:val="00360CA6"/>
    <w:rsid w:val="00361A2A"/>
    <w:rsid w:val="00361CF7"/>
    <w:rsid w:val="0036268E"/>
    <w:rsid w:val="00362819"/>
    <w:rsid w:val="00362A61"/>
    <w:rsid w:val="00362C08"/>
    <w:rsid w:val="003631D3"/>
    <w:rsid w:val="00363483"/>
    <w:rsid w:val="00364070"/>
    <w:rsid w:val="00364D90"/>
    <w:rsid w:val="00365018"/>
    <w:rsid w:val="00365803"/>
    <w:rsid w:val="0036599C"/>
    <w:rsid w:val="00365EB9"/>
    <w:rsid w:val="003666B7"/>
    <w:rsid w:val="00366F33"/>
    <w:rsid w:val="00367399"/>
    <w:rsid w:val="00367857"/>
    <w:rsid w:val="00367BB0"/>
    <w:rsid w:val="00367C56"/>
    <w:rsid w:val="00367D6A"/>
    <w:rsid w:val="00367E10"/>
    <w:rsid w:val="00370287"/>
    <w:rsid w:val="0037064D"/>
    <w:rsid w:val="00370A22"/>
    <w:rsid w:val="0037124C"/>
    <w:rsid w:val="00371664"/>
    <w:rsid w:val="003716FE"/>
    <w:rsid w:val="003717C3"/>
    <w:rsid w:val="00371A65"/>
    <w:rsid w:val="00372496"/>
    <w:rsid w:val="0037277A"/>
    <w:rsid w:val="00372F2B"/>
    <w:rsid w:val="003731E4"/>
    <w:rsid w:val="0037375C"/>
    <w:rsid w:val="00373C18"/>
    <w:rsid w:val="00373E61"/>
    <w:rsid w:val="00374AD9"/>
    <w:rsid w:val="00374D92"/>
    <w:rsid w:val="00375CBE"/>
    <w:rsid w:val="003767F4"/>
    <w:rsid w:val="003769F3"/>
    <w:rsid w:val="00376EA1"/>
    <w:rsid w:val="003776AE"/>
    <w:rsid w:val="003779A3"/>
    <w:rsid w:val="00377A1F"/>
    <w:rsid w:val="00377D20"/>
    <w:rsid w:val="00377D5F"/>
    <w:rsid w:val="00377F44"/>
    <w:rsid w:val="00380476"/>
    <w:rsid w:val="0038151F"/>
    <w:rsid w:val="00381DAA"/>
    <w:rsid w:val="00381FD4"/>
    <w:rsid w:val="00382324"/>
    <w:rsid w:val="0038262D"/>
    <w:rsid w:val="00382654"/>
    <w:rsid w:val="0038286E"/>
    <w:rsid w:val="003828CA"/>
    <w:rsid w:val="00382A80"/>
    <w:rsid w:val="0038314C"/>
    <w:rsid w:val="003836D7"/>
    <w:rsid w:val="003836DA"/>
    <w:rsid w:val="00383C70"/>
    <w:rsid w:val="00384016"/>
    <w:rsid w:val="003844C8"/>
    <w:rsid w:val="003845D2"/>
    <w:rsid w:val="00384BD7"/>
    <w:rsid w:val="00385A6E"/>
    <w:rsid w:val="0038619C"/>
    <w:rsid w:val="003865DA"/>
    <w:rsid w:val="00386F0D"/>
    <w:rsid w:val="00387D7F"/>
    <w:rsid w:val="00387FFB"/>
    <w:rsid w:val="00390B83"/>
    <w:rsid w:val="00390FD0"/>
    <w:rsid w:val="00391540"/>
    <w:rsid w:val="00391655"/>
    <w:rsid w:val="00391D7B"/>
    <w:rsid w:val="00391EB3"/>
    <w:rsid w:val="0039275C"/>
    <w:rsid w:val="00392CEB"/>
    <w:rsid w:val="00392E32"/>
    <w:rsid w:val="00393114"/>
    <w:rsid w:val="00393372"/>
    <w:rsid w:val="003937DE"/>
    <w:rsid w:val="00394005"/>
    <w:rsid w:val="00394099"/>
    <w:rsid w:val="003943BD"/>
    <w:rsid w:val="003957B1"/>
    <w:rsid w:val="003960A9"/>
    <w:rsid w:val="0039655E"/>
    <w:rsid w:val="00396737"/>
    <w:rsid w:val="003968CF"/>
    <w:rsid w:val="00396D29"/>
    <w:rsid w:val="00396E42"/>
    <w:rsid w:val="0039717C"/>
    <w:rsid w:val="003973AE"/>
    <w:rsid w:val="0039773B"/>
    <w:rsid w:val="0039777F"/>
    <w:rsid w:val="003979C6"/>
    <w:rsid w:val="003979F2"/>
    <w:rsid w:val="003A00D5"/>
    <w:rsid w:val="003A07B8"/>
    <w:rsid w:val="003A1690"/>
    <w:rsid w:val="003A1871"/>
    <w:rsid w:val="003A19C0"/>
    <w:rsid w:val="003A1C4E"/>
    <w:rsid w:val="003A2010"/>
    <w:rsid w:val="003A2616"/>
    <w:rsid w:val="003A2AC6"/>
    <w:rsid w:val="003A2B9C"/>
    <w:rsid w:val="003A2BED"/>
    <w:rsid w:val="003A2D83"/>
    <w:rsid w:val="003A37C8"/>
    <w:rsid w:val="003A3B22"/>
    <w:rsid w:val="003A4031"/>
    <w:rsid w:val="003A4096"/>
    <w:rsid w:val="003A449C"/>
    <w:rsid w:val="003A4F9E"/>
    <w:rsid w:val="003A5784"/>
    <w:rsid w:val="003A57F1"/>
    <w:rsid w:val="003A58BE"/>
    <w:rsid w:val="003A5A93"/>
    <w:rsid w:val="003A5C63"/>
    <w:rsid w:val="003A6255"/>
    <w:rsid w:val="003A65D3"/>
    <w:rsid w:val="003A66C4"/>
    <w:rsid w:val="003A71F5"/>
    <w:rsid w:val="003A7C36"/>
    <w:rsid w:val="003B0118"/>
    <w:rsid w:val="003B0236"/>
    <w:rsid w:val="003B04A2"/>
    <w:rsid w:val="003B04B8"/>
    <w:rsid w:val="003B06E9"/>
    <w:rsid w:val="003B0C31"/>
    <w:rsid w:val="003B187A"/>
    <w:rsid w:val="003B1B7B"/>
    <w:rsid w:val="003B2088"/>
    <w:rsid w:val="003B23DF"/>
    <w:rsid w:val="003B26CD"/>
    <w:rsid w:val="003B2AAA"/>
    <w:rsid w:val="003B2E4F"/>
    <w:rsid w:val="003B2EA0"/>
    <w:rsid w:val="003B3088"/>
    <w:rsid w:val="003B320D"/>
    <w:rsid w:val="003B3838"/>
    <w:rsid w:val="003B39BF"/>
    <w:rsid w:val="003B44BA"/>
    <w:rsid w:val="003B499B"/>
    <w:rsid w:val="003B4E22"/>
    <w:rsid w:val="003B54E8"/>
    <w:rsid w:val="003B5CF2"/>
    <w:rsid w:val="003B5F50"/>
    <w:rsid w:val="003B619C"/>
    <w:rsid w:val="003B6256"/>
    <w:rsid w:val="003B72FB"/>
    <w:rsid w:val="003B751C"/>
    <w:rsid w:val="003B7B43"/>
    <w:rsid w:val="003B7CF3"/>
    <w:rsid w:val="003B7ED5"/>
    <w:rsid w:val="003C0121"/>
    <w:rsid w:val="003C0A0E"/>
    <w:rsid w:val="003C0F5A"/>
    <w:rsid w:val="003C0FBE"/>
    <w:rsid w:val="003C100E"/>
    <w:rsid w:val="003C160C"/>
    <w:rsid w:val="003C178D"/>
    <w:rsid w:val="003C1977"/>
    <w:rsid w:val="003C19D6"/>
    <w:rsid w:val="003C1F10"/>
    <w:rsid w:val="003C2173"/>
    <w:rsid w:val="003C2378"/>
    <w:rsid w:val="003C2871"/>
    <w:rsid w:val="003C2C64"/>
    <w:rsid w:val="003C3042"/>
    <w:rsid w:val="003C3472"/>
    <w:rsid w:val="003C387A"/>
    <w:rsid w:val="003C3B14"/>
    <w:rsid w:val="003C3EE6"/>
    <w:rsid w:val="003C5080"/>
    <w:rsid w:val="003C5241"/>
    <w:rsid w:val="003C5BA8"/>
    <w:rsid w:val="003C5D11"/>
    <w:rsid w:val="003C61F2"/>
    <w:rsid w:val="003C635C"/>
    <w:rsid w:val="003C64F6"/>
    <w:rsid w:val="003C6E1C"/>
    <w:rsid w:val="003C747B"/>
    <w:rsid w:val="003C79E5"/>
    <w:rsid w:val="003D08CA"/>
    <w:rsid w:val="003D1052"/>
    <w:rsid w:val="003D1299"/>
    <w:rsid w:val="003D14AF"/>
    <w:rsid w:val="003D19E1"/>
    <w:rsid w:val="003D1A1A"/>
    <w:rsid w:val="003D23FE"/>
    <w:rsid w:val="003D2C0E"/>
    <w:rsid w:val="003D34D8"/>
    <w:rsid w:val="003D3504"/>
    <w:rsid w:val="003D4013"/>
    <w:rsid w:val="003D476D"/>
    <w:rsid w:val="003D492B"/>
    <w:rsid w:val="003D49F6"/>
    <w:rsid w:val="003D4B3D"/>
    <w:rsid w:val="003D4B91"/>
    <w:rsid w:val="003D52F7"/>
    <w:rsid w:val="003D5438"/>
    <w:rsid w:val="003D56E8"/>
    <w:rsid w:val="003D5880"/>
    <w:rsid w:val="003D5CAC"/>
    <w:rsid w:val="003D63B9"/>
    <w:rsid w:val="003D6468"/>
    <w:rsid w:val="003D64D9"/>
    <w:rsid w:val="003D77D9"/>
    <w:rsid w:val="003D7A21"/>
    <w:rsid w:val="003D7EA8"/>
    <w:rsid w:val="003E0260"/>
    <w:rsid w:val="003E0313"/>
    <w:rsid w:val="003E0875"/>
    <w:rsid w:val="003E0CAE"/>
    <w:rsid w:val="003E12E8"/>
    <w:rsid w:val="003E19D8"/>
    <w:rsid w:val="003E1AAE"/>
    <w:rsid w:val="003E1F15"/>
    <w:rsid w:val="003E29B8"/>
    <w:rsid w:val="003E3262"/>
    <w:rsid w:val="003E3959"/>
    <w:rsid w:val="003E40E9"/>
    <w:rsid w:val="003E4228"/>
    <w:rsid w:val="003E445D"/>
    <w:rsid w:val="003E4805"/>
    <w:rsid w:val="003E4EE0"/>
    <w:rsid w:val="003E504D"/>
    <w:rsid w:val="003E53B0"/>
    <w:rsid w:val="003E5D07"/>
    <w:rsid w:val="003E601F"/>
    <w:rsid w:val="003E6770"/>
    <w:rsid w:val="003E74A5"/>
    <w:rsid w:val="003F05FE"/>
    <w:rsid w:val="003F088A"/>
    <w:rsid w:val="003F17FA"/>
    <w:rsid w:val="003F1821"/>
    <w:rsid w:val="003F1921"/>
    <w:rsid w:val="003F24AC"/>
    <w:rsid w:val="003F26A1"/>
    <w:rsid w:val="003F2895"/>
    <w:rsid w:val="003F3241"/>
    <w:rsid w:val="003F3957"/>
    <w:rsid w:val="003F41EA"/>
    <w:rsid w:val="003F4265"/>
    <w:rsid w:val="003F44C1"/>
    <w:rsid w:val="003F467C"/>
    <w:rsid w:val="003F46AB"/>
    <w:rsid w:val="003F4735"/>
    <w:rsid w:val="003F4903"/>
    <w:rsid w:val="003F4BC6"/>
    <w:rsid w:val="003F5B49"/>
    <w:rsid w:val="003F6E96"/>
    <w:rsid w:val="003F712D"/>
    <w:rsid w:val="003F7742"/>
    <w:rsid w:val="003F7DB2"/>
    <w:rsid w:val="003F7F39"/>
    <w:rsid w:val="00400487"/>
    <w:rsid w:val="00400D60"/>
    <w:rsid w:val="00400DF0"/>
    <w:rsid w:val="00402107"/>
    <w:rsid w:val="00402328"/>
    <w:rsid w:val="00402AE5"/>
    <w:rsid w:val="00402F31"/>
    <w:rsid w:val="004032DA"/>
    <w:rsid w:val="0040350A"/>
    <w:rsid w:val="004037FB"/>
    <w:rsid w:val="004038A1"/>
    <w:rsid w:val="0040392F"/>
    <w:rsid w:val="00403B3D"/>
    <w:rsid w:val="00404647"/>
    <w:rsid w:val="00404FE7"/>
    <w:rsid w:val="004051FD"/>
    <w:rsid w:val="00406D7B"/>
    <w:rsid w:val="0040732E"/>
    <w:rsid w:val="004079D0"/>
    <w:rsid w:val="004102B2"/>
    <w:rsid w:val="00410828"/>
    <w:rsid w:val="00411638"/>
    <w:rsid w:val="00412712"/>
    <w:rsid w:val="00413606"/>
    <w:rsid w:val="00413BB4"/>
    <w:rsid w:val="004140C8"/>
    <w:rsid w:val="00414279"/>
    <w:rsid w:val="004144BC"/>
    <w:rsid w:val="0041510A"/>
    <w:rsid w:val="004151F4"/>
    <w:rsid w:val="00415345"/>
    <w:rsid w:val="00415713"/>
    <w:rsid w:val="0041571C"/>
    <w:rsid w:val="00416736"/>
    <w:rsid w:val="00417841"/>
    <w:rsid w:val="00417D8D"/>
    <w:rsid w:val="00420258"/>
    <w:rsid w:val="00420BF2"/>
    <w:rsid w:val="0042173F"/>
    <w:rsid w:val="004219D4"/>
    <w:rsid w:val="00422E80"/>
    <w:rsid w:val="00423135"/>
    <w:rsid w:val="0042395A"/>
    <w:rsid w:val="00423CE3"/>
    <w:rsid w:val="00424000"/>
    <w:rsid w:val="0042403D"/>
    <w:rsid w:val="004240CF"/>
    <w:rsid w:val="0042430B"/>
    <w:rsid w:val="0042451E"/>
    <w:rsid w:val="0042524D"/>
    <w:rsid w:val="0042537E"/>
    <w:rsid w:val="004262C2"/>
    <w:rsid w:val="00426E9D"/>
    <w:rsid w:val="00426EEB"/>
    <w:rsid w:val="00426F43"/>
    <w:rsid w:val="0042729D"/>
    <w:rsid w:val="0042797A"/>
    <w:rsid w:val="00427B38"/>
    <w:rsid w:val="00427ECF"/>
    <w:rsid w:val="0043119E"/>
    <w:rsid w:val="00431546"/>
    <w:rsid w:val="00431A8C"/>
    <w:rsid w:val="00431B88"/>
    <w:rsid w:val="0043244C"/>
    <w:rsid w:val="004326EB"/>
    <w:rsid w:val="00432EB2"/>
    <w:rsid w:val="00433688"/>
    <w:rsid w:val="004337E8"/>
    <w:rsid w:val="00433EA9"/>
    <w:rsid w:val="004348A7"/>
    <w:rsid w:val="00434C08"/>
    <w:rsid w:val="00434EDA"/>
    <w:rsid w:val="0043528F"/>
    <w:rsid w:val="00435332"/>
    <w:rsid w:val="00435D81"/>
    <w:rsid w:val="00435FFE"/>
    <w:rsid w:val="00436255"/>
    <w:rsid w:val="00436B6D"/>
    <w:rsid w:val="00436B7C"/>
    <w:rsid w:val="00436BA8"/>
    <w:rsid w:val="004372DA"/>
    <w:rsid w:val="00437F24"/>
    <w:rsid w:val="004407CE"/>
    <w:rsid w:val="00441097"/>
    <w:rsid w:val="00441163"/>
    <w:rsid w:val="0044225B"/>
    <w:rsid w:val="0044283E"/>
    <w:rsid w:val="00442939"/>
    <w:rsid w:val="00443CFE"/>
    <w:rsid w:val="00445478"/>
    <w:rsid w:val="0044586C"/>
    <w:rsid w:val="00445984"/>
    <w:rsid w:val="00445DF4"/>
    <w:rsid w:val="00446378"/>
    <w:rsid w:val="0044678E"/>
    <w:rsid w:val="00446A14"/>
    <w:rsid w:val="00447599"/>
    <w:rsid w:val="004477EE"/>
    <w:rsid w:val="0044793D"/>
    <w:rsid w:val="00447F3E"/>
    <w:rsid w:val="00450373"/>
    <w:rsid w:val="0045055D"/>
    <w:rsid w:val="004506E8"/>
    <w:rsid w:val="004507B0"/>
    <w:rsid w:val="00450DBE"/>
    <w:rsid w:val="004520D8"/>
    <w:rsid w:val="0045256F"/>
    <w:rsid w:val="004525A7"/>
    <w:rsid w:val="004525DE"/>
    <w:rsid w:val="004533B6"/>
    <w:rsid w:val="004533C9"/>
    <w:rsid w:val="0045351A"/>
    <w:rsid w:val="00453D0F"/>
    <w:rsid w:val="00453F50"/>
    <w:rsid w:val="00453FF4"/>
    <w:rsid w:val="004540AB"/>
    <w:rsid w:val="004544AF"/>
    <w:rsid w:val="00454D46"/>
    <w:rsid w:val="00454FAA"/>
    <w:rsid w:val="00455358"/>
    <w:rsid w:val="00455C1E"/>
    <w:rsid w:val="00455F57"/>
    <w:rsid w:val="004578CC"/>
    <w:rsid w:val="00457D35"/>
    <w:rsid w:val="00457FF6"/>
    <w:rsid w:val="0046006D"/>
    <w:rsid w:val="00460824"/>
    <w:rsid w:val="00460A2E"/>
    <w:rsid w:val="00460B8C"/>
    <w:rsid w:val="004610F8"/>
    <w:rsid w:val="004616F3"/>
    <w:rsid w:val="00461AAB"/>
    <w:rsid w:val="00461BBD"/>
    <w:rsid w:val="00461DE6"/>
    <w:rsid w:val="0046230D"/>
    <w:rsid w:val="0046256D"/>
    <w:rsid w:val="0046266F"/>
    <w:rsid w:val="00463184"/>
    <w:rsid w:val="00463714"/>
    <w:rsid w:val="00463DE2"/>
    <w:rsid w:val="00464149"/>
    <w:rsid w:val="004641B3"/>
    <w:rsid w:val="00465833"/>
    <w:rsid w:val="00465DFF"/>
    <w:rsid w:val="00466048"/>
    <w:rsid w:val="00466330"/>
    <w:rsid w:val="00466D22"/>
    <w:rsid w:val="00467501"/>
    <w:rsid w:val="004676BE"/>
    <w:rsid w:val="00467835"/>
    <w:rsid w:val="00467BCB"/>
    <w:rsid w:val="00467CBD"/>
    <w:rsid w:val="00467DE4"/>
    <w:rsid w:val="00470226"/>
    <w:rsid w:val="00470501"/>
    <w:rsid w:val="00470929"/>
    <w:rsid w:val="00470A41"/>
    <w:rsid w:val="004719A1"/>
    <w:rsid w:val="00472597"/>
    <w:rsid w:val="00472C89"/>
    <w:rsid w:val="00472E69"/>
    <w:rsid w:val="00473316"/>
    <w:rsid w:val="00473336"/>
    <w:rsid w:val="004734FF"/>
    <w:rsid w:val="00473D27"/>
    <w:rsid w:val="004742CC"/>
    <w:rsid w:val="00474AD5"/>
    <w:rsid w:val="00474B9A"/>
    <w:rsid w:val="00474EA7"/>
    <w:rsid w:val="00475115"/>
    <w:rsid w:val="00475C43"/>
    <w:rsid w:val="0047655F"/>
    <w:rsid w:val="00476A84"/>
    <w:rsid w:val="004777FC"/>
    <w:rsid w:val="00477D20"/>
    <w:rsid w:val="00477FF5"/>
    <w:rsid w:val="0048081F"/>
    <w:rsid w:val="00480B34"/>
    <w:rsid w:val="00481BF9"/>
    <w:rsid w:val="00481DA2"/>
    <w:rsid w:val="004823EE"/>
    <w:rsid w:val="0048253D"/>
    <w:rsid w:val="00482615"/>
    <w:rsid w:val="0048291A"/>
    <w:rsid w:val="00482C87"/>
    <w:rsid w:val="004832DF"/>
    <w:rsid w:val="0048374E"/>
    <w:rsid w:val="00483DFD"/>
    <w:rsid w:val="00484048"/>
    <w:rsid w:val="00484294"/>
    <w:rsid w:val="00484A63"/>
    <w:rsid w:val="00484C1F"/>
    <w:rsid w:val="00484F54"/>
    <w:rsid w:val="004852DA"/>
    <w:rsid w:val="004855A9"/>
    <w:rsid w:val="00485618"/>
    <w:rsid w:val="00485D80"/>
    <w:rsid w:val="0048622D"/>
    <w:rsid w:val="004864E3"/>
    <w:rsid w:val="00486AB5"/>
    <w:rsid w:val="004871D7"/>
    <w:rsid w:val="00487F77"/>
    <w:rsid w:val="004908EB"/>
    <w:rsid w:val="004916A6"/>
    <w:rsid w:val="004923F0"/>
    <w:rsid w:val="0049299B"/>
    <w:rsid w:val="00493E79"/>
    <w:rsid w:val="00494792"/>
    <w:rsid w:val="0049559B"/>
    <w:rsid w:val="0049570D"/>
    <w:rsid w:val="00496198"/>
    <w:rsid w:val="004963AD"/>
    <w:rsid w:val="00496B3D"/>
    <w:rsid w:val="00496C73"/>
    <w:rsid w:val="00496D75"/>
    <w:rsid w:val="00496D83"/>
    <w:rsid w:val="004972FE"/>
    <w:rsid w:val="0049787A"/>
    <w:rsid w:val="00497A2D"/>
    <w:rsid w:val="00497A5C"/>
    <w:rsid w:val="00497CE4"/>
    <w:rsid w:val="004A03BA"/>
    <w:rsid w:val="004A0FD3"/>
    <w:rsid w:val="004A11DE"/>
    <w:rsid w:val="004A1306"/>
    <w:rsid w:val="004A135D"/>
    <w:rsid w:val="004A1A12"/>
    <w:rsid w:val="004A1A66"/>
    <w:rsid w:val="004A1BC3"/>
    <w:rsid w:val="004A2BA7"/>
    <w:rsid w:val="004A2FC0"/>
    <w:rsid w:val="004A3069"/>
    <w:rsid w:val="004A365B"/>
    <w:rsid w:val="004A3814"/>
    <w:rsid w:val="004A38D0"/>
    <w:rsid w:val="004A3EA5"/>
    <w:rsid w:val="004A3FFB"/>
    <w:rsid w:val="004A40EF"/>
    <w:rsid w:val="004A430B"/>
    <w:rsid w:val="004A48CC"/>
    <w:rsid w:val="004A4943"/>
    <w:rsid w:val="004A4984"/>
    <w:rsid w:val="004A4B2E"/>
    <w:rsid w:val="004A4C68"/>
    <w:rsid w:val="004A5438"/>
    <w:rsid w:val="004A55ED"/>
    <w:rsid w:val="004A57D2"/>
    <w:rsid w:val="004A62E7"/>
    <w:rsid w:val="004A67A3"/>
    <w:rsid w:val="004A6C19"/>
    <w:rsid w:val="004A6F70"/>
    <w:rsid w:val="004B04BF"/>
    <w:rsid w:val="004B0AD1"/>
    <w:rsid w:val="004B0FCB"/>
    <w:rsid w:val="004B2B73"/>
    <w:rsid w:val="004B389E"/>
    <w:rsid w:val="004B3A22"/>
    <w:rsid w:val="004B3A73"/>
    <w:rsid w:val="004B4A0A"/>
    <w:rsid w:val="004B4A2E"/>
    <w:rsid w:val="004B4A3A"/>
    <w:rsid w:val="004B4B6F"/>
    <w:rsid w:val="004B4C4F"/>
    <w:rsid w:val="004B6181"/>
    <w:rsid w:val="004B6346"/>
    <w:rsid w:val="004B66A0"/>
    <w:rsid w:val="004B66BF"/>
    <w:rsid w:val="004B682A"/>
    <w:rsid w:val="004B6997"/>
    <w:rsid w:val="004B6A4C"/>
    <w:rsid w:val="004B6E36"/>
    <w:rsid w:val="004B7143"/>
    <w:rsid w:val="004B742A"/>
    <w:rsid w:val="004B74D9"/>
    <w:rsid w:val="004B790A"/>
    <w:rsid w:val="004C00F5"/>
    <w:rsid w:val="004C059F"/>
    <w:rsid w:val="004C0D71"/>
    <w:rsid w:val="004C1333"/>
    <w:rsid w:val="004C1550"/>
    <w:rsid w:val="004C1741"/>
    <w:rsid w:val="004C2209"/>
    <w:rsid w:val="004C2B5A"/>
    <w:rsid w:val="004C38FF"/>
    <w:rsid w:val="004C3BC8"/>
    <w:rsid w:val="004C57B0"/>
    <w:rsid w:val="004C57B3"/>
    <w:rsid w:val="004C6BE0"/>
    <w:rsid w:val="004C7258"/>
    <w:rsid w:val="004C745E"/>
    <w:rsid w:val="004D082E"/>
    <w:rsid w:val="004D08B6"/>
    <w:rsid w:val="004D1274"/>
    <w:rsid w:val="004D1652"/>
    <w:rsid w:val="004D167F"/>
    <w:rsid w:val="004D1962"/>
    <w:rsid w:val="004D2062"/>
    <w:rsid w:val="004D25F2"/>
    <w:rsid w:val="004D28CE"/>
    <w:rsid w:val="004D29A5"/>
    <w:rsid w:val="004D29DD"/>
    <w:rsid w:val="004D2C95"/>
    <w:rsid w:val="004D31D5"/>
    <w:rsid w:val="004D3A94"/>
    <w:rsid w:val="004D4154"/>
    <w:rsid w:val="004D422D"/>
    <w:rsid w:val="004D4740"/>
    <w:rsid w:val="004D4CBA"/>
    <w:rsid w:val="004D4F0E"/>
    <w:rsid w:val="004D50C3"/>
    <w:rsid w:val="004D5491"/>
    <w:rsid w:val="004D634A"/>
    <w:rsid w:val="004D69F7"/>
    <w:rsid w:val="004D6AC5"/>
    <w:rsid w:val="004D7086"/>
    <w:rsid w:val="004D7116"/>
    <w:rsid w:val="004D738D"/>
    <w:rsid w:val="004D764F"/>
    <w:rsid w:val="004D7F67"/>
    <w:rsid w:val="004E083C"/>
    <w:rsid w:val="004E09F7"/>
    <w:rsid w:val="004E0BE2"/>
    <w:rsid w:val="004E15B0"/>
    <w:rsid w:val="004E25B9"/>
    <w:rsid w:val="004E2A24"/>
    <w:rsid w:val="004E303F"/>
    <w:rsid w:val="004E3096"/>
    <w:rsid w:val="004E328D"/>
    <w:rsid w:val="004E34FD"/>
    <w:rsid w:val="004E3644"/>
    <w:rsid w:val="004E3BB8"/>
    <w:rsid w:val="004E44C0"/>
    <w:rsid w:val="004E45FD"/>
    <w:rsid w:val="004E47EA"/>
    <w:rsid w:val="004E4B6D"/>
    <w:rsid w:val="004E5022"/>
    <w:rsid w:val="004E55E8"/>
    <w:rsid w:val="004E5B81"/>
    <w:rsid w:val="004E5E36"/>
    <w:rsid w:val="004E5F5C"/>
    <w:rsid w:val="004E63B4"/>
    <w:rsid w:val="004E641C"/>
    <w:rsid w:val="004E72D6"/>
    <w:rsid w:val="004E74B8"/>
    <w:rsid w:val="004E767D"/>
    <w:rsid w:val="004E7CCD"/>
    <w:rsid w:val="004E7E90"/>
    <w:rsid w:val="004F03C0"/>
    <w:rsid w:val="004F040A"/>
    <w:rsid w:val="004F0822"/>
    <w:rsid w:val="004F0C6C"/>
    <w:rsid w:val="004F0F45"/>
    <w:rsid w:val="004F0F5B"/>
    <w:rsid w:val="004F10F7"/>
    <w:rsid w:val="004F170D"/>
    <w:rsid w:val="004F1DC2"/>
    <w:rsid w:val="004F21ED"/>
    <w:rsid w:val="004F229A"/>
    <w:rsid w:val="004F2493"/>
    <w:rsid w:val="004F24AC"/>
    <w:rsid w:val="004F2A73"/>
    <w:rsid w:val="004F3737"/>
    <w:rsid w:val="004F3A4B"/>
    <w:rsid w:val="004F40B8"/>
    <w:rsid w:val="004F4199"/>
    <w:rsid w:val="004F572F"/>
    <w:rsid w:val="004F5A8B"/>
    <w:rsid w:val="004F6380"/>
    <w:rsid w:val="004F76F1"/>
    <w:rsid w:val="004F79AC"/>
    <w:rsid w:val="004F7BC0"/>
    <w:rsid w:val="004F7C74"/>
    <w:rsid w:val="005002E4"/>
    <w:rsid w:val="005004CD"/>
    <w:rsid w:val="005011A9"/>
    <w:rsid w:val="005011AA"/>
    <w:rsid w:val="00501821"/>
    <w:rsid w:val="00501F6A"/>
    <w:rsid w:val="005029B6"/>
    <w:rsid w:val="00503491"/>
    <w:rsid w:val="00503798"/>
    <w:rsid w:val="0050465A"/>
    <w:rsid w:val="0050468C"/>
    <w:rsid w:val="00504B70"/>
    <w:rsid w:val="00504E2A"/>
    <w:rsid w:val="005050D8"/>
    <w:rsid w:val="005052E3"/>
    <w:rsid w:val="00505DDF"/>
    <w:rsid w:val="0050711D"/>
    <w:rsid w:val="00507A5D"/>
    <w:rsid w:val="00507CCC"/>
    <w:rsid w:val="00510C20"/>
    <w:rsid w:val="005110D5"/>
    <w:rsid w:val="005113D0"/>
    <w:rsid w:val="00511B1F"/>
    <w:rsid w:val="00511B73"/>
    <w:rsid w:val="00511E97"/>
    <w:rsid w:val="005121FC"/>
    <w:rsid w:val="00512509"/>
    <w:rsid w:val="00512A00"/>
    <w:rsid w:val="00512AF3"/>
    <w:rsid w:val="00512EE3"/>
    <w:rsid w:val="00513232"/>
    <w:rsid w:val="00513943"/>
    <w:rsid w:val="005144ED"/>
    <w:rsid w:val="0051537F"/>
    <w:rsid w:val="005159C8"/>
    <w:rsid w:val="005160F0"/>
    <w:rsid w:val="00516744"/>
    <w:rsid w:val="00516FBB"/>
    <w:rsid w:val="00517799"/>
    <w:rsid w:val="00517C70"/>
    <w:rsid w:val="00517DFA"/>
    <w:rsid w:val="00517F44"/>
    <w:rsid w:val="005201AF"/>
    <w:rsid w:val="00520791"/>
    <w:rsid w:val="00520C91"/>
    <w:rsid w:val="00521379"/>
    <w:rsid w:val="00521B7E"/>
    <w:rsid w:val="00521BBD"/>
    <w:rsid w:val="005229D9"/>
    <w:rsid w:val="00522F29"/>
    <w:rsid w:val="00523B49"/>
    <w:rsid w:val="00523CDE"/>
    <w:rsid w:val="0052453E"/>
    <w:rsid w:val="00524990"/>
    <w:rsid w:val="0052591A"/>
    <w:rsid w:val="005259ED"/>
    <w:rsid w:val="00525A65"/>
    <w:rsid w:val="00525B1D"/>
    <w:rsid w:val="00526350"/>
    <w:rsid w:val="005267B2"/>
    <w:rsid w:val="0052682A"/>
    <w:rsid w:val="0052740B"/>
    <w:rsid w:val="0053006E"/>
    <w:rsid w:val="00530496"/>
    <w:rsid w:val="00530614"/>
    <w:rsid w:val="00530CFF"/>
    <w:rsid w:val="00530D5D"/>
    <w:rsid w:val="00531590"/>
    <w:rsid w:val="00531822"/>
    <w:rsid w:val="00531A0B"/>
    <w:rsid w:val="00531DA3"/>
    <w:rsid w:val="00531DE9"/>
    <w:rsid w:val="00532D84"/>
    <w:rsid w:val="00532DF4"/>
    <w:rsid w:val="005335B5"/>
    <w:rsid w:val="00533603"/>
    <w:rsid w:val="005337C2"/>
    <w:rsid w:val="0053385D"/>
    <w:rsid w:val="00533D00"/>
    <w:rsid w:val="00533E82"/>
    <w:rsid w:val="005349BD"/>
    <w:rsid w:val="00534FF0"/>
    <w:rsid w:val="005354EF"/>
    <w:rsid w:val="00536327"/>
    <w:rsid w:val="00536D9C"/>
    <w:rsid w:val="005372A1"/>
    <w:rsid w:val="00537E32"/>
    <w:rsid w:val="0054015F"/>
    <w:rsid w:val="005404BD"/>
    <w:rsid w:val="00540B48"/>
    <w:rsid w:val="00541323"/>
    <w:rsid w:val="005415C5"/>
    <w:rsid w:val="0054292B"/>
    <w:rsid w:val="0054343F"/>
    <w:rsid w:val="005437CF"/>
    <w:rsid w:val="00543A81"/>
    <w:rsid w:val="00543B11"/>
    <w:rsid w:val="00543CF3"/>
    <w:rsid w:val="0054409B"/>
    <w:rsid w:val="0054433B"/>
    <w:rsid w:val="00544472"/>
    <w:rsid w:val="00544934"/>
    <w:rsid w:val="00544D7E"/>
    <w:rsid w:val="0054629F"/>
    <w:rsid w:val="00546853"/>
    <w:rsid w:val="00546899"/>
    <w:rsid w:val="00547313"/>
    <w:rsid w:val="00547430"/>
    <w:rsid w:val="00547B6E"/>
    <w:rsid w:val="00550A8C"/>
    <w:rsid w:val="00550FD8"/>
    <w:rsid w:val="005513AC"/>
    <w:rsid w:val="005517F1"/>
    <w:rsid w:val="00551FC5"/>
    <w:rsid w:val="005520E8"/>
    <w:rsid w:val="0055246A"/>
    <w:rsid w:val="00552565"/>
    <w:rsid w:val="005528B7"/>
    <w:rsid w:val="00552C5F"/>
    <w:rsid w:val="00552C8F"/>
    <w:rsid w:val="00552FC4"/>
    <w:rsid w:val="0055326B"/>
    <w:rsid w:val="00553302"/>
    <w:rsid w:val="0055351C"/>
    <w:rsid w:val="0055399E"/>
    <w:rsid w:val="005546E5"/>
    <w:rsid w:val="0055538D"/>
    <w:rsid w:val="00555513"/>
    <w:rsid w:val="00555557"/>
    <w:rsid w:val="005559ED"/>
    <w:rsid w:val="00555D97"/>
    <w:rsid w:val="00556BF6"/>
    <w:rsid w:val="00556CF5"/>
    <w:rsid w:val="00556EF4"/>
    <w:rsid w:val="005575F2"/>
    <w:rsid w:val="00557805"/>
    <w:rsid w:val="0055780E"/>
    <w:rsid w:val="00557E2E"/>
    <w:rsid w:val="00560AF4"/>
    <w:rsid w:val="00560DC8"/>
    <w:rsid w:val="00561B83"/>
    <w:rsid w:val="00562EA0"/>
    <w:rsid w:val="0056319E"/>
    <w:rsid w:val="0056327F"/>
    <w:rsid w:val="005634FF"/>
    <w:rsid w:val="005639F4"/>
    <w:rsid w:val="00564BAE"/>
    <w:rsid w:val="005659ED"/>
    <w:rsid w:val="00566B88"/>
    <w:rsid w:val="00566C64"/>
    <w:rsid w:val="00567409"/>
    <w:rsid w:val="00567B01"/>
    <w:rsid w:val="00567B14"/>
    <w:rsid w:val="005706D4"/>
    <w:rsid w:val="00570874"/>
    <w:rsid w:val="005708BF"/>
    <w:rsid w:val="00570BAB"/>
    <w:rsid w:val="00570D39"/>
    <w:rsid w:val="00570EC3"/>
    <w:rsid w:val="00570F60"/>
    <w:rsid w:val="005712BC"/>
    <w:rsid w:val="00571979"/>
    <w:rsid w:val="005720EB"/>
    <w:rsid w:val="0057266F"/>
    <w:rsid w:val="00572C7F"/>
    <w:rsid w:val="00572EC5"/>
    <w:rsid w:val="00572F6D"/>
    <w:rsid w:val="005734B9"/>
    <w:rsid w:val="00573BB9"/>
    <w:rsid w:val="00573D32"/>
    <w:rsid w:val="00573F2A"/>
    <w:rsid w:val="00574964"/>
    <w:rsid w:val="00576EF1"/>
    <w:rsid w:val="005772C8"/>
    <w:rsid w:val="005775F2"/>
    <w:rsid w:val="00577F2A"/>
    <w:rsid w:val="00577F8A"/>
    <w:rsid w:val="00580297"/>
    <w:rsid w:val="005804A7"/>
    <w:rsid w:val="005810ED"/>
    <w:rsid w:val="005817C1"/>
    <w:rsid w:val="00581A9A"/>
    <w:rsid w:val="00582163"/>
    <w:rsid w:val="005823ED"/>
    <w:rsid w:val="005824E7"/>
    <w:rsid w:val="0058254A"/>
    <w:rsid w:val="00582A27"/>
    <w:rsid w:val="00582BB1"/>
    <w:rsid w:val="00582D16"/>
    <w:rsid w:val="00583236"/>
    <w:rsid w:val="005836AC"/>
    <w:rsid w:val="00584595"/>
    <w:rsid w:val="00584FB2"/>
    <w:rsid w:val="005855CF"/>
    <w:rsid w:val="0058598D"/>
    <w:rsid w:val="00585BE9"/>
    <w:rsid w:val="005860A6"/>
    <w:rsid w:val="005870F0"/>
    <w:rsid w:val="005870FE"/>
    <w:rsid w:val="00587AED"/>
    <w:rsid w:val="00587BA5"/>
    <w:rsid w:val="00587EFC"/>
    <w:rsid w:val="00591677"/>
    <w:rsid w:val="00591CE3"/>
    <w:rsid w:val="00592762"/>
    <w:rsid w:val="00592B7F"/>
    <w:rsid w:val="00592C73"/>
    <w:rsid w:val="00592FD2"/>
    <w:rsid w:val="00593969"/>
    <w:rsid w:val="005943B1"/>
    <w:rsid w:val="00594523"/>
    <w:rsid w:val="0059518E"/>
    <w:rsid w:val="005954B8"/>
    <w:rsid w:val="00595766"/>
    <w:rsid w:val="00596ED6"/>
    <w:rsid w:val="00597184"/>
    <w:rsid w:val="0059799E"/>
    <w:rsid w:val="00597CE2"/>
    <w:rsid w:val="00597CE5"/>
    <w:rsid w:val="005A0533"/>
    <w:rsid w:val="005A1338"/>
    <w:rsid w:val="005A165B"/>
    <w:rsid w:val="005A1AC8"/>
    <w:rsid w:val="005A1CA9"/>
    <w:rsid w:val="005A2773"/>
    <w:rsid w:val="005A2978"/>
    <w:rsid w:val="005A3097"/>
    <w:rsid w:val="005A34EA"/>
    <w:rsid w:val="005A3998"/>
    <w:rsid w:val="005A3A70"/>
    <w:rsid w:val="005A52C5"/>
    <w:rsid w:val="005A68A1"/>
    <w:rsid w:val="005A6D59"/>
    <w:rsid w:val="005A7719"/>
    <w:rsid w:val="005B0D08"/>
    <w:rsid w:val="005B0F7C"/>
    <w:rsid w:val="005B1233"/>
    <w:rsid w:val="005B123E"/>
    <w:rsid w:val="005B18FF"/>
    <w:rsid w:val="005B24AC"/>
    <w:rsid w:val="005B3DDB"/>
    <w:rsid w:val="005B3FAC"/>
    <w:rsid w:val="005B4059"/>
    <w:rsid w:val="005B45F0"/>
    <w:rsid w:val="005B5271"/>
    <w:rsid w:val="005B53F4"/>
    <w:rsid w:val="005B54C1"/>
    <w:rsid w:val="005B55C0"/>
    <w:rsid w:val="005B6614"/>
    <w:rsid w:val="005B66C9"/>
    <w:rsid w:val="005B6999"/>
    <w:rsid w:val="005B6B88"/>
    <w:rsid w:val="005B6DBE"/>
    <w:rsid w:val="005B6DCC"/>
    <w:rsid w:val="005B7497"/>
    <w:rsid w:val="005B7BB3"/>
    <w:rsid w:val="005C0571"/>
    <w:rsid w:val="005C0EE5"/>
    <w:rsid w:val="005C18E6"/>
    <w:rsid w:val="005C218C"/>
    <w:rsid w:val="005C292C"/>
    <w:rsid w:val="005C2978"/>
    <w:rsid w:val="005C2B17"/>
    <w:rsid w:val="005C2FC6"/>
    <w:rsid w:val="005C34AB"/>
    <w:rsid w:val="005C3C05"/>
    <w:rsid w:val="005C3CB7"/>
    <w:rsid w:val="005C474A"/>
    <w:rsid w:val="005C48A1"/>
    <w:rsid w:val="005C48C9"/>
    <w:rsid w:val="005C4B7B"/>
    <w:rsid w:val="005C5BE3"/>
    <w:rsid w:val="005C5D75"/>
    <w:rsid w:val="005C618F"/>
    <w:rsid w:val="005C6E8E"/>
    <w:rsid w:val="005C7661"/>
    <w:rsid w:val="005C7844"/>
    <w:rsid w:val="005C7BFE"/>
    <w:rsid w:val="005C7DA9"/>
    <w:rsid w:val="005D0322"/>
    <w:rsid w:val="005D1290"/>
    <w:rsid w:val="005D18A3"/>
    <w:rsid w:val="005D195B"/>
    <w:rsid w:val="005D1CC1"/>
    <w:rsid w:val="005D2C17"/>
    <w:rsid w:val="005D2CE4"/>
    <w:rsid w:val="005D3675"/>
    <w:rsid w:val="005D4DB3"/>
    <w:rsid w:val="005D50E4"/>
    <w:rsid w:val="005D51A2"/>
    <w:rsid w:val="005D5309"/>
    <w:rsid w:val="005D5672"/>
    <w:rsid w:val="005D5ACB"/>
    <w:rsid w:val="005D5CB3"/>
    <w:rsid w:val="005D5D60"/>
    <w:rsid w:val="005D60B9"/>
    <w:rsid w:val="005D630B"/>
    <w:rsid w:val="005D6561"/>
    <w:rsid w:val="005D679C"/>
    <w:rsid w:val="005D746A"/>
    <w:rsid w:val="005D787D"/>
    <w:rsid w:val="005E0907"/>
    <w:rsid w:val="005E094E"/>
    <w:rsid w:val="005E1753"/>
    <w:rsid w:val="005E1BF7"/>
    <w:rsid w:val="005E22E3"/>
    <w:rsid w:val="005E29C7"/>
    <w:rsid w:val="005E29EB"/>
    <w:rsid w:val="005E3281"/>
    <w:rsid w:val="005E356D"/>
    <w:rsid w:val="005E4E18"/>
    <w:rsid w:val="005E585E"/>
    <w:rsid w:val="005E59F7"/>
    <w:rsid w:val="005E5AB7"/>
    <w:rsid w:val="005E5B88"/>
    <w:rsid w:val="005E5E5E"/>
    <w:rsid w:val="005E656E"/>
    <w:rsid w:val="005E6695"/>
    <w:rsid w:val="005E6B7F"/>
    <w:rsid w:val="005E6FBC"/>
    <w:rsid w:val="005E7207"/>
    <w:rsid w:val="005E74B9"/>
    <w:rsid w:val="005E7F92"/>
    <w:rsid w:val="005F0819"/>
    <w:rsid w:val="005F0C5C"/>
    <w:rsid w:val="005F0F74"/>
    <w:rsid w:val="005F1915"/>
    <w:rsid w:val="005F1F6A"/>
    <w:rsid w:val="005F2713"/>
    <w:rsid w:val="005F28CB"/>
    <w:rsid w:val="005F28E9"/>
    <w:rsid w:val="005F31AD"/>
    <w:rsid w:val="005F3284"/>
    <w:rsid w:val="005F337B"/>
    <w:rsid w:val="005F36CF"/>
    <w:rsid w:val="005F377A"/>
    <w:rsid w:val="005F3785"/>
    <w:rsid w:val="005F3870"/>
    <w:rsid w:val="005F3B61"/>
    <w:rsid w:val="005F42AA"/>
    <w:rsid w:val="005F44E5"/>
    <w:rsid w:val="005F4BA1"/>
    <w:rsid w:val="005F4D67"/>
    <w:rsid w:val="005F4E97"/>
    <w:rsid w:val="005F536F"/>
    <w:rsid w:val="005F5574"/>
    <w:rsid w:val="005F5EB7"/>
    <w:rsid w:val="005F6393"/>
    <w:rsid w:val="005F64BE"/>
    <w:rsid w:val="005F65CB"/>
    <w:rsid w:val="005F6EE5"/>
    <w:rsid w:val="005F6F9F"/>
    <w:rsid w:val="005F75A8"/>
    <w:rsid w:val="006000E0"/>
    <w:rsid w:val="0060018D"/>
    <w:rsid w:val="0060113D"/>
    <w:rsid w:val="006014CF"/>
    <w:rsid w:val="00601873"/>
    <w:rsid w:val="00602004"/>
    <w:rsid w:val="00602467"/>
    <w:rsid w:val="00603ADB"/>
    <w:rsid w:val="00603BBC"/>
    <w:rsid w:val="00604206"/>
    <w:rsid w:val="0060464C"/>
    <w:rsid w:val="006046F0"/>
    <w:rsid w:val="00605DE0"/>
    <w:rsid w:val="00606279"/>
    <w:rsid w:val="006066AB"/>
    <w:rsid w:val="0060671D"/>
    <w:rsid w:val="00606734"/>
    <w:rsid w:val="00606FE1"/>
    <w:rsid w:val="0060788F"/>
    <w:rsid w:val="00610014"/>
    <w:rsid w:val="0061022A"/>
    <w:rsid w:val="00610369"/>
    <w:rsid w:val="00610540"/>
    <w:rsid w:val="00610D4B"/>
    <w:rsid w:val="00610FDE"/>
    <w:rsid w:val="00611DF1"/>
    <w:rsid w:val="00611F71"/>
    <w:rsid w:val="00612ADC"/>
    <w:rsid w:val="006134FA"/>
    <w:rsid w:val="0061370E"/>
    <w:rsid w:val="00613BA4"/>
    <w:rsid w:val="006142D2"/>
    <w:rsid w:val="00614967"/>
    <w:rsid w:val="0061518A"/>
    <w:rsid w:val="00616079"/>
    <w:rsid w:val="00616494"/>
    <w:rsid w:val="00616782"/>
    <w:rsid w:val="0061687E"/>
    <w:rsid w:val="00616C3D"/>
    <w:rsid w:val="00616FDF"/>
    <w:rsid w:val="0061723C"/>
    <w:rsid w:val="006172AC"/>
    <w:rsid w:val="00617CE7"/>
    <w:rsid w:val="0062023D"/>
    <w:rsid w:val="00620294"/>
    <w:rsid w:val="00620864"/>
    <w:rsid w:val="006208FF"/>
    <w:rsid w:val="0062236F"/>
    <w:rsid w:val="00623B7C"/>
    <w:rsid w:val="00623B8E"/>
    <w:rsid w:val="00623E2F"/>
    <w:rsid w:val="00624420"/>
    <w:rsid w:val="00624498"/>
    <w:rsid w:val="00624B17"/>
    <w:rsid w:val="00624F84"/>
    <w:rsid w:val="006254C7"/>
    <w:rsid w:val="006254F7"/>
    <w:rsid w:val="00625558"/>
    <w:rsid w:val="006255FF"/>
    <w:rsid w:val="00625AC5"/>
    <w:rsid w:val="00625DFD"/>
    <w:rsid w:val="00625E7E"/>
    <w:rsid w:val="006266AB"/>
    <w:rsid w:val="00626A78"/>
    <w:rsid w:val="00626AC3"/>
    <w:rsid w:val="006271BF"/>
    <w:rsid w:val="006276C7"/>
    <w:rsid w:val="00627F6E"/>
    <w:rsid w:val="00630A6E"/>
    <w:rsid w:val="00630CD8"/>
    <w:rsid w:val="00631046"/>
    <w:rsid w:val="0063196F"/>
    <w:rsid w:val="006319E0"/>
    <w:rsid w:val="006321F1"/>
    <w:rsid w:val="006323D1"/>
    <w:rsid w:val="00632960"/>
    <w:rsid w:val="00632F68"/>
    <w:rsid w:val="0063301C"/>
    <w:rsid w:val="006336FD"/>
    <w:rsid w:val="006339D2"/>
    <w:rsid w:val="00633BD9"/>
    <w:rsid w:val="00633EEA"/>
    <w:rsid w:val="006341F5"/>
    <w:rsid w:val="0063444F"/>
    <w:rsid w:val="00634C1E"/>
    <w:rsid w:val="00634E99"/>
    <w:rsid w:val="00635113"/>
    <w:rsid w:val="00635208"/>
    <w:rsid w:val="006358E4"/>
    <w:rsid w:val="006359FB"/>
    <w:rsid w:val="00636271"/>
    <w:rsid w:val="00636FA2"/>
    <w:rsid w:val="00636FCC"/>
    <w:rsid w:val="00637661"/>
    <w:rsid w:val="006405EA"/>
    <w:rsid w:val="00640AC4"/>
    <w:rsid w:val="00641232"/>
    <w:rsid w:val="00641355"/>
    <w:rsid w:val="00642136"/>
    <w:rsid w:val="00642308"/>
    <w:rsid w:val="006430F1"/>
    <w:rsid w:val="006436F7"/>
    <w:rsid w:val="00643780"/>
    <w:rsid w:val="00643AC1"/>
    <w:rsid w:val="0064408C"/>
    <w:rsid w:val="00644193"/>
    <w:rsid w:val="006443E8"/>
    <w:rsid w:val="00644A94"/>
    <w:rsid w:val="00644AC0"/>
    <w:rsid w:val="00644C59"/>
    <w:rsid w:val="00644F4A"/>
    <w:rsid w:val="00645081"/>
    <w:rsid w:val="0064520A"/>
    <w:rsid w:val="00645AE9"/>
    <w:rsid w:val="00646400"/>
    <w:rsid w:val="0064679A"/>
    <w:rsid w:val="00646AA2"/>
    <w:rsid w:val="00647039"/>
    <w:rsid w:val="0064758A"/>
    <w:rsid w:val="00647F4E"/>
    <w:rsid w:val="0065026E"/>
    <w:rsid w:val="006507F0"/>
    <w:rsid w:val="0065140B"/>
    <w:rsid w:val="00651451"/>
    <w:rsid w:val="006514ED"/>
    <w:rsid w:val="006517B9"/>
    <w:rsid w:val="00651B29"/>
    <w:rsid w:val="00651E2C"/>
    <w:rsid w:val="0065291B"/>
    <w:rsid w:val="00652AF6"/>
    <w:rsid w:val="00652D7A"/>
    <w:rsid w:val="0065309F"/>
    <w:rsid w:val="006549BB"/>
    <w:rsid w:val="00654C5C"/>
    <w:rsid w:val="0065502A"/>
    <w:rsid w:val="006551FD"/>
    <w:rsid w:val="006553D3"/>
    <w:rsid w:val="00655645"/>
    <w:rsid w:val="00655925"/>
    <w:rsid w:val="00656012"/>
    <w:rsid w:val="00656B3F"/>
    <w:rsid w:val="00656BFA"/>
    <w:rsid w:val="00656D2A"/>
    <w:rsid w:val="00656D51"/>
    <w:rsid w:val="00657141"/>
    <w:rsid w:val="00657631"/>
    <w:rsid w:val="00657E37"/>
    <w:rsid w:val="006607D1"/>
    <w:rsid w:val="00661648"/>
    <w:rsid w:val="00661A9F"/>
    <w:rsid w:val="00662181"/>
    <w:rsid w:val="00662753"/>
    <w:rsid w:val="00663092"/>
    <w:rsid w:val="006630AF"/>
    <w:rsid w:val="00663195"/>
    <w:rsid w:val="00663521"/>
    <w:rsid w:val="0066353D"/>
    <w:rsid w:val="006651B0"/>
    <w:rsid w:val="006651C7"/>
    <w:rsid w:val="00665533"/>
    <w:rsid w:val="0066553A"/>
    <w:rsid w:val="006655F5"/>
    <w:rsid w:val="00665A3B"/>
    <w:rsid w:val="00665DC0"/>
    <w:rsid w:val="006662B1"/>
    <w:rsid w:val="006671BD"/>
    <w:rsid w:val="006672B9"/>
    <w:rsid w:val="006677DC"/>
    <w:rsid w:val="00667FC0"/>
    <w:rsid w:val="006706F7"/>
    <w:rsid w:val="006707E4"/>
    <w:rsid w:val="00670ACE"/>
    <w:rsid w:val="00671310"/>
    <w:rsid w:val="006719E0"/>
    <w:rsid w:val="00671B7A"/>
    <w:rsid w:val="00671CEF"/>
    <w:rsid w:val="00671F47"/>
    <w:rsid w:val="0067225C"/>
    <w:rsid w:val="00672358"/>
    <w:rsid w:val="0067236D"/>
    <w:rsid w:val="006725A9"/>
    <w:rsid w:val="00672828"/>
    <w:rsid w:val="006729F1"/>
    <w:rsid w:val="00672F93"/>
    <w:rsid w:val="00673939"/>
    <w:rsid w:val="006748EF"/>
    <w:rsid w:val="00674A99"/>
    <w:rsid w:val="00674FA6"/>
    <w:rsid w:val="00675431"/>
    <w:rsid w:val="00675EA9"/>
    <w:rsid w:val="00676042"/>
    <w:rsid w:val="00676C68"/>
    <w:rsid w:val="00676CEE"/>
    <w:rsid w:val="006772AA"/>
    <w:rsid w:val="00677BF9"/>
    <w:rsid w:val="00677F3A"/>
    <w:rsid w:val="0068059B"/>
    <w:rsid w:val="00680A2A"/>
    <w:rsid w:val="00681053"/>
    <w:rsid w:val="006832E9"/>
    <w:rsid w:val="006839A3"/>
    <w:rsid w:val="0068437D"/>
    <w:rsid w:val="0068468E"/>
    <w:rsid w:val="006846CD"/>
    <w:rsid w:val="00684856"/>
    <w:rsid w:val="00684E18"/>
    <w:rsid w:val="00684FF3"/>
    <w:rsid w:val="0068511E"/>
    <w:rsid w:val="00685798"/>
    <w:rsid w:val="00685B26"/>
    <w:rsid w:val="006868CF"/>
    <w:rsid w:val="00686AB9"/>
    <w:rsid w:val="00686B8B"/>
    <w:rsid w:val="006875BE"/>
    <w:rsid w:val="0068771B"/>
    <w:rsid w:val="00687E24"/>
    <w:rsid w:val="00687E8E"/>
    <w:rsid w:val="00690117"/>
    <w:rsid w:val="006902E6"/>
    <w:rsid w:val="00690700"/>
    <w:rsid w:val="00690EC5"/>
    <w:rsid w:val="00691B2B"/>
    <w:rsid w:val="00691C90"/>
    <w:rsid w:val="00691F11"/>
    <w:rsid w:val="00691F9B"/>
    <w:rsid w:val="006921E8"/>
    <w:rsid w:val="0069296D"/>
    <w:rsid w:val="00692A62"/>
    <w:rsid w:val="006934A6"/>
    <w:rsid w:val="006939AB"/>
    <w:rsid w:val="00693A45"/>
    <w:rsid w:val="00694012"/>
    <w:rsid w:val="00694460"/>
    <w:rsid w:val="00694E60"/>
    <w:rsid w:val="00695119"/>
    <w:rsid w:val="00695592"/>
    <w:rsid w:val="00695B95"/>
    <w:rsid w:val="00695E94"/>
    <w:rsid w:val="0069622B"/>
    <w:rsid w:val="0069660C"/>
    <w:rsid w:val="00696EC2"/>
    <w:rsid w:val="00697059"/>
    <w:rsid w:val="006974F1"/>
    <w:rsid w:val="006976D6"/>
    <w:rsid w:val="006A02A5"/>
    <w:rsid w:val="006A075B"/>
    <w:rsid w:val="006A0802"/>
    <w:rsid w:val="006A09AE"/>
    <w:rsid w:val="006A134F"/>
    <w:rsid w:val="006A1CE9"/>
    <w:rsid w:val="006A2366"/>
    <w:rsid w:val="006A24B5"/>
    <w:rsid w:val="006A2683"/>
    <w:rsid w:val="006A29D2"/>
    <w:rsid w:val="006A3CE8"/>
    <w:rsid w:val="006A51C7"/>
    <w:rsid w:val="006A5289"/>
    <w:rsid w:val="006A5AAB"/>
    <w:rsid w:val="006A5CA1"/>
    <w:rsid w:val="006A62DB"/>
    <w:rsid w:val="006A65A9"/>
    <w:rsid w:val="006A6782"/>
    <w:rsid w:val="006A6B0B"/>
    <w:rsid w:val="006A6D2A"/>
    <w:rsid w:val="006A6DE1"/>
    <w:rsid w:val="006A6F14"/>
    <w:rsid w:val="006A7277"/>
    <w:rsid w:val="006A7651"/>
    <w:rsid w:val="006B0297"/>
    <w:rsid w:val="006B0420"/>
    <w:rsid w:val="006B057C"/>
    <w:rsid w:val="006B0BCD"/>
    <w:rsid w:val="006B0F8E"/>
    <w:rsid w:val="006B0F90"/>
    <w:rsid w:val="006B189C"/>
    <w:rsid w:val="006B18C4"/>
    <w:rsid w:val="006B2458"/>
    <w:rsid w:val="006B262C"/>
    <w:rsid w:val="006B2D4C"/>
    <w:rsid w:val="006B2F5F"/>
    <w:rsid w:val="006B3740"/>
    <w:rsid w:val="006B3F39"/>
    <w:rsid w:val="006B44B2"/>
    <w:rsid w:val="006B4AA8"/>
    <w:rsid w:val="006B4C0D"/>
    <w:rsid w:val="006B4E1E"/>
    <w:rsid w:val="006B53CE"/>
    <w:rsid w:val="006B5F12"/>
    <w:rsid w:val="006B603E"/>
    <w:rsid w:val="006B64AB"/>
    <w:rsid w:val="006B6967"/>
    <w:rsid w:val="006B6C28"/>
    <w:rsid w:val="006B6E3C"/>
    <w:rsid w:val="006B74AD"/>
    <w:rsid w:val="006B7726"/>
    <w:rsid w:val="006B787A"/>
    <w:rsid w:val="006B7BB3"/>
    <w:rsid w:val="006C0238"/>
    <w:rsid w:val="006C1054"/>
    <w:rsid w:val="006C1312"/>
    <w:rsid w:val="006C165E"/>
    <w:rsid w:val="006C180C"/>
    <w:rsid w:val="006C1B35"/>
    <w:rsid w:val="006C1B65"/>
    <w:rsid w:val="006C1CC8"/>
    <w:rsid w:val="006C2844"/>
    <w:rsid w:val="006C2A6B"/>
    <w:rsid w:val="006C2F54"/>
    <w:rsid w:val="006C3148"/>
    <w:rsid w:val="006C34A6"/>
    <w:rsid w:val="006C37E3"/>
    <w:rsid w:val="006C3EBF"/>
    <w:rsid w:val="006C456F"/>
    <w:rsid w:val="006C4784"/>
    <w:rsid w:val="006C53EA"/>
    <w:rsid w:val="006C560F"/>
    <w:rsid w:val="006C5D08"/>
    <w:rsid w:val="006C61F7"/>
    <w:rsid w:val="006C727B"/>
    <w:rsid w:val="006C7685"/>
    <w:rsid w:val="006C784E"/>
    <w:rsid w:val="006C795F"/>
    <w:rsid w:val="006C7F52"/>
    <w:rsid w:val="006D01F5"/>
    <w:rsid w:val="006D098E"/>
    <w:rsid w:val="006D149C"/>
    <w:rsid w:val="006D244D"/>
    <w:rsid w:val="006D271E"/>
    <w:rsid w:val="006D33B3"/>
    <w:rsid w:val="006D38B6"/>
    <w:rsid w:val="006D4362"/>
    <w:rsid w:val="006D43A7"/>
    <w:rsid w:val="006D4662"/>
    <w:rsid w:val="006D4689"/>
    <w:rsid w:val="006D4F72"/>
    <w:rsid w:val="006D55D2"/>
    <w:rsid w:val="006D5F42"/>
    <w:rsid w:val="006D6483"/>
    <w:rsid w:val="006D6604"/>
    <w:rsid w:val="006D6B62"/>
    <w:rsid w:val="006D6D60"/>
    <w:rsid w:val="006D6D9B"/>
    <w:rsid w:val="006D7334"/>
    <w:rsid w:val="006E0089"/>
    <w:rsid w:val="006E027E"/>
    <w:rsid w:val="006E0766"/>
    <w:rsid w:val="006E0BFD"/>
    <w:rsid w:val="006E0D75"/>
    <w:rsid w:val="006E15C8"/>
    <w:rsid w:val="006E1A20"/>
    <w:rsid w:val="006E1DB3"/>
    <w:rsid w:val="006E255C"/>
    <w:rsid w:val="006E297A"/>
    <w:rsid w:val="006E2C7F"/>
    <w:rsid w:val="006E2C8B"/>
    <w:rsid w:val="006E3221"/>
    <w:rsid w:val="006E3AB6"/>
    <w:rsid w:val="006E4586"/>
    <w:rsid w:val="006E4B87"/>
    <w:rsid w:val="006E4CD8"/>
    <w:rsid w:val="006E4E75"/>
    <w:rsid w:val="006E5785"/>
    <w:rsid w:val="006E5F23"/>
    <w:rsid w:val="006E659A"/>
    <w:rsid w:val="006E65D6"/>
    <w:rsid w:val="006E66F3"/>
    <w:rsid w:val="006E6880"/>
    <w:rsid w:val="006E68A7"/>
    <w:rsid w:val="006E6BDC"/>
    <w:rsid w:val="006E6E16"/>
    <w:rsid w:val="006E7078"/>
    <w:rsid w:val="006E71B7"/>
    <w:rsid w:val="006E775A"/>
    <w:rsid w:val="006F064A"/>
    <w:rsid w:val="006F0713"/>
    <w:rsid w:val="006F0AFA"/>
    <w:rsid w:val="006F0ECC"/>
    <w:rsid w:val="006F13F4"/>
    <w:rsid w:val="006F177F"/>
    <w:rsid w:val="006F1D91"/>
    <w:rsid w:val="006F21CA"/>
    <w:rsid w:val="006F2302"/>
    <w:rsid w:val="006F2388"/>
    <w:rsid w:val="006F34FF"/>
    <w:rsid w:val="006F3753"/>
    <w:rsid w:val="006F3A30"/>
    <w:rsid w:val="006F41EC"/>
    <w:rsid w:val="006F509F"/>
    <w:rsid w:val="006F5270"/>
    <w:rsid w:val="006F5F50"/>
    <w:rsid w:val="006F62EE"/>
    <w:rsid w:val="006F642B"/>
    <w:rsid w:val="006F6842"/>
    <w:rsid w:val="006F684A"/>
    <w:rsid w:val="006F6FEF"/>
    <w:rsid w:val="006F7248"/>
    <w:rsid w:val="006F7E06"/>
    <w:rsid w:val="006F7EF1"/>
    <w:rsid w:val="006F7EF6"/>
    <w:rsid w:val="007001EB"/>
    <w:rsid w:val="00703749"/>
    <w:rsid w:val="0070426B"/>
    <w:rsid w:val="00704484"/>
    <w:rsid w:val="00704B6F"/>
    <w:rsid w:val="007050DE"/>
    <w:rsid w:val="00705A9D"/>
    <w:rsid w:val="00705BCE"/>
    <w:rsid w:val="00705FF0"/>
    <w:rsid w:val="00706546"/>
    <w:rsid w:val="0070669D"/>
    <w:rsid w:val="00706A5A"/>
    <w:rsid w:val="00706AAD"/>
    <w:rsid w:val="007070A6"/>
    <w:rsid w:val="0070792E"/>
    <w:rsid w:val="00707EC2"/>
    <w:rsid w:val="0071027C"/>
    <w:rsid w:val="00710864"/>
    <w:rsid w:val="00710952"/>
    <w:rsid w:val="00710A60"/>
    <w:rsid w:val="00710CB4"/>
    <w:rsid w:val="00711A4C"/>
    <w:rsid w:val="00711DF5"/>
    <w:rsid w:val="007122C1"/>
    <w:rsid w:val="00712443"/>
    <w:rsid w:val="00712807"/>
    <w:rsid w:val="007128A3"/>
    <w:rsid w:val="00712AFB"/>
    <w:rsid w:val="00713030"/>
    <w:rsid w:val="00713A29"/>
    <w:rsid w:val="00713F29"/>
    <w:rsid w:val="0071440C"/>
    <w:rsid w:val="007148AC"/>
    <w:rsid w:val="00714A9E"/>
    <w:rsid w:val="00714C4F"/>
    <w:rsid w:val="00714EB4"/>
    <w:rsid w:val="00715007"/>
    <w:rsid w:val="00715244"/>
    <w:rsid w:val="007152B2"/>
    <w:rsid w:val="00716145"/>
    <w:rsid w:val="0071638B"/>
    <w:rsid w:val="0071674E"/>
    <w:rsid w:val="0071685C"/>
    <w:rsid w:val="00716E38"/>
    <w:rsid w:val="0072052F"/>
    <w:rsid w:val="007214CA"/>
    <w:rsid w:val="0072172C"/>
    <w:rsid w:val="00721BB6"/>
    <w:rsid w:val="00722162"/>
    <w:rsid w:val="00722913"/>
    <w:rsid w:val="00722B8C"/>
    <w:rsid w:val="00722E45"/>
    <w:rsid w:val="007232B1"/>
    <w:rsid w:val="00723602"/>
    <w:rsid w:val="00723EA9"/>
    <w:rsid w:val="00723F11"/>
    <w:rsid w:val="0072419A"/>
    <w:rsid w:val="0072491E"/>
    <w:rsid w:val="0072494C"/>
    <w:rsid w:val="00724A79"/>
    <w:rsid w:val="007250F3"/>
    <w:rsid w:val="00725A28"/>
    <w:rsid w:val="00725C21"/>
    <w:rsid w:val="00726017"/>
    <w:rsid w:val="0072623F"/>
    <w:rsid w:val="007263C5"/>
    <w:rsid w:val="00726B59"/>
    <w:rsid w:val="00726E80"/>
    <w:rsid w:val="00727040"/>
    <w:rsid w:val="007270E7"/>
    <w:rsid w:val="007271FA"/>
    <w:rsid w:val="00727AA6"/>
    <w:rsid w:val="00727AC0"/>
    <w:rsid w:val="00727D17"/>
    <w:rsid w:val="00727DB1"/>
    <w:rsid w:val="00730153"/>
    <w:rsid w:val="007307AC"/>
    <w:rsid w:val="00731511"/>
    <w:rsid w:val="007316F6"/>
    <w:rsid w:val="00731CD2"/>
    <w:rsid w:val="007323A8"/>
    <w:rsid w:val="00732D2C"/>
    <w:rsid w:val="00732D8F"/>
    <w:rsid w:val="00734399"/>
    <w:rsid w:val="0073458D"/>
    <w:rsid w:val="0073518C"/>
    <w:rsid w:val="007353A6"/>
    <w:rsid w:val="007353CD"/>
    <w:rsid w:val="0073576B"/>
    <w:rsid w:val="00735F0E"/>
    <w:rsid w:val="0073606D"/>
    <w:rsid w:val="007361F9"/>
    <w:rsid w:val="00736430"/>
    <w:rsid w:val="00736FF4"/>
    <w:rsid w:val="007371A9"/>
    <w:rsid w:val="007371D1"/>
    <w:rsid w:val="0073779B"/>
    <w:rsid w:val="0073781A"/>
    <w:rsid w:val="00740E9A"/>
    <w:rsid w:val="0074157C"/>
    <w:rsid w:val="00742079"/>
    <w:rsid w:val="007425C7"/>
    <w:rsid w:val="0074279A"/>
    <w:rsid w:val="00742ABC"/>
    <w:rsid w:val="007432E1"/>
    <w:rsid w:val="007438A4"/>
    <w:rsid w:val="007448F4"/>
    <w:rsid w:val="00744CA0"/>
    <w:rsid w:val="00744ECF"/>
    <w:rsid w:val="0074574A"/>
    <w:rsid w:val="00745801"/>
    <w:rsid w:val="00745DF7"/>
    <w:rsid w:val="0074616E"/>
    <w:rsid w:val="007462F3"/>
    <w:rsid w:val="00746504"/>
    <w:rsid w:val="0074660A"/>
    <w:rsid w:val="00746996"/>
    <w:rsid w:val="00746DB1"/>
    <w:rsid w:val="00746E27"/>
    <w:rsid w:val="00746EA0"/>
    <w:rsid w:val="0074761A"/>
    <w:rsid w:val="007500DE"/>
    <w:rsid w:val="007506A5"/>
    <w:rsid w:val="00750DDC"/>
    <w:rsid w:val="00751099"/>
    <w:rsid w:val="00751247"/>
    <w:rsid w:val="0075125E"/>
    <w:rsid w:val="0075149E"/>
    <w:rsid w:val="00751CDF"/>
    <w:rsid w:val="00753A9F"/>
    <w:rsid w:val="00754A80"/>
    <w:rsid w:val="00754ACC"/>
    <w:rsid w:val="00754D53"/>
    <w:rsid w:val="00754ECE"/>
    <w:rsid w:val="00755B42"/>
    <w:rsid w:val="00755BE5"/>
    <w:rsid w:val="00755EB7"/>
    <w:rsid w:val="00755F2E"/>
    <w:rsid w:val="00755FDC"/>
    <w:rsid w:val="00756309"/>
    <w:rsid w:val="00756636"/>
    <w:rsid w:val="00756669"/>
    <w:rsid w:val="00756F0F"/>
    <w:rsid w:val="0075759C"/>
    <w:rsid w:val="00757758"/>
    <w:rsid w:val="007579C2"/>
    <w:rsid w:val="00760E7C"/>
    <w:rsid w:val="0076153A"/>
    <w:rsid w:val="00761795"/>
    <w:rsid w:val="00761C7B"/>
    <w:rsid w:val="007624EB"/>
    <w:rsid w:val="007628FC"/>
    <w:rsid w:val="00762C44"/>
    <w:rsid w:val="00762DC9"/>
    <w:rsid w:val="007633A5"/>
    <w:rsid w:val="0076349A"/>
    <w:rsid w:val="00763695"/>
    <w:rsid w:val="00764414"/>
    <w:rsid w:val="007651C6"/>
    <w:rsid w:val="007651E4"/>
    <w:rsid w:val="00765474"/>
    <w:rsid w:val="00765A45"/>
    <w:rsid w:val="00765BD2"/>
    <w:rsid w:val="00766871"/>
    <w:rsid w:val="00766D53"/>
    <w:rsid w:val="0076713A"/>
    <w:rsid w:val="0076743D"/>
    <w:rsid w:val="007674CF"/>
    <w:rsid w:val="00767B1D"/>
    <w:rsid w:val="00767E5A"/>
    <w:rsid w:val="00767F6F"/>
    <w:rsid w:val="00770A47"/>
    <w:rsid w:val="007711E0"/>
    <w:rsid w:val="00771304"/>
    <w:rsid w:val="00771F0B"/>
    <w:rsid w:val="007720EC"/>
    <w:rsid w:val="007728D0"/>
    <w:rsid w:val="00772EC7"/>
    <w:rsid w:val="00773735"/>
    <w:rsid w:val="007741D8"/>
    <w:rsid w:val="007750AD"/>
    <w:rsid w:val="00775143"/>
    <w:rsid w:val="00775D90"/>
    <w:rsid w:val="0077634D"/>
    <w:rsid w:val="00776781"/>
    <w:rsid w:val="00777077"/>
    <w:rsid w:val="00777966"/>
    <w:rsid w:val="00780033"/>
    <w:rsid w:val="007802AA"/>
    <w:rsid w:val="00780E57"/>
    <w:rsid w:val="00781143"/>
    <w:rsid w:val="00781333"/>
    <w:rsid w:val="0078194F"/>
    <w:rsid w:val="007824DC"/>
    <w:rsid w:val="00782603"/>
    <w:rsid w:val="00782962"/>
    <w:rsid w:val="007830B1"/>
    <w:rsid w:val="00783138"/>
    <w:rsid w:val="00783190"/>
    <w:rsid w:val="00783481"/>
    <w:rsid w:val="007837DF"/>
    <w:rsid w:val="0078429A"/>
    <w:rsid w:val="007842DE"/>
    <w:rsid w:val="00786510"/>
    <w:rsid w:val="00786BB9"/>
    <w:rsid w:val="00787F57"/>
    <w:rsid w:val="00790529"/>
    <w:rsid w:val="00790EDD"/>
    <w:rsid w:val="00791051"/>
    <w:rsid w:val="007912C0"/>
    <w:rsid w:val="00791631"/>
    <w:rsid w:val="00791ADE"/>
    <w:rsid w:val="00791B69"/>
    <w:rsid w:val="00791F95"/>
    <w:rsid w:val="007920D6"/>
    <w:rsid w:val="0079293E"/>
    <w:rsid w:val="0079304E"/>
    <w:rsid w:val="0079304F"/>
    <w:rsid w:val="007931DC"/>
    <w:rsid w:val="007936B7"/>
    <w:rsid w:val="0079379F"/>
    <w:rsid w:val="00793896"/>
    <w:rsid w:val="00793BDD"/>
    <w:rsid w:val="00793D24"/>
    <w:rsid w:val="00793D7E"/>
    <w:rsid w:val="00794485"/>
    <w:rsid w:val="00794D59"/>
    <w:rsid w:val="0079500B"/>
    <w:rsid w:val="00795627"/>
    <w:rsid w:val="00795663"/>
    <w:rsid w:val="0079588A"/>
    <w:rsid w:val="00795981"/>
    <w:rsid w:val="00795A7F"/>
    <w:rsid w:val="00795ADF"/>
    <w:rsid w:val="00795B93"/>
    <w:rsid w:val="00795EE0"/>
    <w:rsid w:val="0079635A"/>
    <w:rsid w:val="007964EF"/>
    <w:rsid w:val="0079663C"/>
    <w:rsid w:val="00797918"/>
    <w:rsid w:val="00797CF2"/>
    <w:rsid w:val="007A0302"/>
    <w:rsid w:val="007A0C7D"/>
    <w:rsid w:val="007A176A"/>
    <w:rsid w:val="007A1D8E"/>
    <w:rsid w:val="007A1E54"/>
    <w:rsid w:val="007A2277"/>
    <w:rsid w:val="007A26AA"/>
    <w:rsid w:val="007A270D"/>
    <w:rsid w:val="007A2C5E"/>
    <w:rsid w:val="007A2F64"/>
    <w:rsid w:val="007A3029"/>
    <w:rsid w:val="007A35A9"/>
    <w:rsid w:val="007A3E64"/>
    <w:rsid w:val="007A4BDC"/>
    <w:rsid w:val="007A5503"/>
    <w:rsid w:val="007A627A"/>
    <w:rsid w:val="007A694E"/>
    <w:rsid w:val="007A6F97"/>
    <w:rsid w:val="007A702B"/>
    <w:rsid w:val="007A7AC2"/>
    <w:rsid w:val="007A7CB6"/>
    <w:rsid w:val="007B0135"/>
    <w:rsid w:val="007B07A4"/>
    <w:rsid w:val="007B0E25"/>
    <w:rsid w:val="007B10DB"/>
    <w:rsid w:val="007B246A"/>
    <w:rsid w:val="007B2DE0"/>
    <w:rsid w:val="007B3418"/>
    <w:rsid w:val="007B356D"/>
    <w:rsid w:val="007B39E6"/>
    <w:rsid w:val="007B5334"/>
    <w:rsid w:val="007B5942"/>
    <w:rsid w:val="007B5ABD"/>
    <w:rsid w:val="007B5C67"/>
    <w:rsid w:val="007B694D"/>
    <w:rsid w:val="007B6B6E"/>
    <w:rsid w:val="007B727F"/>
    <w:rsid w:val="007B72D7"/>
    <w:rsid w:val="007B761A"/>
    <w:rsid w:val="007B7CF0"/>
    <w:rsid w:val="007C08C9"/>
    <w:rsid w:val="007C09AA"/>
    <w:rsid w:val="007C0CCE"/>
    <w:rsid w:val="007C1E73"/>
    <w:rsid w:val="007C260F"/>
    <w:rsid w:val="007C2683"/>
    <w:rsid w:val="007C323C"/>
    <w:rsid w:val="007C350F"/>
    <w:rsid w:val="007C41F1"/>
    <w:rsid w:val="007C44A6"/>
    <w:rsid w:val="007C4D1F"/>
    <w:rsid w:val="007C4DE6"/>
    <w:rsid w:val="007C503C"/>
    <w:rsid w:val="007C5430"/>
    <w:rsid w:val="007C5A74"/>
    <w:rsid w:val="007C5B16"/>
    <w:rsid w:val="007C62A9"/>
    <w:rsid w:val="007C62E8"/>
    <w:rsid w:val="007C6719"/>
    <w:rsid w:val="007C6808"/>
    <w:rsid w:val="007C762E"/>
    <w:rsid w:val="007C787E"/>
    <w:rsid w:val="007D03CA"/>
    <w:rsid w:val="007D061E"/>
    <w:rsid w:val="007D0B59"/>
    <w:rsid w:val="007D0FF3"/>
    <w:rsid w:val="007D1B25"/>
    <w:rsid w:val="007D2C0F"/>
    <w:rsid w:val="007D3942"/>
    <w:rsid w:val="007D4483"/>
    <w:rsid w:val="007D4ABD"/>
    <w:rsid w:val="007D4B09"/>
    <w:rsid w:val="007D5410"/>
    <w:rsid w:val="007D554C"/>
    <w:rsid w:val="007D5817"/>
    <w:rsid w:val="007D5CB5"/>
    <w:rsid w:val="007D6BC0"/>
    <w:rsid w:val="007D6C7A"/>
    <w:rsid w:val="007D6D4C"/>
    <w:rsid w:val="007D6F80"/>
    <w:rsid w:val="007D7570"/>
    <w:rsid w:val="007D7C4B"/>
    <w:rsid w:val="007E071C"/>
    <w:rsid w:val="007E09A8"/>
    <w:rsid w:val="007E1774"/>
    <w:rsid w:val="007E1B85"/>
    <w:rsid w:val="007E1C57"/>
    <w:rsid w:val="007E1C77"/>
    <w:rsid w:val="007E1F4D"/>
    <w:rsid w:val="007E2DC1"/>
    <w:rsid w:val="007E301F"/>
    <w:rsid w:val="007E3801"/>
    <w:rsid w:val="007E39BF"/>
    <w:rsid w:val="007E3CF2"/>
    <w:rsid w:val="007E3F08"/>
    <w:rsid w:val="007E3FFB"/>
    <w:rsid w:val="007E4226"/>
    <w:rsid w:val="007E43E8"/>
    <w:rsid w:val="007E494F"/>
    <w:rsid w:val="007E4B1B"/>
    <w:rsid w:val="007E4D96"/>
    <w:rsid w:val="007E53B7"/>
    <w:rsid w:val="007E579D"/>
    <w:rsid w:val="007E5830"/>
    <w:rsid w:val="007E5972"/>
    <w:rsid w:val="007E5EED"/>
    <w:rsid w:val="007E5F0F"/>
    <w:rsid w:val="007E6244"/>
    <w:rsid w:val="007E6612"/>
    <w:rsid w:val="007E6A11"/>
    <w:rsid w:val="007E6ADE"/>
    <w:rsid w:val="007E7310"/>
    <w:rsid w:val="007E7A9B"/>
    <w:rsid w:val="007E7E2E"/>
    <w:rsid w:val="007F0955"/>
    <w:rsid w:val="007F0AC0"/>
    <w:rsid w:val="007F1088"/>
    <w:rsid w:val="007F10A3"/>
    <w:rsid w:val="007F178A"/>
    <w:rsid w:val="007F1847"/>
    <w:rsid w:val="007F1DC5"/>
    <w:rsid w:val="007F1F0A"/>
    <w:rsid w:val="007F266D"/>
    <w:rsid w:val="007F38D8"/>
    <w:rsid w:val="007F4D1E"/>
    <w:rsid w:val="007F5318"/>
    <w:rsid w:val="007F5B2E"/>
    <w:rsid w:val="007F6332"/>
    <w:rsid w:val="007F6350"/>
    <w:rsid w:val="007F66B0"/>
    <w:rsid w:val="007F6DEA"/>
    <w:rsid w:val="007F6E00"/>
    <w:rsid w:val="007F7682"/>
    <w:rsid w:val="007F76DD"/>
    <w:rsid w:val="007F7AAE"/>
    <w:rsid w:val="00800B4E"/>
    <w:rsid w:val="0080153D"/>
    <w:rsid w:val="00801B11"/>
    <w:rsid w:val="00802083"/>
    <w:rsid w:val="008021D7"/>
    <w:rsid w:val="0080226A"/>
    <w:rsid w:val="0080287B"/>
    <w:rsid w:val="008028A1"/>
    <w:rsid w:val="00802C4E"/>
    <w:rsid w:val="00802E85"/>
    <w:rsid w:val="00803022"/>
    <w:rsid w:val="00803185"/>
    <w:rsid w:val="008038D2"/>
    <w:rsid w:val="0080395A"/>
    <w:rsid w:val="008039A6"/>
    <w:rsid w:val="00803D0D"/>
    <w:rsid w:val="00804152"/>
    <w:rsid w:val="00804180"/>
    <w:rsid w:val="00804417"/>
    <w:rsid w:val="00804966"/>
    <w:rsid w:val="00804CB8"/>
    <w:rsid w:val="00805922"/>
    <w:rsid w:val="00805B1C"/>
    <w:rsid w:val="00805CD3"/>
    <w:rsid w:val="0080618B"/>
    <w:rsid w:val="00806C25"/>
    <w:rsid w:val="008072B3"/>
    <w:rsid w:val="00807A0C"/>
    <w:rsid w:val="00807D6F"/>
    <w:rsid w:val="0081075A"/>
    <w:rsid w:val="00810852"/>
    <w:rsid w:val="00810F4D"/>
    <w:rsid w:val="00811135"/>
    <w:rsid w:val="00811499"/>
    <w:rsid w:val="00811710"/>
    <w:rsid w:val="00811BEF"/>
    <w:rsid w:val="00811E9C"/>
    <w:rsid w:val="00812842"/>
    <w:rsid w:val="00812932"/>
    <w:rsid w:val="008132C6"/>
    <w:rsid w:val="008133EB"/>
    <w:rsid w:val="00813603"/>
    <w:rsid w:val="00813CBB"/>
    <w:rsid w:val="00813ED1"/>
    <w:rsid w:val="00814114"/>
    <w:rsid w:val="008144D0"/>
    <w:rsid w:val="0081456E"/>
    <w:rsid w:val="008146F2"/>
    <w:rsid w:val="00814B51"/>
    <w:rsid w:val="00814D5C"/>
    <w:rsid w:val="00815EC6"/>
    <w:rsid w:val="00816673"/>
    <w:rsid w:val="00816AD7"/>
    <w:rsid w:val="00816B96"/>
    <w:rsid w:val="00816DD8"/>
    <w:rsid w:val="00817D6A"/>
    <w:rsid w:val="00820C6E"/>
    <w:rsid w:val="00820EDD"/>
    <w:rsid w:val="008214DC"/>
    <w:rsid w:val="008217E0"/>
    <w:rsid w:val="0082196F"/>
    <w:rsid w:val="00821C7B"/>
    <w:rsid w:val="00822082"/>
    <w:rsid w:val="00822E7B"/>
    <w:rsid w:val="00822E7F"/>
    <w:rsid w:val="00822EFE"/>
    <w:rsid w:val="00823F18"/>
    <w:rsid w:val="0082435E"/>
    <w:rsid w:val="00824542"/>
    <w:rsid w:val="008245A9"/>
    <w:rsid w:val="00824730"/>
    <w:rsid w:val="0082488C"/>
    <w:rsid w:val="00824B1F"/>
    <w:rsid w:val="00824D56"/>
    <w:rsid w:val="008250F6"/>
    <w:rsid w:val="00825106"/>
    <w:rsid w:val="00825176"/>
    <w:rsid w:val="008255A5"/>
    <w:rsid w:val="008256CA"/>
    <w:rsid w:val="00825786"/>
    <w:rsid w:val="008259EC"/>
    <w:rsid w:val="008259F7"/>
    <w:rsid w:val="008268DC"/>
    <w:rsid w:val="00826ECE"/>
    <w:rsid w:val="0082700E"/>
    <w:rsid w:val="00827ECB"/>
    <w:rsid w:val="0083081F"/>
    <w:rsid w:val="00830AD5"/>
    <w:rsid w:val="00830B3D"/>
    <w:rsid w:val="0083197D"/>
    <w:rsid w:val="0083224F"/>
    <w:rsid w:val="00832630"/>
    <w:rsid w:val="008330F9"/>
    <w:rsid w:val="00833428"/>
    <w:rsid w:val="00833D25"/>
    <w:rsid w:val="00833E28"/>
    <w:rsid w:val="008341B4"/>
    <w:rsid w:val="0083476A"/>
    <w:rsid w:val="00834CE4"/>
    <w:rsid w:val="0083609B"/>
    <w:rsid w:val="008362CC"/>
    <w:rsid w:val="00837046"/>
    <w:rsid w:val="00837A73"/>
    <w:rsid w:val="00840070"/>
    <w:rsid w:val="00840EA3"/>
    <w:rsid w:val="00841377"/>
    <w:rsid w:val="008414C2"/>
    <w:rsid w:val="008418C7"/>
    <w:rsid w:val="00841B26"/>
    <w:rsid w:val="008430A9"/>
    <w:rsid w:val="008434F8"/>
    <w:rsid w:val="008435B3"/>
    <w:rsid w:val="00843731"/>
    <w:rsid w:val="00843B49"/>
    <w:rsid w:val="0084466F"/>
    <w:rsid w:val="008446D9"/>
    <w:rsid w:val="008450BF"/>
    <w:rsid w:val="008451DB"/>
    <w:rsid w:val="00845E26"/>
    <w:rsid w:val="00845F3B"/>
    <w:rsid w:val="008461C3"/>
    <w:rsid w:val="0084670D"/>
    <w:rsid w:val="00846ECD"/>
    <w:rsid w:val="00846FBD"/>
    <w:rsid w:val="00847163"/>
    <w:rsid w:val="008471B9"/>
    <w:rsid w:val="008475A1"/>
    <w:rsid w:val="00850856"/>
    <w:rsid w:val="00850E5B"/>
    <w:rsid w:val="00850F34"/>
    <w:rsid w:val="00851930"/>
    <w:rsid w:val="00851CAF"/>
    <w:rsid w:val="00852CFA"/>
    <w:rsid w:val="00852E2A"/>
    <w:rsid w:val="0085330D"/>
    <w:rsid w:val="008533A2"/>
    <w:rsid w:val="00853475"/>
    <w:rsid w:val="008535C7"/>
    <w:rsid w:val="0085366E"/>
    <w:rsid w:val="008536D5"/>
    <w:rsid w:val="008559B3"/>
    <w:rsid w:val="00855EF7"/>
    <w:rsid w:val="00856004"/>
    <w:rsid w:val="008564D9"/>
    <w:rsid w:val="00857126"/>
    <w:rsid w:val="008574EB"/>
    <w:rsid w:val="008605AE"/>
    <w:rsid w:val="0086082D"/>
    <w:rsid w:val="008609DC"/>
    <w:rsid w:val="00860D99"/>
    <w:rsid w:val="00861386"/>
    <w:rsid w:val="0086145A"/>
    <w:rsid w:val="00861BA2"/>
    <w:rsid w:val="0086208E"/>
    <w:rsid w:val="008620D2"/>
    <w:rsid w:val="00862AC5"/>
    <w:rsid w:val="00863DC3"/>
    <w:rsid w:val="00863FAC"/>
    <w:rsid w:val="0086422A"/>
    <w:rsid w:val="00864996"/>
    <w:rsid w:val="00864B88"/>
    <w:rsid w:val="00864FE2"/>
    <w:rsid w:val="0086515A"/>
    <w:rsid w:val="00865354"/>
    <w:rsid w:val="00865557"/>
    <w:rsid w:val="008657C9"/>
    <w:rsid w:val="00865A1B"/>
    <w:rsid w:val="00865D92"/>
    <w:rsid w:val="008660AD"/>
    <w:rsid w:val="00866A4B"/>
    <w:rsid w:val="00866AF7"/>
    <w:rsid w:val="00866CB0"/>
    <w:rsid w:val="008673E0"/>
    <w:rsid w:val="008675D5"/>
    <w:rsid w:val="008675E6"/>
    <w:rsid w:val="00867757"/>
    <w:rsid w:val="008677B4"/>
    <w:rsid w:val="00867D5F"/>
    <w:rsid w:val="008701EA"/>
    <w:rsid w:val="00870379"/>
    <w:rsid w:val="00870FC6"/>
    <w:rsid w:val="008712D8"/>
    <w:rsid w:val="00871C0B"/>
    <w:rsid w:val="00872053"/>
    <w:rsid w:val="00872058"/>
    <w:rsid w:val="00873212"/>
    <w:rsid w:val="008732AA"/>
    <w:rsid w:val="00873D19"/>
    <w:rsid w:val="0087454A"/>
    <w:rsid w:val="0087467F"/>
    <w:rsid w:val="008750E8"/>
    <w:rsid w:val="008753E7"/>
    <w:rsid w:val="008754DE"/>
    <w:rsid w:val="0087567C"/>
    <w:rsid w:val="0087779B"/>
    <w:rsid w:val="008777F8"/>
    <w:rsid w:val="00877A0D"/>
    <w:rsid w:val="00877AF2"/>
    <w:rsid w:val="00877AFA"/>
    <w:rsid w:val="00877F26"/>
    <w:rsid w:val="0088036B"/>
    <w:rsid w:val="008805F4"/>
    <w:rsid w:val="0088091D"/>
    <w:rsid w:val="00880F6B"/>
    <w:rsid w:val="00881328"/>
    <w:rsid w:val="0088137B"/>
    <w:rsid w:val="00881815"/>
    <w:rsid w:val="00881DB9"/>
    <w:rsid w:val="00881F1E"/>
    <w:rsid w:val="00881F69"/>
    <w:rsid w:val="0088220F"/>
    <w:rsid w:val="0088253F"/>
    <w:rsid w:val="0088255E"/>
    <w:rsid w:val="00882AC4"/>
    <w:rsid w:val="008831FF"/>
    <w:rsid w:val="00885BC9"/>
    <w:rsid w:val="00885C1F"/>
    <w:rsid w:val="00885EBE"/>
    <w:rsid w:val="0088632E"/>
    <w:rsid w:val="0088634A"/>
    <w:rsid w:val="0088690D"/>
    <w:rsid w:val="00886F67"/>
    <w:rsid w:val="0088709C"/>
    <w:rsid w:val="0089147C"/>
    <w:rsid w:val="00891681"/>
    <w:rsid w:val="00891D82"/>
    <w:rsid w:val="00892366"/>
    <w:rsid w:val="00892BDD"/>
    <w:rsid w:val="00892E9A"/>
    <w:rsid w:val="00893207"/>
    <w:rsid w:val="008933A2"/>
    <w:rsid w:val="008935D0"/>
    <w:rsid w:val="008936D0"/>
    <w:rsid w:val="0089389D"/>
    <w:rsid w:val="00893D27"/>
    <w:rsid w:val="0089607C"/>
    <w:rsid w:val="00896340"/>
    <w:rsid w:val="00896951"/>
    <w:rsid w:val="008969FA"/>
    <w:rsid w:val="00896C2E"/>
    <w:rsid w:val="008970C5"/>
    <w:rsid w:val="00897396"/>
    <w:rsid w:val="008974C2"/>
    <w:rsid w:val="0089791D"/>
    <w:rsid w:val="008979AF"/>
    <w:rsid w:val="008979D4"/>
    <w:rsid w:val="00897DBA"/>
    <w:rsid w:val="008A064C"/>
    <w:rsid w:val="008A093B"/>
    <w:rsid w:val="008A0A62"/>
    <w:rsid w:val="008A0BE1"/>
    <w:rsid w:val="008A185D"/>
    <w:rsid w:val="008A266F"/>
    <w:rsid w:val="008A28C0"/>
    <w:rsid w:val="008A39D7"/>
    <w:rsid w:val="008A44BA"/>
    <w:rsid w:val="008A46E9"/>
    <w:rsid w:val="008A46F0"/>
    <w:rsid w:val="008A496F"/>
    <w:rsid w:val="008A4DAD"/>
    <w:rsid w:val="008A5045"/>
    <w:rsid w:val="008A5340"/>
    <w:rsid w:val="008A567E"/>
    <w:rsid w:val="008A6F2E"/>
    <w:rsid w:val="008A7577"/>
    <w:rsid w:val="008A7625"/>
    <w:rsid w:val="008B00B6"/>
    <w:rsid w:val="008B00E0"/>
    <w:rsid w:val="008B05C2"/>
    <w:rsid w:val="008B0EAB"/>
    <w:rsid w:val="008B1432"/>
    <w:rsid w:val="008B17A8"/>
    <w:rsid w:val="008B21D9"/>
    <w:rsid w:val="008B23AB"/>
    <w:rsid w:val="008B2AC8"/>
    <w:rsid w:val="008B2F41"/>
    <w:rsid w:val="008B3240"/>
    <w:rsid w:val="008B3F6D"/>
    <w:rsid w:val="008B5E1E"/>
    <w:rsid w:val="008B625E"/>
    <w:rsid w:val="008B6394"/>
    <w:rsid w:val="008B68A6"/>
    <w:rsid w:val="008B75B7"/>
    <w:rsid w:val="008B7BE0"/>
    <w:rsid w:val="008B7E57"/>
    <w:rsid w:val="008B7F08"/>
    <w:rsid w:val="008C1143"/>
    <w:rsid w:val="008C14DE"/>
    <w:rsid w:val="008C1751"/>
    <w:rsid w:val="008C17F1"/>
    <w:rsid w:val="008C182D"/>
    <w:rsid w:val="008C1FD9"/>
    <w:rsid w:val="008C2627"/>
    <w:rsid w:val="008C2A0D"/>
    <w:rsid w:val="008C3263"/>
    <w:rsid w:val="008C396F"/>
    <w:rsid w:val="008C4706"/>
    <w:rsid w:val="008C4D79"/>
    <w:rsid w:val="008C4E68"/>
    <w:rsid w:val="008C549C"/>
    <w:rsid w:val="008C59C6"/>
    <w:rsid w:val="008C5A4B"/>
    <w:rsid w:val="008C5D75"/>
    <w:rsid w:val="008C5E48"/>
    <w:rsid w:val="008C615A"/>
    <w:rsid w:val="008C68B0"/>
    <w:rsid w:val="008C7313"/>
    <w:rsid w:val="008C7495"/>
    <w:rsid w:val="008C76AA"/>
    <w:rsid w:val="008C772B"/>
    <w:rsid w:val="008D08AA"/>
    <w:rsid w:val="008D0EBE"/>
    <w:rsid w:val="008D12C6"/>
    <w:rsid w:val="008D1505"/>
    <w:rsid w:val="008D1A91"/>
    <w:rsid w:val="008D1DD9"/>
    <w:rsid w:val="008D29A2"/>
    <w:rsid w:val="008D31D7"/>
    <w:rsid w:val="008D3B48"/>
    <w:rsid w:val="008D3CC0"/>
    <w:rsid w:val="008D464F"/>
    <w:rsid w:val="008D4AB6"/>
    <w:rsid w:val="008D4AC9"/>
    <w:rsid w:val="008D4E7F"/>
    <w:rsid w:val="008D4EB3"/>
    <w:rsid w:val="008D4EE3"/>
    <w:rsid w:val="008D4F5A"/>
    <w:rsid w:val="008D4F70"/>
    <w:rsid w:val="008D51F7"/>
    <w:rsid w:val="008D5CB1"/>
    <w:rsid w:val="008D5D15"/>
    <w:rsid w:val="008D5F0A"/>
    <w:rsid w:val="008D61CF"/>
    <w:rsid w:val="008D6B70"/>
    <w:rsid w:val="008D6CB3"/>
    <w:rsid w:val="008D7275"/>
    <w:rsid w:val="008D7337"/>
    <w:rsid w:val="008D7356"/>
    <w:rsid w:val="008D7470"/>
    <w:rsid w:val="008D7D12"/>
    <w:rsid w:val="008E0116"/>
    <w:rsid w:val="008E01BB"/>
    <w:rsid w:val="008E03A0"/>
    <w:rsid w:val="008E06B8"/>
    <w:rsid w:val="008E0710"/>
    <w:rsid w:val="008E1259"/>
    <w:rsid w:val="008E138F"/>
    <w:rsid w:val="008E1603"/>
    <w:rsid w:val="008E2609"/>
    <w:rsid w:val="008E263A"/>
    <w:rsid w:val="008E27E3"/>
    <w:rsid w:val="008E306B"/>
    <w:rsid w:val="008E3200"/>
    <w:rsid w:val="008E35DA"/>
    <w:rsid w:val="008E3E7B"/>
    <w:rsid w:val="008E4B39"/>
    <w:rsid w:val="008E4DC7"/>
    <w:rsid w:val="008E6584"/>
    <w:rsid w:val="008E6C71"/>
    <w:rsid w:val="008E7AE3"/>
    <w:rsid w:val="008F032E"/>
    <w:rsid w:val="008F04D9"/>
    <w:rsid w:val="008F0735"/>
    <w:rsid w:val="008F0A28"/>
    <w:rsid w:val="008F0AAE"/>
    <w:rsid w:val="008F0B5B"/>
    <w:rsid w:val="008F0BC3"/>
    <w:rsid w:val="008F1049"/>
    <w:rsid w:val="008F1134"/>
    <w:rsid w:val="008F11AD"/>
    <w:rsid w:val="008F17B1"/>
    <w:rsid w:val="008F1C1A"/>
    <w:rsid w:val="008F1CDD"/>
    <w:rsid w:val="008F217C"/>
    <w:rsid w:val="008F21A1"/>
    <w:rsid w:val="008F24F1"/>
    <w:rsid w:val="008F2581"/>
    <w:rsid w:val="008F3109"/>
    <w:rsid w:val="008F3BC0"/>
    <w:rsid w:val="008F3D1C"/>
    <w:rsid w:val="008F3F3C"/>
    <w:rsid w:val="008F4B6B"/>
    <w:rsid w:val="008F4E6D"/>
    <w:rsid w:val="008F6302"/>
    <w:rsid w:val="008F636F"/>
    <w:rsid w:val="008F7B1D"/>
    <w:rsid w:val="008F7E36"/>
    <w:rsid w:val="008F7E92"/>
    <w:rsid w:val="008F7F07"/>
    <w:rsid w:val="00900372"/>
    <w:rsid w:val="00900376"/>
    <w:rsid w:val="0090070C"/>
    <w:rsid w:val="009009A7"/>
    <w:rsid w:val="00900FAC"/>
    <w:rsid w:val="00901B95"/>
    <w:rsid w:val="00902121"/>
    <w:rsid w:val="00902213"/>
    <w:rsid w:val="0090248C"/>
    <w:rsid w:val="00902516"/>
    <w:rsid w:val="00902543"/>
    <w:rsid w:val="0090266C"/>
    <w:rsid w:val="009028F6"/>
    <w:rsid w:val="00902E0F"/>
    <w:rsid w:val="00902E9A"/>
    <w:rsid w:val="00903B5C"/>
    <w:rsid w:val="00903FD7"/>
    <w:rsid w:val="00904007"/>
    <w:rsid w:val="00904090"/>
    <w:rsid w:val="0090418F"/>
    <w:rsid w:val="00904756"/>
    <w:rsid w:val="00904980"/>
    <w:rsid w:val="0090512E"/>
    <w:rsid w:val="009056C7"/>
    <w:rsid w:val="00905D1D"/>
    <w:rsid w:val="009069B4"/>
    <w:rsid w:val="009073BD"/>
    <w:rsid w:val="00907405"/>
    <w:rsid w:val="00907BD4"/>
    <w:rsid w:val="00907FB0"/>
    <w:rsid w:val="00910296"/>
    <w:rsid w:val="0091084C"/>
    <w:rsid w:val="00911012"/>
    <w:rsid w:val="0091156E"/>
    <w:rsid w:val="0091190D"/>
    <w:rsid w:val="00911995"/>
    <w:rsid w:val="009119B0"/>
    <w:rsid w:val="009119C8"/>
    <w:rsid w:val="00911C50"/>
    <w:rsid w:val="00912BDE"/>
    <w:rsid w:val="009131CA"/>
    <w:rsid w:val="009145A0"/>
    <w:rsid w:val="00914C07"/>
    <w:rsid w:val="00916441"/>
    <w:rsid w:val="009165CB"/>
    <w:rsid w:val="00916977"/>
    <w:rsid w:val="00916B97"/>
    <w:rsid w:val="00916CBD"/>
    <w:rsid w:val="0091702F"/>
    <w:rsid w:val="00917CB2"/>
    <w:rsid w:val="009204B7"/>
    <w:rsid w:val="009206A6"/>
    <w:rsid w:val="0092070C"/>
    <w:rsid w:val="0092084F"/>
    <w:rsid w:val="00921136"/>
    <w:rsid w:val="00921506"/>
    <w:rsid w:val="00921C89"/>
    <w:rsid w:val="00922671"/>
    <w:rsid w:val="00923561"/>
    <w:rsid w:val="0092460C"/>
    <w:rsid w:val="00924C92"/>
    <w:rsid w:val="00924EC1"/>
    <w:rsid w:val="0092502F"/>
    <w:rsid w:val="00925097"/>
    <w:rsid w:val="009251DC"/>
    <w:rsid w:val="0092576B"/>
    <w:rsid w:val="00925E6B"/>
    <w:rsid w:val="00925F92"/>
    <w:rsid w:val="00925F95"/>
    <w:rsid w:val="009260F2"/>
    <w:rsid w:val="009269B6"/>
    <w:rsid w:val="00926B26"/>
    <w:rsid w:val="0092703E"/>
    <w:rsid w:val="0092756B"/>
    <w:rsid w:val="00927B95"/>
    <w:rsid w:val="00930665"/>
    <w:rsid w:val="009307F1"/>
    <w:rsid w:val="009308CC"/>
    <w:rsid w:val="00931321"/>
    <w:rsid w:val="009315B1"/>
    <w:rsid w:val="00931759"/>
    <w:rsid w:val="00931B5C"/>
    <w:rsid w:val="00931F23"/>
    <w:rsid w:val="00932B8C"/>
    <w:rsid w:val="00932EB6"/>
    <w:rsid w:val="009335B1"/>
    <w:rsid w:val="00934374"/>
    <w:rsid w:val="00935843"/>
    <w:rsid w:val="0093591E"/>
    <w:rsid w:val="00935B6A"/>
    <w:rsid w:val="00935C9F"/>
    <w:rsid w:val="009361B6"/>
    <w:rsid w:val="0093668A"/>
    <w:rsid w:val="0093688E"/>
    <w:rsid w:val="00936F18"/>
    <w:rsid w:val="0093705A"/>
    <w:rsid w:val="00937902"/>
    <w:rsid w:val="009402CB"/>
    <w:rsid w:val="00940428"/>
    <w:rsid w:val="00940FE0"/>
    <w:rsid w:val="00941048"/>
    <w:rsid w:val="00942B47"/>
    <w:rsid w:val="00943181"/>
    <w:rsid w:val="0094321B"/>
    <w:rsid w:val="009432B0"/>
    <w:rsid w:val="00943486"/>
    <w:rsid w:val="0094371C"/>
    <w:rsid w:val="00943C31"/>
    <w:rsid w:val="00944099"/>
    <w:rsid w:val="00944242"/>
    <w:rsid w:val="009445B4"/>
    <w:rsid w:val="009460AF"/>
    <w:rsid w:val="009467D0"/>
    <w:rsid w:val="00946E05"/>
    <w:rsid w:val="0094732E"/>
    <w:rsid w:val="00950EA3"/>
    <w:rsid w:val="00951698"/>
    <w:rsid w:val="009518A5"/>
    <w:rsid w:val="009525A2"/>
    <w:rsid w:val="009527EF"/>
    <w:rsid w:val="00952F64"/>
    <w:rsid w:val="0095318F"/>
    <w:rsid w:val="00953AC1"/>
    <w:rsid w:val="00953D1D"/>
    <w:rsid w:val="00953DF7"/>
    <w:rsid w:val="00953F61"/>
    <w:rsid w:val="00954A48"/>
    <w:rsid w:val="00954E51"/>
    <w:rsid w:val="00955723"/>
    <w:rsid w:val="00955E1A"/>
    <w:rsid w:val="009563F2"/>
    <w:rsid w:val="00956A09"/>
    <w:rsid w:val="00956B45"/>
    <w:rsid w:val="00956EE5"/>
    <w:rsid w:val="00956F14"/>
    <w:rsid w:val="009570AD"/>
    <w:rsid w:val="009574DD"/>
    <w:rsid w:val="00957714"/>
    <w:rsid w:val="00957841"/>
    <w:rsid w:val="00957B77"/>
    <w:rsid w:val="009603CD"/>
    <w:rsid w:val="00960513"/>
    <w:rsid w:val="009608CF"/>
    <w:rsid w:val="0096107C"/>
    <w:rsid w:val="00961576"/>
    <w:rsid w:val="00961D11"/>
    <w:rsid w:val="00962378"/>
    <w:rsid w:val="009625E7"/>
    <w:rsid w:val="00962936"/>
    <w:rsid w:val="00962A73"/>
    <w:rsid w:val="00963348"/>
    <w:rsid w:val="00963AAD"/>
    <w:rsid w:val="00964484"/>
    <w:rsid w:val="00964AE1"/>
    <w:rsid w:val="00966A38"/>
    <w:rsid w:val="00966CD7"/>
    <w:rsid w:val="0097097A"/>
    <w:rsid w:val="00970C4C"/>
    <w:rsid w:val="0097117D"/>
    <w:rsid w:val="00971853"/>
    <w:rsid w:val="009719CF"/>
    <w:rsid w:val="00971AA2"/>
    <w:rsid w:val="0097208F"/>
    <w:rsid w:val="00972091"/>
    <w:rsid w:val="00972552"/>
    <w:rsid w:val="00972A57"/>
    <w:rsid w:val="00972F8E"/>
    <w:rsid w:val="00973959"/>
    <w:rsid w:val="00973B6A"/>
    <w:rsid w:val="00974A5D"/>
    <w:rsid w:val="009752B1"/>
    <w:rsid w:val="0097535C"/>
    <w:rsid w:val="00975A54"/>
    <w:rsid w:val="00975DC0"/>
    <w:rsid w:val="009761CA"/>
    <w:rsid w:val="009761D9"/>
    <w:rsid w:val="00976702"/>
    <w:rsid w:val="009768A8"/>
    <w:rsid w:val="00976C92"/>
    <w:rsid w:val="00976E45"/>
    <w:rsid w:val="00976E93"/>
    <w:rsid w:val="00977133"/>
    <w:rsid w:val="009775B5"/>
    <w:rsid w:val="0097785E"/>
    <w:rsid w:val="00977927"/>
    <w:rsid w:val="00977C85"/>
    <w:rsid w:val="009803AC"/>
    <w:rsid w:val="00980983"/>
    <w:rsid w:val="0098208C"/>
    <w:rsid w:val="00983673"/>
    <w:rsid w:val="0098387D"/>
    <w:rsid w:val="00983A76"/>
    <w:rsid w:val="009849F4"/>
    <w:rsid w:val="00984AE7"/>
    <w:rsid w:val="0098567F"/>
    <w:rsid w:val="00985CA6"/>
    <w:rsid w:val="00985FDE"/>
    <w:rsid w:val="009861DD"/>
    <w:rsid w:val="009862E2"/>
    <w:rsid w:val="00986B59"/>
    <w:rsid w:val="00986D8D"/>
    <w:rsid w:val="00986DD0"/>
    <w:rsid w:val="009878B4"/>
    <w:rsid w:val="00990C99"/>
    <w:rsid w:val="00991348"/>
    <w:rsid w:val="00991DEA"/>
    <w:rsid w:val="00991F86"/>
    <w:rsid w:val="00992170"/>
    <w:rsid w:val="009932AD"/>
    <w:rsid w:val="00993356"/>
    <w:rsid w:val="009933BB"/>
    <w:rsid w:val="00994AA1"/>
    <w:rsid w:val="00995A63"/>
    <w:rsid w:val="00996181"/>
    <w:rsid w:val="00996243"/>
    <w:rsid w:val="009963FB"/>
    <w:rsid w:val="00996596"/>
    <w:rsid w:val="009974DE"/>
    <w:rsid w:val="00997889"/>
    <w:rsid w:val="00997A58"/>
    <w:rsid w:val="009A012D"/>
    <w:rsid w:val="009A0150"/>
    <w:rsid w:val="009A0898"/>
    <w:rsid w:val="009A19B1"/>
    <w:rsid w:val="009A1A1D"/>
    <w:rsid w:val="009A2007"/>
    <w:rsid w:val="009A2A9C"/>
    <w:rsid w:val="009A2F5F"/>
    <w:rsid w:val="009A35D7"/>
    <w:rsid w:val="009A38F5"/>
    <w:rsid w:val="009A3A4C"/>
    <w:rsid w:val="009A4CDB"/>
    <w:rsid w:val="009A5321"/>
    <w:rsid w:val="009A59DB"/>
    <w:rsid w:val="009A6764"/>
    <w:rsid w:val="009A6C5E"/>
    <w:rsid w:val="009B02F2"/>
    <w:rsid w:val="009B038F"/>
    <w:rsid w:val="009B06AD"/>
    <w:rsid w:val="009B0AFA"/>
    <w:rsid w:val="009B17D7"/>
    <w:rsid w:val="009B1A67"/>
    <w:rsid w:val="009B254D"/>
    <w:rsid w:val="009B2AF8"/>
    <w:rsid w:val="009B304F"/>
    <w:rsid w:val="009B4126"/>
    <w:rsid w:val="009B419D"/>
    <w:rsid w:val="009B4A4F"/>
    <w:rsid w:val="009B5333"/>
    <w:rsid w:val="009B533E"/>
    <w:rsid w:val="009B5372"/>
    <w:rsid w:val="009B5585"/>
    <w:rsid w:val="009B5789"/>
    <w:rsid w:val="009B6039"/>
    <w:rsid w:val="009B664C"/>
    <w:rsid w:val="009B700C"/>
    <w:rsid w:val="009B7FAF"/>
    <w:rsid w:val="009C00F8"/>
    <w:rsid w:val="009C01A5"/>
    <w:rsid w:val="009C0944"/>
    <w:rsid w:val="009C0AAA"/>
    <w:rsid w:val="009C11DF"/>
    <w:rsid w:val="009C1B3A"/>
    <w:rsid w:val="009C1F6D"/>
    <w:rsid w:val="009C262C"/>
    <w:rsid w:val="009C347E"/>
    <w:rsid w:val="009C3678"/>
    <w:rsid w:val="009C3818"/>
    <w:rsid w:val="009C3C15"/>
    <w:rsid w:val="009C3E16"/>
    <w:rsid w:val="009C40BC"/>
    <w:rsid w:val="009C486A"/>
    <w:rsid w:val="009C488D"/>
    <w:rsid w:val="009C4EE0"/>
    <w:rsid w:val="009C540E"/>
    <w:rsid w:val="009C57CE"/>
    <w:rsid w:val="009C5C5F"/>
    <w:rsid w:val="009C6191"/>
    <w:rsid w:val="009C6B37"/>
    <w:rsid w:val="009C6DE6"/>
    <w:rsid w:val="009C72C4"/>
    <w:rsid w:val="009C72C9"/>
    <w:rsid w:val="009C762A"/>
    <w:rsid w:val="009C77D2"/>
    <w:rsid w:val="009C7892"/>
    <w:rsid w:val="009D0371"/>
    <w:rsid w:val="009D0679"/>
    <w:rsid w:val="009D121C"/>
    <w:rsid w:val="009D2098"/>
    <w:rsid w:val="009D223F"/>
    <w:rsid w:val="009D2ED7"/>
    <w:rsid w:val="009D2F22"/>
    <w:rsid w:val="009D33F2"/>
    <w:rsid w:val="009D3F2F"/>
    <w:rsid w:val="009D3FE4"/>
    <w:rsid w:val="009D44BF"/>
    <w:rsid w:val="009D4AF2"/>
    <w:rsid w:val="009D5021"/>
    <w:rsid w:val="009D511A"/>
    <w:rsid w:val="009D6C8E"/>
    <w:rsid w:val="009D712A"/>
    <w:rsid w:val="009D764D"/>
    <w:rsid w:val="009D7893"/>
    <w:rsid w:val="009D7EDB"/>
    <w:rsid w:val="009E0AEB"/>
    <w:rsid w:val="009E0C52"/>
    <w:rsid w:val="009E0EC1"/>
    <w:rsid w:val="009E10D2"/>
    <w:rsid w:val="009E1CDF"/>
    <w:rsid w:val="009E1DB7"/>
    <w:rsid w:val="009E1FBB"/>
    <w:rsid w:val="009E218D"/>
    <w:rsid w:val="009E2278"/>
    <w:rsid w:val="009E2473"/>
    <w:rsid w:val="009E248C"/>
    <w:rsid w:val="009E270F"/>
    <w:rsid w:val="009E2C48"/>
    <w:rsid w:val="009E31AE"/>
    <w:rsid w:val="009E3342"/>
    <w:rsid w:val="009E3C46"/>
    <w:rsid w:val="009E4013"/>
    <w:rsid w:val="009E44D7"/>
    <w:rsid w:val="009E4B8E"/>
    <w:rsid w:val="009E4FDC"/>
    <w:rsid w:val="009E5066"/>
    <w:rsid w:val="009E54F0"/>
    <w:rsid w:val="009E68AF"/>
    <w:rsid w:val="009E76B9"/>
    <w:rsid w:val="009E788E"/>
    <w:rsid w:val="009F0FF8"/>
    <w:rsid w:val="009F13D1"/>
    <w:rsid w:val="009F2572"/>
    <w:rsid w:val="009F28BC"/>
    <w:rsid w:val="009F2A3C"/>
    <w:rsid w:val="009F320B"/>
    <w:rsid w:val="009F3682"/>
    <w:rsid w:val="009F3BCE"/>
    <w:rsid w:val="009F3CA3"/>
    <w:rsid w:val="009F43A8"/>
    <w:rsid w:val="009F48A0"/>
    <w:rsid w:val="009F533D"/>
    <w:rsid w:val="009F57B7"/>
    <w:rsid w:val="009F5993"/>
    <w:rsid w:val="009F59FC"/>
    <w:rsid w:val="009F5B28"/>
    <w:rsid w:val="009F60C5"/>
    <w:rsid w:val="009F612D"/>
    <w:rsid w:val="009F650F"/>
    <w:rsid w:val="009F65DB"/>
    <w:rsid w:val="009F68AE"/>
    <w:rsid w:val="009F6ABF"/>
    <w:rsid w:val="009F7691"/>
    <w:rsid w:val="009F78E5"/>
    <w:rsid w:val="00A00316"/>
    <w:rsid w:val="00A00708"/>
    <w:rsid w:val="00A008F2"/>
    <w:rsid w:val="00A00A0E"/>
    <w:rsid w:val="00A00F0F"/>
    <w:rsid w:val="00A01689"/>
    <w:rsid w:val="00A01762"/>
    <w:rsid w:val="00A01B79"/>
    <w:rsid w:val="00A02A41"/>
    <w:rsid w:val="00A03C71"/>
    <w:rsid w:val="00A042B7"/>
    <w:rsid w:val="00A04B1B"/>
    <w:rsid w:val="00A04DA2"/>
    <w:rsid w:val="00A054E2"/>
    <w:rsid w:val="00A05E5A"/>
    <w:rsid w:val="00A0619E"/>
    <w:rsid w:val="00A06A88"/>
    <w:rsid w:val="00A06C9D"/>
    <w:rsid w:val="00A07846"/>
    <w:rsid w:val="00A1001A"/>
    <w:rsid w:val="00A101AC"/>
    <w:rsid w:val="00A10919"/>
    <w:rsid w:val="00A110DF"/>
    <w:rsid w:val="00A11710"/>
    <w:rsid w:val="00A119F6"/>
    <w:rsid w:val="00A120F2"/>
    <w:rsid w:val="00A12261"/>
    <w:rsid w:val="00A12263"/>
    <w:rsid w:val="00A12923"/>
    <w:rsid w:val="00A1314E"/>
    <w:rsid w:val="00A1396C"/>
    <w:rsid w:val="00A139CA"/>
    <w:rsid w:val="00A14988"/>
    <w:rsid w:val="00A14ED2"/>
    <w:rsid w:val="00A14F7D"/>
    <w:rsid w:val="00A156A6"/>
    <w:rsid w:val="00A15E98"/>
    <w:rsid w:val="00A1653B"/>
    <w:rsid w:val="00A16F36"/>
    <w:rsid w:val="00A16F7E"/>
    <w:rsid w:val="00A16FC1"/>
    <w:rsid w:val="00A17443"/>
    <w:rsid w:val="00A1756F"/>
    <w:rsid w:val="00A176EB"/>
    <w:rsid w:val="00A201F2"/>
    <w:rsid w:val="00A208B0"/>
    <w:rsid w:val="00A208EE"/>
    <w:rsid w:val="00A20B91"/>
    <w:rsid w:val="00A20F30"/>
    <w:rsid w:val="00A2126C"/>
    <w:rsid w:val="00A215E0"/>
    <w:rsid w:val="00A21A6A"/>
    <w:rsid w:val="00A21C88"/>
    <w:rsid w:val="00A2201F"/>
    <w:rsid w:val="00A22147"/>
    <w:rsid w:val="00A22163"/>
    <w:rsid w:val="00A2262F"/>
    <w:rsid w:val="00A22831"/>
    <w:rsid w:val="00A228ED"/>
    <w:rsid w:val="00A22C73"/>
    <w:rsid w:val="00A231ED"/>
    <w:rsid w:val="00A23549"/>
    <w:rsid w:val="00A23CAD"/>
    <w:rsid w:val="00A245E9"/>
    <w:rsid w:val="00A24BB7"/>
    <w:rsid w:val="00A2583B"/>
    <w:rsid w:val="00A2642E"/>
    <w:rsid w:val="00A27884"/>
    <w:rsid w:val="00A278C1"/>
    <w:rsid w:val="00A30353"/>
    <w:rsid w:val="00A304F4"/>
    <w:rsid w:val="00A310F7"/>
    <w:rsid w:val="00A3168E"/>
    <w:rsid w:val="00A31B70"/>
    <w:rsid w:val="00A31F3C"/>
    <w:rsid w:val="00A32093"/>
    <w:rsid w:val="00A327F9"/>
    <w:rsid w:val="00A32CA9"/>
    <w:rsid w:val="00A32DDE"/>
    <w:rsid w:val="00A32F1F"/>
    <w:rsid w:val="00A32F90"/>
    <w:rsid w:val="00A341E9"/>
    <w:rsid w:val="00A343BA"/>
    <w:rsid w:val="00A3454D"/>
    <w:rsid w:val="00A34705"/>
    <w:rsid w:val="00A34ABA"/>
    <w:rsid w:val="00A34B4F"/>
    <w:rsid w:val="00A34BE0"/>
    <w:rsid w:val="00A34D82"/>
    <w:rsid w:val="00A34E26"/>
    <w:rsid w:val="00A34E65"/>
    <w:rsid w:val="00A34FD3"/>
    <w:rsid w:val="00A351EC"/>
    <w:rsid w:val="00A352F0"/>
    <w:rsid w:val="00A36541"/>
    <w:rsid w:val="00A36E6F"/>
    <w:rsid w:val="00A37CE5"/>
    <w:rsid w:val="00A402CD"/>
    <w:rsid w:val="00A408D7"/>
    <w:rsid w:val="00A41E30"/>
    <w:rsid w:val="00A425AA"/>
    <w:rsid w:val="00A425BA"/>
    <w:rsid w:val="00A4371B"/>
    <w:rsid w:val="00A43D20"/>
    <w:rsid w:val="00A44F8C"/>
    <w:rsid w:val="00A45546"/>
    <w:rsid w:val="00A45A4D"/>
    <w:rsid w:val="00A45B6E"/>
    <w:rsid w:val="00A46C19"/>
    <w:rsid w:val="00A46D67"/>
    <w:rsid w:val="00A46E1B"/>
    <w:rsid w:val="00A50408"/>
    <w:rsid w:val="00A50504"/>
    <w:rsid w:val="00A505D7"/>
    <w:rsid w:val="00A50A39"/>
    <w:rsid w:val="00A51849"/>
    <w:rsid w:val="00A51B35"/>
    <w:rsid w:val="00A51BEF"/>
    <w:rsid w:val="00A51CFE"/>
    <w:rsid w:val="00A53276"/>
    <w:rsid w:val="00A5344B"/>
    <w:rsid w:val="00A53782"/>
    <w:rsid w:val="00A53FDA"/>
    <w:rsid w:val="00A54CB8"/>
    <w:rsid w:val="00A5543E"/>
    <w:rsid w:val="00A55527"/>
    <w:rsid w:val="00A55643"/>
    <w:rsid w:val="00A55A67"/>
    <w:rsid w:val="00A55CC0"/>
    <w:rsid w:val="00A55E12"/>
    <w:rsid w:val="00A55FBA"/>
    <w:rsid w:val="00A56253"/>
    <w:rsid w:val="00A563CB"/>
    <w:rsid w:val="00A569A2"/>
    <w:rsid w:val="00A56E89"/>
    <w:rsid w:val="00A5724D"/>
    <w:rsid w:val="00A573CB"/>
    <w:rsid w:val="00A5793C"/>
    <w:rsid w:val="00A60ABF"/>
    <w:rsid w:val="00A614AD"/>
    <w:rsid w:val="00A61792"/>
    <w:rsid w:val="00A627CA"/>
    <w:rsid w:val="00A62C06"/>
    <w:rsid w:val="00A62F48"/>
    <w:rsid w:val="00A63E10"/>
    <w:rsid w:val="00A65D9C"/>
    <w:rsid w:val="00A6613F"/>
    <w:rsid w:val="00A662F2"/>
    <w:rsid w:val="00A66908"/>
    <w:rsid w:val="00A669AE"/>
    <w:rsid w:val="00A6798E"/>
    <w:rsid w:val="00A67B0B"/>
    <w:rsid w:val="00A67EE8"/>
    <w:rsid w:val="00A70018"/>
    <w:rsid w:val="00A71B99"/>
    <w:rsid w:val="00A72012"/>
    <w:rsid w:val="00A72874"/>
    <w:rsid w:val="00A728CC"/>
    <w:rsid w:val="00A7293D"/>
    <w:rsid w:val="00A73AB6"/>
    <w:rsid w:val="00A73BA1"/>
    <w:rsid w:val="00A73D48"/>
    <w:rsid w:val="00A73E6C"/>
    <w:rsid w:val="00A73E6F"/>
    <w:rsid w:val="00A74884"/>
    <w:rsid w:val="00A74D25"/>
    <w:rsid w:val="00A75178"/>
    <w:rsid w:val="00A75293"/>
    <w:rsid w:val="00A75314"/>
    <w:rsid w:val="00A754D7"/>
    <w:rsid w:val="00A75B60"/>
    <w:rsid w:val="00A75E09"/>
    <w:rsid w:val="00A75F48"/>
    <w:rsid w:val="00A764F8"/>
    <w:rsid w:val="00A76EF9"/>
    <w:rsid w:val="00A77550"/>
    <w:rsid w:val="00A7773E"/>
    <w:rsid w:val="00A77A42"/>
    <w:rsid w:val="00A77CBC"/>
    <w:rsid w:val="00A80480"/>
    <w:rsid w:val="00A809BB"/>
    <w:rsid w:val="00A80D77"/>
    <w:rsid w:val="00A81480"/>
    <w:rsid w:val="00A81B29"/>
    <w:rsid w:val="00A81F9A"/>
    <w:rsid w:val="00A829B3"/>
    <w:rsid w:val="00A82B6C"/>
    <w:rsid w:val="00A833D3"/>
    <w:rsid w:val="00A83654"/>
    <w:rsid w:val="00A83A6C"/>
    <w:rsid w:val="00A83AFE"/>
    <w:rsid w:val="00A83FA6"/>
    <w:rsid w:val="00A84BAD"/>
    <w:rsid w:val="00A85495"/>
    <w:rsid w:val="00A85681"/>
    <w:rsid w:val="00A85846"/>
    <w:rsid w:val="00A8619D"/>
    <w:rsid w:val="00A8624D"/>
    <w:rsid w:val="00A862B1"/>
    <w:rsid w:val="00A86340"/>
    <w:rsid w:val="00A867BB"/>
    <w:rsid w:val="00A86C6C"/>
    <w:rsid w:val="00A87511"/>
    <w:rsid w:val="00A8756F"/>
    <w:rsid w:val="00A87CDD"/>
    <w:rsid w:val="00A90296"/>
    <w:rsid w:val="00A90651"/>
    <w:rsid w:val="00A91236"/>
    <w:rsid w:val="00A91630"/>
    <w:rsid w:val="00A91D25"/>
    <w:rsid w:val="00A92435"/>
    <w:rsid w:val="00A92C58"/>
    <w:rsid w:val="00A92EC7"/>
    <w:rsid w:val="00A934B3"/>
    <w:rsid w:val="00A935CE"/>
    <w:rsid w:val="00A93AC7"/>
    <w:rsid w:val="00A93B09"/>
    <w:rsid w:val="00A9406A"/>
    <w:rsid w:val="00A946B8"/>
    <w:rsid w:val="00A94FFF"/>
    <w:rsid w:val="00A952BA"/>
    <w:rsid w:val="00A95407"/>
    <w:rsid w:val="00A95B66"/>
    <w:rsid w:val="00A962BE"/>
    <w:rsid w:val="00A96307"/>
    <w:rsid w:val="00A9636E"/>
    <w:rsid w:val="00A96CF0"/>
    <w:rsid w:val="00A974D8"/>
    <w:rsid w:val="00A97841"/>
    <w:rsid w:val="00A97CC7"/>
    <w:rsid w:val="00A97DDC"/>
    <w:rsid w:val="00A97FAB"/>
    <w:rsid w:val="00AA03D7"/>
    <w:rsid w:val="00AA0DEF"/>
    <w:rsid w:val="00AA0FFC"/>
    <w:rsid w:val="00AA1615"/>
    <w:rsid w:val="00AA233F"/>
    <w:rsid w:val="00AA258B"/>
    <w:rsid w:val="00AA26DE"/>
    <w:rsid w:val="00AA29E8"/>
    <w:rsid w:val="00AA383D"/>
    <w:rsid w:val="00AA4871"/>
    <w:rsid w:val="00AA4C34"/>
    <w:rsid w:val="00AA4C8C"/>
    <w:rsid w:val="00AA4D15"/>
    <w:rsid w:val="00AA56E5"/>
    <w:rsid w:val="00AA5F2D"/>
    <w:rsid w:val="00AA5FED"/>
    <w:rsid w:val="00AA6BB6"/>
    <w:rsid w:val="00AA6C1E"/>
    <w:rsid w:val="00AA6CFF"/>
    <w:rsid w:val="00AA70F7"/>
    <w:rsid w:val="00AA72CB"/>
    <w:rsid w:val="00AA7308"/>
    <w:rsid w:val="00AA7387"/>
    <w:rsid w:val="00AA75CF"/>
    <w:rsid w:val="00AA77EE"/>
    <w:rsid w:val="00AB03BD"/>
    <w:rsid w:val="00AB04A1"/>
    <w:rsid w:val="00AB07EE"/>
    <w:rsid w:val="00AB0D29"/>
    <w:rsid w:val="00AB11CF"/>
    <w:rsid w:val="00AB23EB"/>
    <w:rsid w:val="00AB24A4"/>
    <w:rsid w:val="00AB27C7"/>
    <w:rsid w:val="00AB29CD"/>
    <w:rsid w:val="00AB2F51"/>
    <w:rsid w:val="00AB369F"/>
    <w:rsid w:val="00AB4206"/>
    <w:rsid w:val="00AB4284"/>
    <w:rsid w:val="00AB4BEB"/>
    <w:rsid w:val="00AB4CAE"/>
    <w:rsid w:val="00AB5DEB"/>
    <w:rsid w:val="00AB6260"/>
    <w:rsid w:val="00AB68AA"/>
    <w:rsid w:val="00AB6C0C"/>
    <w:rsid w:val="00AB6CF0"/>
    <w:rsid w:val="00AB72B1"/>
    <w:rsid w:val="00AC01EB"/>
    <w:rsid w:val="00AC0233"/>
    <w:rsid w:val="00AC0559"/>
    <w:rsid w:val="00AC05F0"/>
    <w:rsid w:val="00AC0E6E"/>
    <w:rsid w:val="00AC1015"/>
    <w:rsid w:val="00AC1C73"/>
    <w:rsid w:val="00AC1DEE"/>
    <w:rsid w:val="00AC2209"/>
    <w:rsid w:val="00AC2D60"/>
    <w:rsid w:val="00AC3152"/>
    <w:rsid w:val="00AC321C"/>
    <w:rsid w:val="00AC38C1"/>
    <w:rsid w:val="00AC3979"/>
    <w:rsid w:val="00AC397C"/>
    <w:rsid w:val="00AC3BD7"/>
    <w:rsid w:val="00AC3C61"/>
    <w:rsid w:val="00AC4093"/>
    <w:rsid w:val="00AC42A6"/>
    <w:rsid w:val="00AC5003"/>
    <w:rsid w:val="00AC5373"/>
    <w:rsid w:val="00AC5840"/>
    <w:rsid w:val="00AC5A9F"/>
    <w:rsid w:val="00AC5B2B"/>
    <w:rsid w:val="00AC5F1F"/>
    <w:rsid w:val="00AC658C"/>
    <w:rsid w:val="00AC6B0F"/>
    <w:rsid w:val="00AC6E20"/>
    <w:rsid w:val="00AC6EF3"/>
    <w:rsid w:val="00AC7731"/>
    <w:rsid w:val="00AC7DEB"/>
    <w:rsid w:val="00AD03DE"/>
    <w:rsid w:val="00AD100C"/>
    <w:rsid w:val="00AD17DB"/>
    <w:rsid w:val="00AD1AEF"/>
    <w:rsid w:val="00AD296D"/>
    <w:rsid w:val="00AD2B11"/>
    <w:rsid w:val="00AD2E3E"/>
    <w:rsid w:val="00AD341E"/>
    <w:rsid w:val="00AD3F0A"/>
    <w:rsid w:val="00AD3FCC"/>
    <w:rsid w:val="00AD419A"/>
    <w:rsid w:val="00AD41E3"/>
    <w:rsid w:val="00AD4510"/>
    <w:rsid w:val="00AD4522"/>
    <w:rsid w:val="00AD47E8"/>
    <w:rsid w:val="00AD4BF1"/>
    <w:rsid w:val="00AD5658"/>
    <w:rsid w:val="00AD5E10"/>
    <w:rsid w:val="00AD5E37"/>
    <w:rsid w:val="00AD610B"/>
    <w:rsid w:val="00AD6967"/>
    <w:rsid w:val="00AD6CD3"/>
    <w:rsid w:val="00AD6D31"/>
    <w:rsid w:val="00AD7401"/>
    <w:rsid w:val="00AD775A"/>
    <w:rsid w:val="00AD7F9E"/>
    <w:rsid w:val="00AE0A0E"/>
    <w:rsid w:val="00AE1709"/>
    <w:rsid w:val="00AE193B"/>
    <w:rsid w:val="00AE1AE1"/>
    <w:rsid w:val="00AE1DC9"/>
    <w:rsid w:val="00AE21CC"/>
    <w:rsid w:val="00AE2280"/>
    <w:rsid w:val="00AE268A"/>
    <w:rsid w:val="00AE2D11"/>
    <w:rsid w:val="00AE3424"/>
    <w:rsid w:val="00AE3664"/>
    <w:rsid w:val="00AE3A28"/>
    <w:rsid w:val="00AE423B"/>
    <w:rsid w:val="00AE4345"/>
    <w:rsid w:val="00AE4417"/>
    <w:rsid w:val="00AE474B"/>
    <w:rsid w:val="00AE4B21"/>
    <w:rsid w:val="00AE4BF4"/>
    <w:rsid w:val="00AE644B"/>
    <w:rsid w:val="00AE7D98"/>
    <w:rsid w:val="00AF045B"/>
    <w:rsid w:val="00AF0EDA"/>
    <w:rsid w:val="00AF156A"/>
    <w:rsid w:val="00AF15BA"/>
    <w:rsid w:val="00AF1721"/>
    <w:rsid w:val="00AF1866"/>
    <w:rsid w:val="00AF22CA"/>
    <w:rsid w:val="00AF2A56"/>
    <w:rsid w:val="00AF3DDD"/>
    <w:rsid w:val="00AF4112"/>
    <w:rsid w:val="00AF4145"/>
    <w:rsid w:val="00AF484B"/>
    <w:rsid w:val="00AF4B18"/>
    <w:rsid w:val="00AF4EDC"/>
    <w:rsid w:val="00AF5205"/>
    <w:rsid w:val="00AF585A"/>
    <w:rsid w:val="00AF597B"/>
    <w:rsid w:val="00AF5DF4"/>
    <w:rsid w:val="00AF6836"/>
    <w:rsid w:val="00AF6E9A"/>
    <w:rsid w:val="00AF7245"/>
    <w:rsid w:val="00AF7519"/>
    <w:rsid w:val="00B000ED"/>
    <w:rsid w:val="00B00267"/>
    <w:rsid w:val="00B00418"/>
    <w:rsid w:val="00B00A4C"/>
    <w:rsid w:val="00B01129"/>
    <w:rsid w:val="00B0173E"/>
    <w:rsid w:val="00B0294F"/>
    <w:rsid w:val="00B02CAD"/>
    <w:rsid w:val="00B0361F"/>
    <w:rsid w:val="00B03629"/>
    <w:rsid w:val="00B03869"/>
    <w:rsid w:val="00B03990"/>
    <w:rsid w:val="00B03F17"/>
    <w:rsid w:val="00B041F0"/>
    <w:rsid w:val="00B0477A"/>
    <w:rsid w:val="00B047A9"/>
    <w:rsid w:val="00B0562E"/>
    <w:rsid w:val="00B057BA"/>
    <w:rsid w:val="00B05940"/>
    <w:rsid w:val="00B05AE9"/>
    <w:rsid w:val="00B05EBD"/>
    <w:rsid w:val="00B0666D"/>
    <w:rsid w:val="00B06D6E"/>
    <w:rsid w:val="00B074BC"/>
    <w:rsid w:val="00B07957"/>
    <w:rsid w:val="00B0796A"/>
    <w:rsid w:val="00B07E0A"/>
    <w:rsid w:val="00B07FD7"/>
    <w:rsid w:val="00B10670"/>
    <w:rsid w:val="00B10B74"/>
    <w:rsid w:val="00B10FBF"/>
    <w:rsid w:val="00B112F3"/>
    <w:rsid w:val="00B11CED"/>
    <w:rsid w:val="00B11E02"/>
    <w:rsid w:val="00B1251F"/>
    <w:rsid w:val="00B1267D"/>
    <w:rsid w:val="00B129E4"/>
    <w:rsid w:val="00B13E69"/>
    <w:rsid w:val="00B142EC"/>
    <w:rsid w:val="00B152BF"/>
    <w:rsid w:val="00B1559E"/>
    <w:rsid w:val="00B15917"/>
    <w:rsid w:val="00B15D95"/>
    <w:rsid w:val="00B1607C"/>
    <w:rsid w:val="00B16266"/>
    <w:rsid w:val="00B16B44"/>
    <w:rsid w:val="00B17133"/>
    <w:rsid w:val="00B1784F"/>
    <w:rsid w:val="00B17ADA"/>
    <w:rsid w:val="00B17CC6"/>
    <w:rsid w:val="00B20075"/>
    <w:rsid w:val="00B201AD"/>
    <w:rsid w:val="00B20855"/>
    <w:rsid w:val="00B20DAC"/>
    <w:rsid w:val="00B21B4D"/>
    <w:rsid w:val="00B22AFD"/>
    <w:rsid w:val="00B2305D"/>
    <w:rsid w:val="00B23DB9"/>
    <w:rsid w:val="00B23E87"/>
    <w:rsid w:val="00B23FC2"/>
    <w:rsid w:val="00B24593"/>
    <w:rsid w:val="00B26B38"/>
    <w:rsid w:val="00B278C3"/>
    <w:rsid w:val="00B27BEE"/>
    <w:rsid w:val="00B30203"/>
    <w:rsid w:val="00B309B8"/>
    <w:rsid w:val="00B30AD0"/>
    <w:rsid w:val="00B30F5A"/>
    <w:rsid w:val="00B315A8"/>
    <w:rsid w:val="00B322DD"/>
    <w:rsid w:val="00B3240B"/>
    <w:rsid w:val="00B3259E"/>
    <w:rsid w:val="00B32A88"/>
    <w:rsid w:val="00B32E6E"/>
    <w:rsid w:val="00B333F7"/>
    <w:rsid w:val="00B342C5"/>
    <w:rsid w:val="00B346BC"/>
    <w:rsid w:val="00B34A18"/>
    <w:rsid w:val="00B357E8"/>
    <w:rsid w:val="00B35BAC"/>
    <w:rsid w:val="00B35D5B"/>
    <w:rsid w:val="00B360C7"/>
    <w:rsid w:val="00B361FD"/>
    <w:rsid w:val="00B36604"/>
    <w:rsid w:val="00B36765"/>
    <w:rsid w:val="00B368A9"/>
    <w:rsid w:val="00B36FDB"/>
    <w:rsid w:val="00B3703F"/>
    <w:rsid w:val="00B371EA"/>
    <w:rsid w:val="00B373C2"/>
    <w:rsid w:val="00B37541"/>
    <w:rsid w:val="00B375B1"/>
    <w:rsid w:val="00B37869"/>
    <w:rsid w:val="00B40069"/>
    <w:rsid w:val="00B4061D"/>
    <w:rsid w:val="00B408D9"/>
    <w:rsid w:val="00B40C6D"/>
    <w:rsid w:val="00B410AA"/>
    <w:rsid w:val="00B417C0"/>
    <w:rsid w:val="00B41B5B"/>
    <w:rsid w:val="00B41B97"/>
    <w:rsid w:val="00B42830"/>
    <w:rsid w:val="00B42EEB"/>
    <w:rsid w:val="00B43115"/>
    <w:rsid w:val="00B4357B"/>
    <w:rsid w:val="00B439A5"/>
    <w:rsid w:val="00B44207"/>
    <w:rsid w:val="00B442AB"/>
    <w:rsid w:val="00B446A0"/>
    <w:rsid w:val="00B44BFC"/>
    <w:rsid w:val="00B453EA"/>
    <w:rsid w:val="00B461D6"/>
    <w:rsid w:val="00B4626B"/>
    <w:rsid w:val="00B4629C"/>
    <w:rsid w:val="00B46E95"/>
    <w:rsid w:val="00B46F83"/>
    <w:rsid w:val="00B4717B"/>
    <w:rsid w:val="00B473EE"/>
    <w:rsid w:val="00B47742"/>
    <w:rsid w:val="00B4790D"/>
    <w:rsid w:val="00B479D2"/>
    <w:rsid w:val="00B47C8B"/>
    <w:rsid w:val="00B5014F"/>
    <w:rsid w:val="00B503ED"/>
    <w:rsid w:val="00B50982"/>
    <w:rsid w:val="00B50AC9"/>
    <w:rsid w:val="00B51072"/>
    <w:rsid w:val="00B51DA6"/>
    <w:rsid w:val="00B524F7"/>
    <w:rsid w:val="00B526EF"/>
    <w:rsid w:val="00B529D9"/>
    <w:rsid w:val="00B530EA"/>
    <w:rsid w:val="00B53B45"/>
    <w:rsid w:val="00B544D5"/>
    <w:rsid w:val="00B547D5"/>
    <w:rsid w:val="00B548C1"/>
    <w:rsid w:val="00B54989"/>
    <w:rsid w:val="00B54FCA"/>
    <w:rsid w:val="00B556F4"/>
    <w:rsid w:val="00B568FE"/>
    <w:rsid w:val="00B56CB8"/>
    <w:rsid w:val="00B5723F"/>
    <w:rsid w:val="00B57AC0"/>
    <w:rsid w:val="00B57AC3"/>
    <w:rsid w:val="00B57E86"/>
    <w:rsid w:val="00B60661"/>
    <w:rsid w:val="00B60FFD"/>
    <w:rsid w:val="00B610ED"/>
    <w:rsid w:val="00B613CC"/>
    <w:rsid w:val="00B614EE"/>
    <w:rsid w:val="00B615A6"/>
    <w:rsid w:val="00B61A0A"/>
    <w:rsid w:val="00B6203D"/>
    <w:rsid w:val="00B630A0"/>
    <w:rsid w:val="00B632CE"/>
    <w:rsid w:val="00B632E4"/>
    <w:rsid w:val="00B63A94"/>
    <w:rsid w:val="00B63AD2"/>
    <w:rsid w:val="00B63DD9"/>
    <w:rsid w:val="00B64147"/>
    <w:rsid w:val="00B657FD"/>
    <w:rsid w:val="00B668EC"/>
    <w:rsid w:val="00B67228"/>
    <w:rsid w:val="00B678B4"/>
    <w:rsid w:val="00B67BB2"/>
    <w:rsid w:val="00B70215"/>
    <w:rsid w:val="00B70447"/>
    <w:rsid w:val="00B713D2"/>
    <w:rsid w:val="00B716F6"/>
    <w:rsid w:val="00B7180A"/>
    <w:rsid w:val="00B72B88"/>
    <w:rsid w:val="00B73983"/>
    <w:rsid w:val="00B746C6"/>
    <w:rsid w:val="00B74709"/>
    <w:rsid w:val="00B750EC"/>
    <w:rsid w:val="00B752E1"/>
    <w:rsid w:val="00B7559C"/>
    <w:rsid w:val="00B75DBE"/>
    <w:rsid w:val="00B75E72"/>
    <w:rsid w:val="00B7610F"/>
    <w:rsid w:val="00B7615A"/>
    <w:rsid w:val="00B764D6"/>
    <w:rsid w:val="00B76918"/>
    <w:rsid w:val="00B76A44"/>
    <w:rsid w:val="00B76DD4"/>
    <w:rsid w:val="00B770C1"/>
    <w:rsid w:val="00B7783F"/>
    <w:rsid w:val="00B77D1D"/>
    <w:rsid w:val="00B77EE8"/>
    <w:rsid w:val="00B8111D"/>
    <w:rsid w:val="00B81236"/>
    <w:rsid w:val="00B81646"/>
    <w:rsid w:val="00B818C7"/>
    <w:rsid w:val="00B81935"/>
    <w:rsid w:val="00B81EC7"/>
    <w:rsid w:val="00B82061"/>
    <w:rsid w:val="00B82236"/>
    <w:rsid w:val="00B8265A"/>
    <w:rsid w:val="00B828C2"/>
    <w:rsid w:val="00B82966"/>
    <w:rsid w:val="00B82A6B"/>
    <w:rsid w:val="00B830D2"/>
    <w:rsid w:val="00B835EE"/>
    <w:rsid w:val="00B83C56"/>
    <w:rsid w:val="00B8432A"/>
    <w:rsid w:val="00B8542B"/>
    <w:rsid w:val="00B86ABE"/>
    <w:rsid w:val="00B8782A"/>
    <w:rsid w:val="00B90287"/>
    <w:rsid w:val="00B903C4"/>
    <w:rsid w:val="00B904C8"/>
    <w:rsid w:val="00B907E4"/>
    <w:rsid w:val="00B90E05"/>
    <w:rsid w:val="00B9115C"/>
    <w:rsid w:val="00B91163"/>
    <w:rsid w:val="00B91306"/>
    <w:rsid w:val="00B91328"/>
    <w:rsid w:val="00B91AA3"/>
    <w:rsid w:val="00B91F43"/>
    <w:rsid w:val="00B9272B"/>
    <w:rsid w:val="00B92FD9"/>
    <w:rsid w:val="00B93733"/>
    <w:rsid w:val="00B93D7D"/>
    <w:rsid w:val="00B94122"/>
    <w:rsid w:val="00B94352"/>
    <w:rsid w:val="00B9438C"/>
    <w:rsid w:val="00B95028"/>
    <w:rsid w:val="00B9550F"/>
    <w:rsid w:val="00B95AD9"/>
    <w:rsid w:val="00B95F82"/>
    <w:rsid w:val="00B962E5"/>
    <w:rsid w:val="00B9630C"/>
    <w:rsid w:val="00B96557"/>
    <w:rsid w:val="00B96DBA"/>
    <w:rsid w:val="00B96E1B"/>
    <w:rsid w:val="00B97023"/>
    <w:rsid w:val="00B97334"/>
    <w:rsid w:val="00B97811"/>
    <w:rsid w:val="00BA0426"/>
    <w:rsid w:val="00BA05C8"/>
    <w:rsid w:val="00BA0840"/>
    <w:rsid w:val="00BA0AD1"/>
    <w:rsid w:val="00BA0EF0"/>
    <w:rsid w:val="00BA11D2"/>
    <w:rsid w:val="00BA1295"/>
    <w:rsid w:val="00BA133C"/>
    <w:rsid w:val="00BA166B"/>
    <w:rsid w:val="00BA1C07"/>
    <w:rsid w:val="00BA1C62"/>
    <w:rsid w:val="00BA2648"/>
    <w:rsid w:val="00BA4051"/>
    <w:rsid w:val="00BA4163"/>
    <w:rsid w:val="00BA41CE"/>
    <w:rsid w:val="00BA441B"/>
    <w:rsid w:val="00BA4448"/>
    <w:rsid w:val="00BA4527"/>
    <w:rsid w:val="00BA4DBC"/>
    <w:rsid w:val="00BA53D4"/>
    <w:rsid w:val="00BA5867"/>
    <w:rsid w:val="00BA64CF"/>
    <w:rsid w:val="00BA67CD"/>
    <w:rsid w:val="00BA6935"/>
    <w:rsid w:val="00BA7149"/>
    <w:rsid w:val="00BA7280"/>
    <w:rsid w:val="00BA7367"/>
    <w:rsid w:val="00BA74AA"/>
    <w:rsid w:val="00BB0989"/>
    <w:rsid w:val="00BB0A58"/>
    <w:rsid w:val="00BB1086"/>
    <w:rsid w:val="00BB1931"/>
    <w:rsid w:val="00BB2001"/>
    <w:rsid w:val="00BB221B"/>
    <w:rsid w:val="00BB2495"/>
    <w:rsid w:val="00BB25D0"/>
    <w:rsid w:val="00BB2820"/>
    <w:rsid w:val="00BB2F4A"/>
    <w:rsid w:val="00BB313B"/>
    <w:rsid w:val="00BB38C2"/>
    <w:rsid w:val="00BB3A24"/>
    <w:rsid w:val="00BB3A5D"/>
    <w:rsid w:val="00BB4BA6"/>
    <w:rsid w:val="00BB4F40"/>
    <w:rsid w:val="00BB52EE"/>
    <w:rsid w:val="00BB57A9"/>
    <w:rsid w:val="00BB5E8A"/>
    <w:rsid w:val="00BB5F0D"/>
    <w:rsid w:val="00BB60B6"/>
    <w:rsid w:val="00BB71CA"/>
    <w:rsid w:val="00BB7963"/>
    <w:rsid w:val="00BC0080"/>
    <w:rsid w:val="00BC01EA"/>
    <w:rsid w:val="00BC0444"/>
    <w:rsid w:val="00BC0655"/>
    <w:rsid w:val="00BC0714"/>
    <w:rsid w:val="00BC0B9D"/>
    <w:rsid w:val="00BC133A"/>
    <w:rsid w:val="00BC148E"/>
    <w:rsid w:val="00BC1BF5"/>
    <w:rsid w:val="00BC1EA2"/>
    <w:rsid w:val="00BC25AD"/>
    <w:rsid w:val="00BC2891"/>
    <w:rsid w:val="00BC2C6E"/>
    <w:rsid w:val="00BC3A35"/>
    <w:rsid w:val="00BC3C8D"/>
    <w:rsid w:val="00BC426B"/>
    <w:rsid w:val="00BC4448"/>
    <w:rsid w:val="00BC44E8"/>
    <w:rsid w:val="00BC51CB"/>
    <w:rsid w:val="00BC54F0"/>
    <w:rsid w:val="00BC5E05"/>
    <w:rsid w:val="00BC65A7"/>
    <w:rsid w:val="00BC65DA"/>
    <w:rsid w:val="00BC6E50"/>
    <w:rsid w:val="00BD0909"/>
    <w:rsid w:val="00BD0C08"/>
    <w:rsid w:val="00BD1E85"/>
    <w:rsid w:val="00BD2D07"/>
    <w:rsid w:val="00BD320C"/>
    <w:rsid w:val="00BD324C"/>
    <w:rsid w:val="00BD3DFA"/>
    <w:rsid w:val="00BD490D"/>
    <w:rsid w:val="00BD4F82"/>
    <w:rsid w:val="00BD5145"/>
    <w:rsid w:val="00BD7718"/>
    <w:rsid w:val="00BD78BC"/>
    <w:rsid w:val="00BD78F8"/>
    <w:rsid w:val="00BD7A99"/>
    <w:rsid w:val="00BD7AE6"/>
    <w:rsid w:val="00BD7B37"/>
    <w:rsid w:val="00BD7CC2"/>
    <w:rsid w:val="00BD7D18"/>
    <w:rsid w:val="00BD7E9E"/>
    <w:rsid w:val="00BE0C2A"/>
    <w:rsid w:val="00BE0C81"/>
    <w:rsid w:val="00BE15CB"/>
    <w:rsid w:val="00BE228F"/>
    <w:rsid w:val="00BE242E"/>
    <w:rsid w:val="00BE26E7"/>
    <w:rsid w:val="00BE32C8"/>
    <w:rsid w:val="00BE34CC"/>
    <w:rsid w:val="00BE3B04"/>
    <w:rsid w:val="00BE3BE5"/>
    <w:rsid w:val="00BE3BFD"/>
    <w:rsid w:val="00BE3C2D"/>
    <w:rsid w:val="00BE45AC"/>
    <w:rsid w:val="00BE49C1"/>
    <w:rsid w:val="00BE4EB6"/>
    <w:rsid w:val="00BE55ED"/>
    <w:rsid w:val="00BE57EA"/>
    <w:rsid w:val="00BE5DFC"/>
    <w:rsid w:val="00BE62C5"/>
    <w:rsid w:val="00BE67ED"/>
    <w:rsid w:val="00BE6B13"/>
    <w:rsid w:val="00BE6CB2"/>
    <w:rsid w:val="00BE71C5"/>
    <w:rsid w:val="00BE75ED"/>
    <w:rsid w:val="00BE761D"/>
    <w:rsid w:val="00BE762F"/>
    <w:rsid w:val="00BE78A3"/>
    <w:rsid w:val="00BE7AF9"/>
    <w:rsid w:val="00BF04C6"/>
    <w:rsid w:val="00BF04DD"/>
    <w:rsid w:val="00BF0B1B"/>
    <w:rsid w:val="00BF0BEF"/>
    <w:rsid w:val="00BF156C"/>
    <w:rsid w:val="00BF16AB"/>
    <w:rsid w:val="00BF1A10"/>
    <w:rsid w:val="00BF1B71"/>
    <w:rsid w:val="00BF2118"/>
    <w:rsid w:val="00BF223D"/>
    <w:rsid w:val="00BF28DD"/>
    <w:rsid w:val="00BF2991"/>
    <w:rsid w:val="00BF2AAB"/>
    <w:rsid w:val="00BF2CF1"/>
    <w:rsid w:val="00BF5159"/>
    <w:rsid w:val="00BF5F1C"/>
    <w:rsid w:val="00BF7418"/>
    <w:rsid w:val="00BF759E"/>
    <w:rsid w:val="00BF7C88"/>
    <w:rsid w:val="00C0033A"/>
    <w:rsid w:val="00C004E3"/>
    <w:rsid w:val="00C00621"/>
    <w:rsid w:val="00C006ED"/>
    <w:rsid w:val="00C0099D"/>
    <w:rsid w:val="00C009D4"/>
    <w:rsid w:val="00C00C26"/>
    <w:rsid w:val="00C00D7B"/>
    <w:rsid w:val="00C01649"/>
    <w:rsid w:val="00C0168D"/>
    <w:rsid w:val="00C01A87"/>
    <w:rsid w:val="00C01E5F"/>
    <w:rsid w:val="00C0245E"/>
    <w:rsid w:val="00C02B99"/>
    <w:rsid w:val="00C03238"/>
    <w:rsid w:val="00C037BF"/>
    <w:rsid w:val="00C042F0"/>
    <w:rsid w:val="00C05002"/>
    <w:rsid w:val="00C05305"/>
    <w:rsid w:val="00C053A6"/>
    <w:rsid w:val="00C053E5"/>
    <w:rsid w:val="00C05451"/>
    <w:rsid w:val="00C0576F"/>
    <w:rsid w:val="00C05FDB"/>
    <w:rsid w:val="00C06585"/>
    <w:rsid w:val="00C06708"/>
    <w:rsid w:val="00C068F3"/>
    <w:rsid w:val="00C06A87"/>
    <w:rsid w:val="00C06ACE"/>
    <w:rsid w:val="00C06CC8"/>
    <w:rsid w:val="00C06FAE"/>
    <w:rsid w:val="00C07855"/>
    <w:rsid w:val="00C07F1A"/>
    <w:rsid w:val="00C10696"/>
    <w:rsid w:val="00C10C07"/>
    <w:rsid w:val="00C10D05"/>
    <w:rsid w:val="00C1292A"/>
    <w:rsid w:val="00C12B9A"/>
    <w:rsid w:val="00C12D82"/>
    <w:rsid w:val="00C12E0D"/>
    <w:rsid w:val="00C12EAA"/>
    <w:rsid w:val="00C12FDF"/>
    <w:rsid w:val="00C143C5"/>
    <w:rsid w:val="00C144E4"/>
    <w:rsid w:val="00C14CE0"/>
    <w:rsid w:val="00C1629E"/>
    <w:rsid w:val="00C167F4"/>
    <w:rsid w:val="00C16BF6"/>
    <w:rsid w:val="00C16EA3"/>
    <w:rsid w:val="00C17300"/>
    <w:rsid w:val="00C174C7"/>
    <w:rsid w:val="00C1765A"/>
    <w:rsid w:val="00C17663"/>
    <w:rsid w:val="00C17C02"/>
    <w:rsid w:val="00C17E9E"/>
    <w:rsid w:val="00C17ED9"/>
    <w:rsid w:val="00C200D7"/>
    <w:rsid w:val="00C20162"/>
    <w:rsid w:val="00C20B27"/>
    <w:rsid w:val="00C2107E"/>
    <w:rsid w:val="00C216AC"/>
    <w:rsid w:val="00C21743"/>
    <w:rsid w:val="00C2176B"/>
    <w:rsid w:val="00C22484"/>
    <w:rsid w:val="00C22615"/>
    <w:rsid w:val="00C22BB8"/>
    <w:rsid w:val="00C2378A"/>
    <w:rsid w:val="00C237B0"/>
    <w:rsid w:val="00C23C27"/>
    <w:rsid w:val="00C23E84"/>
    <w:rsid w:val="00C24144"/>
    <w:rsid w:val="00C24624"/>
    <w:rsid w:val="00C249DE"/>
    <w:rsid w:val="00C252D3"/>
    <w:rsid w:val="00C2536A"/>
    <w:rsid w:val="00C254B1"/>
    <w:rsid w:val="00C25B08"/>
    <w:rsid w:val="00C26D85"/>
    <w:rsid w:val="00C27253"/>
    <w:rsid w:val="00C2740E"/>
    <w:rsid w:val="00C27589"/>
    <w:rsid w:val="00C27DBF"/>
    <w:rsid w:val="00C30AA9"/>
    <w:rsid w:val="00C30B8B"/>
    <w:rsid w:val="00C30E38"/>
    <w:rsid w:val="00C31168"/>
    <w:rsid w:val="00C312CA"/>
    <w:rsid w:val="00C315FC"/>
    <w:rsid w:val="00C31F16"/>
    <w:rsid w:val="00C33411"/>
    <w:rsid w:val="00C33AC6"/>
    <w:rsid w:val="00C343D5"/>
    <w:rsid w:val="00C34AAF"/>
    <w:rsid w:val="00C34B6D"/>
    <w:rsid w:val="00C35329"/>
    <w:rsid w:val="00C3578B"/>
    <w:rsid w:val="00C35868"/>
    <w:rsid w:val="00C359B7"/>
    <w:rsid w:val="00C35C3C"/>
    <w:rsid w:val="00C36430"/>
    <w:rsid w:val="00C365EA"/>
    <w:rsid w:val="00C36A0E"/>
    <w:rsid w:val="00C36D0F"/>
    <w:rsid w:val="00C36DE8"/>
    <w:rsid w:val="00C373A0"/>
    <w:rsid w:val="00C37D49"/>
    <w:rsid w:val="00C401FD"/>
    <w:rsid w:val="00C404C0"/>
    <w:rsid w:val="00C40BE3"/>
    <w:rsid w:val="00C40C96"/>
    <w:rsid w:val="00C40D8A"/>
    <w:rsid w:val="00C41478"/>
    <w:rsid w:val="00C41503"/>
    <w:rsid w:val="00C42683"/>
    <w:rsid w:val="00C42AEA"/>
    <w:rsid w:val="00C42E93"/>
    <w:rsid w:val="00C43411"/>
    <w:rsid w:val="00C43804"/>
    <w:rsid w:val="00C43E03"/>
    <w:rsid w:val="00C44B45"/>
    <w:rsid w:val="00C44FD8"/>
    <w:rsid w:val="00C45880"/>
    <w:rsid w:val="00C45DCD"/>
    <w:rsid w:val="00C46528"/>
    <w:rsid w:val="00C468DB"/>
    <w:rsid w:val="00C46DC6"/>
    <w:rsid w:val="00C470E0"/>
    <w:rsid w:val="00C47762"/>
    <w:rsid w:val="00C50918"/>
    <w:rsid w:val="00C51923"/>
    <w:rsid w:val="00C51944"/>
    <w:rsid w:val="00C52058"/>
    <w:rsid w:val="00C5220B"/>
    <w:rsid w:val="00C5231A"/>
    <w:rsid w:val="00C52692"/>
    <w:rsid w:val="00C52EB2"/>
    <w:rsid w:val="00C533B9"/>
    <w:rsid w:val="00C539D5"/>
    <w:rsid w:val="00C53C87"/>
    <w:rsid w:val="00C541A9"/>
    <w:rsid w:val="00C543A4"/>
    <w:rsid w:val="00C54BF3"/>
    <w:rsid w:val="00C551A7"/>
    <w:rsid w:val="00C55384"/>
    <w:rsid w:val="00C5571D"/>
    <w:rsid w:val="00C558DB"/>
    <w:rsid w:val="00C55C2A"/>
    <w:rsid w:val="00C55EAE"/>
    <w:rsid w:val="00C55ECC"/>
    <w:rsid w:val="00C5625E"/>
    <w:rsid w:val="00C562C9"/>
    <w:rsid w:val="00C56641"/>
    <w:rsid w:val="00C56AD4"/>
    <w:rsid w:val="00C56B8C"/>
    <w:rsid w:val="00C56D40"/>
    <w:rsid w:val="00C56FEB"/>
    <w:rsid w:val="00C57013"/>
    <w:rsid w:val="00C57626"/>
    <w:rsid w:val="00C5784C"/>
    <w:rsid w:val="00C60935"/>
    <w:rsid w:val="00C60BCC"/>
    <w:rsid w:val="00C60E2A"/>
    <w:rsid w:val="00C61388"/>
    <w:rsid w:val="00C6157F"/>
    <w:rsid w:val="00C61977"/>
    <w:rsid w:val="00C61B34"/>
    <w:rsid w:val="00C61FA5"/>
    <w:rsid w:val="00C62058"/>
    <w:rsid w:val="00C620EB"/>
    <w:rsid w:val="00C622A0"/>
    <w:rsid w:val="00C6242E"/>
    <w:rsid w:val="00C625F6"/>
    <w:rsid w:val="00C62E30"/>
    <w:rsid w:val="00C62FD3"/>
    <w:rsid w:val="00C63399"/>
    <w:rsid w:val="00C63647"/>
    <w:rsid w:val="00C639CB"/>
    <w:rsid w:val="00C63FFA"/>
    <w:rsid w:val="00C6461B"/>
    <w:rsid w:val="00C64CCC"/>
    <w:rsid w:val="00C64F20"/>
    <w:rsid w:val="00C6518F"/>
    <w:rsid w:val="00C65628"/>
    <w:rsid w:val="00C65E88"/>
    <w:rsid w:val="00C66094"/>
    <w:rsid w:val="00C6609F"/>
    <w:rsid w:val="00C66339"/>
    <w:rsid w:val="00C66672"/>
    <w:rsid w:val="00C66B41"/>
    <w:rsid w:val="00C66E80"/>
    <w:rsid w:val="00C66EBE"/>
    <w:rsid w:val="00C67506"/>
    <w:rsid w:val="00C678E6"/>
    <w:rsid w:val="00C706F0"/>
    <w:rsid w:val="00C70C66"/>
    <w:rsid w:val="00C70CB4"/>
    <w:rsid w:val="00C70FBE"/>
    <w:rsid w:val="00C71182"/>
    <w:rsid w:val="00C711BF"/>
    <w:rsid w:val="00C71513"/>
    <w:rsid w:val="00C71FAF"/>
    <w:rsid w:val="00C722C4"/>
    <w:rsid w:val="00C72963"/>
    <w:rsid w:val="00C72DBB"/>
    <w:rsid w:val="00C72E73"/>
    <w:rsid w:val="00C73028"/>
    <w:rsid w:val="00C7347A"/>
    <w:rsid w:val="00C738BD"/>
    <w:rsid w:val="00C73CB9"/>
    <w:rsid w:val="00C7411D"/>
    <w:rsid w:val="00C741AD"/>
    <w:rsid w:val="00C74440"/>
    <w:rsid w:val="00C748E8"/>
    <w:rsid w:val="00C74A64"/>
    <w:rsid w:val="00C75095"/>
    <w:rsid w:val="00C75162"/>
    <w:rsid w:val="00C751BC"/>
    <w:rsid w:val="00C758D8"/>
    <w:rsid w:val="00C75990"/>
    <w:rsid w:val="00C75E4E"/>
    <w:rsid w:val="00C76689"/>
    <w:rsid w:val="00C76BE4"/>
    <w:rsid w:val="00C76E76"/>
    <w:rsid w:val="00C76FB2"/>
    <w:rsid w:val="00C774AB"/>
    <w:rsid w:val="00C778ED"/>
    <w:rsid w:val="00C77DB4"/>
    <w:rsid w:val="00C80E50"/>
    <w:rsid w:val="00C81162"/>
    <w:rsid w:val="00C815CF"/>
    <w:rsid w:val="00C81A43"/>
    <w:rsid w:val="00C82499"/>
    <w:rsid w:val="00C82811"/>
    <w:rsid w:val="00C829D9"/>
    <w:rsid w:val="00C82B48"/>
    <w:rsid w:val="00C83135"/>
    <w:rsid w:val="00C83A05"/>
    <w:rsid w:val="00C83C54"/>
    <w:rsid w:val="00C8421B"/>
    <w:rsid w:val="00C844D8"/>
    <w:rsid w:val="00C847F8"/>
    <w:rsid w:val="00C854F7"/>
    <w:rsid w:val="00C85EA1"/>
    <w:rsid w:val="00C85ECD"/>
    <w:rsid w:val="00C86415"/>
    <w:rsid w:val="00C8676B"/>
    <w:rsid w:val="00C86818"/>
    <w:rsid w:val="00C8716A"/>
    <w:rsid w:val="00C8727D"/>
    <w:rsid w:val="00C87F70"/>
    <w:rsid w:val="00C9027E"/>
    <w:rsid w:val="00C90375"/>
    <w:rsid w:val="00C904AA"/>
    <w:rsid w:val="00C90B85"/>
    <w:rsid w:val="00C90F4E"/>
    <w:rsid w:val="00C91F11"/>
    <w:rsid w:val="00C92139"/>
    <w:rsid w:val="00C922D6"/>
    <w:rsid w:val="00C92BD2"/>
    <w:rsid w:val="00C92C89"/>
    <w:rsid w:val="00C931E4"/>
    <w:rsid w:val="00C93E3E"/>
    <w:rsid w:val="00C9478C"/>
    <w:rsid w:val="00C953A0"/>
    <w:rsid w:val="00C95C9D"/>
    <w:rsid w:val="00C95D7C"/>
    <w:rsid w:val="00C95E6E"/>
    <w:rsid w:val="00C9688A"/>
    <w:rsid w:val="00C96CEB"/>
    <w:rsid w:val="00C97082"/>
    <w:rsid w:val="00C97549"/>
    <w:rsid w:val="00C979B2"/>
    <w:rsid w:val="00C979F3"/>
    <w:rsid w:val="00C97D57"/>
    <w:rsid w:val="00C97DDB"/>
    <w:rsid w:val="00C97E71"/>
    <w:rsid w:val="00CA0183"/>
    <w:rsid w:val="00CA0A29"/>
    <w:rsid w:val="00CA1452"/>
    <w:rsid w:val="00CA1507"/>
    <w:rsid w:val="00CA1F50"/>
    <w:rsid w:val="00CA32C3"/>
    <w:rsid w:val="00CA3387"/>
    <w:rsid w:val="00CA4917"/>
    <w:rsid w:val="00CA4A25"/>
    <w:rsid w:val="00CA4DDC"/>
    <w:rsid w:val="00CA56F8"/>
    <w:rsid w:val="00CA5808"/>
    <w:rsid w:val="00CA5BED"/>
    <w:rsid w:val="00CA5DAE"/>
    <w:rsid w:val="00CA5DEC"/>
    <w:rsid w:val="00CA5EDC"/>
    <w:rsid w:val="00CA5F03"/>
    <w:rsid w:val="00CA604E"/>
    <w:rsid w:val="00CA62BB"/>
    <w:rsid w:val="00CA6A07"/>
    <w:rsid w:val="00CA6FC9"/>
    <w:rsid w:val="00CA7621"/>
    <w:rsid w:val="00CA7FEE"/>
    <w:rsid w:val="00CB00C7"/>
    <w:rsid w:val="00CB053F"/>
    <w:rsid w:val="00CB084D"/>
    <w:rsid w:val="00CB08D8"/>
    <w:rsid w:val="00CB0DE3"/>
    <w:rsid w:val="00CB11CF"/>
    <w:rsid w:val="00CB11DB"/>
    <w:rsid w:val="00CB14CD"/>
    <w:rsid w:val="00CB1677"/>
    <w:rsid w:val="00CB1D07"/>
    <w:rsid w:val="00CB2167"/>
    <w:rsid w:val="00CB2878"/>
    <w:rsid w:val="00CB2F65"/>
    <w:rsid w:val="00CB3026"/>
    <w:rsid w:val="00CB370C"/>
    <w:rsid w:val="00CB3A34"/>
    <w:rsid w:val="00CB4908"/>
    <w:rsid w:val="00CB529E"/>
    <w:rsid w:val="00CB5F5E"/>
    <w:rsid w:val="00CB61CE"/>
    <w:rsid w:val="00CB6527"/>
    <w:rsid w:val="00CB686A"/>
    <w:rsid w:val="00CB71F0"/>
    <w:rsid w:val="00CB76E6"/>
    <w:rsid w:val="00CB7797"/>
    <w:rsid w:val="00CB793D"/>
    <w:rsid w:val="00CB79D9"/>
    <w:rsid w:val="00CC0A8E"/>
    <w:rsid w:val="00CC1385"/>
    <w:rsid w:val="00CC2243"/>
    <w:rsid w:val="00CC242D"/>
    <w:rsid w:val="00CC2642"/>
    <w:rsid w:val="00CC28B9"/>
    <w:rsid w:val="00CC2E80"/>
    <w:rsid w:val="00CC3392"/>
    <w:rsid w:val="00CC4328"/>
    <w:rsid w:val="00CC46F3"/>
    <w:rsid w:val="00CC51C1"/>
    <w:rsid w:val="00CC57C3"/>
    <w:rsid w:val="00CC5C53"/>
    <w:rsid w:val="00CC6373"/>
    <w:rsid w:val="00CC6487"/>
    <w:rsid w:val="00CC6606"/>
    <w:rsid w:val="00CC6AE4"/>
    <w:rsid w:val="00CC6EA2"/>
    <w:rsid w:val="00CC779C"/>
    <w:rsid w:val="00CD07DA"/>
    <w:rsid w:val="00CD094E"/>
    <w:rsid w:val="00CD1149"/>
    <w:rsid w:val="00CD1AFF"/>
    <w:rsid w:val="00CD1EA8"/>
    <w:rsid w:val="00CD207A"/>
    <w:rsid w:val="00CD2510"/>
    <w:rsid w:val="00CD2C19"/>
    <w:rsid w:val="00CD3448"/>
    <w:rsid w:val="00CD36BD"/>
    <w:rsid w:val="00CD3B15"/>
    <w:rsid w:val="00CD3E9D"/>
    <w:rsid w:val="00CD41B5"/>
    <w:rsid w:val="00CD4818"/>
    <w:rsid w:val="00CD4AD1"/>
    <w:rsid w:val="00CD4DCE"/>
    <w:rsid w:val="00CD516F"/>
    <w:rsid w:val="00CD5FAD"/>
    <w:rsid w:val="00CD6080"/>
    <w:rsid w:val="00CD6743"/>
    <w:rsid w:val="00CD6854"/>
    <w:rsid w:val="00CD6B0F"/>
    <w:rsid w:val="00CD6B6F"/>
    <w:rsid w:val="00CD6B7D"/>
    <w:rsid w:val="00CD6CA4"/>
    <w:rsid w:val="00CD72F5"/>
    <w:rsid w:val="00CD73DE"/>
    <w:rsid w:val="00CE176D"/>
    <w:rsid w:val="00CE17C0"/>
    <w:rsid w:val="00CE1C48"/>
    <w:rsid w:val="00CE216E"/>
    <w:rsid w:val="00CE267A"/>
    <w:rsid w:val="00CE28F3"/>
    <w:rsid w:val="00CE2AAD"/>
    <w:rsid w:val="00CE31F9"/>
    <w:rsid w:val="00CE32D8"/>
    <w:rsid w:val="00CE3D96"/>
    <w:rsid w:val="00CE3F02"/>
    <w:rsid w:val="00CE4565"/>
    <w:rsid w:val="00CE4E68"/>
    <w:rsid w:val="00CE5A0E"/>
    <w:rsid w:val="00CE6884"/>
    <w:rsid w:val="00CE6E29"/>
    <w:rsid w:val="00CE6E96"/>
    <w:rsid w:val="00CE7E9E"/>
    <w:rsid w:val="00CF0C9E"/>
    <w:rsid w:val="00CF0E5E"/>
    <w:rsid w:val="00CF1448"/>
    <w:rsid w:val="00CF159A"/>
    <w:rsid w:val="00CF1C73"/>
    <w:rsid w:val="00CF1F68"/>
    <w:rsid w:val="00CF2363"/>
    <w:rsid w:val="00CF24F3"/>
    <w:rsid w:val="00CF29C8"/>
    <w:rsid w:val="00CF2ED3"/>
    <w:rsid w:val="00CF2FDB"/>
    <w:rsid w:val="00CF3352"/>
    <w:rsid w:val="00CF34C2"/>
    <w:rsid w:val="00CF360E"/>
    <w:rsid w:val="00CF39A6"/>
    <w:rsid w:val="00CF3A6F"/>
    <w:rsid w:val="00CF3D83"/>
    <w:rsid w:val="00CF3D9A"/>
    <w:rsid w:val="00CF404A"/>
    <w:rsid w:val="00CF42BA"/>
    <w:rsid w:val="00CF4618"/>
    <w:rsid w:val="00CF4B6F"/>
    <w:rsid w:val="00CF588D"/>
    <w:rsid w:val="00CF5B4D"/>
    <w:rsid w:val="00CF5EAE"/>
    <w:rsid w:val="00CF630E"/>
    <w:rsid w:val="00CF671F"/>
    <w:rsid w:val="00CF6A6F"/>
    <w:rsid w:val="00CF6F9C"/>
    <w:rsid w:val="00CF72DA"/>
    <w:rsid w:val="00CF7433"/>
    <w:rsid w:val="00D001AC"/>
    <w:rsid w:val="00D0057D"/>
    <w:rsid w:val="00D0095A"/>
    <w:rsid w:val="00D013BE"/>
    <w:rsid w:val="00D0170F"/>
    <w:rsid w:val="00D019C7"/>
    <w:rsid w:val="00D02614"/>
    <w:rsid w:val="00D02DE2"/>
    <w:rsid w:val="00D031AA"/>
    <w:rsid w:val="00D03BF4"/>
    <w:rsid w:val="00D042E9"/>
    <w:rsid w:val="00D04386"/>
    <w:rsid w:val="00D04409"/>
    <w:rsid w:val="00D04619"/>
    <w:rsid w:val="00D04893"/>
    <w:rsid w:val="00D04BCE"/>
    <w:rsid w:val="00D04EC5"/>
    <w:rsid w:val="00D06128"/>
    <w:rsid w:val="00D06C2C"/>
    <w:rsid w:val="00D07003"/>
    <w:rsid w:val="00D074D4"/>
    <w:rsid w:val="00D0778F"/>
    <w:rsid w:val="00D07F89"/>
    <w:rsid w:val="00D10C4C"/>
    <w:rsid w:val="00D11D2A"/>
    <w:rsid w:val="00D12F46"/>
    <w:rsid w:val="00D131CE"/>
    <w:rsid w:val="00D131D7"/>
    <w:rsid w:val="00D134AC"/>
    <w:rsid w:val="00D135A7"/>
    <w:rsid w:val="00D13839"/>
    <w:rsid w:val="00D13D80"/>
    <w:rsid w:val="00D14C47"/>
    <w:rsid w:val="00D14F36"/>
    <w:rsid w:val="00D15F1E"/>
    <w:rsid w:val="00D16C62"/>
    <w:rsid w:val="00D16FCF"/>
    <w:rsid w:val="00D17458"/>
    <w:rsid w:val="00D17508"/>
    <w:rsid w:val="00D175B2"/>
    <w:rsid w:val="00D178BC"/>
    <w:rsid w:val="00D178FB"/>
    <w:rsid w:val="00D202CE"/>
    <w:rsid w:val="00D2056F"/>
    <w:rsid w:val="00D20FA2"/>
    <w:rsid w:val="00D21189"/>
    <w:rsid w:val="00D21C71"/>
    <w:rsid w:val="00D21D7A"/>
    <w:rsid w:val="00D2239F"/>
    <w:rsid w:val="00D227A4"/>
    <w:rsid w:val="00D22A4F"/>
    <w:rsid w:val="00D22DDC"/>
    <w:rsid w:val="00D23DD2"/>
    <w:rsid w:val="00D23E7B"/>
    <w:rsid w:val="00D23FA8"/>
    <w:rsid w:val="00D246D9"/>
    <w:rsid w:val="00D258A8"/>
    <w:rsid w:val="00D25A72"/>
    <w:rsid w:val="00D25D22"/>
    <w:rsid w:val="00D275A8"/>
    <w:rsid w:val="00D27732"/>
    <w:rsid w:val="00D303E5"/>
    <w:rsid w:val="00D3049C"/>
    <w:rsid w:val="00D3086A"/>
    <w:rsid w:val="00D31199"/>
    <w:rsid w:val="00D3137D"/>
    <w:rsid w:val="00D31409"/>
    <w:rsid w:val="00D31A87"/>
    <w:rsid w:val="00D32443"/>
    <w:rsid w:val="00D32657"/>
    <w:rsid w:val="00D3292B"/>
    <w:rsid w:val="00D3295A"/>
    <w:rsid w:val="00D32E39"/>
    <w:rsid w:val="00D331AF"/>
    <w:rsid w:val="00D332F1"/>
    <w:rsid w:val="00D33C5D"/>
    <w:rsid w:val="00D3402F"/>
    <w:rsid w:val="00D34692"/>
    <w:rsid w:val="00D34E8B"/>
    <w:rsid w:val="00D359E7"/>
    <w:rsid w:val="00D35A82"/>
    <w:rsid w:val="00D3649B"/>
    <w:rsid w:val="00D37748"/>
    <w:rsid w:val="00D40071"/>
    <w:rsid w:val="00D40E6D"/>
    <w:rsid w:val="00D40E84"/>
    <w:rsid w:val="00D40FE0"/>
    <w:rsid w:val="00D41433"/>
    <w:rsid w:val="00D417B0"/>
    <w:rsid w:val="00D42229"/>
    <w:rsid w:val="00D4241C"/>
    <w:rsid w:val="00D429CB"/>
    <w:rsid w:val="00D42E41"/>
    <w:rsid w:val="00D43E4E"/>
    <w:rsid w:val="00D43F5E"/>
    <w:rsid w:val="00D4417F"/>
    <w:rsid w:val="00D442AA"/>
    <w:rsid w:val="00D44B9F"/>
    <w:rsid w:val="00D44C37"/>
    <w:rsid w:val="00D44C6C"/>
    <w:rsid w:val="00D44DA1"/>
    <w:rsid w:val="00D4511E"/>
    <w:rsid w:val="00D45309"/>
    <w:rsid w:val="00D4534E"/>
    <w:rsid w:val="00D46707"/>
    <w:rsid w:val="00D46746"/>
    <w:rsid w:val="00D46A35"/>
    <w:rsid w:val="00D47424"/>
    <w:rsid w:val="00D477C3"/>
    <w:rsid w:val="00D47A4F"/>
    <w:rsid w:val="00D5004B"/>
    <w:rsid w:val="00D505F6"/>
    <w:rsid w:val="00D50A2D"/>
    <w:rsid w:val="00D51280"/>
    <w:rsid w:val="00D51A79"/>
    <w:rsid w:val="00D51B69"/>
    <w:rsid w:val="00D51C93"/>
    <w:rsid w:val="00D51EFE"/>
    <w:rsid w:val="00D53015"/>
    <w:rsid w:val="00D53068"/>
    <w:rsid w:val="00D531DC"/>
    <w:rsid w:val="00D5341B"/>
    <w:rsid w:val="00D53A0E"/>
    <w:rsid w:val="00D53B79"/>
    <w:rsid w:val="00D542A6"/>
    <w:rsid w:val="00D5459F"/>
    <w:rsid w:val="00D55073"/>
    <w:rsid w:val="00D5525D"/>
    <w:rsid w:val="00D55EF9"/>
    <w:rsid w:val="00D56AA4"/>
    <w:rsid w:val="00D56EEC"/>
    <w:rsid w:val="00D57374"/>
    <w:rsid w:val="00D5745B"/>
    <w:rsid w:val="00D57682"/>
    <w:rsid w:val="00D577F5"/>
    <w:rsid w:val="00D6015D"/>
    <w:rsid w:val="00D60388"/>
    <w:rsid w:val="00D60884"/>
    <w:rsid w:val="00D60B19"/>
    <w:rsid w:val="00D61A7C"/>
    <w:rsid w:val="00D61B67"/>
    <w:rsid w:val="00D6279A"/>
    <w:rsid w:val="00D62AA3"/>
    <w:rsid w:val="00D62E3E"/>
    <w:rsid w:val="00D630F5"/>
    <w:rsid w:val="00D636ED"/>
    <w:rsid w:val="00D63E16"/>
    <w:rsid w:val="00D64007"/>
    <w:rsid w:val="00D656EB"/>
    <w:rsid w:val="00D65D31"/>
    <w:rsid w:val="00D6648C"/>
    <w:rsid w:val="00D66676"/>
    <w:rsid w:val="00D66A7C"/>
    <w:rsid w:val="00D66AAD"/>
    <w:rsid w:val="00D671CD"/>
    <w:rsid w:val="00D677BF"/>
    <w:rsid w:val="00D67D7D"/>
    <w:rsid w:val="00D70011"/>
    <w:rsid w:val="00D705A1"/>
    <w:rsid w:val="00D7090E"/>
    <w:rsid w:val="00D70D0B"/>
    <w:rsid w:val="00D70E9F"/>
    <w:rsid w:val="00D70ECE"/>
    <w:rsid w:val="00D712B2"/>
    <w:rsid w:val="00D71CD1"/>
    <w:rsid w:val="00D71FD8"/>
    <w:rsid w:val="00D72111"/>
    <w:rsid w:val="00D7261C"/>
    <w:rsid w:val="00D72816"/>
    <w:rsid w:val="00D728E7"/>
    <w:rsid w:val="00D7374C"/>
    <w:rsid w:val="00D73DAC"/>
    <w:rsid w:val="00D73E4F"/>
    <w:rsid w:val="00D73E57"/>
    <w:rsid w:val="00D73EA2"/>
    <w:rsid w:val="00D74035"/>
    <w:rsid w:val="00D748E3"/>
    <w:rsid w:val="00D758EF"/>
    <w:rsid w:val="00D75D3E"/>
    <w:rsid w:val="00D761EC"/>
    <w:rsid w:val="00D76596"/>
    <w:rsid w:val="00D76E44"/>
    <w:rsid w:val="00D77885"/>
    <w:rsid w:val="00D77969"/>
    <w:rsid w:val="00D801C5"/>
    <w:rsid w:val="00D8052D"/>
    <w:rsid w:val="00D80C6B"/>
    <w:rsid w:val="00D8111C"/>
    <w:rsid w:val="00D8176F"/>
    <w:rsid w:val="00D817CB"/>
    <w:rsid w:val="00D81BBC"/>
    <w:rsid w:val="00D8241A"/>
    <w:rsid w:val="00D82AB8"/>
    <w:rsid w:val="00D82DA5"/>
    <w:rsid w:val="00D831F0"/>
    <w:rsid w:val="00D83629"/>
    <w:rsid w:val="00D83B31"/>
    <w:rsid w:val="00D850DA"/>
    <w:rsid w:val="00D85393"/>
    <w:rsid w:val="00D85A1B"/>
    <w:rsid w:val="00D85A56"/>
    <w:rsid w:val="00D85CE3"/>
    <w:rsid w:val="00D85D15"/>
    <w:rsid w:val="00D85E78"/>
    <w:rsid w:val="00D8606D"/>
    <w:rsid w:val="00D864A8"/>
    <w:rsid w:val="00D86B01"/>
    <w:rsid w:val="00D86DC9"/>
    <w:rsid w:val="00D86F6D"/>
    <w:rsid w:val="00D873C6"/>
    <w:rsid w:val="00D909A3"/>
    <w:rsid w:val="00D90E72"/>
    <w:rsid w:val="00D91658"/>
    <w:rsid w:val="00D91A2A"/>
    <w:rsid w:val="00D91D63"/>
    <w:rsid w:val="00D91E9C"/>
    <w:rsid w:val="00D9322E"/>
    <w:rsid w:val="00D934C8"/>
    <w:rsid w:val="00D936EF"/>
    <w:rsid w:val="00D9378D"/>
    <w:rsid w:val="00D93A5A"/>
    <w:rsid w:val="00D93F5A"/>
    <w:rsid w:val="00D94742"/>
    <w:rsid w:val="00D94753"/>
    <w:rsid w:val="00D947F7"/>
    <w:rsid w:val="00D95608"/>
    <w:rsid w:val="00D95653"/>
    <w:rsid w:val="00D95877"/>
    <w:rsid w:val="00D967F8"/>
    <w:rsid w:val="00D96841"/>
    <w:rsid w:val="00D96A05"/>
    <w:rsid w:val="00D96EA1"/>
    <w:rsid w:val="00D9737B"/>
    <w:rsid w:val="00D97DE6"/>
    <w:rsid w:val="00DA011E"/>
    <w:rsid w:val="00DA1190"/>
    <w:rsid w:val="00DA1BB2"/>
    <w:rsid w:val="00DA1DF1"/>
    <w:rsid w:val="00DA2FD5"/>
    <w:rsid w:val="00DA343E"/>
    <w:rsid w:val="00DA346F"/>
    <w:rsid w:val="00DA3734"/>
    <w:rsid w:val="00DA4C44"/>
    <w:rsid w:val="00DA51D8"/>
    <w:rsid w:val="00DA55F5"/>
    <w:rsid w:val="00DA5996"/>
    <w:rsid w:val="00DA630A"/>
    <w:rsid w:val="00DA6870"/>
    <w:rsid w:val="00DA79EB"/>
    <w:rsid w:val="00DA7F60"/>
    <w:rsid w:val="00DB0D27"/>
    <w:rsid w:val="00DB114A"/>
    <w:rsid w:val="00DB1252"/>
    <w:rsid w:val="00DB2125"/>
    <w:rsid w:val="00DB212E"/>
    <w:rsid w:val="00DB2322"/>
    <w:rsid w:val="00DB2808"/>
    <w:rsid w:val="00DB2A0C"/>
    <w:rsid w:val="00DB2B4A"/>
    <w:rsid w:val="00DB2BB2"/>
    <w:rsid w:val="00DB3D97"/>
    <w:rsid w:val="00DB3F87"/>
    <w:rsid w:val="00DB4423"/>
    <w:rsid w:val="00DB5345"/>
    <w:rsid w:val="00DB65E9"/>
    <w:rsid w:val="00DB68AC"/>
    <w:rsid w:val="00DB6F6D"/>
    <w:rsid w:val="00DB7490"/>
    <w:rsid w:val="00DB7B92"/>
    <w:rsid w:val="00DC0D65"/>
    <w:rsid w:val="00DC1A62"/>
    <w:rsid w:val="00DC1D5C"/>
    <w:rsid w:val="00DC2616"/>
    <w:rsid w:val="00DC2C3D"/>
    <w:rsid w:val="00DC3967"/>
    <w:rsid w:val="00DC3C90"/>
    <w:rsid w:val="00DC3F34"/>
    <w:rsid w:val="00DC4080"/>
    <w:rsid w:val="00DC4566"/>
    <w:rsid w:val="00DC58BB"/>
    <w:rsid w:val="00DC5D13"/>
    <w:rsid w:val="00DC5FF8"/>
    <w:rsid w:val="00DC7686"/>
    <w:rsid w:val="00DC7DA1"/>
    <w:rsid w:val="00DC7DE3"/>
    <w:rsid w:val="00DC7E53"/>
    <w:rsid w:val="00DD1442"/>
    <w:rsid w:val="00DD16D8"/>
    <w:rsid w:val="00DD16F2"/>
    <w:rsid w:val="00DD2414"/>
    <w:rsid w:val="00DD24C0"/>
    <w:rsid w:val="00DD2747"/>
    <w:rsid w:val="00DD2BF4"/>
    <w:rsid w:val="00DD31B7"/>
    <w:rsid w:val="00DD3671"/>
    <w:rsid w:val="00DD3CA8"/>
    <w:rsid w:val="00DD4134"/>
    <w:rsid w:val="00DD4150"/>
    <w:rsid w:val="00DD4B69"/>
    <w:rsid w:val="00DD512D"/>
    <w:rsid w:val="00DD5EB7"/>
    <w:rsid w:val="00DD69A7"/>
    <w:rsid w:val="00DD6B93"/>
    <w:rsid w:val="00DD6BA8"/>
    <w:rsid w:val="00DD6CEA"/>
    <w:rsid w:val="00DD6FD9"/>
    <w:rsid w:val="00DD73F9"/>
    <w:rsid w:val="00DD755E"/>
    <w:rsid w:val="00DD75BA"/>
    <w:rsid w:val="00DD7CBE"/>
    <w:rsid w:val="00DE01BA"/>
    <w:rsid w:val="00DE0622"/>
    <w:rsid w:val="00DE06C4"/>
    <w:rsid w:val="00DE0847"/>
    <w:rsid w:val="00DE18D2"/>
    <w:rsid w:val="00DE190F"/>
    <w:rsid w:val="00DE1F03"/>
    <w:rsid w:val="00DE27C1"/>
    <w:rsid w:val="00DE3452"/>
    <w:rsid w:val="00DE3507"/>
    <w:rsid w:val="00DE37B0"/>
    <w:rsid w:val="00DE39B0"/>
    <w:rsid w:val="00DE3A0C"/>
    <w:rsid w:val="00DE3B81"/>
    <w:rsid w:val="00DE3C10"/>
    <w:rsid w:val="00DE40C4"/>
    <w:rsid w:val="00DE4218"/>
    <w:rsid w:val="00DE4261"/>
    <w:rsid w:val="00DE45A5"/>
    <w:rsid w:val="00DE4A82"/>
    <w:rsid w:val="00DE5838"/>
    <w:rsid w:val="00DE5EA4"/>
    <w:rsid w:val="00DE5EDF"/>
    <w:rsid w:val="00DE693E"/>
    <w:rsid w:val="00DE6D1B"/>
    <w:rsid w:val="00DE6DD3"/>
    <w:rsid w:val="00DE7132"/>
    <w:rsid w:val="00DE718E"/>
    <w:rsid w:val="00DE71F6"/>
    <w:rsid w:val="00DE79D1"/>
    <w:rsid w:val="00DE7EDC"/>
    <w:rsid w:val="00DE7F61"/>
    <w:rsid w:val="00DF071C"/>
    <w:rsid w:val="00DF0771"/>
    <w:rsid w:val="00DF107B"/>
    <w:rsid w:val="00DF1963"/>
    <w:rsid w:val="00DF1B03"/>
    <w:rsid w:val="00DF1CD7"/>
    <w:rsid w:val="00DF213A"/>
    <w:rsid w:val="00DF2538"/>
    <w:rsid w:val="00DF2609"/>
    <w:rsid w:val="00DF2700"/>
    <w:rsid w:val="00DF289E"/>
    <w:rsid w:val="00DF29FC"/>
    <w:rsid w:val="00DF2A7D"/>
    <w:rsid w:val="00DF2B8C"/>
    <w:rsid w:val="00DF2D01"/>
    <w:rsid w:val="00DF2E8D"/>
    <w:rsid w:val="00DF3305"/>
    <w:rsid w:val="00DF3545"/>
    <w:rsid w:val="00DF3CD1"/>
    <w:rsid w:val="00DF4A42"/>
    <w:rsid w:val="00DF4EE1"/>
    <w:rsid w:val="00DF5611"/>
    <w:rsid w:val="00DF5C51"/>
    <w:rsid w:val="00DF5F8E"/>
    <w:rsid w:val="00DF6188"/>
    <w:rsid w:val="00DF68E2"/>
    <w:rsid w:val="00DF6E78"/>
    <w:rsid w:val="00DF6F45"/>
    <w:rsid w:val="00DF72CF"/>
    <w:rsid w:val="00DF7D5E"/>
    <w:rsid w:val="00E0048F"/>
    <w:rsid w:val="00E01B3E"/>
    <w:rsid w:val="00E0256C"/>
    <w:rsid w:val="00E02599"/>
    <w:rsid w:val="00E027F1"/>
    <w:rsid w:val="00E02948"/>
    <w:rsid w:val="00E0294D"/>
    <w:rsid w:val="00E03283"/>
    <w:rsid w:val="00E03418"/>
    <w:rsid w:val="00E03CD0"/>
    <w:rsid w:val="00E042AC"/>
    <w:rsid w:val="00E046D1"/>
    <w:rsid w:val="00E04BF5"/>
    <w:rsid w:val="00E04F4C"/>
    <w:rsid w:val="00E04FEE"/>
    <w:rsid w:val="00E05C18"/>
    <w:rsid w:val="00E05F87"/>
    <w:rsid w:val="00E0651C"/>
    <w:rsid w:val="00E07723"/>
    <w:rsid w:val="00E07CC0"/>
    <w:rsid w:val="00E101E2"/>
    <w:rsid w:val="00E1024C"/>
    <w:rsid w:val="00E11C32"/>
    <w:rsid w:val="00E11FA5"/>
    <w:rsid w:val="00E12016"/>
    <w:rsid w:val="00E125F6"/>
    <w:rsid w:val="00E126A3"/>
    <w:rsid w:val="00E128C8"/>
    <w:rsid w:val="00E12D26"/>
    <w:rsid w:val="00E13524"/>
    <w:rsid w:val="00E13BDB"/>
    <w:rsid w:val="00E14160"/>
    <w:rsid w:val="00E1488C"/>
    <w:rsid w:val="00E15A91"/>
    <w:rsid w:val="00E15D2C"/>
    <w:rsid w:val="00E15FB1"/>
    <w:rsid w:val="00E1609D"/>
    <w:rsid w:val="00E1652E"/>
    <w:rsid w:val="00E1685C"/>
    <w:rsid w:val="00E168E3"/>
    <w:rsid w:val="00E17488"/>
    <w:rsid w:val="00E17D1D"/>
    <w:rsid w:val="00E200E4"/>
    <w:rsid w:val="00E20445"/>
    <w:rsid w:val="00E21254"/>
    <w:rsid w:val="00E214CA"/>
    <w:rsid w:val="00E215C5"/>
    <w:rsid w:val="00E22480"/>
    <w:rsid w:val="00E227B3"/>
    <w:rsid w:val="00E227C9"/>
    <w:rsid w:val="00E22D36"/>
    <w:rsid w:val="00E23058"/>
    <w:rsid w:val="00E23432"/>
    <w:rsid w:val="00E24B0A"/>
    <w:rsid w:val="00E24C6D"/>
    <w:rsid w:val="00E2504A"/>
    <w:rsid w:val="00E25244"/>
    <w:rsid w:val="00E25429"/>
    <w:rsid w:val="00E25A8E"/>
    <w:rsid w:val="00E26513"/>
    <w:rsid w:val="00E271F7"/>
    <w:rsid w:val="00E273F9"/>
    <w:rsid w:val="00E27BD0"/>
    <w:rsid w:val="00E27C62"/>
    <w:rsid w:val="00E300BE"/>
    <w:rsid w:val="00E301D4"/>
    <w:rsid w:val="00E30932"/>
    <w:rsid w:val="00E30D62"/>
    <w:rsid w:val="00E311BF"/>
    <w:rsid w:val="00E31278"/>
    <w:rsid w:val="00E312D2"/>
    <w:rsid w:val="00E312E6"/>
    <w:rsid w:val="00E329DA"/>
    <w:rsid w:val="00E32BC4"/>
    <w:rsid w:val="00E33620"/>
    <w:rsid w:val="00E337AE"/>
    <w:rsid w:val="00E3392A"/>
    <w:rsid w:val="00E33A34"/>
    <w:rsid w:val="00E33F12"/>
    <w:rsid w:val="00E34364"/>
    <w:rsid w:val="00E345C6"/>
    <w:rsid w:val="00E3469B"/>
    <w:rsid w:val="00E347FA"/>
    <w:rsid w:val="00E349AA"/>
    <w:rsid w:val="00E34CC6"/>
    <w:rsid w:val="00E3500A"/>
    <w:rsid w:val="00E3548E"/>
    <w:rsid w:val="00E3602A"/>
    <w:rsid w:val="00E365D9"/>
    <w:rsid w:val="00E36801"/>
    <w:rsid w:val="00E36903"/>
    <w:rsid w:val="00E36CED"/>
    <w:rsid w:val="00E36ECE"/>
    <w:rsid w:val="00E37928"/>
    <w:rsid w:val="00E37A1E"/>
    <w:rsid w:val="00E37CBA"/>
    <w:rsid w:val="00E40024"/>
    <w:rsid w:val="00E4002C"/>
    <w:rsid w:val="00E400DD"/>
    <w:rsid w:val="00E40338"/>
    <w:rsid w:val="00E41729"/>
    <w:rsid w:val="00E4211C"/>
    <w:rsid w:val="00E42321"/>
    <w:rsid w:val="00E42495"/>
    <w:rsid w:val="00E4266B"/>
    <w:rsid w:val="00E4274C"/>
    <w:rsid w:val="00E4290D"/>
    <w:rsid w:val="00E42DE4"/>
    <w:rsid w:val="00E42E58"/>
    <w:rsid w:val="00E4371A"/>
    <w:rsid w:val="00E44A89"/>
    <w:rsid w:val="00E4551F"/>
    <w:rsid w:val="00E45D5A"/>
    <w:rsid w:val="00E46164"/>
    <w:rsid w:val="00E46318"/>
    <w:rsid w:val="00E4634D"/>
    <w:rsid w:val="00E468AC"/>
    <w:rsid w:val="00E476FE"/>
    <w:rsid w:val="00E47A87"/>
    <w:rsid w:val="00E47D25"/>
    <w:rsid w:val="00E47D8B"/>
    <w:rsid w:val="00E51428"/>
    <w:rsid w:val="00E51D01"/>
    <w:rsid w:val="00E51D5A"/>
    <w:rsid w:val="00E538EA"/>
    <w:rsid w:val="00E5485B"/>
    <w:rsid w:val="00E548B7"/>
    <w:rsid w:val="00E54E4A"/>
    <w:rsid w:val="00E54EDB"/>
    <w:rsid w:val="00E54FA3"/>
    <w:rsid w:val="00E5591A"/>
    <w:rsid w:val="00E55CD1"/>
    <w:rsid w:val="00E55E4E"/>
    <w:rsid w:val="00E5626F"/>
    <w:rsid w:val="00E563F7"/>
    <w:rsid w:val="00E567EE"/>
    <w:rsid w:val="00E56813"/>
    <w:rsid w:val="00E56AAA"/>
    <w:rsid w:val="00E56B40"/>
    <w:rsid w:val="00E5746F"/>
    <w:rsid w:val="00E57748"/>
    <w:rsid w:val="00E578F6"/>
    <w:rsid w:val="00E6003E"/>
    <w:rsid w:val="00E61B44"/>
    <w:rsid w:val="00E61BF3"/>
    <w:rsid w:val="00E61F4B"/>
    <w:rsid w:val="00E62310"/>
    <w:rsid w:val="00E62DE5"/>
    <w:rsid w:val="00E63409"/>
    <w:rsid w:val="00E63B95"/>
    <w:rsid w:val="00E63F74"/>
    <w:rsid w:val="00E64062"/>
    <w:rsid w:val="00E640EE"/>
    <w:rsid w:val="00E64283"/>
    <w:rsid w:val="00E64A1C"/>
    <w:rsid w:val="00E64F7F"/>
    <w:rsid w:val="00E66533"/>
    <w:rsid w:val="00E6747E"/>
    <w:rsid w:val="00E6766C"/>
    <w:rsid w:val="00E70218"/>
    <w:rsid w:val="00E70546"/>
    <w:rsid w:val="00E7075F"/>
    <w:rsid w:val="00E70782"/>
    <w:rsid w:val="00E709A2"/>
    <w:rsid w:val="00E70D81"/>
    <w:rsid w:val="00E71430"/>
    <w:rsid w:val="00E71554"/>
    <w:rsid w:val="00E71774"/>
    <w:rsid w:val="00E71A0E"/>
    <w:rsid w:val="00E71B3B"/>
    <w:rsid w:val="00E71DA3"/>
    <w:rsid w:val="00E71F53"/>
    <w:rsid w:val="00E722F6"/>
    <w:rsid w:val="00E729BA"/>
    <w:rsid w:val="00E733C0"/>
    <w:rsid w:val="00E7366E"/>
    <w:rsid w:val="00E73930"/>
    <w:rsid w:val="00E74463"/>
    <w:rsid w:val="00E74F77"/>
    <w:rsid w:val="00E750F9"/>
    <w:rsid w:val="00E75948"/>
    <w:rsid w:val="00E76FA8"/>
    <w:rsid w:val="00E77040"/>
    <w:rsid w:val="00E7720F"/>
    <w:rsid w:val="00E7763F"/>
    <w:rsid w:val="00E77C89"/>
    <w:rsid w:val="00E8020E"/>
    <w:rsid w:val="00E805A7"/>
    <w:rsid w:val="00E80B34"/>
    <w:rsid w:val="00E8107F"/>
    <w:rsid w:val="00E82175"/>
    <w:rsid w:val="00E82EF6"/>
    <w:rsid w:val="00E8350F"/>
    <w:rsid w:val="00E8379D"/>
    <w:rsid w:val="00E83A01"/>
    <w:rsid w:val="00E840C6"/>
    <w:rsid w:val="00E84388"/>
    <w:rsid w:val="00E84944"/>
    <w:rsid w:val="00E857C2"/>
    <w:rsid w:val="00E86820"/>
    <w:rsid w:val="00E8691C"/>
    <w:rsid w:val="00E871F7"/>
    <w:rsid w:val="00E873D2"/>
    <w:rsid w:val="00E90703"/>
    <w:rsid w:val="00E90C5B"/>
    <w:rsid w:val="00E91DC5"/>
    <w:rsid w:val="00E929FB"/>
    <w:rsid w:val="00E9370A"/>
    <w:rsid w:val="00E94DD6"/>
    <w:rsid w:val="00E9503D"/>
    <w:rsid w:val="00E952EA"/>
    <w:rsid w:val="00E95951"/>
    <w:rsid w:val="00E95AB4"/>
    <w:rsid w:val="00E96274"/>
    <w:rsid w:val="00E96331"/>
    <w:rsid w:val="00E96756"/>
    <w:rsid w:val="00E969C6"/>
    <w:rsid w:val="00E96D3C"/>
    <w:rsid w:val="00E97319"/>
    <w:rsid w:val="00E976E8"/>
    <w:rsid w:val="00EA00F3"/>
    <w:rsid w:val="00EA0146"/>
    <w:rsid w:val="00EA01A5"/>
    <w:rsid w:val="00EA11FA"/>
    <w:rsid w:val="00EA1259"/>
    <w:rsid w:val="00EA17E2"/>
    <w:rsid w:val="00EA1BC6"/>
    <w:rsid w:val="00EA1F43"/>
    <w:rsid w:val="00EA2185"/>
    <w:rsid w:val="00EA2751"/>
    <w:rsid w:val="00EA28DD"/>
    <w:rsid w:val="00EA2B9D"/>
    <w:rsid w:val="00EA33CA"/>
    <w:rsid w:val="00EA387B"/>
    <w:rsid w:val="00EA4004"/>
    <w:rsid w:val="00EA4330"/>
    <w:rsid w:val="00EA4D82"/>
    <w:rsid w:val="00EA6267"/>
    <w:rsid w:val="00EA6CDA"/>
    <w:rsid w:val="00EA75CA"/>
    <w:rsid w:val="00EA77F6"/>
    <w:rsid w:val="00EA7AFE"/>
    <w:rsid w:val="00EA7D33"/>
    <w:rsid w:val="00EA7E58"/>
    <w:rsid w:val="00EB007E"/>
    <w:rsid w:val="00EB00A8"/>
    <w:rsid w:val="00EB00E5"/>
    <w:rsid w:val="00EB0135"/>
    <w:rsid w:val="00EB05AE"/>
    <w:rsid w:val="00EB1119"/>
    <w:rsid w:val="00EB1865"/>
    <w:rsid w:val="00EB1E25"/>
    <w:rsid w:val="00EB1E88"/>
    <w:rsid w:val="00EB2340"/>
    <w:rsid w:val="00EB2FE1"/>
    <w:rsid w:val="00EB3361"/>
    <w:rsid w:val="00EB3622"/>
    <w:rsid w:val="00EB395A"/>
    <w:rsid w:val="00EB3C69"/>
    <w:rsid w:val="00EB3E43"/>
    <w:rsid w:val="00EB4174"/>
    <w:rsid w:val="00EB45F5"/>
    <w:rsid w:val="00EB4A7F"/>
    <w:rsid w:val="00EB4F40"/>
    <w:rsid w:val="00EB51EC"/>
    <w:rsid w:val="00EB52EA"/>
    <w:rsid w:val="00EB5639"/>
    <w:rsid w:val="00EB58F8"/>
    <w:rsid w:val="00EB5F0C"/>
    <w:rsid w:val="00EB6227"/>
    <w:rsid w:val="00EB6718"/>
    <w:rsid w:val="00EB67EE"/>
    <w:rsid w:val="00EB69AE"/>
    <w:rsid w:val="00EB6B88"/>
    <w:rsid w:val="00EB74DD"/>
    <w:rsid w:val="00EB75DC"/>
    <w:rsid w:val="00EC12FC"/>
    <w:rsid w:val="00EC1662"/>
    <w:rsid w:val="00EC1CA4"/>
    <w:rsid w:val="00EC237D"/>
    <w:rsid w:val="00EC25BC"/>
    <w:rsid w:val="00EC350F"/>
    <w:rsid w:val="00EC3D0A"/>
    <w:rsid w:val="00EC3E3A"/>
    <w:rsid w:val="00EC3E4B"/>
    <w:rsid w:val="00EC442A"/>
    <w:rsid w:val="00EC45C9"/>
    <w:rsid w:val="00EC4776"/>
    <w:rsid w:val="00EC48DA"/>
    <w:rsid w:val="00EC5700"/>
    <w:rsid w:val="00EC5826"/>
    <w:rsid w:val="00EC68D7"/>
    <w:rsid w:val="00EC6D55"/>
    <w:rsid w:val="00EC7D9B"/>
    <w:rsid w:val="00EC7FA8"/>
    <w:rsid w:val="00ED017F"/>
    <w:rsid w:val="00ED04F3"/>
    <w:rsid w:val="00ED0981"/>
    <w:rsid w:val="00ED0E6B"/>
    <w:rsid w:val="00ED0F5A"/>
    <w:rsid w:val="00ED10B6"/>
    <w:rsid w:val="00ED173B"/>
    <w:rsid w:val="00ED2119"/>
    <w:rsid w:val="00ED21B0"/>
    <w:rsid w:val="00ED243F"/>
    <w:rsid w:val="00ED2E37"/>
    <w:rsid w:val="00ED30C1"/>
    <w:rsid w:val="00ED3B6B"/>
    <w:rsid w:val="00ED40FE"/>
    <w:rsid w:val="00ED563C"/>
    <w:rsid w:val="00ED596D"/>
    <w:rsid w:val="00ED5A32"/>
    <w:rsid w:val="00ED67F0"/>
    <w:rsid w:val="00ED6C64"/>
    <w:rsid w:val="00ED76CE"/>
    <w:rsid w:val="00ED7DBC"/>
    <w:rsid w:val="00ED7FF4"/>
    <w:rsid w:val="00EE0605"/>
    <w:rsid w:val="00EE0765"/>
    <w:rsid w:val="00EE0C14"/>
    <w:rsid w:val="00EE0C6C"/>
    <w:rsid w:val="00EE1DB4"/>
    <w:rsid w:val="00EE20E4"/>
    <w:rsid w:val="00EE2F59"/>
    <w:rsid w:val="00EE31E2"/>
    <w:rsid w:val="00EE3424"/>
    <w:rsid w:val="00EE3942"/>
    <w:rsid w:val="00EE3EB2"/>
    <w:rsid w:val="00EE49C3"/>
    <w:rsid w:val="00EE4E76"/>
    <w:rsid w:val="00EE5343"/>
    <w:rsid w:val="00EE54D9"/>
    <w:rsid w:val="00EE5783"/>
    <w:rsid w:val="00EE5C83"/>
    <w:rsid w:val="00EE5F03"/>
    <w:rsid w:val="00EE6311"/>
    <w:rsid w:val="00EE6E0C"/>
    <w:rsid w:val="00EE7754"/>
    <w:rsid w:val="00EE790D"/>
    <w:rsid w:val="00EF03C9"/>
    <w:rsid w:val="00EF1DF1"/>
    <w:rsid w:val="00EF1FE4"/>
    <w:rsid w:val="00EF2292"/>
    <w:rsid w:val="00EF22DB"/>
    <w:rsid w:val="00EF2367"/>
    <w:rsid w:val="00EF2392"/>
    <w:rsid w:val="00EF298D"/>
    <w:rsid w:val="00EF2C01"/>
    <w:rsid w:val="00EF2D86"/>
    <w:rsid w:val="00EF3324"/>
    <w:rsid w:val="00EF3A20"/>
    <w:rsid w:val="00EF3BBC"/>
    <w:rsid w:val="00EF3C6C"/>
    <w:rsid w:val="00EF3D7F"/>
    <w:rsid w:val="00EF3F4C"/>
    <w:rsid w:val="00EF4381"/>
    <w:rsid w:val="00EF4500"/>
    <w:rsid w:val="00EF4FEF"/>
    <w:rsid w:val="00EF53AA"/>
    <w:rsid w:val="00EF56A2"/>
    <w:rsid w:val="00EF5A84"/>
    <w:rsid w:val="00EF5B41"/>
    <w:rsid w:val="00EF5CBB"/>
    <w:rsid w:val="00EF60A3"/>
    <w:rsid w:val="00EF61AE"/>
    <w:rsid w:val="00EF7413"/>
    <w:rsid w:val="00EF758B"/>
    <w:rsid w:val="00EF78B3"/>
    <w:rsid w:val="00F00580"/>
    <w:rsid w:val="00F00604"/>
    <w:rsid w:val="00F00B0A"/>
    <w:rsid w:val="00F00F0A"/>
    <w:rsid w:val="00F01348"/>
    <w:rsid w:val="00F014BD"/>
    <w:rsid w:val="00F01BCE"/>
    <w:rsid w:val="00F01FCC"/>
    <w:rsid w:val="00F02481"/>
    <w:rsid w:val="00F027F9"/>
    <w:rsid w:val="00F02DD9"/>
    <w:rsid w:val="00F032C4"/>
    <w:rsid w:val="00F0355E"/>
    <w:rsid w:val="00F03ABE"/>
    <w:rsid w:val="00F04113"/>
    <w:rsid w:val="00F0439E"/>
    <w:rsid w:val="00F048EE"/>
    <w:rsid w:val="00F052C3"/>
    <w:rsid w:val="00F05ED4"/>
    <w:rsid w:val="00F061C2"/>
    <w:rsid w:val="00F061E9"/>
    <w:rsid w:val="00F065B8"/>
    <w:rsid w:val="00F065D9"/>
    <w:rsid w:val="00F06755"/>
    <w:rsid w:val="00F06E61"/>
    <w:rsid w:val="00F076B7"/>
    <w:rsid w:val="00F07FA5"/>
    <w:rsid w:val="00F1001F"/>
    <w:rsid w:val="00F10314"/>
    <w:rsid w:val="00F10AE1"/>
    <w:rsid w:val="00F10BC9"/>
    <w:rsid w:val="00F10ED0"/>
    <w:rsid w:val="00F10FE7"/>
    <w:rsid w:val="00F11BA0"/>
    <w:rsid w:val="00F11D7B"/>
    <w:rsid w:val="00F123E1"/>
    <w:rsid w:val="00F123F6"/>
    <w:rsid w:val="00F12830"/>
    <w:rsid w:val="00F13661"/>
    <w:rsid w:val="00F13B40"/>
    <w:rsid w:val="00F13BE9"/>
    <w:rsid w:val="00F14579"/>
    <w:rsid w:val="00F147F6"/>
    <w:rsid w:val="00F155E6"/>
    <w:rsid w:val="00F156D9"/>
    <w:rsid w:val="00F1624F"/>
    <w:rsid w:val="00F1648A"/>
    <w:rsid w:val="00F1767E"/>
    <w:rsid w:val="00F17B21"/>
    <w:rsid w:val="00F20AC9"/>
    <w:rsid w:val="00F20B31"/>
    <w:rsid w:val="00F20B84"/>
    <w:rsid w:val="00F20E91"/>
    <w:rsid w:val="00F21C0A"/>
    <w:rsid w:val="00F21C35"/>
    <w:rsid w:val="00F2237C"/>
    <w:rsid w:val="00F2297C"/>
    <w:rsid w:val="00F23338"/>
    <w:rsid w:val="00F23472"/>
    <w:rsid w:val="00F23B5D"/>
    <w:rsid w:val="00F242DF"/>
    <w:rsid w:val="00F24ACF"/>
    <w:rsid w:val="00F25336"/>
    <w:rsid w:val="00F255F8"/>
    <w:rsid w:val="00F25727"/>
    <w:rsid w:val="00F25C76"/>
    <w:rsid w:val="00F25CCE"/>
    <w:rsid w:val="00F25DCE"/>
    <w:rsid w:val="00F260AD"/>
    <w:rsid w:val="00F260ED"/>
    <w:rsid w:val="00F271B1"/>
    <w:rsid w:val="00F27FE0"/>
    <w:rsid w:val="00F303FB"/>
    <w:rsid w:val="00F30D2B"/>
    <w:rsid w:val="00F3138A"/>
    <w:rsid w:val="00F313BD"/>
    <w:rsid w:val="00F31459"/>
    <w:rsid w:val="00F31749"/>
    <w:rsid w:val="00F3181A"/>
    <w:rsid w:val="00F31A99"/>
    <w:rsid w:val="00F31B5F"/>
    <w:rsid w:val="00F334CB"/>
    <w:rsid w:val="00F34197"/>
    <w:rsid w:val="00F34916"/>
    <w:rsid w:val="00F34AB3"/>
    <w:rsid w:val="00F34FDE"/>
    <w:rsid w:val="00F352C8"/>
    <w:rsid w:val="00F35D62"/>
    <w:rsid w:val="00F35F08"/>
    <w:rsid w:val="00F364B3"/>
    <w:rsid w:val="00F36C79"/>
    <w:rsid w:val="00F36D0B"/>
    <w:rsid w:val="00F36D7D"/>
    <w:rsid w:val="00F36E77"/>
    <w:rsid w:val="00F37099"/>
    <w:rsid w:val="00F3729B"/>
    <w:rsid w:val="00F37654"/>
    <w:rsid w:val="00F37A79"/>
    <w:rsid w:val="00F40986"/>
    <w:rsid w:val="00F413AC"/>
    <w:rsid w:val="00F41553"/>
    <w:rsid w:val="00F41803"/>
    <w:rsid w:val="00F42188"/>
    <w:rsid w:val="00F4287E"/>
    <w:rsid w:val="00F42898"/>
    <w:rsid w:val="00F429A5"/>
    <w:rsid w:val="00F42A51"/>
    <w:rsid w:val="00F42CA3"/>
    <w:rsid w:val="00F431A7"/>
    <w:rsid w:val="00F4334D"/>
    <w:rsid w:val="00F43DF2"/>
    <w:rsid w:val="00F44CF7"/>
    <w:rsid w:val="00F4506B"/>
    <w:rsid w:val="00F45635"/>
    <w:rsid w:val="00F45BB1"/>
    <w:rsid w:val="00F463CF"/>
    <w:rsid w:val="00F47171"/>
    <w:rsid w:val="00F47269"/>
    <w:rsid w:val="00F47863"/>
    <w:rsid w:val="00F47933"/>
    <w:rsid w:val="00F47AC6"/>
    <w:rsid w:val="00F502BB"/>
    <w:rsid w:val="00F50A88"/>
    <w:rsid w:val="00F50BA9"/>
    <w:rsid w:val="00F50F6D"/>
    <w:rsid w:val="00F50F92"/>
    <w:rsid w:val="00F51069"/>
    <w:rsid w:val="00F51148"/>
    <w:rsid w:val="00F511C0"/>
    <w:rsid w:val="00F518BE"/>
    <w:rsid w:val="00F52116"/>
    <w:rsid w:val="00F5219D"/>
    <w:rsid w:val="00F52AAE"/>
    <w:rsid w:val="00F52D6F"/>
    <w:rsid w:val="00F53204"/>
    <w:rsid w:val="00F538B8"/>
    <w:rsid w:val="00F53AA5"/>
    <w:rsid w:val="00F53EC8"/>
    <w:rsid w:val="00F542BF"/>
    <w:rsid w:val="00F54363"/>
    <w:rsid w:val="00F546B5"/>
    <w:rsid w:val="00F5495F"/>
    <w:rsid w:val="00F54C82"/>
    <w:rsid w:val="00F54EB5"/>
    <w:rsid w:val="00F54F14"/>
    <w:rsid w:val="00F550E5"/>
    <w:rsid w:val="00F55BBE"/>
    <w:rsid w:val="00F55D8E"/>
    <w:rsid w:val="00F5684A"/>
    <w:rsid w:val="00F60BD1"/>
    <w:rsid w:val="00F6104A"/>
    <w:rsid w:val="00F615FA"/>
    <w:rsid w:val="00F616C0"/>
    <w:rsid w:val="00F61BDE"/>
    <w:rsid w:val="00F62D9A"/>
    <w:rsid w:val="00F62EC4"/>
    <w:rsid w:val="00F631A3"/>
    <w:rsid w:val="00F631C9"/>
    <w:rsid w:val="00F63361"/>
    <w:rsid w:val="00F635E8"/>
    <w:rsid w:val="00F63CE3"/>
    <w:rsid w:val="00F63F03"/>
    <w:rsid w:val="00F65A3A"/>
    <w:rsid w:val="00F65ABC"/>
    <w:rsid w:val="00F669FD"/>
    <w:rsid w:val="00F672D6"/>
    <w:rsid w:val="00F6765B"/>
    <w:rsid w:val="00F70435"/>
    <w:rsid w:val="00F70873"/>
    <w:rsid w:val="00F70D95"/>
    <w:rsid w:val="00F713FC"/>
    <w:rsid w:val="00F71570"/>
    <w:rsid w:val="00F71720"/>
    <w:rsid w:val="00F72CCA"/>
    <w:rsid w:val="00F72E75"/>
    <w:rsid w:val="00F72F60"/>
    <w:rsid w:val="00F73176"/>
    <w:rsid w:val="00F7335B"/>
    <w:rsid w:val="00F7339C"/>
    <w:rsid w:val="00F73C81"/>
    <w:rsid w:val="00F741EC"/>
    <w:rsid w:val="00F7477D"/>
    <w:rsid w:val="00F74E8C"/>
    <w:rsid w:val="00F74F7F"/>
    <w:rsid w:val="00F75243"/>
    <w:rsid w:val="00F752F2"/>
    <w:rsid w:val="00F75C78"/>
    <w:rsid w:val="00F76031"/>
    <w:rsid w:val="00F7656B"/>
    <w:rsid w:val="00F7690F"/>
    <w:rsid w:val="00F777BD"/>
    <w:rsid w:val="00F806EF"/>
    <w:rsid w:val="00F80722"/>
    <w:rsid w:val="00F814D2"/>
    <w:rsid w:val="00F81F9F"/>
    <w:rsid w:val="00F82113"/>
    <w:rsid w:val="00F82A3D"/>
    <w:rsid w:val="00F82BBC"/>
    <w:rsid w:val="00F8331C"/>
    <w:rsid w:val="00F835B0"/>
    <w:rsid w:val="00F835BE"/>
    <w:rsid w:val="00F83836"/>
    <w:rsid w:val="00F83C53"/>
    <w:rsid w:val="00F83D5C"/>
    <w:rsid w:val="00F84807"/>
    <w:rsid w:val="00F84C07"/>
    <w:rsid w:val="00F84D82"/>
    <w:rsid w:val="00F84EF9"/>
    <w:rsid w:val="00F8594A"/>
    <w:rsid w:val="00F85B44"/>
    <w:rsid w:val="00F86518"/>
    <w:rsid w:val="00F866CC"/>
    <w:rsid w:val="00F86DDD"/>
    <w:rsid w:val="00F87E05"/>
    <w:rsid w:val="00F900FC"/>
    <w:rsid w:val="00F905B2"/>
    <w:rsid w:val="00F90D85"/>
    <w:rsid w:val="00F92A20"/>
    <w:rsid w:val="00F92FEC"/>
    <w:rsid w:val="00F930E0"/>
    <w:rsid w:val="00F932E4"/>
    <w:rsid w:val="00F936A3"/>
    <w:rsid w:val="00F937F6"/>
    <w:rsid w:val="00F93941"/>
    <w:rsid w:val="00F93961"/>
    <w:rsid w:val="00F93B81"/>
    <w:rsid w:val="00F93EE5"/>
    <w:rsid w:val="00F94242"/>
    <w:rsid w:val="00F94E7E"/>
    <w:rsid w:val="00F95776"/>
    <w:rsid w:val="00F95832"/>
    <w:rsid w:val="00F95A64"/>
    <w:rsid w:val="00F95C75"/>
    <w:rsid w:val="00F969E5"/>
    <w:rsid w:val="00F97993"/>
    <w:rsid w:val="00F97D89"/>
    <w:rsid w:val="00FA01F0"/>
    <w:rsid w:val="00FA04CF"/>
    <w:rsid w:val="00FA08D8"/>
    <w:rsid w:val="00FA1203"/>
    <w:rsid w:val="00FA16FF"/>
    <w:rsid w:val="00FA1945"/>
    <w:rsid w:val="00FA1E2C"/>
    <w:rsid w:val="00FA2D64"/>
    <w:rsid w:val="00FA2FF8"/>
    <w:rsid w:val="00FA3957"/>
    <w:rsid w:val="00FA4301"/>
    <w:rsid w:val="00FA49C8"/>
    <w:rsid w:val="00FA516F"/>
    <w:rsid w:val="00FA60B5"/>
    <w:rsid w:val="00FA65FD"/>
    <w:rsid w:val="00FA6E19"/>
    <w:rsid w:val="00FA700E"/>
    <w:rsid w:val="00FA7075"/>
    <w:rsid w:val="00FA789B"/>
    <w:rsid w:val="00FB011F"/>
    <w:rsid w:val="00FB09FB"/>
    <w:rsid w:val="00FB0FDE"/>
    <w:rsid w:val="00FB178F"/>
    <w:rsid w:val="00FB182B"/>
    <w:rsid w:val="00FB1C35"/>
    <w:rsid w:val="00FB265E"/>
    <w:rsid w:val="00FB2744"/>
    <w:rsid w:val="00FB313A"/>
    <w:rsid w:val="00FB314F"/>
    <w:rsid w:val="00FB35A3"/>
    <w:rsid w:val="00FB3F1C"/>
    <w:rsid w:val="00FB43F2"/>
    <w:rsid w:val="00FB4497"/>
    <w:rsid w:val="00FB4DE8"/>
    <w:rsid w:val="00FB5927"/>
    <w:rsid w:val="00FB595E"/>
    <w:rsid w:val="00FB5B10"/>
    <w:rsid w:val="00FB64D0"/>
    <w:rsid w:val="00FB64E6"/>
    <w:rsid w:val="00FB753B"/>
    <w:rsid w:val="00FB77AA"/>
    <w:rsid w:val="00FC04CC"/>
    <w:rsid w:val="00FC0953"/>
    <w:rsid w:val="00FC12FE"/>
    <w:rsid w:val="00FC1508"/>
    <w:rsid w:val="00FC15AD"/>
    <w:rsid w:val="00FC1A67"/>
    <w:rsid w:val="00FC1A6E"/>
    <w:rsid w:val="00FC1CEC"/>
    <w:rsid w:val="00FC1DDF"/>
    <w:rsid w:val="00FC1ED7"/>
    <w:rsid w:val="00FC1F3E"/>
    <w:rsid w:val="00FC2484"/>
    <w:rsid w:val="00FC2BDB"/>
    <w:rsid w:val="00FC3596"/>
    <w:rsid w:val="00FC37F4"/>
    <w:rsid w:val="00FC4165"/>
    <w:rsid w:val="00FC4211"/>
    <w:rsid w:val="00FC4792"/>
    <w:rsid w:val="00FC47E7"/>
    <w:rsid w:val="00FC4A50"/>
    <w:rsid w:val="00FC51B9"/>
    <w:rsid w:val="00FC55CA"/>
    <w:rsid w:val="00FC58D4"/>
    <w:rsid w:val="00FC5F0E"/>
    <w:rsid w:val="00FC62E5"/>
    <w:rsid w:val="00FC701C"/>
    <w:rsid w:val="00FC7111"/>
    <w:rsid w:val="00FC7185"/>
    <w:rsid w:val="00FC734E"/>
    <w:rsid w:val="00FC745F"/>
    <w:rsid w:val="00FC772A"/>
    <w:rsid w:val="00FC7CC4"/>
    <w:rsid w:val="00FD019A"/>
    <w:rsid w:val="00FD1217"/>
    <w:rsid w:val="00FD143D"/>
    <w:rsid w:val="00FD16CE"/>
    <w:rsid w:val="00FD1EDA"/>
    <w:rsid w:val="00FD1FB7"/>
    <w:rsid w:val="00FD22FE"/>
    <w:rsid w:val="00FD23D7"/>
    <w:rsid w:val="00FD24F8"/>
    <w:rsid w:val="00FD2E6A"/>
    <w:rsid w:val="00FD3007"/>
    <w:rsid w:val="00FD3149"/>
    <w:rsid w:val="00FD38D2"/>
    <w:rsid w:val="00FD39CD"/>
    <w:rsid w:val="00FD3A73"/>
    <w:rsid w:val="00FD3F05"/>
    <w:rsid w:val="00FD4213"/>
    <w:rsid w:val="00FD48DC"/>
    <w:rsid w:val="00FD4FE2"/>
    <w:rsid w:val="00FD529C"/>
    <w:rsid w:val="00FD5A32"/>
    <w:rsid w:val="00FD60DF"/>
    <w:rsid w:val="00FD7CA5"/>
    <w:rsid w:val="00FD7E7A"/>
    <w:rsid w:val="00FE0525"/>
    <w:rsid w:val="00FE0914"/>
    <w:rsid w:val="00FE0ABD"/>
    <w:rsid w:val="00FE1C89"/>
    <w:rsid w:val="00FE1FB2"/>
    <w:rsid w:val="00FE2637"/>
    <w:rsid w:val="00FE26EA"/>
    <w:rsid w:val="00FE29E6"/>
    <w:rsid w:val="00FE2DDC"/>
    <w:rsid w:val="00FE312D"/>
    <w:rsid w:val="00FE3274"/>
    <w:rsid w:val="00FE3880"/>
    <w:rsid w:val="00FE3930"/>
    <w:rsid w:val="00FE3D4E"/>
    <w:rsid w:val="00FE477B"/>
    <w:rsid w:val="00FE48A1"/>
    <w:rsid w:val="00FE4A80"/>
    <w:rsid w:val="00FE5653"/>
    <w:rsid w:val="00FE57A3"/>
    <w:rsid w:val="00FE60F6"/>
    <w:rsid w:val="00FE643B"/>
    <w:rsid w:val="00FE66F9"/>
    <w:rsid w:val="00FE7032"/>
    <w:rsid w:val="00FE7370"/>
    <w:rsid w:val="00FE7478"/>
    <w:rsid w:val="00FE7503"/>
    <w:rsid w:val="00FE7C3A"/>
    <w:rsid w:val="00FE7E7F"/>
    <w:rsid w:val="00FF047E"/>
    <w:rsid w:val="00FF07FF"/>
    <w:rsid w:val="00FF1080"/>
    <w:rsid w:val="00FF11BD"/>
    <w:rsid w:val="00FF1200"/>
    <w:rsid w:val="00FF13EA"/>
    <w:rsid w:val="00FF2125"/>
    <w:rsid w:val="00FF224D"/>
    <w:rsid w:val="00FF24E7"/>
    <w:rsid w:val="00FF29B1"/>
    <w:rsid w:val="00FF29B7"/>
    <w:rsid w:val="00FF29CE"/>
    <w:rsid w:val="00FF2B76"/>
    <w:rsid w:val="00FF3BBE"/>
    <w:rsid w:val="00FF42F3"/>
    <w:rsid w:val="00FF441B"/>
    <w:rsid w:val="00FF4569"/>
    <w:rsid w:val="00FF4905"/>
    <w:rsid w:val="00FF49CD"/>
    <w:rsid w:val="00FF587F"/>
    <w:rsid w:val="00FF601A"/>
    <w:rsid w:val="00FF63D2"/>
    <w:rsid w:val="00FF6730"/>
    <w:rsid w:val="00FF7576"/>
    <w:rsid w:val="00FF79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6D"/>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01EB"/>
    <w:pPr>
      <w:tabs>
        <w:tab w:val="center" w:pos="4513"/>
        <w:tab w:val="right" w:pos="9026"/>
      </w:tabs>
    </w:pPr>
  </w:style>
  <w:style w:type="character" w:customStyle="1" w:styleId="HeaderChar">
    <w:name w:val="Header Char"/>
    <w:link w:val="Header"/>
    <w:rsid w:val="007001EB"/>
    <w:rPr>
      <w:sz w:val="22"/>
      <w:szCs w:val="22"/>
      <w:lang w:eastAsia="en-US"/>
    </w:rPr>
  </w:style>
  <w:style w:type="paragraph" w:styleId="Footer">
    <w:name w:val="footer"/>
    <w:basedOn w:val="Normal"/>
    <w:link w:val="FooterChar"/>
    <w:uiPriority w:val="99"/>
    <w:unhideWhenUsed/>
    <w:rsid w:val="007001EB"/>
    <w:pPr>
      <w:tabs>
        <w:tab w:val="center" w:pos="4513"/>
        <w:tab w:val="right" w:pos="9026"/>
      </w:tabs>
    </w:pPr>
  </w:style>
  <w:style w:type="character" w:customStyle="1" w:styleId="FooterChar">
    <w:name w:val="Footer Char"/>
    <w:link w:val="Footer"/>
    <w:uiPriority w:val="99"/>
    <w:rsid w:val="007001EB"/>
    <w:rPr>
      <w:sz w:val="22"/>
      <w:szCs w:val="22"/>
      <w:lang w:eastAsia="en-US"/>
    </w:rPr>
  </w:style>
  <w:style w:type="table" w:styleId="TableGrid">
    <w:name w:val="Table Grid"/>
    <w:basedOn w:val="TableNormal"/>
    <w:uiPriority w:val="59"/>
    <w:rsid w:val="009720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97208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82700E"/>
  </w:style>
  <w:style w:type="character" w:styleId="Hyperlink">
    <w:name w:val="Hyperlink"/>
    <w:uiPriority w:val="99"/>
    <w:unhideWhenUsed/>
    <w:rsid w:val="00A27884"/>
    <w:rPr>
      <w:color w:val="0000FF"/>
      <w:u w:val="single"/>
    </w:rPr>
  </w:style>
  <w:style w:type="paragraph" w:styleId="BodyText">
    <w:name w:val="Body Text"/>
    <w:basedOn w:val="Normal"/>
    <w:link w:val="BodyTextChar"/>
    <w:autoRedefine/>
    <w:qFormat/>
    <w:rsid w:val="00F86518"/>
    <w:pPr>
      <w:framePr w:hSpace="141" w:wrap="around" w:vAnchor="page" w:hAnchor="margin" w:y="2530"/>
    </w:pPr>
    <w:rPr>
      <w:rFonts w:eastAsia="Times New Roman"/>
      <w:sz w:val="20"/>
      <w:szCs w:val="20"/>
    </w:rPr>
  </w:style>
  <w:style w:type="character" w:customStyle="1" w:styleId="BodyTextChar">
    <w:name w:val="Body Text Char"/>
    <w:link w:val="BodyText"/>
    <w:rsid w:val="00F86518"/>
    <w:rPr>
      <w:rFonts w:eastAsia="Times New Roman"/>
    </w:rPr>
  </w:style>
  <w:style w:type="character" w:styleId="CommentReference">
    <w:name w:val="annotation reference"/>
    <w:unhideWhenUsed/>
    <w:rsid w:val="00222625"/>
    <w:rPr>
      <w:sz w:val="16"/>
      <w:szCs w:val="16"/>
    </w:rPr>
  </w:style>
  <w:style w:type="paragraph" w:styleId="CommentText">
    <w:name w:val="annotation text"/>
    <w:basedOn w:val="Normal"/>
    <w:link w:val="CommentTextChar"/>
    <w:unhideWhenUsed/>
    <w:rsid w:val="00222625"/>
    <w:rPr>
      <w:sz w:val="20"/>
      <w:szCs w:val="20"/>
    </w:rPr>
  </w:style>
  <w:style w:type="character" w:customStyle="1" w:styleId="CommentTextChar">
    <w:name w:val="Comment Text Char"/>
    <w:basedOn w:val="DefaultParagraphFont"/>
    <w:link w:val="CommentText"/>
    <w:rsid w:val="00222625"/>
  </w:style>
  <w:style w:type="paragraph" w:styleId="CommentSubject">
    <w:name w:val="annotation subject"/>
    <w:basedOn w:val="CommentText"/>
    <w:next w:val="CommentText"/>
    <w:link w:val="CommentSubjectChar"/>
    <w:uiPriority w:val="99"/>
    <w:semiHidden/>
    <w:unhideWhenUsed/>
    <w:rsid w:val="00222625"/>
    <w:rPr>
      <w:b/>
      <w:bCs/>
    </w:rPr>
  </w:style>
  <w:style w:type="character" w:customStyle="1" w:styleId="CommentSubjectChar">
    <w:name w:val="Comment Subject Char"/>
    <w:link w:val="CommentSubject"/>
    <w:uiPriority w:val="99"/>
    <w:semiHidden/>
    <w:rsid w:val="00222625"/>
    <w:rPr>
      <w:b/>
      <w:bCs/>
    </w:rPr>
  </w:style>
  <w:style w:type="paragraph" w:styleId="BalloonText">
    <w:name w:val="Balloon Text"/>
    <w:basedOn w:val="Normal"/>
    <w:link w:val="BalloonTextChar"/>
    <w:uiPriority w:val="99"/>
    <w:semiHidden/>
    <w:unhideWhenUsed/>
    <w:rsid w:val="00222625"/>
    <w:rPr>
      <w:rFonts w:ascii="Tahoma" w:hAnsi="Tahoma"/>
      <w:sz w:val="16"/>
      <w:szCs w:val="16"/>
    </w:rPr>
  </w:style>
  <w:style w:type="character" w:customStyle="1" w:styleId="BalloonTextChar">
    <w:name w:val="Balloon Text Char"/>
    <w:link w:val="BalloonText"/>
    <w:uiPriority w:val="99"/>
    <w:semiHidden/>
    <w:rsid w:val="00222625"/>
    <w:rPr>
      <w:rFonts w:ascii="Tahoma" w:hAnsi="Tahoma" w:cs="Tahoma"/>
      <w:sz w:val="16"/>
      <w:szCs w:val="16"/>
    </w:rPr>
  </w:style>
  <w:style w:type="paragraph" w:styleId="FootnoteText">
    <w:name w:val="footnote text"/>
    <w:basedOn w:val="Normal"/>
    <w:link w:val="FootnoteTextChar"/>
    <w:unhideWhenUsed/>
    <w:rsid w:val="00450373"/>
    <w:rPr>
      <w:sz w:val="20"/>
      <w:szCs w:val="20"/>
    </w:rPr>
  </w:style>
  <w:style w:type="character" w:customStyle="1" w:styleId="FootnoteTextChar">
    <w:name w:val="Footnote Text Char"/>
    <w:basedOn w:val="DefaultParagraphFont"/>
    <w:link w:val="FootnoteText"/>
    <w:rsid w:val="00450373"/>
  </w:style>
  <w:style w:type="character" w:styleId="FootnoteReference">
    <w:name w:val="footnote reference"/>
    <w:unhideWhenUsed/>
    <w:rsid w:val="00450373"/>
    <w:rPr>
      <w:vertAlign w:val="superscript"/>
    </w:rPr>
  </w:style>
  <w:style w:type="paragraph" w:styleId="EndnoteText">
    <w:name w:val="endnote text"/>
    <w:basedOn w:val="Normal"/>
    <w:link w:val="EndnoteTextChar"/>
    <w:uiPriority w:val="99"/>
    <w:unhideWhenUsed/>
    <w:rsid w:val="002F03E9"/>
    <w:rPr>
      <w:sz w:val="20"/>
      <w:szCs w:val="20"/>
    </w:rPr>
  </w:style>
  <w:style w:type="character" w:customStyle="1" w:styleId="EndnoteTextChar">
    <w:name w:val="Endnote Text Char"/>
    <w:basedOn w:val="DefaultParagraphFont"/>
    <w:link w:val="EndnoteText"/>
    <w:uiPriority w:val="99"/>
    <w:rsid w:val="002F03E9"/>
  </w:style>
  <w:style w:type="character" w:styleId="EndnoteReference">
    <w:name w:val="endnote reference"/>
    <w:uiPriority w:val="99"/>
    <w:unhideWhenUsed/>
    <w:rsid w:val="002F03E9"/>
    <w:rPr>
      <w:vertAlign w:val="superscript"/>
    </w:rPr>
  </w:style>
  <w:style w:type="character" w:customStyle="1" w:styleId="printonly">
    <w:name w:val="printonly"/>
    <w:basedOn w:val="DefaultParagraphFont"/>
    <w:rsid w:val="003C100E"/>
  </w:style>
  <w:style w:type="character" w:customStyle="1" w:styleId="citation">
    <w:name w:val="citation"/>
    <w:basedOn w:val="DefaultParagraphFont"/>
    <w:rsid w:val="00804152"/>
  </w:style>
  <w:style w:type="paragraph" w:styleId="BodyText2">
    <w:name w:val="Body Text 2"/>
    <w:basedOn w:val="Normal"/>
    <w:link w:val="BodyText2Char1"/>
    <w:rsid w:val="00841377"/>
    <w:pPr>
      <w:spacing w:after="120" w:line="480" w:lineRule="auto"/>
    </w:pPr>
    <w:rPr>
      <w:rFonts w:eastAsia="Times New Roman"/>
      <w:sz w:val="24"/>
      <w:szCs w:val="24"/>
    </w:rPr>
  </w:style>
  <w:style w:type="character" w:customStyle="1" w:styleId="BodyText2Char">
    <w:name w:val="Body Text 2 Char"/>
    <w:uiPriority w:val="99"/>
    <w:semiHidden/>
    <w:rsid w:val="00841377"/>
    <w:rPr>
      <w:sz w:val="22"/>
      <w:szCs w:val="22"/>
      <w:lang w:val="en-US" w:eastAsia="en-US"/>
    </w:rPr>
  </w:style>
  <w:style w:type="character" w:customStyle="1" w:styleId="BodyText2Char1">
    <w:name w:val="Body Text 2 Char1"/>
    <w:link w:val="BodyText2"/>
    <w:locked/>
    <w:rsid w:val="00841377"/>
    <w:rPr>
      <w:rFonts w:eastAsia="Times New Roman"/>
      <w:sz w:val="24"/>
      <w:szCs w:val="24"/>
    </w:rPr>
  </w:style>
  <w:style w:type="paragraph" w:styleId="DocumentMap">
    <w:name w:val="Document Map"/>
    <w:basedOn w:val="Normal"/>
    <w:link w:val="DocumentMapChar"/>
    <w:uiPriority w:val="99"/>
    <w:semiHidden/>
    <w:unhideWhenUsed/>
    <w:rsid w:val="00AA26DE"/>
    <w:rPr>
      <w:rFonts w:ascii="Tahoma" w:hAnsi="Tahoma"/>
      <w:sz w:val="16"/>
      <w:szCs w:val="16"/>
    </w:rPr>
  </w:style>
  <w:style w:type="character" w:customStyle="1" w:styleId="DocumentMapChar">
    <w:name w:val="Document Map Char"/>
    <w:link w:val="DocumentMap"/>
    <w:uiPriority w:val="99"/>
    <w:semiHidden/>
    <w:rsid w:val="00AA26DE"/>
    <w:rPr>
      <w:rFonts w:ascii="Tahoma" w:hAnsi="Tahoma" w:cs="Tahoma"/>
      <w:sz w:val="16"/>
      <w:szCs w:val="16"/>
    </w:rPr>
  </w:style>
  <w:style w:type="paragraph" w:customStyle="1" w:styleId="ColorfulList-Accent11">
    <w:name w:val="Colorful List - Accent 11"/>
    <w:basedOn w:val="Normal"/>
    <w:uiPriority w:val="34"/>
    <w:qFormat/>
    <w:rsid w:val="002055FC"/>
    <w:pPr>
      <w:spacing w:line="260" w:lineRule="atLeast"/>
      <w:ind w:left="708"/>
    </w:pPr>
    <w:rPr>
      <w:rFonts w:ascii="Palatino Linotype" w:eastAsia="Times New Roman" w:hAnsi="Palatino Linotype"/>
      <w:sz w:val="20"/>
      <w:szCs w:val="20"/>
      <w:lang w:val="de-CH" w:eastAsia="de-DE"/>
    </w:rPr>
  </w:style>
  <w:style w:type="paragraph" w:styleId="Revision">
    <w:name w:val="Revision"/>
    <w:hidden/>
    <w:uiPriority w:val="99"/>
    <w:semiHidden/>
    <w:rsid w:val="00A934B3"/>
    <w:rPr>
      <w:sz w:val="22"/>
      <w:szCs w:val="22"/>
      <w:lang w:val="en-US" w:eastAsia="en-US"/>
    </w:rPr>
  </w:style>
  <w:style w:type="paragraph" w:styleId="NormalWeb">
    <w:name w:val="Normal (Web)"/>
    <w:basedOn w:val="Normal"/>
    <w:uiPriority w:val="99"/>
    <w:unhideWhenUsed/>
    <w:rsid w:val="00AF1721"/>
    <w:pPr>
      <w:spacing w:before="100" w:beforeAutospacing="1" w:after="100" w:afterAutospacing="1"/>
    </w:pPr>
    <w:rPr>
      <w:rFonts w:eastAsia="Times New Roman"/>
      <w:sz w:val="24"/>
      <w:szCs w:val="24"/>
      <w:lang w:val="en-GB" w:eastAsia="en-GB"/>
    </w:rPr>
  </w:style>
  <w:style w:type="character" w:styleId="Emphasis">
    <w:name w:val="Emphasis"/>
    <w:uiPriority w:val="20"/>
    <w:qFormat/>
    <w:rsid w:val="0091084C"/>
    <w:rPr>
      <w:b/>
      <w:bCs/>
      <w:i w:val="0"/>
      <w:iCs w:val="0"/>
    </w:rPr>
  </w:style>
  <w:style w:type="character" w:customStyle="1" w:styleId="st1">
    <w:name w:val="st1"/>
    <w:basedOn w:val="DefaultParagraphFont"/>
    <w:rsid w:val="0091084C"/>
  </w:style>
  <w:style w:type="character" w:customStyle="1" w:styleId="name">
    <w:name w:val="name"/>
    <w:basedOn w:val="DefaultParagraphFont"/>
    <w:rsid w:val="005372A1"/>
  </w:style>
  <w:style w:type="paragraph" w:customStyle="1" w:styleId="Pa0">
    <w:name w:val="Pa0"/>
    <w:basedOn w:val="Normal"/>
    <w:next w:val="Normal"/>
    <w:uiPriority w:val="99"/>
    <w:rsid w:val="006B603E"/>
    <w:pPr>
      <w:autoSpaceDE w:val="0"/>
      <w:autoSpaceDN w:val="0"/>
      <w:adjustRightInd w:val="0"/>
      <w:spacing w:line="201" w:lineRule="atLeast"/>
    </w:pPr>
    <w:rPr>
      <w:rFonts w:ascii="FS Ingrid Light" w:eastAsia="Cambria" w:hAnsi="FS Ingrid Light"/>
      <w:sz w:val="24"/>
      <w:szCs w:val="24"/>
      <w:lang w:val="en-GB"/>
    </w:rPr>
  </w:style>
  <w:style w:type="paragraph" w:styleId="ListParagraph">
    <w:name w:val="List Paragraph"/>
    <w:basedOn w:val="Normal"/>
    <w:uiPriority w:val="34"/>
    <w:qFormat/>
    <w:rsid w:val="00CF74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6D"/>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01EB"/>
    <w:pPr>
      <w:tabs>
        <w:tab w:val="center" w:pos="4513"/>
        <w:tab w:val="right" w:pos="9026"/>
      </w:tabs>
    </w:pPr>
  </w:style>
  <w:style w:type="character" w:customStyle="1" w:styleId="HeaderChar">
    <w:name w:val="Header Char"/>
    <w:link w:val="Header"/>
    <w:rsid w:val="007001EB"/>
    <w:rPr>
      <w:sz w:val="22"/>
      <w:szCs w:val="22"/>
      <w:lang w:eastAsia="en-US"/>
    </w:rPr>
  </w:style>
  <w:style w:type="paragraph" w:styleId="Footer">
    <w:name w:val="footer"/>
    <w:basedOn w:val="Normal"/>
    <w:link w:val="FooterChar"/>
    <w:uiPriority w:val="99"/>
    <w:unhideWhenUsed/>
    <w:rsid w:val="007001EB"/>
    <w:pPr>
      <w:tabs>
        <w:tab w:val="center" w:pos="4513"/>
        <w:tab w:val="right" w:pos="9026"/>
      </w:tabs>
    </w:pPr>
  </w:style>
  <w:style w:type="character" w:customStyle="1" w:styleId="FooterChar">
    <w:name w:val="Footer Char"/>
    <w:link w:val="Footer"/>
    <w:uiPriority w:val="99"/>
    <w:rsid w:val="007001EB"/>
    <w:rPr>
      <w:sz w:val="22"/>
      <w:szCs w:val="22"/>
      <w:lang w:eastAsia="en-US"/>
    </w:rPr>
  </w:style>
  <w:style w:type="table" w:styleId="TableGrid">
    <w:name w:val="Table Grid"/>
    <w:basedOn w:val="TableNormal"/>
    <w:uiPriority w:val="59"/>
    <w:rsid w:val="009720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97208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82700E"/>
  </w:style>
  <w:style w:type="character" w:styleId="Hyperlink">
    <w:name w:val="Hyperlink"/>
    <w:uiPriority w:val="99"/>
    <w:unhideWhenUsed/>
    <w:rsid w:val="00A27884"/>
    <w:rPr>
      <w:color w:val="0000FF"/>
      <w:u w:val="single"/>
    </w:rPr>
  </w:style>
  <w:style w:type="paragraph" w:styleId="BodyText">
    <w:name w:val="Body Text"/>
    <w:basedOn w:val="Normal"/>
    <w:link w:val="BodyTextChar"/>
    <w:autoRedefine/>
    <w:qFormat/>
    <w:rsid w:val="00F86518"/>
    <w:pPr>
      <w:framePr w:hSpace="141" w:wrap="around" w:vAnchor="page" w:hAnchor="margin" w:y="2530"/>
    </w:pPr>
    <w:rPr>
      <w:rFonts w:eastAsia="Times New Roman"/>
      <w:sz w:val="20"/>
      <w:szCs w:val="20"/>
    </w:rPr>
  </w:style>
  <w:style w:type="character" w:customStyle="1" w:styleId="BodyTextChar">
    <w:name w:val="Body Text Char"/>
    <w:link w:val="BodyText"/>
    <w:rsid w:val="00F86518"/>
    <w:rPr>
      <w:rFonts w:eastAsia="Times New Roman"/>
    </w:rPr>
  </w:style>
  <w:style w:type="character" w:styleId="CommentReference">
    <w:name w:val="annotation reference"/>
    <w:unhideWhenUsed/>
    <w:rsid w:val="00222625"/>
    <w:rPr>
      <w:sz w:val="16"/>
      <w:szCs w:val="16"/>
    </w:rPr>
  </w:style>
  <w:style w:type="paragraph" w:styleId="CommentText">
    <w:name w:val="annotation text"/>
    <w:basedOn w:val="Normal"/>
    <w:link w:val="CommentTextChar"/>
    <w:unhideWhenUsed/>
    <w:rsid w:val="00222625"/>
    <w:rPr>
      <w:sz w:val="20"/>
      <w:szCs w:val="20"/>
    </w:rPr>
  </w:style>
  <w:style w:type="character" w:customStyle="1" w:styleId="CommentTextChar">
    <w:name w:val="Comment Text Char"/>
    <w:basedOn w:val="DefaultParagraphFont"/>
    <w:link w:val="CommentText"/>
    <w:rsid w:val="00222625"/>
  </w:style>
  <w:style w:type="paragraph" w:styleId="CommentSubject">
    <w:name w:val="annotation subject"/>
    <w:basedOn w:val="CommentText"/>
    <w:next w:val="CommentText"/>
    <w:link w:val="CommentSubjectChar"/>
    <w:uiPriority w:val="99"/>
    <w:semiHidden/>
    <w:unhideWhenUsed/>
    <w:rsid w:val="00222625"/>
    <w:rPr>
      <w:b/>
      <w:bCs/>
    </w:rPr>
  </w:style>
  <w:style w:type="character" w:customStyle="1" w:styleId="CommentSubjectChar">
    <w:name w:val="Comment Subject Char"/>
    <w:link w:val="CommentSubject"/>
    <w:uiPriority w:val="99"/>
    <w:semiHidden/>
    <w:rsid w:val="00222625"/>
    <w:rPr>
      <w:b/>
      <w:bCs/>
    </w:rPr>
  </w:style>
  <w:style w:type="paragraph" w:styleId="BalloonText">
    <w:name w:val="Balloon Text"/>
    <w:basedOn w:val="Normal"/>
    <w:link w:val="BalloonTextChar"/>
    <w:uiPriority w:val="99"/>
    <w:semiHidden/>
    <w:unhideWhenUsed/>
    <w:rsid w:val="00222625"/>
    <w:rPr>
      <w:rFonts w:ascii="Tahoma" w:hAnsi="Tahoma"/>
      <w:sz w:val="16"/>
      <w:szCs w:val="16"/>
    </w:rPr>
  </w:style>
  <w:style w:type="character" w:customStyle="1" w:styleId="BalloonTextChar">
    <w:name w:val="Balloon Text Char"/>
    <w:link w:val="BalloonText"/>
    <w:uiPriority w:val="99"/>
    <w:semiHidden/>
    <w:rsid w:val="00222625"/>
    <w:rPr>
      <w:rFonts w:ascii="Tahoma" w:hAnsi="Tahoma" w:cs="Tahoma"/>
      <w:sz w:val="16"/>
      <w:szCs w:val="16"/>
    </w:rPr>
  </w:style>
  <w:style w:type="paragraph" w:styleId="FootnoteText">
    <w:name w:val="footnote text"/>
    <w:basedOn w:val="Normal"/>
    <w:link w:val="FootnoteTextChar"/>
    <w:unhideWhenUsed/>
    <w:rsid w:val="00450373"/>
    <w:rPr>
      <w:sz w:val="20"/>
      <w:szCs w:val="20"/>
    </w:rPr>
  </w:style>
  <w:style w:type="character" w:customStyle="1" w:styleId="FootnoteTextChar">
    <w:name w:val="Footnote Text Char"/>
    <w:basedOn w:val="DefaultParagraphFont"/>
    <w:link w:val="FootnoteText"/>
    <w:rsid w:val="00450373"/>
  </w:style>
  <w:style w:type="character" w:styleId="FootnoteReference">
    <w:name w:val="footnote reference"/>
    <w:unhideWhenUsed/>
    <w:rsid w:val="00450373"/>
    <w:rPr>
      <w:vertAlign w:val="superscript"/>
    </w:rPr>
  </w:style>
  <w:style w:type="paragraph" w:styleId="EndnoteText">
    <w:name w:val="endnote text"/>
    <w:basedOn w:val="Normal"/>
    <w:link w:val="EndnoteTextChar"/>
    <w:uiPriority w:val="99"/>
    <w:unhideWhenUsed/>
    <w:rsid w:val="002F03E9"/>
    <w:rPr>
      <w:sz w:val="20"/>
      <w:szCs w:val="20"/>
    </w:rPr>
  </w:style>
  <w:style w:type="character" w:customStyle="1" w:styleId="EndnoteTextChar">
    <w:name w:val="Endnote Text Char"/>
    <w:basedOn w:val="DefaultParagraphFont"/>
    <w:link w:val="EndnoteText"/>
    <w:uiPriority w:val="99"/>
    <w:rsid w:val="002F03E9"/>
  </w:style>
  <w:style w:type="character" w:styleId="EndnoteReference">
    <w:name w:val="endnote reference"/>
    <w:uiPriority w:val="99"/>
    <w:unhideWhenUsed/>
    <w:rsid w:val="002F03E9"/>
    <w:rPr>
      <w:vertAlign w:val="superscript"/>
    </w:rPr>
  </w:style>
  <w:style w:type="character" w:customStyle="1" w:styleId="printonly">
    <w:name w:val="printonly"/>
    <w:basedOn w:val="DefaultParagraphFont"/>
    <w:rsid w:val="003C100E"/>
  </w:style>
  <w:style w:type="character" w:customStyle="1" w:styleId="citation">
    <w:name w:val="citation"/>
    <w:basedOn w:val="DefaultParagraphFont"/>
    <w:rsid w:val="00804152"/>
  </w:style>
  <w:style w:type="paragraph" w:styleId="BodyText2">
    <w:name w:val="Body Text 2"/>
    <w:basedOn w:val="Normal"/>
    <w:link w:val="BodyText2Char1"/>
    <w:rsid w:val="00841377"/>
    <w:pPr>
      <w:spacing w:after="120" w:line="480" w:lineRule="auto"/>
    </w:pPr>
    <w:rPr>
      <w:rFonts w:eastAsia="Times New Roman"/>
      <w:sz w:val="24"/>
      <w:szCs w:val="24"/>
    </w:rPr>
  </w:style>
  <w:style w:type="character" w:customStyle="1" w:styleId="BodyText2Char">
    <w:name w:val="Body Text 2 Char"/>
    <w:uiPriority w:val="99"/>
    <w:semiHidden/>
    <w:rsid w:val="00841377"/>
    <w:rPr>
      <w:sz w:val="22"/>
      <w:szCs w:val="22"/>
      <w:lang w:val="en-US" w:eastAsia="en-US"/>
    </w:rPr>
  </w:style>
  <w:style w:type="character" w:customStyle="1" w:styleId="BodyText2Char1">
    <w:name w:val="Body Text 2 Char1"/>
    <w:link w:val="BodyText2"/>
    <w:locked/>
    <w:rsid w:val="00841377"/>
    <w:rPr>
      <w:rFonts w:eastAsia="Times New Roman"/>
      <w:sz w:val="24"/>
      <w:szCs w:val="24"/>
    </w:rPr>
  </w:style>
  <w:style w:type="paragraph" w:styleId="DocumentMap">
    <w:name w:val="Document Map"/>
    <w:basedOn w:val="Normal"/>
    <w:link w:val="DocumentMapChar"/>
    <w:uiPriority w:val="99"/>
    <w:semiHidden/>
    <w:unhideWhenUsed/>
    <w:rsid w:val="00AA26DE"/>
    <w:rPr>
      <w:rFonts w:ascii="Tahoma" w:hAnsi="Tahoma"/>
      <w:sz w:val="16"/>
      <w:szCs w:val="16"/>
    </w:rPr>
  </w:style>
  <w:style w:type="character" w:customStyle="1" w:styleId="DocumentMapChar">
    <w:name w:val="Document Map Char"/>
    <w:link w:val="DocumentMap"/>
    <w:uiPriority w:val="99"/>
    <w:semiHidden/>
    <w:rsid w:val="00AA26DE"/>
    <w:rPr>
      <w:rFonts w:ascii="Tahoma" w:hAnsi="Tahoma" w:cs="Tahoma"/>
      <w:sz w:val="16"/>
      <w:szCs w:val="16"/>
    </w:rPr>
  </w:style>
  <w:style w:type="paragraph" w:customStyle="1" w:styleId="ColorfulList-Accent11">
    <w:name w:val="Colorful List - Accent 11"/>
    <w:basedOn w:val="Normal"/>
    <w:uiPriority w:val="34"/>
    <w:qFormat/>
    <w:rsid w:val="002055FC"/>
    <w:pPr>
      <w:spacing w:line="260" w:lineRule="atLeast"/>
      <w:ind w:left="708"/>
    </w:pPr>
    <w:rPr>
      <w:rFonts w:ascii="Palatino Linotype" w:eastAsia="Times New Roman" w:hAnsi="Palatino Linotype"/>
      <w:sz w:val="20"/>
      <w:szCs w:val="20"/>
      <w:lang w:val="de-CH" w:eastAsia="de-DE"/>
    </w:rPr>
  </w:style>
  <w:style w:type="paragraph" w:styleId="Revision">
    <w:name w:val="Revision"/>
    <w:hidden/>
    <w:uiPriority w:val="99"/>
    <w:semiHidden/>
    <w:rsid w:val="00A934B3"/>
    <w:rPr>
      <w:sz w:val="22"/>
      <w:szCs w:val="22"/>
      <w:lang w:val="en-US" w:eastAsia="en-US"/>
    </w:rPr>
  </w:style>
  <w:style w:type="paragraph" w:styleId="NormalWeb">
    <w:name w:val="Normal (Web)"/>
    <w:basedOn w:val="Normal"/>
    <w:uiPriority w:val="99"/>
    <w:unhideWhenUsed/>
    <w:rsid w:val="00AF1721"/>
    <w:pPr>
      <w:spacing w:before="100" w:beforeAutospacing="1" w:after="100" w:afterAutospacing="1"/>
    </w:pPr>
    <w:rPr>
      <w:rFonts w:eastAsia="Times New Roman"/>
      <w:sz w:val="24"/>
      <w:szCs w:val="24"/>
      <w:lang w:val="en-GB" w:eastAsia="en-GB"/>
    </w:rPr>
  </w:style>
  <w:style w:type="character" w:styleId="Emphasis">
    <w:name w:val="Emphasis"/>
    <w:uiPriority w:val="20"/>
    <w:qFormat/>
    <w:rsid w:val="0091084C"/>
    <w:rPr>
      <w:b/>
      <w:bCs/>
      <w:i w:val="0"/>
      <w:iCs w:val="0"/>
    </w:rPr>
  </w:style>
  <w:style w:type="character" w:customStyle="1" w:styleId="st1">
    <w:name w:val="st1"/>
    <w:basedOn w:val="DefaultParagraphFont"/>
    <w:rsid w:val="0091084C"/>
  </w:style>
  <w:style w:type="character" w:customStyle="1" w:styleId="name">
    <w:name w:val="name"/>
    <w:basedOn w:val="DefaultParagraphFont"/>
    <w:rsid w:val="005372A1"/>
  </w:style>
  <w:style w:type="paragraph" w:customStyle="1" w:styleId="Pa0">
    <w:name w:val="Pa0"/>
    <w:basedOn w:val="Normal"/>
    <w:next w:val="Normal"/>
    <w:uiPriority w:val="99"/>
    <w:rsid w:val="006B603E"/>
    <w:pPr>
      <w:autoSpaceDE w:val="0"/>
      <w:autoSpaceDN w:val="0"/>
      <w:adjustRightInd w:val="0"/>
      <w:spacing w:line="201" w:lineRule="atLeast"/>
    </w:pPr>
    <w:rPr>
      <w:rFonts w:ascii="FS Ingrid Light" w:eastAsia="Cambria" w:hAnsi="FS Ingrid Light"/>
      <w:sz w:val="24"/>
      <w:szCs w:val="24"/>
      <w:lang w:val="en-GB"/>
    </w:rPr>
  </w:style>
  <w:style w:type="paragraph" w:styleId="ListParagraph">
    <w:name w:val="List Paragraph"/>
    <w:basedOn w:val="Normal"/>
    <w:uiPriority w:val="34"/>
    <w:qFormat/>
    <w:rsid w:val="00CF7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043299">
      <w:bodyDiv w:val="1"/>
      <w:marLeft w:val="0"/>
      <w:marRight w:val="0"/>
      <w:marTop w:val="0"/>
      <w:marBottom w:val="0"/>
      <w:divBdr>
        <w:top w:val="none" w:sz="0" w:space="0" w:color="auto"/>
        <w:left w:val="none" w:sz="0" w:space="0" w:color="auto"/>
        <w:bottom w:val="none" w:sz="0" w:space="0" w:color="auto"/>
        <w:right w:val="none" w:sz="0" w:space="0" w:color="auto"/>
      </w:divBdr>
      <w:divsChild>
        <w:div w:id="2128743175">
          <w:marLeft w:val="0"/>
          <w:marRight w:val="0"/>
          <w:marTop w:val="0"/>
          <w:marBottom w:val="0"/>
          <w:divBdr>
            <w:top w:val="none" w:sz="0" w:space="0" w:color="auto"/>
            <w:left w:val="none" w:sz="0" w:space="0" w:color="auto"/>
            <w:bottom w:val="none" w:sz="0" w:space="0" w:color="auto"/>
            <w:right w:val="none" w:sz="0" w:space="0" w:color="auto"/>
          </w:divBdr>
          <w:divsChild>
            <w:div w:id="1751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76007">
      <w:bodyDiv w:val="1"/>
      <w:marLeft w:val="0"/>
      <w:marRight w:val="0"/>
      <w:marTop w:val="0"/>
      <w:marBottom w:val="0"/>
      <w:divBdr>
        <w:top w:val="none" w:sz="0" w:space="0" w:color="auto"/>
        <w:left w:val="none" w:sz="0" w:space="0" w:color="auto"/>
        <w:bottom w:val="none" w:sz="0" w:space="0" w:color="auto"/>
        <w:right w:val="none" w:sz="0" w:space="0" w:color="auto"/>
      </w:divBdr>
    </w:div>
    <w:div w:id="852299100">
      <w:bodyDiv w:val="1"/>
      <w:marLeft w:val="0"/>
      <w:marRight w:val="0"/>
      <w:marTop w:val="0"/>
      <w:marBottom w:val="0"/>
      <w:divBdr>
        <w:top w:val="none" w:sz="0" w:space="0" w:color="auto"/>
        <w:left w:val="none" w:sz="0" w:space="0" w:color="auto"/>
        <w:bottom w:val="none" w:sz="0" w:space="0" w:color="auto"/>
        <w:right w:val="none" w:sz="0" w:space="0" w:color="auto"/>
      </w:divBdr>
    </w:div>
    <w:div w:id="1851720501">
      <w:bodyDiv w:val="1"/>
      <w:marLeft w:val="0"/>
      <w:marRight w:val="0"/>
      <w:marTop w:val="0"/>
      <w:marBottom w:val="0"/>
      <w:divBdr>
        <w:top w:val="none" w:sz="0" w:space="0" w:color="auto"/>
        <w:left w:val="none" w:sz="0" w:space="0" w:color="auto"/>
        <w:bottom w:val="none" w:sz="0" w:space="0" w:color="auto"/>
        <w:right w:val="none" w:sz="0" w:space="0" w:color="auto"/>
      </w:divBdr>
      <w:divsChild>
        <w:div w:id="444540243">
          <w:marLeft w:val="0"/>
          <w:marRight w:val="0"/>
          <w:marTop w:val="107"/>
          <w:marBottom w:val="0"/>
          <w:divBdr>
            <w:top w:val="none" w:sz="0" w:space="0" w:color="auto"/>
            <w:left w:val="none" w:sz="0" w:space="0" w:color="auto"/>
            <w:bottom w:val="none" w:sz="0" w:space="0" w:color="auto"/>
            <w:right w:val="none" w:sz="0" w:space="0" w:color="auto"/>
          </w:divBdr>
          <w:divsChild>
            <w:div w:id="10761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0585">
      <w:bodyDiv w:val="1"/>
      <w:marLeft w:val="0"/>
      <w:marRight w:val="0"/>
      <w:marTop w:val="0"/>
      <w:marBottom w:val="0"/>
      <w:divBdr>
        <w:top w:val="none" w:sz="0" w:space="0" w:color="auto"/>
        <w:left w:val="none" w:sz="0" w:space="0" w:color="auto"/>
        <w:bottom w:val="none" w:sz="0" w:space="0" w:color="auto"/>
        <w:right w:val="none" w:sz="0" w:space="0" w:color="auto"/>
      </w:divBdr>
      <w:divsChild>
        <w:div w:id="686255098">
          <w:marLeft w:val="0"/>
          <w:marRight w:val="0"/>
          <w:marTop w:val="107"/>
          <w:marBottom w:val="0"/>
          <w:divBdr>
            <w:top w:val="none" w:sz="0" w:space="0" w:color="auto"/>
            <w:left w:val="none" w:sz="0" w:space="0" w:color="auto"/>
            <w:bottom w:val="none" w:sz="0" w:space="0" w:color="auto"/>
            <w:right w:val="none" w:sz="0" w:space="0" w:color="auto"/>
          </w:divBdr>
          <w:divsChild>
            <w:div w:id="80971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42563">
      <w:bodyDiv w:val="1"/>
      <w:marLeft w:val="0"/>
      <w:marRight w:val="0"/>
      <w:marTop w:val="0"/>
      <w:marBottom w:val="0"/>
      <w:divBdr>
        <w:top w:val="none" w:sz="0" w:space="0" w:color="auto"/>
        <w:left w:val="none" w:sz="0" w:space="0" w:color="auto"/>
        <w:bottom w:val="none" w:sz="0" w:space="0" w:color="auto"/>
        <w:right w:val="none" w:sz="0" w:space="0" w:color="auto"/>
      </w:divBdr>
      <w:divsChild>
        <w:div w:id="255210126">
          <w:marLeft w:val="0"/>
          <w:marRight w:val="0"/>
          <w:marTop w:val="107"/>
          <w:marBottom w:val="0"/>
          <w:divBdr>
            <w:top w:val="none" w:sz="0" w:space="0" w:color="auto"/>
            <w:left w:val="none" w:sz="0" w:space="0" w:color="auto"/>
            <w:bottom w:val="none" w:sz="0" w:space="0" w:color="auto"/>
            <w:right w:val="none" w:sz="0" w:space="0" w:color="auto"/>
          </w:divBdr>
          <w:divsChild>
            <w:div w:id="13526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70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mj.aom.org/search?author1=Gokhan+Ertug&amp;sortspec=date&amp;submit=Submit" TargetMode="External"/><Relationship Id="rId18" Type="http://schemas.openxmlformats.org/officeDocument/2006/relationships/hyperlink" Target="http://www.sciencedirect.com/science/article/pii/S004873331100087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hyperlink" Target="http://www.ingentaconnect.com/content/routledg/tvec;jsessionid=2pojscaih1ge.alice" TargetMode="External"/><Relationship Id="rId17" Type="http://schemas.openxmlformats.org/officeDocument/2006/relationships/hyperlink" Target="http://scholar.google.co.uk/citations?user=RIg9DVEAAAAJ&amp;hl=en&amp;oi=sr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cholar.google.co.uk/citations?user=mpaVyFgAAAAJ&amp;hl=en&amp;oi=sr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p.eurostat.ec.europa.eu/portal%20/page/portal/eurostat/home/"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cholar.google.co.uk/citations?user=zjgmdF8AAAAJ&amp;hl=en&amp;oi=sra" TargetMode="External"/><Relationship Id="rId23" Type="http://schemas.openxmlformats.org/officeDocument/2006/relationships/chart" Target="charts/chart3.xml"/><Relationship Id="rId10" Type="http://schemas.openxmlformats.org/officeDocument/2006/relationships/hyperlink" Target="http://www.rae.ac.uk"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ditorial.autos.msn.com/cadillac-still-has-plans-for-halo-car" TargetMode="External"/><Relationship Id="rId14" Type="http://schemas.openxmlformats.org/officeDocument/2006/relationships/hyperlink" Target="http://amj.aom.org/search?author1=Fabrizio+Castellucci&amp;sortspec=date&amp;submit=Submit" TargetMode="External"/><Relationship Id="rId22" Type="http://schemas.openxmlformats.org/officeDocument/2006/relationships/chart" Target="charts/chart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Dropbox\Paper%202%20Spinoff%20benefits\JMS%20submission\R&amp;R4\2-way_unstandardised_2.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Dropbox\Paper%202%20Spinoff%20benefits\JMS%20submission\R&amp;R4\2-way_unstandardised_2.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Dropbox\Paper%202%20Spinoff%20benefits\JMS%20submission\R&amp;R4\2-way_unstandardised_2.xls"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79480772293406"/>
          <c:y val="8.0779944289693734E-2"/>
          <c:w val="0.58609318903694341"/>
          <c:h val="0.77158774373258998"/>
        </c:manualLayout>
      </c:layout>
      <c:lineChart>
        <c:grouping val="standard"/>
        <c:varyColors val="0"/>
        <c:ser>
          <c:idx val="0"/>
          <c:order val="0"/>
          <c:tx>
            <c:strRef>
              <c:f>splive!$B$31</c:f>
              <c:strCache>
                <c:ptCount val="1"/>
                <c:pt idx="0">
                  <c:v>Low status</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splive!$C$30:$D$30</c:f>
              <c:strCache>
                <c:ptCount val="2"/>
                <c:pt idx="0">
                  <c:v>Low signals of intent</c:v>
                </c:pt>
                <c:pt idx="1">
                  <c:v>High signals of intent</c:v>
                </c:pt>
              </c:strCache>
            </c:strRef>
          </c:cat>
          <c:val>
            <c:numRef>
              <c:f>splive!$C$31:$D$31</c:f>
              <c:numCache>
                <c:formatCode>General</c:formatCode>
                <c:ptCount val="2"/>
                <c:pt idx="0">
                  <c:v>1787853.8498532001</c:v>
                </c:pt>
                <c:pt idx="1">
                  <c:v>23119475.161134809</c:v>
                </c:pt>
              </c:numCache>
            </c:numRef>
          </c:val>
          <c:smooth val="0"/>
        </c:ser>
        <c:ser>
          <c:idx val="1"/>
          <c:order val="1"/>
          <c:tx>
            <c:strRef>
              <c:f>splive!$B$32</c:f>
              <c:strCache>
                <c:ptCount val="1"/>
                <c:pt idx="0">
                  <c:v>High status</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splive!$C$30:$D$30</c:f>
              <c:strCache>
                <c:ptCount val="2"/>
                <c:pt idx="0">
                  <c:v>Low signals of intent</c:v>
                </c:pt>
                <c:pt idx="1">
                  <c:v>High signals of intent</c:v>
                </c:pt>
              </c:strCache>
            </c:strRef>
          </c:cat>
          <c:val>
            <c:numRef>
              <c:f>splive!$C$32:$D$32</c:f>
              <c:numCache>
                <c:formatCode>General</c:formatCode>
                <c:ptCount val="2"/>
                <c:pt idx="0">
                  <c:v>6943636.2259131996</c:v>
                </c:pt>
                <c:pt idx="1">
                  <c:v>39863955.740474798</c:v>
                </c:pt>
              </c:numCache>
            </c:numRef>
          </c:val>
          <c:smooth val="0"/>
        </c:ser>
        <c:dLbls>
          <c:showLegendKey val="0"/>
          <c:showVal val="0"/>
          <c:showCatName val="0"/>
          <c:showSerName val="0"/>
          <c:showPercent val="0"/>
          <c:showBubbleSize val="0"/>
        </c:dLbls>
        <c:marker val="1"/>
        <c:smooth val="0"/>
        <c:axId val="193792256"/>
        <c:axId val="197591424"/>
      </c:lineChart>
      <c:catAx>
        <c:axId val="193792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97591424"/>
        <c:crosses val="autoZero"/>
        <c:auto val="1"/>
        <c:lblAlgn val="ctr"/>
        <c:lblOffset val="100"/>
        <c:tickLblSkip val="1"/>
        <c:tickMarkSkip val="1"/>
        <c:noMultiLvlLbl val="0"/>
      </c:catAx>
      <c:valAx>
        <c:axId val="197591424"/>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93792256"/>
        <c:crosses val="autoZero"/>
        <c:crossBetween val="between"/>
      </c:valAx>
      <c:spPr>
        <a:solidFill>
          <a:srgbClr val="FFFFFF"/>
        </a:solidFill>
        <a:ln w="12700">
          <a:solidFill>
            <a:srgbClr val="808080"/>
          </a:solidFill>
          <a:prstDash val="solid"/>
        </a:ln>
      </c:spPr>
    </c:plotArea>
    <c:legend>
      <c:legendPos val="r"/>
      <c:layout>
        <c:manualLayout>
          <c:xMode val="edge"/>
          <c:yMode val="edge"/>
          <c:x val="0.73509991696189148"/>
          <c:y val="0.39832879729084147"/>
          <c:w val="0.251655880057918"/>
          <c:h val="0.13649014189849007"/>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79480772293406"/>
          <c:y val="8.0779944289693734E-2"/>
          <c:w val="0.58609318903694341"/>
          <c:h val="0.77158774373258998"/>
        </c:manualLayout>
      </c:layout>
      <c:lineChart>
        <c:grouping val="standard"/>
        <c:varyColors val="0"/>
        <c:ser>
          <c:idx val="0"/>
          <c:order val="0"/>
          <c:tx>
            <c:strRef>
              <c:f>sprev!$B$31</c:f>
              <c:strCache>
                <c:ptCount val="1"/>
                <c:pt idx="0">
                  <c:v>Low status</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sprev!$C$30:$D$30</c:f>
              <c:strCache>
                <c:ptCount val="2"/>
                <c:pt idx="0">
                  <c:v>Low signals of performance</c:v>
                </c:pt>
                <c:pt idx="1">
                  <c:v>High signals of performance</c:v>
                </c:pt>
              </c:strCache>
            </c:strRef>
          </c:cat>
          <c:val>
            <c:numRef>
              <c:f>sprev!$C$31:$D$31</c:f>
              <c:numCache>
                <c:formatCode>General</c:formatCode>
                <c:ptCount val="2"/>
                <c:pt idx="0">
                  <c:v>4120876.6713397899</c:v>
                </c:pt>
                <c:pt idx="1">
                  <c:v>11490628.0677398</c:v>
                </c:pt>
              </c:numCache>
            </c:numRef>
          </c:val>
          <c:smooth val="0"/>
        </c:ser>
        <c:ser>
          <c:idx val="1"/>
          <c:order val="1"/>
          <c:tx>
            <c:strRef>
              <c:f>sprev!$B$32</c:f>
              <c:strCache>
                <c:ptCount val="1"/>
                <c:pt idx="0">
                  <c:v>High status</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sprev!$C$30:$D$30</c:f>
              <c:strCache>
                <c:ptCount val="2"/>
                <c:pt idx="0">
                  <c:v>Low signals of performance</c:v>
                </c:pt>
                <c:pt idx="1">
                  <c:v>High signals of performance</c:v>
                </c:pt>
              </c:strCache>
            </c:strRef>
          </c:cat>
          <c:val>
            <c:numRef>
              <c:f>sprev!$C$32:$D$32</c:f>
              <c:numCache>
                <c:formatCode>General</c:formatCode>
                <c:ptCount val="2"/>
                <c:pt idx="0">
                  <c:v>9360958.5320661291</c:v>
                </c:pt>
                <c:pt idx="1">
                  <c:v>23625836.543666091</c:v>
                </c:pt>
              </c:numCache>
            </c:numRef>
          </c:val>
          <c:smooth val="0"/>
        </c:ser>
        <c:dLbls>
          <c:showLegendKey val="0"/>
          <c:showVal val="0"/>
          <c:showCatName val="0"/>
          <c:showSerName val="0"/>
          <c:showPercent val="0"/>
          <c:showBubbleSize val="0"/>
        </c:dLbls>
        <c:marker val="1"/>
        <c:smooth val="0"/>
        <c:axId val="170407040"/>
        <c:axId val="170408960"/>
      </c:lineChart>
      <c:catAx>
        <c:axId val="1704070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70408960"/>
        <c:crosses val="autoZero"/>
        <c:auto val="1"/>
        <c:lblAlgn val="ctr"/>
        <c:lblOffset val="100"/>
        <c:tickLblSkip val="1"/>
        <c:tickMarkSkip val="1"/>
        <c:noMultiLvlLbl val="0"/>
      </c:catAx>
      <c:valAx>
        <c:axId val="17040896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70407040"/>
        <c:crosses val="autoZero"/>
        <c:crossBetween val="between"/>
      </c:valAx>
      <c:spPr>
        <a:solidFill>
          <a:srgbClr val="FFFFFF"/>
        </a:solidFill>
        <a:ln w="12700">
          <a:solidFill>
            <a:srgbClr val="808080"/>
          </a:solidFill>
          <a:prstDash val="solid"/>
        </a:ln>
      </c:spPr>
    </c:plotArea>
    <c:legend>
      <c:legendPos val="r"/>
      <c:layout>
        <c:manualLayout>
          <c:xMode val="edge"/>
          <c:yMode val="edge"/>
          <c:x val="0.7350999363101266"/>
          <c:y val="0.39832858797887344"/>
          <c:w val="0.25165581504784912"/>
          <c:h val="0.13649027038702508"/>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079480772293406"/>
          <c:y val="8.0779944289693734E-2"/>
          <c:w val="0.58609318903694341"/>
          <c:h val="0.77158774373258998"/>
        </c:manualLayout>
      </c:layout>
      <c:lineChart>
        <c:grouping val="standard"/>
        <c:varyColors val="0"/>
        <c:ser>
          <c:idx val="0"/>
          <c:order val="0"/>
          <c:tx>
            <c:strRef>
              <c:f>med!$B$31</c:f>
              <c:strCache>
                <c:ptCount val="1"/>
                <c:pt idx="0">
                  <c:v>Low status</c:v>
                </c:pt>
              </c:strCache>
            </c:strRef>
          </c:tx>
          <c:spPr>
            <a:ln w="12700">
              <a:solidFill>
                <a:srgbClr val="000000"/>
              </a:solidFill>
              <a:prstDash val="solid"/>
            </a:ln>
          </c:spPr>
          <c:marker>
            <c:symbol val="diamond"/>
            <c:size val="5"/>
            <c:spPr>
              <a:solidFill>
                <a:srgbClr val="000000"/>
              </a:solidFill>
              <a:ln>
                <a:solidFill>
                  <a:srgbClr val="000000"/>
                </a:solidFill>
                <a:prstDash val="solid"/>
              </a:ln>
            </c:spPr>
          </c:marker>
          <c:cat>
            <c:strRef>
              <c:f>med!$C$30:$D$30</c:f>
              <c:strCache>
                <c:ptCount val="2"/>
                <c:pt idx="0">
                  <c:v>Low refracted signals</c:v>
                </c:pt>
                <c:pt idx="1">
                  <c:v>High refracted signals</c:v>
                </c:pt>
              </c:strCache>
            </c:strRef>
          </c:cat>
          <c:val>
            <c:numRef>
              <c:f>med!$C$31:$D$31</c:f>
              <c:numCache>
                <c:formatCode>General</c:formatCode>
                <c:ptCount val="2"/>
                <c:pt idx="0">
                  <c:v>1542809.3628362606</c:v>
                </c:pt>
                <c:pt idx="1">
                  <c:v>15433145.5930283</c:v>
                </c:pt>
              </c:numCache>
            </c:numRef>
          </c:val>
          <c:smooth val="0"/>
        </c:ser>
        <c:ser>
          <c:idx val="1"/>
          <c:order val="1"/>
          <c:tx>
            <c:strRef>
              <c:f>med!$B$32</c:f>
              <c:strCache>
                <c:ptCount val="1"/>
                <c:pt idx="0">
                  <c:v>High status</c:v>
                </c:pt>
              </c:strCache>
            </c:strRef>
          </c:tx>
          <c:spPr>
            <a:ln w="12700">
              <a:solidFill>
                <a:srgbClr val="000000"/>
              </a:solidFill>
              <a:prstDash val="sysDash"/>
            </a:ln>
          </c:spPr>
          <c:marker>
            <c:symbol val="square"/>
            <c:size val="5"/>
            <c:spPr>
              <a:solidFill>
                <a:srgbClr val="000000"/>
              </a:solidFill>
              <a:ln>
                <a:solidFill>
                  <a:srgbClr val="000000"/>
                </a:solidFill>
                <a:prstDash val="solid"/>
              </a:ln>
            </c:spPr>
          </c:marker>
          <c:cat>
            <c:strRef>
              <c:f>med!$C$30:$D$30</c:f>
              <c:strCache>
                <c:ptCount val="2"/>
                <c:pt idx="0">
                  <c:v>Low refracted signals</c:v>
                </c:pt>
                <c:pt idx="1">
                  <c:v>High refracted signals</c:v>
                </c:pt>
              </c:strCache>
            </c:strRef>
          </c:cat>
          <c:val>
            <c:numRef>
              <c:f>med!$C$32:$D$32</c:f>
              <c:numCache>
                <c:formatCode>General</c:formatCode>
                <c:ptCount val="2"/>
                <c:pt idx="0">
                  <c:v>7940463.9085493619</c:v>
                </c:pt>
                <c:pt idx="1">
                  <c:v>25964184.017557401</c:v>
                </c:pt>
              </c:numCache>
            </c:numRef>
          </c:val>
          <c:smooth val="0"/>
        </c:ser>
        <c:dLbls>
          <c:showLegendKey val="0"/>
          <c:showVal val="0"/>
          <c:showCatName val="0"/>
          <c:showSerName val="0"/>
          <c:showPercent val="0"/>
          <c:showBubbleSize val="0"/>
        </c:dLbls>
        <c:marker val="1"/>
        <c:smooth val="0"/>
        <c:axId val="170445440"/>
        <c:axId val="190452480"/>
      </c:lineChart>
      <c:catAx>
        <c:axId val="1704454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90452480"/>
        <c:crosses val="autoZero"/>
        <c:auto val="1"/>
        <c:lblAlgn val="ctr"/>
        <c:lblOffset val="100"/>
        <c:tickLblSkip val="1"/>
        <c:tickMarkSkip val="1"/>
        <c:noMultiLvlLbl val="0"/>
      </c:catAx>
      <c:valAx>
        <c:axId val="19045248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Times New Roman"/>
                <a:ea typeface="Times New Roman"/>
                <a:cs typeface="Times New Roman"/>
              </a:defRPr>
            </a:pPr>
            <a:endParaRPr lang="en-US"/>
          </a:p>
        </c:txPr>
        <c:crossAx val="170445440"/>
        <c:crosses val="autoZero"/>
        <c:crossBetween val="between"/>
      </c:valAx>
      <c:spPr>
        <a:solidFill>
          <a:srgbClr val="FFFFFF"/>
        </a:solidFill>
        <a:ln w="12700">
          <a:solidFill>
            <a:srgbClr val="808080"/>
          </a:solidFill>
          <a:prstDash val="solid"/>
        </a:ln>
      </c:spPr>
    </c:plotArea>
    <c:legend>
      <c:legendPos val="r"/>
      <c:layout>
        <c:manualLayout>
          <c:xMode val="edge"/>
          <c:yMode val="edge"/>
          <c:x val="0.73509986661503546"/>
          <c:y val="0.39832856436712033"/>
          <c:w val="0.25165578073232686"/>
          <c:h val="0.13649018010679712"/>
        </c:manualLayout>
      </c:layout>
      <c:overlay val="0"/>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E07AD-B308-4ECB-A2E3-D6087EBE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52</Pages>
  <Words>15446</Words>
  <Characters>88046</Characters>
  <Application>Microsoft Office Word</Application>
  <DocSecurity>0</DocSecurity>
  <Lines>733</Lines>
  <Paragraphs>206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vt:lpstr>
      <vt:lpstr>-</vt:lpstr>
    </vt:vector>
  </TitlesOfParts>
  <Company>-</Company>
  <LinksUpToDate>false</LinksUpToDate>
  <CharactersWithSpaces>103286</CharactersWithSpaces>
  <SharedDoc>false</SharedDoc>
  <HLinks>
    <vt:vector size="60" baseType="variant">
      <vt:variant>
        <vt:i4>2162812</vt:i4>
      </vt:variant>
      <vt:variant>
        <vt:i4>27</vt:i4>
      </vt:variant>
      <vt:variant>
        <vt:i4>0</vt:i4>
      </vt:variant>
      <vt:variant>
        <vt:i4>5</vt:i4>
      </vt:variant>
      <vt:variant>
        <vt:lpwstr>http://www.sciencedirect.com/science/article/pii/S0048733311000874</vt:lpwstr>
      </vt:variant>
      <vt:variant>
        <vt:lpwstr/>
      </vt:variant>
      <vt:variant>
        <vt:i4>393220</vt:i4>
      </vt:variant>
      <vt:variant>
        <vt:i4>24</vt:i4>
      </vt:variant>
      <vt:variant>
        <vt:i4>0</vt:i4>
      </vt:variant>
      <vt:variant>
        <vt:i4>5</vt:i4>
      </vt:variant>
      <vt:variant>
        <vt:lpwstr>http://scholar.google.co.uk/citations?user=RIg9DVEAAAAJ&amp;hl=en&amp;oi=sra</vt:lpwstr>
      </vt:variant>
      <vt:variant>
        <vt:lpwstr/>
      </vt:variant>
      <vt:variant>
        <vt:i4>66</vt:i4>
      </vt:variant>
      <vt:variant>
        <vt:i4>21</vt:i4>
      </vt:variant>
      <vt:variant>
        <vt:i4>0</vt:i4>
      </vt:variant>
      <vt:variant>
        <vt:i4>5</vt:i4>
      </vt:variant>
      <vt:variant>
        <vt:lpwstr>http://scholar.google.co.uk/citations?user=mpaVyFgAAAAJ&amp;hl=en&amp;oi=sra</vt:lpwstr>
      </vt:variant>
      <vt:variant>
        <vt:lpwstr/>
      </vt:variant>
      <vt:variant>
        <vt:i4>5439555</vt:i4>
      </vt:variant>
      <vt:variant>
        <vt:i4>18</vt:i4>
      </vt:variant>
      <vt:variant>
        <vt:i4>0</vt:i4>
      </vt:variant>
      <vt:variant>
        <vt:i4>5</vt:i4>
      </vt:variant>
      <vt:variant>
        <vt:lpwstr>http://scholar.google.co.uk/citations?user=zjgmdF8AAAAJ&amp;hl=en&amp;oi=sra</vt:lpwstr>
      </vt:variant>
      <vt:variant>
        <vt:lpwstr/>
      </vt:variant>
      <vt:variant>
        <vt:i4>2752558</vt:i4>
      </vt:variant>
      <vt:variant>
        <vt:i4>15</vt:i4>
      </vt:variant>
      <vt:variant>
        <vt:i4>0</vt:i4>
      </vt:variant>
      <vt:variant>
        <vt:i4>5</vt:i4>
      </vt:variant>
      <vt:variant>
        <vt:lpwstr>http://amj.aom.org/search?author1=Fabrizio+Castellucci&amp;sortspec=date&amp;submit=Submit</vt:lpwstr>
      </vt:variant>
      <vt:variant>
        <vt:lpwstr/>
      </vt:variant>
      <vt:variant>
        <vt:i4>2097199</vt:i4>
      </vt:variant>
      <vt:variant>
        <vt:i4>12</vt:i4>
      </vt:variant>
      <vt:variant>
        <vt:i4>0</vt:i4>
      </vt:variant>
      <vt:variant>
        <vt:i4>5</vt:i4>
      </vt:variant>
      <vt:variant>
        <vt:lpwstr>http://amj.aom.org/search?author1=Gokhan+Ertug&amp;sortspec=date&amp;submit=Submit</vt:lpwstr>
      </vt:variant>
      <vt:variant>
        <vt:lpwstr/>
      </vt:variant>
      <vt:variant>
        <vt:i4>5046303</vt:i4>
      </vt:variant>
      <vt:variant>
        <vt:i4>9</vt:i4>
      </vt:variant>
      <vt:variant>
        <vt:i4>0</vt:i4>
      </vt:variant>
      <vt:variant>
        <vt:i4>5</vt:i4>
      </vt:variant>
      <vt:variant>
        <vt:lpwstr>http://www.ingentaconnect.com/content/routledg/tvec;jsessionid=2pojscaih1ge.alice</vt:lpwstr>
      </vt:variant>
      <vt:variant>
        <vt:lpwstr/>
      </vt:variant>
      <vt:variant>
        <vt:i4>6684728</vt:i4>
      </vt:variant>
      <vt:variant>
        <vt:i4>6</vt:i4>
      </vt:variant>
      <vt:variant>
        <vt:i4>0</vt:i4>
      </vt:variant>
      <vt:variant>
        <vt:i4>5</vt:i4>
      </vt:variant>
      <vt:variant>
        <vt:lpwstr>http://epp.eurostat.ec.europa.eu/portal /page/portal/eurostat/home/</vt:lpwstr>
      </vt:variant>
      <vt:variant>
        <vt:lpwstr/>
      </vt:variant>
      <vt:variant>
        <vt:i4>1572873</vt:i4>
      </vt:variant>
      <vt:variant>
        <vt:i4>3</vt:i4>
      </vt:variant>
      <vt:variant>
        <vt:i4>0</vt:i4>
      </vt:variant>
      <vt:variant>
        <vt:i4>5</vt:i4>
      </vt:variant>
      <vt:variant>
        <vt:lpwstr>http://www.rae.ac.uk/</vt:lpwstr>
      </vt:variant>
      <vt:variant>
        <vt:lpwstr/>
      </vt:variant>
      <vt:variant>
        <vt:i4>655449</vt:i4>
      </vt:variant>
      <vt:variant>
        <vt:i4>0</vt:i4>
      </vt:variant>
      <vt:variant>
        <vt:i4>0</vt:i4>
      </vt:variant>
      <vt:variant>
        <vt:i4>5</vt:i4>
      </vt:variant>
      <vt:variant>
        <vt:lpwstr>http://editorial.autos.msn.com/cadillac-still-has-plans-for-halo-car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lastModifiedBy>sa445</cp:lastModifiedBy>
  <cp:revision>11</cp:revision>
  <cp:lastPrinted>2014-11-28T08:42:00Z</cp:lastPrinted>
  <dcterms:created xsi:type="dcterms:W3CDTF">2014-12-11T12:21:00Z</dcterms:created>
  <dcterms:modified xsi:type="dcterms:W3CDTF">2014-12-11T12:32:00Z</dcterms:modified>
</cp:coreProperties>
</file>