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9DEBB" w14:textId="1E10A7C9" w:rsidR="006058DB" w:rsidRPr="00CE11C7" w:rsidRDefault="007E1AED" w:rsidP="00850B2F">
      <w:pPr>
        <w:spacing w:line="360" w:lineRule="auto"/>
        <w:jc w:val="center"/>
        <w:rPr>
          <w:rFonts w:ascii="Book Antiqua" w:hAnsi="Book Antiqua"/>
          <w:b/>
          <w:bCs/>
        </w:rPr>
      </w:pPr>
      <w:r w:rsidRPr="00CE11C7">
        <w:rPr>
          <w:rFonts w:ascii="Book Antiqua" w:hAnsi="Book Antiqua"/>
          <w:b/>
          <w:bCs/>
        </w:rPr>
        <w:t>Memory</w:t>
      </w:r>
      <w:r w:rsidR="00683666" w:rsidRPr="00CE11C7">
        <w:rPr>
          <w:rFonts w:ascii="Book Antiqua" w:hAnsi="Book Antiqua"/>
          <w:b/>
          <w:bCs/>
        </w:rPr>
        <w:t xml:space="preserve"> </w:t>
      </w:r>
      <w:r w:rsidR="008645E9" w:rsidRPr="00CE11C7">
        <w:rPr>
          <w:rFonts w:ascii="Book Antiqua" w:hAnsi="Book Antiqua"/>
          <w:b/>
          <w:bCs/>
        </w:rPr>
        <w:t>as evidence</w:t>
      </w:r>
      <w:r w:rsidR="00683666" w:rsidRPr="00CE11C7">
        <w:rPr>
          <w:rFonts w:ascii="Book Antiqua" w:hAnsi="Book Antiqua"/>
          <w:b/>
          <w:bCs/>
        </w:rPr>
        <w:t xml:space="preserve">: </w:t>
      </w:r>
      <w:r w:rsidRPr="00CE11C7">
        <w:rPr>
          <w:rFonts w:ascii="Book Antiqua" w:hAnsi="Book Antiqua"/>
          <w:b/>
          <w:bCs/>
        </w:rPr>
        <w:t xml:space="preserve">how </w:t>
      </w:r>
      <w:r w:rsidR="0036435F" w:rsidRPr="00CE11C7">
        <w:rPr>
          <w:rFonts w:ascii="Book Antiqua" w:hAnsi="Book Antiqua"/>
          <w:b/>
          <w:bCs/>
        </w:rPr>
        <w:t>normal</w:t>
      </w:r>
      <w:r w:rsidR="00DD2234" w:rsidRPr="00CE11C7">
        <w:rPr>
          <w:rFonts w:ascii="Book Antiqua" w:hAnsi="Book Antiqua"/>
          <w:b/>
          <w:bCs/>
        </w:rPr>
        <w:t xml:space="preserve"> features of</w:t>
      </w:r>
      <w:r w:rsidR="00066B04" w:rsidRPr="00CE11C7">
        <w:rPr>
          <w:rFonts w:ascii="Book Antiqua" w:hAnsi="Book Antiqua"/>
          <w:b/>
          <w:bCs/>
        </w:rPr>
        <w:t xml:space="preserve"> </w:t>
      </w:r>
      <w:r w:rsidR="0036435F" w:rsidRPr="00CE11C7">
        <w:rPr>
          <w:rFonts w:ascii="Book Antiqua" w:hAnsi="Book Antiqua"/>
          <w:b/>
          <w:bCs/>
        </w:rPr>
        <w:t>victim</w:t>
      </w:r>
      <w:r w:rsidR="00C710A6" w:rsidRPr="00CE11C7">
        <w:rPr>
          <w:rFonts w:ascii="Book Antiqua" w:hAnsi="Book Antiqua"/>
          <w:b/>
          <w:bCs/>
        </w:rPr>
        <w:t xml:space="preserve"> </w:t>
      </w:r>
      <w:r w:rsidR="00066B04" w:rsidRPr="00CE11C7">
        <w:rPr>
          <w:rFonts w:ascii="Book Antiqua" w:hAnsi="Book Antiqua"/>
          <w:b/>
          <w:bCs/>
        </w:rPr>
        <w:t xml:space="preserve">memory </w:t>
      </w:r>
      <w:r w:rsidR="00113344" w:rsidRPr="00CE11C7">
        <w:rPr>
          <w:rFonts w:ascii="Book Antiqua" w:hAnsi="Book Antiqua"/>
          <w:b/>
          <w:bCs/>
        </w:rPr>
        <w:t>lead</w:t>
      </w:r>
      <w:r w:rsidRPr="00CE11C7">
        <w:rPr>
          <w:rFonts w:ascii="Book Antiqua" w:hAnsi="Book Antiqua"/>
          <w:b/>
          <w:bCs/>
        </w:rPr>
        <w:t xml:space="preserve"> to the attrition of rape complaints</w:t>
      </w:r>
    </w:p>
    <w:p w14:paraId="6069F130" w14:textId="77777777" w:rsidR="00023AA5" w:rsidRDefault="00023AA5" w:rsidP="004A4CBA">
      <w:pPr>
        <w:spacing w:line="360" w:lineRule="auto"/>
        <w:jc w:val="both"/>
        <w:rPr>
          <w:rFonts w:ascii="Book Antiqua" w:hAnsi="Book Antiqua"/>
          <w:b/>
          <w:bCs/>
        </w:rPr>
      </w:pPr>
    </w:p>
    <w:p w14:paraId="41DC720D" w14:textId="0F1E38A6" w:rsidR="003D629E" w:rsidRPr="003D629E" w:rsidRDefault="003D629E" w:rsidP="004A4CBA">
      <w:pPr>
        <w:spacing w:line="360" w:lineRule="auto"/>
        <w:jc w:val="both"/>
        <w:rPr>
          <w:rFonts w:ascii="Book Antiqua" w:hAnsi="Book Antiqua"/>
          <w:bCs/>
        </w:rPr>
      </w:pPr>
      <w:r w:rsidRPr="003D629E">
        <w:rPr>
          <w:rFonts w:ascii="Book Antiqua" w:hAnsi="Book Antiqua"/>
          <w:bCs/>
        </w:rPr>
        <w:t>Katrin Hohl*, Department of Sociology, City University London</w:t>
      </w:r>
    </w:p>
    <w:p w14:paraId="156FFE97" w14:textId="73F4CDF4" w:rsidR="003D629E" w:rsidRPr="003D629E" w:rsidRDefault="003D629E" w:rsidP="004A4CBA">
      <w:pPr>
        <w:spacing w:line="360" w:lineRule="auto"/>
        <w:jc w:val="both"/>
        <w:rPr>
          <w:rFonts w:ascii="Book Antiqua" w:hAnsi="Book Antiqua"/>
          <w:bCs/>
        </w:rPr>
      </w:pPr>
      <w:r w:rsidRPr="003D629E">
        <w:rPr>
          <w:rFonts w:ascii="Book Antiqua" w:hAnsi="Book Antiqua"/>
          <w:bCs/>
        </w:rPr>
        <w:t>Martin A. Conway, Department of Psychology, City University London</w:t>
      </w:r>
    </w:p>
    <w:p w14:paraId="5B56A2C4" w14:textId="77777777" w:rsidR="00023AA5" w:rsidRPr="00CE11C7" w:rsidRDefault="00023AA5" w:rsidP="004A4CBA">
      <w:pPr>
        <w:spacing w:line="360" w:lineRule="auto"/>
        <w:jc w:val="both"/>
        <w:rPr>
          <w:rFonts w:ascii="Book Antiqua" w:hAnsi="Book Antiqua"/>
          <w:b/>
          <w:bCs/>
        </w:rPr>
      </w:pPr>
    </w:p>
    <w:p w14:paraId="146E7A6E" w14:textId="7F70147A" w:rsidR="003D61E3" w:rsidRPr="00F1535A" w:rsidRDefault="004C46F8" w:rsidP="00FC2C7D">
      <w:pPr>
        <w:spacing w:line="360" w:lineRule="auto"/>
        <w:jc w:val="both"/>
        <w:rPr>
          <w:rFonts w:ascii="Book Antiqua" w:hAnsi="Book Antiqua"/>
          <w:b/>
          <w:i/>
          <w:u w:val="single"/>
        </w:rPr>
      </w:pPr>
      <w:r w:rsidRPr="00F1535A">
        <w:rPr>
          <w:rFonts w:ascii="Book Antiqua" w:hAnsi="Book Antiqua"/>
          <w:b/>
          <w:u w:val="single"/>
        </w:rPr>
        <w:t>Abstract</w:t>
      </w:r>
    </w:p>
    <w:p w14:paraId="71A3E00F" w14:textId="469D7E05" w:rsidR="003A1150" w:rsidRPr="00CE11C7" w:rsidRDefault="003A1150" w:rsidP="004A4CBA">
      <w:pPr>
        <w:spacing w:line="360" w:lineRule="auto"/>
        <w:ind w:firstLine="567"/>
        <w:jc w:val="both"/>
        <w:rPr>
          <w:rFonts w:ascii="Book Antiqua" w:hAnsi="Book Antiqua"/>
        </w:rPr>
      </w:pPr>
      <w:r w:rsidRPr="00CE11C7">
        <w:rPr>
          <w:rFonts w:ascii="Book Antiqua" w:hAnsi="Book Antiqua"/>
        </w:rPr>
        <w:t>The complainants’ memory of the rape is commonly the key and frequently the only evidence in the investigation and prosecution of rape allegations. Detail</w:t>
      </w:r>
      <w:r w:rsidR="00EB316E" w:rsidRPr="00CE11C7">
        <w:rPr>
          <w:rFonts w:ascii="Book Antiqua" w:hAnsi="Book Antiqua"/>
        </w:rPr>
        <w:t>s, specificity,</w:t>
      </w:r>
      <w:r w:rsidRPr="00CE11C7">
        <w:rPr>
          <w:rFonts w:ascii="Book Antiqua" w:hAnsi="Book Antiqua"/>
        </w:rPr>
        <w:t xml:space="preserve"> and consistency in the victim’s recollection are central criteria that criminal justice agents – police, prosecutors and juries – use to assess the credibility of the </w:t>
      </w:r>
      <w:r w:rsidR="004A346C">
        <w:rPr>
          <w:rFonts w:ascii="Book Antiqua" w:hAnsi="Book Antiqua"/>
        </w:rPr>
        <w:t>victim account</w:t>
      </w:r>
      <w:r w:rsidRPr="00CE11C7">
        <w:rPr>
          <w:rFonts w:ascii="Book Antiqua" w:hAnsi="Book Antiqua"/>
        </w:rPr>
        <w:t>. However, memory research has shown these to be poor indicators of the accuracy of</w:t>
      </w:r>
      <w:r w:rsidR="00D9431A" w:rsidRPr="00CE11C7">
        <w:rPr>
          <w:rFonts w:ascii="Book Antiqua" w:hAnsi="Book Antiqua"/>
        </w:rPr>
        <w:t xml:space="preserve"> </w:t>
      </w:r>
      <w:r w:rsidR="00EB316E" w:rsidRPr="00CE11C7">
        <w:rPr>
          <w:rFonts w:ascii="Book Antiqua" w:hAnsi="Book Antiqua"/>
        </w:rPr>
        <w:t>a memory</w:t>
      </w:r>
      <w:r w:rsidRPr="00CE11C7">
        <w:rPr>
          <w:rFonts w:ascii="Book Antiqua" w:hAnsi="Book Antiqua"/>
        </w:rPr>
        <w:t xml:space="preserve">. In this paper we develop a conceptual model of the pathways through which </w:t>
      </w:r>
      <w:r w:rsidR="00F43CC8" w:rsidRPr="00CE11C7">
        <w:rPr>
          <w:rFonts w:ascii="Book Antiqua" w:hAnsi="Book Antiqua"/>
        </w:rPr>
        <w:t>normal features</w:t>
      </w:r>
      <w:r w:rsidRPr="00CE11C7">
        <w:rPr>
          <w:rFonts w:ascii="Book Antiqua" w:hAnsi="Book Antiqua"/>
        </w:rPr>
        <w:t xml:space="preserve"> of the human memory </w:t>
      </w:r>
      <w:r w:rsidR="00C075ED" w:rsidRPr="00CE11C7">
        <w:rPr>
          <w:rFonts w:ascii="Book Antiqua" w:hAnsi="Book Antiqua"/>
        </w:rPr>
        <w:t>result in complaints of rape dropping out of</w:t>
      </w:r>
      <w:r w:rsidR="00F43CC8" w:rsidRPr="00CE11C7">
        <w:rPr>
          <w:rFonts w:ascii="Book Antiqua" w:hAnsi="Book Antiqua"/>
        </w:rPr>
        <w:t xml:space="preserve"> criminal justice process</w:t>
      </w:r>
      <w:r w:rsidR="00C075ED" w:rsidRPr="00CE11C7">
        <w:rPr>
          <w:rFonts w:ascii="Book Antiqua" w:hAnsi="Book Antiqua"/>
        </w:rPr>
        <w:t xml:space="preserve"> without a full investigation, prosecution or conviction,</w:t>
      </w:r>
      <w:r w:rsidRPr="00CE11C7">
        <w:rPr>
          <w:rFonts w:ascii="Book Antiqua" w:hAnsi="Book Antiqua"/>
        </w:rPr>
        <w:t xml:space="preserve"> with a particular focus on </w:t>
      </w:r>
      <w:r w:rsidR="00F43CC8" w:rsidRPr="00CE11C7">
        <w:rPr>
          <w:rFonts w:ascii="Book Antiqua" w:hAnsi="Book Antiqua"/>
        </w:rPr>
        <w:t xml:space="preserve">the role of </w:t>
      </w:r>
      <w:r w:rsidRPr="00CE11C7">
        <w:rPr>
          <w:rFonts w:ascii="Book Antiqua" w:hAnsi="Book Antiqua"/>
        </w:rPr>
        <w:t xml:space="preserve">inconsistencies in the </w:t>
      </w:r>
      <w:r w:rsidR="004A346C">
        <w:rPr>
          <w:rFonts w:ascii="Book Antiqua" w:hAnsi="Book Antiqua"/>
        </w:rPr>
        <w:t>victim account</w:t>
      </w:r>
      <w:r w:rsidRPr="00CE11C7">
        <w:rPr>
          <w:rFonts w:ascii="Book Antiqua" w:hAnsi="Book Antiqua"/>
        </w:rPr>
        <w:t xml:space="preserve">. We provide initial, tentative evidence from a large, representative sample of rape complaints and discuss implications for criminal justice </w:t>
      </w:r>
      <w:r w:rsidR="000E0800" w:rsidRPr="00CE11C7">
        <w:rPr>
          <w:rFonts w:ascii="Book Antiqua" w:hAnsi="Book Antiqua"/>
        </w:rPr>
        <w:t>policy</w:t>
      </w:r>
      <w:r w:rsidRPr="00CE11C7">
        <w:rPr>
          <w:rFonts w:ascii="Book Antiqua" w:hAnsi="Book Antiqua"/>
        </w:rPr>
        <w:t>.</w:t>
      </w:r>
    </w:p>
    <w:p w14:paraId="38B78BBF" w14:textId="77777777" w:rsidR="003D629E" w:rsidRDefault="003D629E" w:rsidP="004A4CBA">
      <w:pPr>
        <w:spacing w:line="360" w:lineRule="auto"/>
        <w:ind w:firstLine="567"/>
        <w:jc w:val="both"/>
        <w:rPr>
          <w:rFonts w:ascii="Book Antiqua" w:hAnsi="Book Antiqua"/>
          <w:b/>
        </w:rPr>
      </w:pPr>
    </w:p>
    <w:p w14:paraId="02B4CD2F" w14:textId="1F119DA0" w:rsidR="003D629E" w:rsidRPr="003D629E" w:rsidRDefault="003D629E" w:rsidP="003D629E">
      <w:pPr>
        <w:spacing w:line="360" w:lineRule="auto"/>
        <w:rPr>
          <w:rFonts w:ascii="Book Antiqua" w:hAnsi="Book Antiqua"/>
        </w:rPr>
      </w:pPr>
      <w:r w:rsidRPr="003D629E">
        <w:rPr>
          <w:rFonts w:ascii="Book Antiqua" w:hAnsi="Book Antiqua"/>
          <w:b/>
          <w:u w:val="single"/>
        </w:rPr>
        <w:t>Key words</w:t>
      </w:r>
      <w:r>
        <w:rPr>
          <w:rFonts w:ascii="Book Antiqua" w:hAnsi="Book Antiqua"/>
          <w:b/>
        </w:rPr>
        <w:t xml:space="preserve">: </w:t>
      </w:r>
      <w:r w:rsidRPr="003D629E">
        <w:rPr>
          <w:rFonts w:ascii="Book Antiqua" w:hAnsi="Book Antiqua"/>
        </w:rPr>
        <w:t xml:space="preserve">Rape complaints, policing, memory, criminal justice, attrition, </w:t>
      </w:r>
      <w:proofErr w:type="gramStart"/>
      <w:r w:rsidRPr="003D629E">
        <w:rPr>
          <w:rFonts w:ascii="Book Antiqua" w:hAnsi="Book Antiqua"/>
        </w:rPr>
        <w:t>sexual</w:t>
      </w:r>
      <w:proofErr w:type="gramEnd"/>
      <w:r w:rsidRPr="003D629E">
        <w:rPr>
          <w:rFonts w:ascii="Book Antiqua" w:hAnsi="Book Antiqua"/>
        </w:rPr>
        <w:t xml:space="preserve"> violence</w:t>
      </w:r>
      <w:bookmarkStart w:id="0" w:name="_GoBack"/>
      <w:bookmarkEnd w:id="0"/>
    </w:p>
    <w:p w14:paraId="1C716138" w14:textId="77777777" w:rsidR="003D629E" w:rsidRDefault="003D629E" w:rsidP="003D629E">
      <w:pPr>
        <w:spacing w:line="360" w:lineRule="auto"/>
        <w:jc w:val="both"/>
        <w:rPr>
          <w:rFonts w:ascii="Book Antiqua" w:hAnsi="Book Antiqua"/>
          <w:b/>
        </w:rPr>
      </w:pPr>
    </w:p>
    <w:p w14:paraId="16B61196" w14:textId="77777777" w:rsidR="00046D33" w:rsidRDefault="00046D33" w:rsidP="003D629E">
      <w:pPr>
        <w:spacing w:line="360" w:lineRule="auto"/>
        <w:jc w:val="both"/>
        <w:rPr>
          <w:rFonts w:ascii="Book Antiqua" w:hAnsi="Book Antiqua"/>
          <w:b/>
        </w:rPr>
      </w:pPr>
    </w:p>
    <w:p w14:paraId="59919E68" w14:textId="77777777" w:rsidR="003D629E" w:rsidRDefault="003D629E" w:rsidP="003D629E">
      <w:pPr>
        <w:spacing w:line="360" w:lineRule="auto"/>
        <w:jc w:val="both"/>
        <w:rPr>
          <w:rFonts w:ascii="Book Antiqua" w:hAnsi="Book Antiqua"/>
          <w:b/>
        </w:rPr>
      </w:pPr>
    </w:p>
    <w:p w14:paraId="4276ECA0" w14:textId="77777777" w:rsidR="003D629E" w:rsidRDefault="003D629E" w:rsidP="003D629E">
      <w:pPr>
        <w:spacing w:line="360" w:lineRule="auto"/>
        <w:jc w:val="both"/>
        <w:rPr>
          <w:rFonts w:ascii="Book Antiqua" w:hAnsi="Book Antiqua"/>
          <w:b/>
        </w:rPr>
      </w:pPr>
    </w:p>
    <w:p w14:paraId="67607EBA" w14:textId="77777777" w:rsidR="003D629E" w:rsidRDefault="003D629E" w:rsidP="003D629E">
      <w:pPr>
        <w:spacing w:line="360" w:lineRule="auto"/>
        <w:jc w:val="both"/>
        <w:rPr>
          <w:rFonts w:ascii="Book Antiqua" w:hAnsi="Book Antiqua"/>
          <w:b/>
        </w:rPr>
      </w:pPr>
    </w:p>
    <w:p w14:paraId="4943D8FB" w14:textId="1FE3FFE4" w:rsidR="004C5B03" w:rsidRPr="003D629E" w:rsidRDefault="003D629E" w:rsidP="003D629E">
      <w:pPr>
        <w:spacing w:line="360" w:lineRule="auto"/>
        <w:rPr>
          <w:rFonts w:ascii="Book Antiqua" w:hAnsi="Book Antiqua"/>
          <w:u w:val="single"/>
        </w:rPr>
      </w:pPr>
      <w:r>
        <w:rPr>
          <w:rFonts w:ascii="Book Antiqua" w:hAnsi="Book Antiqua"/>
          <w:b/>
        </w:rPr>
        <w:t xml:space="preserve">*Corresponding author: </w:t>
      </w:r>
      <w:r w:rsidRPr="003D629E">
        <w:rPr>
          <w:rFonts w:ascii="Book Antiqua" w:hAnsi="Book Antiqua"/>
        </w:rPr>
        <w:t>Katrin Hohl, City University London, Department of Sociology, Northampton Square</w:t>
      </w:r>
      <w:r>
        <w:rPr>
          <w:rFonts w:ascii="Book Antiqua" w:hAnsi="Book Antiqua"/>
        </w:rPr>
        <w:t>, London EC1V 0HB, United Kingdom. Phone: (+44) 020 7040 8488. E</w:t>
      </w:r>
      <w:r w:rsidRPr="003D629E">
        <w:rPr>
          <w:rFonts w:ascii="Book Antiqua" w:hAnsi="Book Antiqua"/>
        </w:rPr>
        <w:t xml:space="preserve">mail: </w:t>
      </w:r>
      <w:hyperlink r:id="rId9" w:history="1">
        <w:r w:rsidRPr="003D629E">
          <w:rPr>
            <w:rStyle w:val="Hyperlink"/>
            <w:rFonts w:ascii="Book Antiqua" w:hAnsi="Book Antiqua"/>
          </w:rPr>
          <w:t>Katrin.Hohl.1@city.ac.uk</w:t>
        </w:r>
      </w:hyperlink>
      <w:r w:rsidRPr="003D629E">
        <w:rPr>
          <w:rFonts w:ascii="Book Antiqua" w:hAnsi="Book Antiqua"/>
        </w:rPr>
        <w:t xml:space="preserve">. </w:t>
      </w:r>
      <w:r w:rsidR="004C5B03" w:rsidRPr="003D629E">
        <w:rPr>
          <w:rFonts w:ascii="Book Antiqua" w:hAnsi="Book Antiqua"/>
          <w:u w:val="single"/>
        </w:rPr>
        <w:br w:type="page"/>
      </w:r>
    </w:p>
    <w:p w14:paraId="4D6192F2" w14:textId="6F87D6AF" w:rsidR="00E36190" w:rsidRPr="00CE11C7" w:rsidRDefault="00E36190" w:rsidP="004A4CBA">
      <w:pPr>
        <w:spacing w:line="360" w:lineRule="auto"/>
        <w:jc w:val="both"/>
        <w:rPr>
          <w:rFonts w:ascii="Book Antiqua" w:hAnsi="Book Antiqua"/>
          <w:b/>
        </w:rPr>
      </w:pPr>
      <w:r w:rsidRPr="00CE11C7">
        <w:rPr>
          <w:rFonts w:ascii="Book Antiqua" w:hAnsi="Book Antiqua"/>
          <w:b/>
        </w:rPr>
        <w:lastRenderedPageBreak/>
        <w:t>Introduction</w:t>
      </w:r>
    </w:p>
    <w:p w14:paraId="1F943A84" w14:textId="2D5AE321" w:rsidR="004C401E" w:rsidRPr="00CE11C7" w:rsidRDefault="007E0883" w:rsidP="004A4CBA">
      <w:pPr>
        <w:spacing w:line="360" w:lineRule="auto"/>
        <w:ind w:firstLine="567"/>
        <w:jc w:val="both"/>
        <w:rPr>
          <w:rFonts w:ascii="Book Antiqua" w:hAnsi="Book Antiqua"/>
        </w:rPr>
      </w:pPr>
      <w:r w:rsidRPr="00CE11C7">
        <w:rPr>
          <w:rFonts w:ascii="Book Antiqua" w:hAnsi="Book Antiqua"/>
        </w:rPr>
        <w:t xml:space="preserve">Attrition is the process by which a complaint of rape </w:t>
      </w:r>
      <w:r w:rsidR="001119D6" w:rsidRPr="00CE11C7">
        <w:rPr>
          <w:rFonts w:ascii="Book Antiqua" w:hAnsi="Book Antiqua"/>
        </w:rPr>
        <w:t>fails to successfully progress</w:t>
      </w:r>
      <w:r w:rsidR="009D2093" w:rsidRPr="00CE11C7">
        <w:rPr>
          <w:rFonts w:ascii="Book Antiqua" w:hAnsi="Book Antiqua"/>
        </w:rPr>
        <w:t xml:space="preserve"> </w:t>
      </w:r>
      <w:r w:rsidR="001119D6" w:rsidRPr="00CE11C7">
        <w:rPr>
          <w:rFonts w:ascii="Book Antiqua" w:hAnsi="Book Antiqua"/>
        </w:rPr>
        <w:t>through</w:t>
      </w:r>
      <w:r w:rsidR="009D2093" w:rsidRPr="00CE11C7">
        <w:rPr>
          <w:rFonts w:ascii="Book Antiqua" w:hAnsi="Book Antiqua"/>
        </w:rPr>
        <w:t xml:space="preserve"> the criminal justice process</w:t>
      </w:r>
      <w:r w:rsidRPr="00CE11C7">
        <w:rPr>
          <w:rFonts w:ascii="Book Antiqua" w:hAnsi="Book Antiqua"/>
        </w:rPr>
        <w:t>. Attrition in England and Wales is staggering: 93% of complaints of rape reported to the police do not result in a conviction; 82% do not even go to court (Ministry of Justice</w:t>
      </w:r>
      <w:r w:rsidR="00B626FD" w:rsidRPr="00CE11C7">
        <w:rPr>
          <w:rFonts w:ascii="Book Antiqua" w:hAnsi="Book Antiqua"/>
        </w:rPr>
        <w:t xml:space="preserve"> et al.</w:t>
      </w:r>
      <w:r w:rsidRPr="00CE11C7">
        <w:rPr>
          <w:rFonts w:ascii="Book Antiqua" w:hAnsi="Book Antiqua"/>
        </w:rPr>
        <w:t xml:space="preserve">, 2013). A significant proportion of these, we argue, may be wrongly dismissed because the criteria </w:t>
      </w:r>
      <w:r w:rsidR="005D12D1" w:rsidRPr="00CE11C7">
        <w:rPr>
          <w:rFonts w:ascii="Book Antiqua" w:hAnsi="Book Antiqua"/>
        </w:rPr>
        <w:t>criminal justice agents</w:t>
      </w:r>
      <w:r w:rsidR="004C401E" w:rsidRPr="00CE11C7">
        <w:rPr>
          <w:rFonts w:ascii="Book Antiqua" w:hAnsi="Book Antiqua"/>
        </w:rPr>
        <w:t xml:space="preserve"> </w:t>
      </w:r>
      <w:r w:rsidRPr="00CE11C7">
        <w:rPr>
          <w:rFonts w:ascii="Book Antiqua" w:hAnsi="Book Antiqua"/>
        </w:rPr>
        <w:t xml:space="preserve">use to judge the reliability and veracity of a victim’s </w:t>
      </w:r>
      <w:r w:rsidR="001119D6" w:rsidRPr="00CE11C7">
        <w:rPr>
          <w:rFonts w:ascii="Book Antiqua" w:hAnsi="Book Antiqua"/>
        </w:rPr>
        <w:t>complaint</w:t>
      </w:r>
      <w:r w:rsidRPr="00CE11C7">
        <w:rPr>
          <w:rFonts w:ascii="Book Antiqua" w:hAnsi="Book Antiqua"/>
        </w:rPr>
        <w:t xml:space="preserve"> </w:t>
      </w:r>
      <w:r w:rsidR="008B034D" w:rsidRPr="00CE11C7">
        <w:rPr>
          <w:rFonts w:ascii="Book Antiqua" w:hAnsi="Book Antiqua"/>
        </w:rPr>
        <w:t>of rape</w:t>
      </w:r>
      <w:r w:rsidR="00E36190" w:rsidRPr="00CE11C7">
        <w:rPr>
          <w:rFonts w:ascii="Book Antiqua" w:hAnsi="Book Antiqua"/>
        </w:rPr>
        <w:t xml:space="preserve"> are</w:t>
      </w:r>
      <w:r w:rsidR="008B034D" w:rsidRPr="00CE11C7">
        <w:rPr>
          <w:rFonts w:ascii="Book Antiqua" w:hAnsi="Book Antiqua"/>
        </w:rPr>
        <w:t>, from a memory research perspective, flawed</w:t>
      </w:r>
      <w:r w:rsidRPr="00CE11C7">
        <w:rPr>
          <w:rFonts w:ascii="Book Antiqua" w:hAnsi="Book Antiqua"/>
        </w:rPr>
        <w:t xml:space="preserve">. </w:t>
      </w:r>
      <w:r w:rsidR="00113344" w:rsidRPr="00CE11C7">
        <w:rPr>
          <w:rFonts w:ascii="Book Antiqua" w:hAnsi="Book Antiqua"/>
        </w:rPr>
        <w:t>The criminal justice process pla</w:t>
      </w:r>
      <w:r w:rsidR="008B034D" w:rsidRPr="00CE11C7">
        <w:rPr>
          <w:rFonts w:ascii="Book Antiqua" w:hAnsi="Book Antiqua"/>
        </w:rPr>
        <w:t xml:space="preserve">ces high demands on </w:t>
      </w:r>
      <w:r w:rsidR="00747725" w:rsidRPr="00CE11C7">
        <w:rPr>
          <w:rFonts w:ascii="Book Antiqua" w:hAnsi="Book Antiqua"/>
        </w:rPr>
        <w:t>human memory</w:t>
      </w:r>
      <w:r w:rsidR="008B034D" w:rsidRPr="00CE11C7">
        <w:rPr>
          <w:rFonts w:ascii="Book Antiqua" w:hAnsi="Book Antiqua"/>
        </w:rPr>
        <w:t xml:space="preserve"> </w:t>
      </w:r>
      <w:r w:rsidR="00747725" w:rsidRPr="00CE11C7">
        <w:rPr>
          <w:rFonts w:ascii="Book Antiqua" w:hAnsi="Book Antiqua"/>
        </w:rPr>
        <w:t>when</w:t>
      </w:r>
      <w:r w:rsidR="00F151C2" w:rsidRPr="00CE11C7">
        <w:rPr>
          <w:rFonts w:ascii="Book Antiqua" w:hAnsi="Book Antiqua"/>
        </w:rPr>
        <w:t xml:space="preserve"> </w:t>
      </w:r>
      <w:r w:rsidR="009F5AD9" w:rsidRPr="00CE11C7">
        <w:rPr>
          <w:rFonts w:ascii="Book Antiqua" w:hAnsi="Book Antiqua"/>
        </w:rPr>
        <w:t>given</w:t>
      </w:r>
      <w:r w:rsidR="00113344" w:rsidRPr="00CE11C7">
        <w:rPr>
          <w:rFonts w:ascii="Book Antiqua" w:hAnsi="Book Antiqua"/>
        </w:rPr>
        <w:t xml:space="preserve"> in evidence: </w:t>
      </w:r>
      <w:r w:rsidR="004C401E" w:rsidRPr="00CE11C7">
        <w:rPr>
          <w:rFonts w:ascii="Book Antiqua" w:hAnsi="Book Antiqua"/>
        </w:rPr>
        <w:t xml:space="preserve">the amount of </w:t>
      </w:r>
      <w:r w:rsidR="0099480E" w:rsidRPr="00CE11C7">
        <w:rPr>
          <w:rFonts w:ascii="Book Antiqua" w:hAnsi="Book Antiqua"/>
        </w:rPr>
        <w:t>minut</w:t>
      </w:r>
      <w:r w:rsidR="00E36190" w:rsidRPr="00CE11C7">
        <w:rPr>
          <w:rFonts w:ascii="Book Antiqua" w:hAnsi="Book Antiqua"/>
        </w:rPr>
        <w:t>e</w:t>
      </w:r>
      <w:r w:rsidR="004C401E" w:rsidRPr="00CE11C7">
        <w:rPr>
          <w:rFonts w:ascii="Book Antiqua" w:hAnsi="Book Antiqua"/>
        </w:rPr>
        <w:t>, often insignificant peripheral detail the victim remembers</w:t>
      </w:r>
      <w:r w:rsidR="0099480E" w:rsidRPr="00CE11C7">
        <w:rPr>
          <w:rFonts w:ascii="Book Antiqua" w:hAnsi="Book Antiqua"/>
        </w:rPr>
        <w:t>,</w:t>
      </w:r>
      <w:r w:rsidR="004C401E" w:rsidRPr="00CE11C7">
        <w:rPr>
          <w:rFonts w:ascii="Book Antiqua" w:hAnsi="Book Antiqua"/>
        </w:rPr>
        <w:t xml:space="preserve"> and the internal consistency of the </w:t>
      </w:r>
      <w:r w:rsidR="004A346C">
        <w:rPr>
          <w:rFonts w:ascii="Book Antiqua" w:hAnsi="Book Antiqua"/>
        </w:rPr>
        <w:t>victim account</w:t>
      </w:r>
      <w:r w:rsidR="004C401E" w:rsidRPr="00CE11C7">
        <w:rPr>
          <w:rFonts w:ascii="Book Antiqua" w:hAnsi="Book Antiqua"/>
        </w:rPr>
        <w:t xml:space="preserve"> are key criteria </w:t>
      </w:r>
      <w:r w:rsidR="009F5AD9" w:rsidRPr="00CE11C7">
        <w:rPr>
          <w:rFonts w:ascii="Book Antiqua" w:hAnsi="Book Antiqua"/>
        </w:rPr>
        <w:t>the police and prosecution</w:t>
      </w:r>
      <w:r w:rsidR="004C401E" w:rsidRPr="00CE11C7">
        <w:rPr>
          <w:rFonts w:ascii="Book Antiqua" w:hAnsi="Book Antiqua"/>
        </w:rPr>
        <w:t xml:space="preserve"> use to assess the veracity of </w:t>
      </w:r>
      <w:r w:rsidR="008B034D" w:rsidRPr="00CE11C7">
        <w:rPr>
          <w:rFonts w:ascii="Book Antiqua" w:hAnsi="Book Antiqua"/>
        </w:rPr>
        <w:t>a</w:t>
      </w:r>
      <w:r w:rsidR="004C401E" w:rsidRPr="00CE11C7">
        <w:rPr>
          <w:rFonts w:ascii="Book Antiqua" w:hAnsi="Book Antiqua"/>
        </w:rPr>
        <w:t xml:space="preserve"> </w:t>
      </w:r>
      <w:r w:rsidR="00961A58" w:rsidRPr="00CE11C7">
        <w:rPr>
          <w:rFonts w:ascii="Book Antiqua" w:hAnsi="Book Antiqua"/>
        </w:rPr>
        <w:t>complaint</w:t>
      </w:r>
      <w:r w:rsidR="009F5AD9" w:rsidRPr="00CE11C7">
        <w:rPr>
          <w:rFonts w:ascii="Book Antiqua" w:hAnsi="Book Antiqua"/>
        </w:rPr>
        <w:t xml:space="preserve">, and its </w:t>
      </w:r>
      <w:r w:rsidR="008C6707" w:rsidRPr="00CE11C7">
        <w:rPr>
          <w:rFonts w:ascii="Book Antiqua" w:hAnsi="Book Antiqua"/>
        </w:rPr>
        <w:t>potential credibility</w:t>
      </w:r>
      <w:r w:rsidR="009F5AD9" w:rsidRPr="00CE11C7">
        <w:rPr>
          <w:rFonts w:ascii="Book Antiqua" w:hAnsi="Book Antiqua"/>
        </w:rPr>
        <w:t xml:space="preserve"> in court</w:t>
      </w:r>
      <w:r w:rsidR="004C401E" w:rsidRPr="00CE11C7">
        <w:rPr>
          <w:rFonts w:ascii="Book Antiqua" w:hAnsi="Book Antiqua"/>
        </w:rPr>
        <w:t xml:space="preserve"> (</w:t>
      </w:r>
      <w:proofErr w:type="spellStart"/>
      <w:r w:rsidR="004C401E" w:rsidRPr="00CE11C7">
        <w:rPr>
          <w:rFonts w:ascii="Book Antiqua" w:hAnsi="Book Antiqua"/>
        </w:rPr>
        <w:t>Temkin</w:t>
      </w:r>
      <w:proofErr w:type="spellEnd"/>
      <w:r w:rsidR="00327C15" w:rsidRPr="00CE11C7">
        <w:rPr>
          <w:rFonts w:ascii="Book Antiqua" w:hAnsi="Book Antiqua"/>
        </w:rPr>
        <w:t>,</w:t>
      </w:r>
      <w:r w:rsidR="004C401E" w:rsidRPr="00CE11C7">
        <w:rPr>
          <w:rFonts w:ascii="Book Antiqua" w:hAnsi="Book Antiqua"/>
        </w:rPr>
        <w:t xml:space="preserve"> 1997, 2002; Ellison</w:t>
      </w:r>
      <w:r w:rsidR="00327C15" w:rsidRPr="00CE11C7">
        <w:rPr>
          <w:rFonts w:ascii="Book Antiqua" w:hAnsi="Book Antiqua"/>
        </w:rPr>
        <w:t>,</w:t>
      </w:r>
      <w:r w:rsidR="004C401E" w:rsidRPr="00CE11C7">
        <w:rPr>
          <w:rFonts w:ascii="Book Antiqua" w:hAnsi="Book Antiqua"/>
        </w:rPr>
        <w:t xml:space="preserve"> 2005; McMillan and Thomas</w:t>
      </w:r>
      <w:r w:rsidR="00327C15" w:rsidRPr="00CE11C7">
        <w:rPr>
          <w:rFonts w:ascii="Book Antiqua" w:hAnsi="Book Antiqua"/>
        </w:rPr>
        <w:t>,</w:t>
      </w:r>
      <w:r w:rsidR="004C401E" w:rsidRPr="00CE11C7">
        <w:rPr>
          <w:rFonts w:ascii="Book Antiqua" w:hAnsi="Book Antiqua"/>
        </w:rPr>
        <w:t xml:space="preserve"> 2009; Fisher et al.</w:t>
      </w:r>
      <w:r w:rsidR="00327C15" w:rsidRPr="00CE11C7">
        <w:rPr>
          <w:rFonts w:ascii="Book Antiqua" w:hAnsi="Book Antiqua"/>
        </w:rPr>
        <w:t>,</w:t>
      </w:r>
      <w:r w:rsidR="004C401E" w:rsidRPr="00CE11C7">
        <w:rPr>
          <w:rFonts w:ascii="Book Antiqua" w:hAnsi="Book Antiqua"/>
        </w:rPr>
        <w:t xml:space="preserve"> 2009; O’Keeffe et al.</w:t>
      </w:r>
      <w:r w:rsidR="00327C15" w:rsidRPr="00CE11C7">
        <w:rPr>
          <w:rFonts w:ascii="Book Antiqua" w:hAnsi="Book Antiqua"/>
        </w:rPr>
        <w:t>,</w:t>
      </w:r>
      <w:r w:rsidR="00CE62CD">
        <w:rPr>
          <w:rFonts w:ascii="Book Antiqua" w:hAnsi="Book Antiqua"/>
        </w:rPr>
        <w:t xml:space="preserve"> 2009</w:t>
      </w:r>
      <w:r w:rsidR="004C401E" w:rsidRPr="00CE11C7">
        <w:rPr>
          <w:rFonts w:ascii="Book Antiqua" w:hAnsi="Book Antiqua"/>
        </w:rPr>
        <w:t xml:space="preserve">). </w:t>
      </w:r>
      <w:r w:rsidR="008B034D" w:rsidRPr="00CE11C7">
        <w:rPr>
          <w:rFonts w:ascii="Book Antiqua" w:hAnsi="Book Antiqua"/>
        </w:rPr>
        <w:t>Yet, m</w:t>
      </w:r>
      <w:r w:rsidR="004C401E" w:rsidRPr="00CE11C7">
        <w:rPr>
          <w:rFonts w:ascii="Book Antiqua" w:hAnsi="Book Antiqua"/>
        </w:rPr>
        <w:t>emory research has established that inconsistencies a</w:t>
      </w:r>
      <w:r w:rsidR="00E36190" w:rsidRPr="00CE11C7">
        <w:rPr>
          <w:rFonts w:ascii="Book Antiqua" w:hAnsi="Book Antiqua"/>
        </w:rPr>
        <w:t>re a normal feature of memories and that</w:t>
      </w:r>
      <w:r w:rsidR="004C401E" w:rsidRPr="00CE11C7">
        <w:rPr>
          <w:rFonts w:ascii="Book Antiqua" w:hAnsi="Book Antiqua"/>
        </w:rPr>
        <w:t xml:space="preserve"> remembering</w:t>
      </w:r>
      <w:r w:rsidR="00E36190" w:rsidRPr="00CE11C7">
        <w:rPr>
          <w:rFonts w:ascii="Book Antiqua" w:hAnsi="Book Antiqua"/>
        </w:rPr>
        <w:t xml:space="preserve"> only</w:t>
      </w:r>
      <w:r w:rsidR="004C401E" w:rsidRPr="00CE11C7">
        <w:rPr>
          <w:rFonts w:ascii="Book Antiqua" w:hAnsi="Book Antiqua"/>
        </w:rPr>
        <w:t xml:space="preserve"> few</w:t>
      </w:r>
      <w:r w:rsidR="008C6707" w:rsidRPr="00CE11C7">
        <w:rPr>
          <w:rFonts w:ascii="Book Antiqua" w:hAnsi="Book Antiqua"/>
        </w:rPr>
        <w:t xml:space="preserve"> details is the norm</w:t>
      </w:r>
      <w:r w:rsidR="00E36190" w:rsidRPr="00CE11C7">
        <w:rPr>
          <w:rFonts w:ascii="Book Antiqua" w:hAnsi="Book Antiqua"/>
        </w:rPr>
        <w:t>,</w:t>
      </w:r>
      <w:r w:rsidR="004C401E" w:rsidRPr="00CE11C7">
        <w:rPr>
          <w:rFonts w:ascii="Book Antiqua" w:hAnsi="Book Antiqua"/>
        </w:rPr>
        <w:t xml:space="preserve"> </w:t>
      </w:r>
      <w:r w:rsidR="008C6707" w:rsidRPr="00CE11C7">
        <w:rPr>
          <w:rFonts w:ascii="Book Antiqua" w:hAnsi="Book Antiqua"/>
        </w:rPr>
        <w:t>remembering</w:t>
      </w:r>
      <w:r w:rsidR="00E36190" w:rsidRPr="00CE11C7">
        <w:rPr>
          <w:rFonts w:ascii="Book Antiqua" w:hAnsi="Book Antiqua"/>
        </w:rPr>
        <w:t xml:space="preserve"> many peripheral </w:t>
      </w:r>
      <w:r w:rsidR="004C401E" w:rsidRPr="00CE11C7">
        <w:rPr>
          <w:rFonts w:ascii="Book Antiqua" w:hAnsi="Book Antiqua"/>
        </w:rPr>
        <w:t xml:space="preserve">details </w:t>
      </w:r>
      <w:r w:rsidR="008C6707" w:rsidRPr="00CE11C7">
        <w:rPr>
          <w:rFonts w:ascii="Book Antiqua" w:hAnsi="Book Antiqua"/>
        </w:rPr>
        <w:t xml:space="preserve">unusual </w:t>
      </w:r>
      <w:r w:rsidR="004C401E" w:rsidRPr="00CE11C7">
        <w:rPr>
          <w:rFonts w:ascii="Book Antiqua" w:hAnsi="Book Antiqua"/>
        </w:rPr>
        <w:t>(Conway</w:t>
      </w:r>
      <w:r w:rsidR="004C401E" w:rsidRPr="00CE11C7">
        <w:rPr>
          <w:rFonts w:ascii="Book Antiqua" w:hAnsi="Book Antiqua"/>
          <w:i/>
        </w:rPr>
        <w:t xml:space="preserve">, </w:t>
      </w:r>
      <w:r w:rsidR="004C401E" w:rsidRPr="00CE11C7">
        <w:rPr>
          <w:rFonts w:ascii="Book Antiqua" w:hAnsi="Book Antiqua"/>
        </w:rPr>
        <w:t>Justice and Morrison</w:t>
      </w:r>
      <w:r w:rsidR="00327C15" w:rsidRPr="00CE11C7">
        <w:rPr>
          <w:rFonts w:ascii="Book Antiqua" w:hAnsi="Book Antiqua"/>
        </w:rPr>
        <w:t>,</w:t>
      </w:r>
      <w:r w:rsidR="004C401E" w:rsidRPr="00CE11C7">
        <w:rPr>
          <w:rFonts w:ascii="Book Antiqua" w:hAnsi="Book Antiqua"/>
        </w:rPr>
        <w:t xml:space="preserve"> 2014</w:t>
      </w:r>
      <w:r w:rsidR="004C401E" w:rsidRPr="00CE11C7">
        <w:rPr>
          <w:rFonts w:ascii="Book Antiqua" w:hAnsi="Book Antiqua"/>
          <w:i/>
        </w:rPr>
        <w:t>;</w:t>
      </w:r>
      <w:r w:rsidR="004C401E" w:rsidRPr="00CE11C7">
        <w:rPr>
          <w:rFonts w:ascii="Book Antiqua" w:hAnsi="Book Antiqua"/>
        </w:rPr>
        <w:t xml:space="preserve"> Howe</w:t>
      </w:r>
      <w:r w:rsidR="00327C15" w:rsidRPr="00CE11C7">
        <w:rPr>
          <w:rFonts w:ascii="Book Antiqua" w:hAnsi="Book Antiqua"/>
        </w:rPr>
        <w:t>,</w:t>
      </w:r>
      <w:r w:rsidR="00A815C2">
        <w:rPr>
          <w:rFonts w:ascii="Book Antiqua" w:hAnsi="Book Antiqua"/>
        </w:rPr>
        <w:t xml:space="preserve"> 2013</w:t>
      </w:r>
      <w:r w:rsidR="004C401E" w:rsidRPr="00CE11C7">
        <w:rPr>
          <w:rFonts w:ascii="Book Antiqua" w:hAnsi="Book Antiqua"/>
        </w:rPr>
        <w:t xml:space="preserve">). The implications of </w:t>
      </w:r>
      <w:r w:rsidR="008B4B89" w:rsidRPr="00CE11C7">
        <w:rPr>
          <w:rFonts w:ascii="Book Antiqua" w:hAnsi="Book Antiqua"/>
        </w:rPr>
        <w:t>such</w:t>
      </w:r>
      <w:r w:rsidR="004C401E" w:rsidRPr="00CE11C7">
        <w:rPr>
          <w:rFonts w:ascii="Book Antiqua" w:hAnsi="Book Antiqua"/>
        </w:rPr>
        <w:t xml:space="preserve"> criminal justice </w:t>
      </w:r>
      <w:r w:rsidR="005D12D1" w:rsidRPr="00CE11C7">
        <w:rPr>
          <w:rFonts w:ascii="Book Antiqua" w:hAnsi="Book Antiqua"/>
        </w:rPr>
        <w:t>misconceptions</w:t>
      </w:r>
      <w:r w:rsidR="004C401E" w:rsidRPr="00CE11C7">
        <w:rPr>
          <w:rFonts w:ascii="Book Antiqua" w:hAnsi="Book Antiqua"/>
        </w:rPr>
        <w:t xml:space="preserve"> of</w:t>
      </w:r>
      <w:r w:rsidR="006D02F6">
        <w:rPr>
          <w:rFonts w:ascii="Book Antiqua" w:hAnsi="Book Antiqua"/>
        </w:rPr>
        <w:t>,</w:t>
      </w:r>
      <w:r w:rsidR="004C401E" w:rsidRPr="00CE11C7">
        <w:rPr>
          <w:rFonts w:ascii="Book Antiqua" w:hAnsi="Book Antiqua"/>
        </w:rPr>
        <w:t xml:space="preserve"> </w:t>
      </w:r>
      <w:r w:rsidR="005D12D1" w:rsidRPr="00CE11C7">
        <w:rPr>
          <w:rFonts w:ascii="Book Antiqua" w:hAnsi="Book Antiqua"/>
        </w:rPr>
        <w:t xml:space="preserve">and unrealistic demands on </w:t>
      </w:r>
      <w:r w:rsidR="004C401E" w:rsidRPr="00CE11C7">
        <w:rPr>
          <w:rFonts w:ascii="Book Antiqua" w:hAnsi="Book Antiqua"/>
        </w:rPr>
        <w:t xml:space="preserve">memory are significant, in particular for complaints of rape. </w:t>
      </w:r>
    </w:p>
    <w:p w14:paraId="49D71F21" w14:textId="0A540BC6" w:rsidR="007E0883" w:rsidRPr="00CE11C7" w:rsidRDefault="007E0883" w:rsidP="004A4CBA">
      <w:pPr>
        <w:spacing w:line="360" w:lineRule="auto"/>
        <w:ind w:firstLine="567"/>
        <w:jc w:val="both"/>
        <w:rPr>
          <w:rFonts w:ascii="Book Antiqua" w:hAnsi="Book Antiqua"/>
        </w:rPr>
      </w:pPr>
    </w:p>
    <w:p w14:paraId="62E03715" w14:textId="214CACFA" w:rsidR="00CD061E" w:rsidRPr="00CE11C7" w:rsidRDefault="007E0883" w:rsidP="004A4CBA">
      <w:pPr>
        <w:spacing w:line="360" w:lineRule="auto"/>
        <w:ind w:firstLine="567"/>
        <w:jc w:val="both"/>
        <w:rPr>
          <w:rFonts w:ascii="Book Antiqua" w:hAnsi="Book Antiqua"/>
        </w:rPr>
      </w:pPr>
      <w:r w:rsidRPr="00CE11C7">
        <w:rPr>
          <w:rFonts w:ascii="Book Antiqua" w:hAnsi="Book Antiqua"/>
        </w:rPr>
        <w:t xml:space="preserve">In complaints of rape the victim’s memory is frequently the only and nearly always </w:t>
      </w:r>
      <w:r w:rsidR="00EA116C" w:rsidRPr="00CE11C7">
        <w:rPr>
          <w:rFonts w:ascii="Book Antiqua" w:hAnsi="Book Antiqua"/>
        </w:rPr>
        <w:t>the</w:t>
      </w:r>
      <w:r w:rsidRPr="00CE11C7">
        <w:rPr>
          <w:rFonts w:ascii="Book Antiqua" w:hAnsi="Book Antiqua"/>
        </w:rPr>
        <w:t xml:space="preserve"> central piece of evidence</w:t>
      </w:r>
      <w:r w:rsidR="00B34344" w:rsidRPr="00CE11C7">
        <w:rPr>
          <w:rFonts w:ascii="Book Antiqua" w:hAnsi="Book Antiqua"/>
        </w:rPr>
        <w:t xml:space="preserve"> of</w:t>
      </w:r>
      <w:r w:rsidR="00EA116C" w:rsidRPr="00CE11C7">
        <w:rPr>
          <w:rFonts w:ascii="Book Antiqua" w:hAnsi="Book Antiqua"/>
        </w:rPr>
        <w:t xml:space="preserve"> what happened during the </w:t>
      </w:r>
      <w:r w:rsidR="00707671" w:rsidRPr="00CE11C7">
        <w:rPr>
          <w:rFonts w:ascii="Book Antiqua" w:hAnsi="Book Antiqua"/>
        </w:rPr>
        <w:t xml:space="preserve">alleged </w:t>
      </w:r>
      <w:r w:rsidR="00EA116C" w:rsidRPr="00CE11C7">
        <w:rPr>
          <w:rFonts w:ascii="Book Antiqua" w:hAnsi="Book Antiqua"/>
        </w:rPr>
        <w:t>rape</w:t>
      </w:r>
      <w:r w:rsidRPr="00CE11C7">
        <w:rPr>
          <w:rFonts w:ascii="Book Antiqua" w:hAnsi="Book Antiqua"/>
        </w:rPr>
        <w:t xml:space="preserve">. </w:t>
      </w:r>
      <w:r w:rsidR="00047607" w:rsidRPr="00CE11C7">
        <w:rPr>
          <w:rFonts w:ascii="Book Antiqua" w:hAnsi="Book Antiqua"/>
        </w:rPr>
        <w:t>F</w:t>
      </w:r>
      <w:r w:rsidRPr="00CE11C7">
        <w:rPr>
          <w:rFonts w:ascii="Book Antiqua" w:hAnsi="Book Antiqua"/>
        </w:rPr>
        <w:t>orensic evidence, when available, can</w:t>
      </w:r>
      <w:r w:rsidR="00047607" w:rsidRPr="00CE11C7">
        <w:rPr>
          <w:rFonts w:ascii="Book Antiqua" w:hAnsi="Book Antiqua"/>
        </w:rPr>
        <w:t xml:space="preserve"> sometimes</w:t>
      </w:r>
      <w:r w:rsidRPr="00CE11C7">
        <w:rPr>
          <w:rFonts w:ascii="Book Antiqua" w:hAnsi="Book Antiqua"/>
        </w:rPr>
        <w:t xml:space="preserve"> prove that sexual intercourse took place, and on occasion circumstantial evidence can corroborate the </w:t>
      </w:r>
      <w:r w:rsidR="004A346C">
        <w:rPr>
          <w:rFonts w:ascii="Book Antiqua" w:hAnsi="Book Antiqua"/>
        </w:rPr>
        <w:t>victim account</w:t>
      </w:r>
      <w:r w:rsidR="00D93C64" w:rsidRPr="00CE11C7">
        <w:rPr>
          <w:rFonts w:ascii="Book Antiqua" w:hAnsi="Book Antiqua"/>
        </w:rPr>
        <w:t xml:space="preserve"> of their memory of the </w:t>
      </w:r>
      <w:r w:rsidR="00CE62CD">
        <w:rPr>
          <w:rFonts w:ascii="Book Antiqua" w:hAnsi="Book Antiqua"/>
        </w:rPr>
        <w:t>events that took place</w:t>
      </w:r>
      <w:r w:rsidR="00C213D5" w:rsidRPr="00CE11C7">
        <w:rPr>
          <w:rFonts w:ascii="Book Antiqua" w:hAnsi="Book Antiqua"/>
        </w:rPr>
        <w:t xml:space="preserve"> (for short, ‘</w:t>
      </w:r>
      <w:r w:rsidR="004A346C">
        <w:rPr>
          <w:rFonts w:ascii="Book Antiqua" w:hAnsi="Book Antiqua"/>
        </w:rPr>
        <w:t>victim account</w:t>
      </w:r>
      <w:r w:rsidR="00D93C64" w:rsidRPr="00CE11C7">
        <w:rPr>
          <w:rFonts w:ascii="Book Antiqua" w:hAnsi="Book Antiqua"/>
        </w:rPr>
        <w:t>’ in the remainder of the article</w:t>
      </w:r>
      <w:r w:rsidR="00D93C64" w:rsidRPr="00CE11C7">
        <w:rPr>
          <w:rStyle w:val="FootnoteReference"/>
          <w:rFonts w:ascii="Book Antiqua" w:hAnsi="Book Antiqua"/>
        </w:rPr>
        <w:footnoteReference w:id="1"/>
      </w:r>
      <w:r w:rsidR="00D93C64" w:rsidRPr="00CE11C7">
        <w:rPr>
          <w:rFonts w:ascii="Book Antiqua" w:hAnsi="Book Antiqua"/>
        </w:rPr>
        <w:t>)</w:t>
      </w:r>
      <w:r w:rsidR="00047607" w:rsidRPr="00CE11C7">
        <w:rPr>
          <w:rFonts w:ascii="Book Antiqua" w:hAnsi="Book Antiqua"/>
        </w:rPr>
        <w:t xml:space="preserve">. </w:t>
      </w:r>
      <w:r w:rsidR="006A4E9B" w:rsidRPr="00CE11C7">
        <w:rPr>
          <w:rFonts w:ascii="Book Antiqua" w:hAnsi="Book Antiqua"/>
        </w:rPr>
        <w:t xml:space="preserve">Ultimately however, </w:t>
      </w:r>
      <w:r w:rsidRPr="00CE11C7">
        <w:rPr>
          <w:rFonts w:ascii="Book Antiqua" w:hAnsi="Book Antiqua"/>
        </w:rPr>
        <w:t xml:space="preserve">the </w:t>
      </w:r>
      <w:r w:rsidR="004A346C">
        <w:rPr>
          <w:rFonts w:ascii="Book Antiqua" w:hAnsi="Book Antiqua"/>
        </w:rPr>
        <w:t>victim account</w:t>
      </w:r>
      <w:r w:rsidR="00544D4A" w:rsidRPr="00CE11C7">
        <w:rPr>
          <w:rFonts w:ascii="Book Antiqua" w:hAnsi="Book Antiqua"/>
        </w:rPr>
        <w:t xml:space="preserve"> </w:t>
      </w:r>
      <w:r w:rsidR="006A4E9B" w:rsidRPr="00CE11C7">
        <w:rPr>
          <w:rFonts w:ascii="Book Antiqua" w:hAnsi="Book Antiqua"/>
        </w:rPr>
        <w:t xml:space="preserve">is </w:t>
      </w:r>
      <w:r w:rsidR="00F547F0" w:rsidRPr="00CE11C7">
        <w:rPr>
          <w:rFonts w:ascii="Book Antiqua" w:hAnsi="Book Antiqua"/>
        </w:rPr>
        <w:t xml:space="preserve">normally </w:t>
      </w:r>
      <w:r w:rsidR="00747725" w:rsidRPr="00CE11C7">
        <w:rPr>
          <w:rFonts w:ascii="Book Antiqua" w:hAnsi="Book Antiqua"/>
        </w:rPr>
        <w:t xml:space="preserve">still </w:t>
      </w:r>
      <w:r w:rsidR="003771FE" w:rsidRPr="00CE11C7">
        <w:rPr>
          <w:rFonts w:ascii="Book Antiqua" w:hAnsi="Book Antiqua"/>
        </w:rPr>
        <w:t>required</w:t>
      </w:r>
      <w:r w:rsidRPr="00CE11C7">
        <w:rPr>
          <w:rFonts w:ascii="Book Antiqua" w:hAnsi="Book Antiqua"/>
        </w:rPr>
        <w:t xml:space="preserve"> to </w:t>
      </w:r>
      <w:r w:rsidR="005A7BC2" w:rsidRPr="00CE11C7">
        <w:rPr>
          <w:rFonts w:ascii="Book Antiqua" w:hAnsi="Book Antiqua"/>
        </w:rPr>
        <w:t>prove</w:t>
      </w:r>
      <w:r w:rsidRPr="00CE11C7">
        <w:rPr>
          <w:rFonts w:ascii="Book Antiqua" w:hAnsi="Book Antiqua"/>
        </w:rPr>
        <w:t xml:space="preserve"> a lack of </w:t>
      </w:r>
      <w:r w:rsidRPr="00CE11C7">
        <w:rPr>
          <w:rFonts w:ascii="Book Antiqua" w:hAnsi="Book Antiqua"/>
        </w:rPr>
        <w:lastRenderedPageBreak/>
        <w:t>consent</w:t>
      </w:r>
      <w:r w:rsidR="00F547F0" w:rsidRPr="00CE11C7">
        <w:rPr>
          <w:rFonts w:ascii="Book Antiqua" w:hAnsi="Book Antiqua"/>
        </w:rPr>
        <w:t>.</w:t>
      </w:r>
      <w:r w:rsidR="00334361" w:rsidRPr="00CE11C7">
        <w:rPr>
          <w:rStyle w:val="FootnoteReference"/>
          <w:rFonts w:ascii="Book Antiqua" w:hAnsi="Book Antiqua"/>
        </w:rPr>
        <w:footnoteReference w:id="2"/>
      </w:r>
      <w:r w:rsidR="00047607" w:rsidRPr="00CE11C7">
        <w:rPr>
          <w:rFonts w:ascii="Book Antiqua" w:hAnsi="Book Antiqua"/>
        </w:rPr>
        <w:t xml:space="preserve"> </w:t>
      </w:r>
      <w:r w:rsidR="00F547F0" w:rsidRPr="00CE11C7">
        <w:rPr>
          <w:rFonts w:ascii="Book Antiqua" w:hAnsi="Book Antiqua"/>
        </w:rPr>
        <w:t>D</w:t>
      </w:r>
      <w:r w:rsidRPr="00CE11C7">
        <w:rPr>
          <w:rFonts w:ascii="Book Antiqua" w:hAnsi="Book Antiqua"/>
        </w:rPr>
        <w:t xml:space="preserve">espite the centrality of the </w:t>
      </w:r>
      <w:r w:rsidR="004A346C">
        <w:rPr>
          <w:rFonts w:ascii="Book Antiqua" w:hAnsi="Book Antiqua"/>
        </w:rPr>
        <w:t>victim account</w:t>
      </w:r>
      <w:r w:rsidRPr="00CE11C7">
        <w:rPr>
          <w:rFonts w:ascii="Book Antiqua" w:hAnsi="Book Antiqua"/>
        </w:rPr>
        <w:t xml:space="preserve"> for rape convictions, there is surprisingly little research on how criminal just</w:t>
      </w:r>
      <w:r w:rsidR="00747725" w:rsidRPr="00CE11C7">
        <w:rPr>
          <w:rFonts w:ascii="Book Antiqua" w:hAnsi="Book Antiqua"/>
        </w:rPr>
        <w:t>ice agents use victim memory</w:t>
      </w:r>
      <w:r w:rsidRPr="00CE11C7">
        <w:rPr>
          <w:rFonts w:ascii="Book Antiqua" w:hAnsi="Book Antiqua"/>
        </w:rPr>
        <w:t xml:space="preserve"> as evidence: </w:t>
      </w:r>
      <w:r w:rsidR="00665BDB" w:rsidRPr="00CE11C7">
        <w:rPr>
          <w:rFonts w:ascii="Book Antiqua" w:hAnsi="Book Antiqua"/>
        </w:rPr>
        <w:t xml:space="preserve">we suggest that </w:t>
      </w:r>
      <w:r w:rsidRPr="00CE11C7">
        <w:rPr>
          <w:rFonts w:ascii="Book Antiqua" w:hAnsi="Book Antiqua"/>
        </w:rPr>
        <w:t>herein lies a</w:t>
      </w:r>
      <w:r w:rsidR="000E0800" w:rsidRPr="00CE11C7">
        <w:rPr>
          <w:rFonts w:ascii="Book Antiqua" w:hAnsi="Book Antiqua"/>
        </w:rPr>
        <w:t xml:space="preserve"> </w:t>
      </w:r>
      <w:r w:rsidRPr="00CE11C7">
        <w:rPr>
          <w:rFonts w:ascii="Book Antiqua" w:hAnsi="Book Antiqua"/>
        </w:rPr>
        <w:t>m</w:t>
      </w:r>
      <w:r w:rsidR="000E0800" w:rsidRPr="00CE11C7">
        <w:rPr>
          <w:rFonts w:ascii="Book Antiqua" w:hAnsi="Book Antiqua"/>
        </w:rPr>
        <w:t xml:space="preserve">issed opportunity to address </w:t>
      </w:r>
      <w:r w:rsidRPr="00CE11C7">
        <w:rPr>
          <w:rFonts w:ascii="Book Antiqua" w:hAnsi="Book Antiqua"/>
        </w:rPr>
        <w:t xml:space="preserve">part of the attrition problem. </w:t>
      </w:r>
      <w:r w:rsidR="00CD061E" w:rsidRPr="00CE11C7">
        <w:rPr>
          <w:rFonts w:ascii="Book Antiqua" w:hAnsi="Book Antiqua"/>
        </w:rPr>
        <w:t>The attrition problem refers to the persistent finding that most rapes are not reported to the police, and that of those reported the majority drop out of the criminal just</w:t>
      </w:r>
      <w:r w:rsidR="00521B7E">
        <w:rPr>
          <w:rFonts w:ascii="Book Antiqua" w:hAnsi="Book Antiqua"/>
        </w:rPr>
        <w:t>ice</w:t>
      </w:r>
      <w:r w:rsidR="00CD061E" w:rsidRPr="00CE11C7">
        <w:rPr>
          <w:rFonts w:ascii="Book Antiqua" w:hAnsi="Book Antiqua"/>
        </w:rPr>
        <w:t xml:space="preserve"> process and thus do not result in a conviction. The attrition problem </w:t>
      </w:r>
      <w:r w:rsidR="00544D4A" w:rsidRPr="00CE11C7">
        <w:rPr>
          <w:rFonts w:ascii="Book Antiqua" w:hAnsi="Book Antiqua"/>
        </w:rPr>
        <w:t>persists</w:t>
      </w:r>
      <w:r w:rsidR="00CD061E" w:rsidRPr="00CE11C7">
        <w:rPr>
          <w:rFonts w:ascii="Book Antiqua" w:hAnsi="Book Antiqua"/>
        </w:rPr>
        <w:t xml:space="preserve"> despite the academic research, legal reform, inspection reports, reviews and inquiries, and legal reform of the past decades (Hohl and </w:t>
      </w:r>
      <w:proofErr w:type="spellStart"/>
      <w:r w:rsidR="00CD061E" w:rsidRPr="00CE11C7">
        <w:rPr>
          <w:rFonts w:ascii="Book Antiqua" w:hAnsi="Book Antiqua"/>
        </w:rPr>
        <w:t>Stanko</w:t>
      </w:r>
      <w:proofErr w:type="spellEnd"/>
      <w:r w:rsidR="00CD061E" w:rsidRPr="00CE11C7">
        <w:rPr>
          <w:rFonts w:ascii="Book Antiqua" w:hAnsi="Book Antiqua"/>
        </w:rPr>
        <w:t xml:space="preserve">, 2015).  </w:t>
      </w:r>
    </w:p>
    <w:p w14:paraId="4EAE0F4C" w14:textId="77777777" w:rsidR="00CD061E" w:rsidRPr="00CE11C7" w:rsidRDefault="00CD061E" w:rsidP="004A4CBA">
      <w:pPr>
        <w:spacing w:line="360" w:lineRule="auto"/>
        <w:ind w:firstLine="567"/>
        <w:jc w:val="both"/>
        <w:rPr>
          <w:rFonts w:ascii="Book Antiqua" w:hAnsi="Book Antiqua"/>
        </w:rPr>
      </w:pPr>
    </w:p>
    <w:p w14:paraId="6E3CACDD" w14:textId="380C5DB9" w:rsidR="00AD0C58" w:rsidRPr="00CE11C7" w:rsidRDefault="00747725" w:rsidP="004A4CBA">
      <w:pPr>
        <w:spacing w:line="360" w:lineRule="auto"/>
        <w:ind w:firstLine="567"/>
        <w:jc w:val="both"/>
        <w:rPr>
          <w:rFonts w:ascii="Book Antiqua" w:hAnsi="Book Antiqua"/>
        </w:rPr>
      </w:pPr>
      <w:r w:rsidRPr="00CE11C7">
        <w:rPr>
          <w:rFonts w:ascii="Book Antiqua" w:hAnsi="Book Antiqua"/>
        </w:rPr>
        <w:t>Much</w:t>
      </w:r>
      <w:r w:rsidR="00F547F0" w:rsidRPr="00CE11C7">
        <w:rPr>
          <w:rFonts w:ascii="Book Antiqua" w:hAnsi="Book Antiqua"/>
        </w:rPr>
        <w:t xml:space="preserve"> of course </w:t>
      </w:r>
      <w:r w:rsidRPr="00CE11C7">
        <w:rPr>
          <w:rFonts w:ascii="Book Antiqua" w:hAnsi="Book Antiqua"/>
        </w:rPr>
        <w:t>has been</w:t>
      </w:r>
      <w:r w:rsidR="00F547F0" w:rsidRPr="00CE11C7">
        <w:rPr>
          <w:rFonts w:ascii="Book Antiqua" w:hAnsi="Book Antiqua"/>
        </w:rPr>
        <w:t xml:space="preserve"> </w:t>
      </w:r>
      <w:r w:rsidR="00D91D18" w:rsidRPr="00CE11C7">
        <w:rPr>
          <w:rFonts w:ascii="Book Antiqua" w:hAnsi="Book Antiqua"/>
        </w:rPr>
        <w:t xml:space="preserve">established </w:t>
      </w:r>
      <w:r w:rsidR="00C07E65" w:rsidRPr="00CE11C7">
        <w:rPr>
          <w:rFonts w:ascii="Book Antiqua" w:hAnsi="Book Antiqua"/>
        </w:rPr>
        <w:t>already: the field of memory research has produced a wealth of insight into human memory, including its fallibi</w:t>
      </w:r>
      <w:r w:rsidR="00F23D58" w:rsidRPr="00CE11C7">
        <w:rPr>
          <w:rFonts w:ascii="Book Antiqua" w:hAnsi="Book Antiqua"/>
        </w:rPr>
        <w:t>lities and proneness to error</w:t>
      </w:r>
      <w:r w:rsidR="00F151C2" w:rsidRPr="00CE11C7">
        <w:rPr>
          <w:rFonts w:ascii="Book Antiqua" w:hAnsi="Book Antiqua"/>
        </w:rPr>
        <w:t xml:space="preserve"> (</w:t>
      </w:r>
      <w:r w:rsidR="006A6687" w:rsidRPr="00CE11C7">
        <w:rPr>
          <w:rFonts w:ascii="Book Antiqua" w:hAnsi="Book Antiqua"/>
        </w:rPr>
        <w:t xml:space="preserve">see for example </w:t>
      </w:r>
      <w:proofErr w:type="spellStart"/>
      <w:r w:rsidR="00F151C2" w:rsidRPr="00CE11C7">
        <w:rPr>
          <w:rFonts w:ascii="Book Antiqua" w:hAnsi="Book Antiqua"/>
        </w:rPr>
        <w:t>Schacter</w:t>
      </w:r>
      <w:proofErr w:type="spellEnd"/>
      <w:r w:rsidR="001119D6" w:rsidRPr="00CE11C7">
        <w:rPr>
          <w:rFonts w:ascii="Book Antiqua" w:hAnsi="Book Antiqua"/>
        </w:rPr>
        <w:t>,</w:t>
      </w:r>
      <w:r w:rsidR="00F151C2" w:rsidRPr="00CE11C7">
        <w:rPr>
          <w:rFonts w:ascii="Book Antiqua" w:hAnsi="Book Antiqua"/>
        </w:rPr>
        <w:t xml:space="preserve"> 20</w:t>
      </w:r>
      <w:r w:rsidR="00E024ED" w:rsidRPr="00CE11C7">
        <w:rPr>
          <w:rFonts w:ascii="Book Antiqua" w:hAnsi="Book Antiqua"/>
        </w:rPr>
        <w:t>01</w:t>
      </w:r>
      <w:r w:rsidR="00336E1B" w:rsidRPr="00CE11C7">
        <w:rPr>
          <w:rFonts w:ascii="Book Antiqua" w:hAnsi="Book Antiqua"/>
        </w:rPr>
        <w:t xml:space="preserve">; </w:t>
      </w:r>
      <w:proofErr w:type="spellStart"/>
      <w:r w:rsidR="00336E1B" w:rsidRPr="00CE11C7">
        <w:rPr>
          <w:rFonts w:ascii="Book Antiqua" w:hAnsi="Book Antiqua"/>
        </w:rPr>
        <w:t>Baddeley</w:t>
      </w:r>
      <w:proofErr w:type="spellEnd"/>
      <w:r w:rsidR="00336E1B" w:rsidRPr="00CE11C7">
        <w:rPr>
          <w:rFonts w:ascii="Book Antiqua" w:hAnsi="Book Antiqua"/>
        </w:rPr>
        <w:t xml:space="preserve"> et al., 2009</w:t>
      </w:r>
      <w:r w:rsidR="00F151C2" w:rsidRPr="00CE11C7">
        <w:rPr>
          <w:rFonts w:ascii="Book Antiqua" w:hAnsi="Book Antiqua"/>
        </w:rPr>
        <w:t>)</w:t>
      </w:r>
      <w:r w:rsidR="00F23D58" w:rsidRPr="00CE11C7">
        <w:rPr>
          <w:rFonts w:ascii="Book Antiqua" w:hAnsi="Book Antiqua"/>
        </w:rPr>
        <w:t>. With regard to criminal justice outcomes of rape complaints, we know that t</w:t>
      </w:r>
      <w:r w:rsidR="00D91D18" w:rsidRPr="00CE11C7">
        <w:rPr>
          <w:rFonts w:ascii="Book Antiqua" w:hAnsi="Book Antiqua"/>
        </w:rPr>
        <w:t xml:space="preserve">he victim’s evidence is </w:t>
      </w:r>
      <w:r w:rsidR="006A4E9B" w:rsidRPr="00CE11C7">
        <w:rPr>
          <w:rFonts w:ascii="Book Antiqua" w:hAnsi="Book Antiqua"/>
        </w:rPr>
        <w:t xml:space="preserve">nearly always </w:t>
      </w:r>
      <w:r w:rsidR="00D91D18" w:rsidRPr="00CE11C7">
        <w:rPr>
          <w:rFonts w:ascii="Book Antiqua" w:hAnsi="Book Antiqua"/>
        </w:rPr>
        <w:t>central</w:t>
      </w:r>
      <w:r w:rsidR="00F23D58" w:rsidRPr="00CE11C7">
        <w:rPr>
          <w:rFonts w:ascii="Book Antiqua" w:hAnsi="Book Antiqua"/>
        </w:rPr>
        <w:t xml:space="preserve"> and that </w:t>
      </w:r>
      <w:r w:rsidRPr="00CE11C7">
        <w:rPr>
          <w:rFonts w:ascii="Book Antiqua" w:hAnsi="Book Antiqua"/>
        </w:rPr>
        <w:t>the case</w:t>
      </w:r>
      <w:r w:rsidR="00D91D18" w:rsidRPr="00CE11C7">
        <w:rPr>
          <w:rFonts w:ascii="Book Antiqua" w:hAnsi="Book Antiqua"/>
        </w:rPr>
        <w:t xml:space="preserve"> outcome</w:t>
      </w:r>
      <w:r w:rsidR="00F23D58" w:rsidRPr="00CE11C7">
        <w:rPr>
          <w:rFonts w:ascii="Book Antiqua" w:hAnsi="Book Antiqua"/>
        </w:rPr>
        <w:t xml:space="preserve"> </w:t>
      </w:r>
      <w:r w:rsidR="00DF6844" w:rsidRPr="00CE11C7">
        <w:rPr>
          <w:rFonts w:ascii="Book Antiqua" w:hAnsi="Book Antiqua"/>
        </w:rPr>
        <w:t xml:space="preserve">often </w:t>
      </w:r>
      <w:r w:rsidR="00F23D58" w:rsidRPr="00CE11C7">
        <w:rPr>
          <w:rFonts w:ascii="Book Antiqua" w:hAnsi="Book Antiqua"/>
        </w:rPr>
        <w:t xml:space="preserve">stands </w:t>
      </w:r>
      <w:r w:rsidR="00521B7E">
        <w:rPr>
          <w:rFonts w:ascii="Book Antiqua" w:hAnsi="Book Antiqua"/>
        </w:rPr>
        <w:t>or</w:t>
      </w:r>
      <w:r w:rsidR="00521B7E" w:rsidRPr="00CE11C7">
        <w:rPr>
          <w:rFonts w:ascii="Book Antiqua" w:hAnsi="Book Antiqua"/>
        </w:rPr>
        <w:t xml:space="preserve"> </w:t>
      </w:r>
      <w:proofErr w:type="gramStart"/>
      <w:r w:rsidR="00F23D58" w:rsidRPr="00CE11C7">
        <w:rPr>
          <w:rFonts w:ascii="Book Antiqua" w:hAnsi="Book Antiqua"/>
        </w:rPr>
        <w:t>falls</w:t>
      </w:r>
      <w:proofErr w:type="gramEnd"/>
      <w:r w:rsidR="00F23D58" w:rsidRPr="00CE11C7">
        <w:rPr>
          <w:rFonts w:ascii="Book Antiqua" w:hAnsi="Book Antiqua"/>
        </w:rPr>
        <w:t xml:space="preserve"> with it. </w:t>
      </w:r>
      <w:r w:rsidR="00D91D18" w:rsidRPr="00CE11C7">
        <w:rPr>
          <w:rFonts w:ascii="Book Antiqua" w:hAnsi="Book Antiqua"/>
        </w:rPr>
        <w:t>It is</w:t>
      </w:r>
      <w:r w:rsidR="006A4E9B" w:rsidRPr="00CE11C7">
        <w:rPr>
          <w:rFonts w:ascii="Book Antiqua" w:hAnsi="Book Antiqua"/>
        </w:rPr>
        <w:t xml:space="preserve"> well</w:t>
      </w:r>
      <w:r w:rsidR="00D91D18" w:rsidRPr="00CE11C7">
        <w:rPr>
          <w:rFonts w:ascii="Book Antiqua" w:hAnsi="Book Antiqua"/>
        </w:rPr>
        <w:t xml:space="preserve"> established that </w:t>
      </w:r>
      <w:r w:rsidR="00F23D58" w:rsidRPr="00CE11C7">
        <w:rPr>
          <w:rFonts w:ascii="Book Antiqua" w:hAnsi="Book Antiqua"/>
        </w:rPr>
        <w:t xml:space="preserve">rape victims are </w:t>
      </w:r>
      <w:r w:rsidR="00DF6844" w:rsidRPr="00CE11C7">
        <w:rPr>
          <w:rFonts w:ascii="Book Antiqua" w:hAnsi="Book Antiqua"/>
        </w:rPr>
        <w:t>routinely</w:t>
      </w:r>
      <w:r w:rsidR="00F23D58" w:rsidRPr="00CE11C7">
        <w:rPr>
          <w:rFonts w:ascii="Book Antiqua" w:hAnsi="Book Antiqua"/>
        </w:rPr>
        <w:t xml:space="preserve"> doubted and not believed, and their testimony </w:t>
      </w:r>
      <w:r w:rsidR="00D91D18" w:rsidRPr="00CE11C7">
        <w:rPr>
          <w:rFonts w:ascii="Book Antiqua" w:hAnsi="Book Antiqua"/>
        </w:rPr>
        <w:t>painstakingly</w:t>
      </w:r>
      <w:r w:rsidR="00F23D58" w:rsidRPr="00CE11C7">
        <w:rPr>
          <w:rFonts w:ascii="Book Antiqua" w:hAnsi="Book Antiqua"/>
        </w:rPr>
        <w:t xml:space="preserve"> scrutinised </w:t>
      </w:r>
      <w:r w:rsidR="00D91D18" w:rsidRPr="00CE11C7">
        <w:rPr>
          <w:rFonts w:ascii="Book Antiqua" w:hAnsi="Book Antiqua"/>
        </w:rPr>
        <w:t>by</w:t>
      </w:r>
      <w:r w:rsidR="006A4E9B" w:rsidRPr="00CE11C7">
        <w:rPr>
          <w:rFonts w:ascii="Book Antiqua" w:hAnsi="Book Antiqua"/>
        </w:rPr>
        <w:t xml:space="preserve"> the</w:t>
      </w:r>
      <w:r w:rsidR="00F23D58" w:rsidRPr="00CE11C7">
        <w:rPr>
          <w:rFonts w:ascii="Book Antiqua" w:hAnsi="Book Antiqua"/>
        </w:rPr>
        <w:t xml:space="preserve"> defen</w:t>
      </w:r>
      <w:r w:rsidR="006A4E9B" w:rsidRPr="00CE11C7">
        <w:rPr>
          <w:rFonts w:ascii="Book Antiqua" w:hAnsi="Book Antiqua"/>
        </w:rPr>
        <w:t>ce council during</w:t>
      </w:r>
      <w:r w:rsidR="00DF6844" w:rsidRPr="00CE11C7">
        <w:rPr>
          <w:rFonts w:ascii="Book Antiqua" w:hAnsi="Book Antiqua"/>
        </w:rPr>
        <w:t xml:space="preserve"> cross-examination in court</w:t>
      </w:r>
      <w:r w:rsidR="006A4E9B" w:rsidRPr="00CE11C7">
        <w:rPr>
          <w:rFonts w:ascii="Book Antiqua" w:hAnsi="Book Antiqua"/>
        </w:rPr>
        <w:t xml:space="preserve">, a scrutiny that often succeeds </w:t>
      </w:r>
      <w:r w:rsidR="00DF6844" w:rsidRPr="00CE11C7">
        <w:rPr>
          <w:rFonts w:ascii="Book Antiqua" w:hAnsi="Book Antiqua"/>
        </w:rPr>
        <w:t xml:space="preserve">in discrediting the victim </w:t>
      </w:r>
      <w:r w:rsidR="00F151C2" w:rsidRPr="00CE11C7">
        <w:rPr>
          <w:rFonts w:ascii="Book Antiqua" w:hAnsi="Book Antiqua"/>
        </w:rPr>
        <w:t>(</w:t>
      </w:r>
      <w:r w:rsidR="00E36190" w:rsidRPr="00CE11C7">
        <w:rPr>
          <w:rFonts w:ascii="Book Antiqua" w:hAnsi="Book Antiqua"/>
        </w:rPr>
        <w:t>see</w:t>
      </w:r>
      <w:r w:rsidR="004A4CBA">
        <w:rPr>
          <w:rFonts w:ascii="Book Antiqua" w:hAnsi="Book Antiqua"/>
        </w:rPr>
        <w:t>,</w:t>
      </w:r>
      <w:r w:rsidR="00E36190" w:rsidRPr="00CE11C7">
        <w:rPr>
          <w:rFonts w:ascii="Book Antiqua" w:hAnsi="Book Antiqua"/>
        </w:rPr>
        <w:t xml:space="preserve"> for example, </w:t>
      </w:r>
      <w:proofErr w:type="spellStart"/>
      <w:r w:rsidR="00073FDA" w:rsidRPr="00CE11C7">
        <w:rPr>
          <w:rFonts w:ascii="Book Antiqua" w:hAnsi="Book Antiqua"/>
        </w:rPr>
        <w:t>Temkin</w:t>
      </w:r>
      <w:proofErr w:type="spellEnd"/>
      <w:r w:rsidR="00073FDA" w:rsidRPr="00CE11C7">
        <w:rPr>
          <w:rFonts w:ascii="Book Antiqua" w:hAnsi="Book Antiqua"/>
        </w:rPr>
        <w:t xml:space="preserve"> </w:t>
      </w:r>
      <w:r w:rsidR="00327C15" w:rsidRPr="00CE11C7">
        <w:rPr>
          <w:rFonts w:ascii="Book Antiqua" w:hAnsi="Book Antiqua"/>
        </w:rPr>
        <w:t>and</w:t>
      </w:r>
      <w:r w:rsidR="00073FDA" w:rsidRPr="00CE11C7">
        <w:rPr>
          <w:rFonts w:ascii="Book Antiqua" w:hAnsi="Book Antiqua"/>
        </w:rPr>
        <w:t xml:space="preserve"> </w:t>
      </w:r>
      <w:proofErr w:type="spellStart"/>
      <w:r w:rsidR="00073FDA" w:rsidRPr="00CE11C7">
        <w:rPr>
          <w:rFonts w:ascii="Book Antiqua" w:hAnsi="Book Antiqua"/>
        </w:rPr>
        <w:t>Krahe</w:t>
      </w:r>
      <w:proofErr w:type="spellEnd"/>
      <w:r w:rsidR="00073FDA" w:rsidRPr="00CE11C7">
        <w:rPr>
          <w:rFonts w:ascii="Book Antiqua" w:hAnsi="Book Antiqua"/>
        </w:rPr>
        <w:t>, 2008</w:t>
      </w:r>
      <w:r w:rsidR="00F151C2" w:rsidRPr="00CE11C7">
        <w:rPr>
          <w:rFonts w:ascii="Book Antiqua" w:hAnsi="Book Antiqua"/>
        </w:rPr>
        <w:t>)</w:t>
      </w:r>
      <w:r w:rsidR="00DF6844" w:rsidRPr="00CE11C7">
        <w:rPr>
          <w:rFonts w:ascii="Book Antiqua" w:hAnsi="Book Antiqua"/>
        </w:rPr>
        <w:t xml:space="preserve">.  </w:t>
      </w:r>
    </w:p>
    <w:p w14:paraId="757280CC" w14:textId="77777777" w:rsidR="00D62029" w:rsidRPr="00CE11C7" w:rsidRDefault="00D62029" w:rsidP="004A4CBA">
      <w:pPr>
        <w:spacing w:line="360" w:lineRule="auto"/>
        <w:ind w:firstLine="567"/>
        <w:jc w:val="both"/>
        <w:rPr>
          <w:rFonts w:ascii="Book Antiqua" w:hAnsi="Book Antiqua"/>
        </w:rPr>
      </w:pPr>
    </w:p>
    <w:p w14:paraId="7BE46D94" w14:textId="2B51D81E" w:rsidR="00015438" w:rsidRPr="00CE11C7" w:rsidRDefault="00235418" w:rsidP="004A4CBA">
      <w:pPr>
        <w:spacing w:line="360" w:lineRule="auto"/>
        <w:ind w:firstLine="567"/>
        <w:jc w:val="both"/>
        <w:rPr>
          <w:rFonts w:ascii="Book Antiqua" w:hAnsi="Book Antiqua"/>
        </w:rPr>
      </w:pPr>
      <w:r w:rsidRPr="00CE11C7">
        <w:rPr>
          <w:rFonts w:ascii="Book Antiqua" w:hAnsi="Book Antiqua"/>
        </w:rPr>
        <w:t xml:space="preserve">What is known reveals a conundrum: </w:t>
      </w:r>
      <w:r w:rsidR="001D0C27" w:rsidRPr="00CE11C7">
        <w:rPr>
          <w:rFonts w:ascii="Book Antiqua" w:hAnsi="Book Antiqua"/>
        </w:rPr>
        <w:t xml:space="preserve">memory </w:t>
      </w:r>
      <w:r w:rsidR="00DF6844" w:rsidRPr="00CE11C7">
        <w:rPr>
          <w:rFonts w:ascii="Book Antiqua" w:hAnsi="Book Antiqua"/>
        </w:rPr>
        <w:t>evidence is central and frequen</w:t>
      </w:r>
      <w:r w:rsidR="00F60AA3" w:rsidRPr="00CE11C7">
        <w:rPr>
          <w:rFonts w:ascii="Book Antiqua" w:hAnsi="Book Antiqua"/>
        </w:rPr>
        <w:t>tly the only evidence</w:t>
      </w:r>
      <w:r w:rsidR="006A4E9B" w:rsidRPr="00CE11C7">
        <w:rPr>
          <w:rFonts w:ascii="Book Antiqua" w:hAnsi="Book Antiqua"/>
        </w:rPr>
        <w:t xml:space="preserve"> in rape cases</w:t>
      </w:r>
      <w:r w:rsidR="001119D6" w:rsidRPr="00CE11C7">
        <w:rPr>
          <w:rFonts w:ascii="Book Antiqua" w:hAnsi="Book Antiqua"/>
        </w:rPr>
        <w:t>. I</w:t>
      </w:r>
      <w:r w:rsidR="00F60AA3" w:rsidRPr="00CE11C7">
        <w:rPr>
          <w:rFonts w:ascii="Book Antiqua" w:hAnsi="Book Antiqua"/>
        </w:rPr>
        <w:t>t</w:t>
      </w:r>
      <w:r w:rsidR="001119D6" w:rsidRPr="00CE11C7">
        <w:rPr>
          <w:rFonts w:ascii="Book Antiqua" w:hAnsi="Book Antiqua"/>
        </w:rPr>
        <w:t xml:space="preserve"> thus</w:t>
      </w:r>
      <w:r w:rsidR="00F60AA3" w:rsidRPr="00CE11C7">
        <w:rPr>
          <w:rFonts w:ascii="Book Antiqua" w:hAnsi="Book Antiqua"/>
        </w:rPr>
        <w:t xml:space="preserve"> appears</w:t>
      </w:r>
      <w:r w:rsidR="001D0C27" w:rsidRPr="00CE11C7">
        <w:rPr>
          <w:rFonts w:ascii="Book Antiqua" w:hAnsi="Book Antiqua"/>
        </w:rPr>
        <w:t xml:space="preserve"> </w:t>
      </w:r>
      <w:r w:rsidR="00DF6844" w:rsidRPr="00CE11C7">
        <w:rPr>
          <w:rFonts w:ascii="Book Antiqua" w:hAnsi="Book Antiqua"/>
        </w:rPr>
        <w:t xml:space="preserve">only </w:t>
      </w:r>
      <w:r w:rsidR="003771FE" w:rsidRPr="00CE11C7">
        <w:rPr>
          <w:rFonts w:ascii="Book Antiqua" w:hAnsi="Book Antiqua"/>
        </w:rPr>
        <w:t>correct</w:t>
      </w:r>
      <w:r w:rsidR="00DF6844" w:rsidRPr="00CE11C7">
        <w:rPr>
          <w:rFonts w:ascii="Book Antiqua" w:hAnsi="Book Antiqua"/>
        </w:rPr>
        <w:t xml:space="preserve"> for it to be heavily scrutinised by the police, prosecution and in court. Memory res</w:t>
      </w:r>
      <w:r w:rsidR="001D0C27" w:rsidRPr="00CE11C7">
        <w:rPr>
          <w:rFonts w:ascii="Book Antiqua" w:hAnsi="Book Antiqua"/>
        </w:rPr>
        <w:t>earch has sh</w:t>
      </w:r>
      <w:r w:rsidR="001119D6" w:rsidRPr="00CE11C7">
        <w:rPr>
          <w:rFonts w:ascii="Book Antiqua" w:hAnsi="Book Antiqua"/>
        </w:rPr>
        <w:t>own human memory to be fallible. O</w:t>
      </w:r>
      <w:r w:rsidR="00DF6844" w:rsidRPr="00CE11C7">
        <w:rPr>
          <w:rFonts w:ascii="Book Antiqua" w:hAnsi="Book Antiqua"/>
        </w:rPr>
        <w:t xml:space="preserve">ne might thus argue that </w:t>
      </w:r>
      <w:r w:rsidR="001D0C27" w:rsidRPr="00CE11C7">
        <w:rPr>
          <w:rFonts w:ascii="Book Antiqua" w:hAnsi="Book Antiqua"/>
        </w:rPr>
        <w:t>the police, prosecution</w:t>
      </w:r>
      <w:r w:rsidR="00DF6844" w:rsidRPr="00CE11C7">
        <w:rPr>
          <w:rFonts w:ascii="Book Antiqua" w:hAnsi="Book Antiqua"/>
        </w:rPr>
        <w:t xml:space="preserve"> and courts </w:t>
      </w:r>
      <w:r w:rsidR="006A4E9B" w:rsidRPr="00CE11C7">
        <w:rPr>
          <w:rFonts w:ascii="Book Antiqua" w:hAnsi="Book Antiqua"/>
        </w:rPr>
        <w:t>are</w:t>
      </w:r>
      <w:r w:rsidR="00DF6844" w:rsidRPr="00CE11C7">
        <w:rPr>
          <w:rFonts w:ascii="Book Antiqua" w:hAnsi="Book Antiqua"/>
        </w:rPr>
        <w:t xml:space="preserve"> </w:t>
      </w:r>
      <w:r w:rsidR="00C91A71" w:rsidRPr="00CE11C7">
        <w:rPr>
          <w:rFonts w:ascii="Book Antiqua" w:hAnsi="Book Antiqua"/>
        </w:rPr>
        <w:t>rightly</w:t>
      </w:r>
      <w:r w:rsidR="001D0C27" w:rsidRPr="00CE11C7">
        <w:rPr>
          <w:rFonts w:ascii="Book Antiqua" w:hAnsi="Book Antiqua"/>
        </w:rPr>
        <w:t xml:space="preserve"> </w:t>
      </w:r>
      <w:r w:rsidRPr="00CE11C7">
        <w:rPr>
          <w:rFonts w:ascii="Book Antiqua" w:hAnsi="Book Antiqua"/>
        </w:rPr>
        <w:t>doubtful</w:t>
      </w:r>
      <w:r w:rsidR="00DF6844" w:rsidRPr="00CE11C7">
        <w:rPr>
          <w:rFonts w:ascii="Book Antiqua" w:hAnsi="Book Antiqua"/>
        </w:rPr>
        <w:t xml:space="preserve"> of rape complaints that rest on</w:t>
      </w:r>
      <w:r w:rsidR="001D0C27" w:rsidRPr="00CE11C7">
        <w:rPr>
          <w:rFonts w:ascii="Book Antiqua" w:hAnsi="Book Antiqua"/>
        </w:rPr>
        <w:t xml:space="preserve"> victim </w:t>
      </w:r>
      <w:r w:rsidR="00834670" w:rsidRPr="00CE11C7">
        <w:rPr>
          <w:rFonts w:ascii="Book Antiqua" w:hAnsi="Book Antiqua"/>
        </w:rPr>
        <w:t>testimony</w:t>
      </w:r>
      <w:r w:rsidR="001D0C27" w:rsidRPr="00CE11C7">
        <w:rPr>
          <w:rFonts w:ascii="Book Antiqua" w:hAnsi="Book Antiqua"/>
        </w:rPr>
        <w:t xml:space="preserve"> </w:t>
      </w:r>
      <w:r w:rsidR="00DF6844" w:rsidRPr="00CE11C7">
        <w:rPr>
          <w:rFonts w:ascii="Book Antiqua" w:hAnsi="Book Antiqua"/>
        </w:rPr>
        <w:t>alone</w:t>
      </w:r>
      <w:r w:rsidRPr="00CE11C7">
        <w:rPr>
          <w:rFonts w:ascii="Book Antiqua" w:hAnsi="Book Antiqua"/>
        </w:rPr>
        <w:t xml:space="preserve">. </w:t>
      </w:r>
      <w:r w:rsidR="006A4E9B" w:rsidRPr="00CE11C7">
        <w:rPr>
          <w:rFonts w:ascii="Book Antiqua" w:hAnsi="Book Antiqua"/>
        </w:rPr>
        <w:br/>
      </w:r>
      <w:r w:rsidR="001D0C27" w:rsidRPr="00CE11C7">
        <w:rPr>
          <w:rFonts w:ascii="Book Antiqua" w:hAnsi="Book Antiqua"/>
        </w:rPr>
        <w:t>Yet</w:t>
      </w:r>
      <w:r w:rsidR="00F547F0" w:rsidRPr="00CE11C7">
        <w:rPr>
          <w:rFonts w:ascii="Book Antiqua" w:hAnsi="Book Antiqua"/>
        </w:rPr>
        <w:t>,</w:t>
      </w:r>
      <w:r w:rsidR="006A4E9B" w:rsidRPr="00CE11C7">
        <w:rPr>
          <w:rFonts w:ascii="Book Antiqua" w:hAnsi="Book Antiqua"/>
        </w:rPr>
        <w:t xml:space="preserve"> at the same time</w:t>
      </w:r>
      <w:r w:rsidR="001D0C27" w:rsidRPr="00CE11C7">
        <w:rPr>
          <w:rFonts w:ascii="Book Antiqua" w:hAnsi="Book Antiqua"/>
        </w:rPr>
        <w:t xml:space="preserve"> </w:t>
      </w:r>
      <w:r w:rsidR="00270A2C" w:rsidRPr="00CE11C7">
        <w:rPr>
          <w:rFonts w:ascii="Book Antiqua" w:hAnsi="Book Antiqua"/>
        </w:rPr>
        <w:t>the evidence</w:t>
      </w:r>
      <w:r w:rsidR="00D62029" w:rsidRPr="00CE11C7">
        <w:rPr>
          <w:rFonts w:ascii="Book Antiqua" w:hAnsi="Book Antiqua"/>
        </w:rPr>
        <w:t xml:space="preserve"> suggests that </w:t>
      </w:r>
      <w:r w:rsidR="00C91A71" w:rsidRPr="00CE11C7">
        <w:rPr>
          <w:rFonts w:ascii="Book Antiqua" w:hAnsi="Book Antiqua"/>
        </w:rPr>
        <w:t xml:space="preserve">in fact </w:t>
      </w:r>
      <w:r w:rsidR="001119D6" w:rsidRPr="00CE11C7">
        <w:rPr>
          <w:rFonts w:ascii="Book Antiqua" w:hAnsi="Book Antiqua"/>
        </w:rPr>
        <w:t>only a</w:t>
      </w:r>
      <w:r w:rsidR="00D62029" w:rsidRPr="00CE11C7">
        <w:rPr>
          <w:rFonts w:ascii="Book Antiqua" w:hAnsi="Book Antiqua"/>
        </w:rPr>
        <w:t xml:space="preserve"> </w:t>
      </w:r>
      <w:r w:rsidR="001119D6" w:rsidRPr="00CE11C7">
        <w:rPr>
          <w:rFonts w:ascii="Book Antiqua" w:hAnsi="Book Antiqua"/>
        </w:rPr>
        <w:t>very</w:t>
      </w:r>
      <w:r w:rsidR="00D62029" w:rsidRPr="00CE11C7">
        <w:rPr>
          <w:rFonts w:ascii="Book Antiqua" w:hAnsi="Book Antiqua"/>
        </w:rPr>
        <w:t xml:space="preserve"> </w:t>
      </w:r>
      <w:r w:rsidR="00270A2C" w:rsidRPr="00CE11C7">
        <w:rPr>
          <w:rFonts w:ascii="Book Antiqua" w:hAnsi="Book Antiqua"/>
        </w:rPr>
        <w:t xml:space="preserve">small </w:t>
      </w:r>
      <w:r w:rsidR="001119D6" w:rsidRPr="00CE11C7">
        <w:rPr>
          <w:rFonts w:ascii="Book Antiqua" w:hAnsi="Book Antiqua"/>
        </w:rPr>
        <w:t>proportion</w:t>
      </w:r>
      <w:r w:rsidR="00270A2C" w:rsidRPr="00CE11C7">
        <w:rPr>
          <w:rFonts w:ascii="Book Antiqua" w:hAnsi="Book Antiqua"/>
        </w:rPr>
        <w:t xml:space="preserve"> of rape complaints are false (</w:t>
      </w:r>
      <w:r w:rsidR="00D62029" w:rsidRPr="00CE11C7">
        <w:rPr>
          <w:rFonts w:ascii="Book Antiqua" w:hAnsi="Book Antiqua"/>
        </w:rPr>
        <w:t xml:space="preserve">CPS, 2013; Kelly, 2010; </w:t>
      </w:r>
      <w:r w:rsidR="00270A2C" w:rsidRPr="00CE11C7">
        <w:rPr>
          <w:rFonts w:ascii="Book Antiqua" w:hAnsi="Book Antiqua"/>
        </w:rPr>
        <w:t>Saunders, 2012). The criminal justice system is face</w:t>
      </w:r>
      <w:r w:rsidR="00D62029" w:rsidRPr="00CE11C7">
        <w:rPr>
          <w:rFonts w:ascii="Book Antiqua" w:hAnsi="Book Antiqua"/>
        </w:rPr>
        <w:t>d</w:t>
      </w:r>
      <w:r w:rsidR="00270A2C" w:rsidRPr="00CE11C7">
        <w:rPr>
          <w:rFonts w:ascii="Book Antiqua" w:hAnsi="Book Antiqua"/>
        </w:rPr>
        <w:t xml:space="preserve"> with an unprecedented number of rape cases as more victims come </w:t>
      </w:r>
      <w:r w:rsidR="00270A2C" w:rsidRPr="00CE11C7">
        <w:rPr>
          <w:rFonts w:ascii="Book Antiqua" w:hAnsi="Book Antiqua"/>
        </w:rPr>
        <w:lastRenderedPageBreak/>
        <w:t>forward than ever</w:t>
      </w:r>
      <w:r w:rsidR="00F151C2" w:rsidRPr="00CE11C7">
        <w:rPr>
          <w:rFonts w:ascii="Book Antiqua" w:hAnsi="Book Antiqua"/>
        </w:rPr>
        <w:t xml:space="preserve"> (</w:t>
      </w:r>
      <w:r w:rsidR="00073FDA" w:rsidRPr="00CE11C7">
        <w:rPr>
          <w:rFonts w:ascii="Book Antiqua" w:hAnsi="Book Antiqua"/>
        </w:rPr>
        <w:t>ONS, 2015</w:t>
      </w:r>
      <w:r w:rsidR="00F151C2" w:rsidRPr="00CE11C7">
        <w:rPr>
          <w:rFonts w:ascii="Book Antiqua" w:hAnsi="Book Antiqua"/>
        </w:rPr>
        <w:t>)</w:t>
      </w:r>
      <w:r w:rsidR="00270A2C" w:rsidRPr="00CE11C7">
        <w:rPr>
          <w:rFonts w:ascii="Book Antiqua" w:hAnsi="Book Antiqua"/>
        </w:rPr>
        <w:t xml:space="preserve">. This includes an increasing number of historic child sexual abuse </w:t>
      </w:r>
      <w:r w:rsidR="00747725" w:rsidRPr="00CE11C7">
        <w:rPr>
          <w:rFonts w:ascii="Book Antiqua" w:hAnsi="Book Antiqua"/>
        </w:rPr>
        <w:t xml:space="preserve">cases in which </w:t>
      </w:r>
      <w:r w:rsidR="001119D6" w:rsidRPr="00CE11C7">
        <w:rPr>
          <w:rFonts w:ascii="Book Antiqua" w:hAnsi="Book Antiqua"/>
        </w:rPr>
        <w:t xml:space="preserve">the </w:t>
      </w:r>
      <w:r w:rsidR="00D713CD" w:rsidRPr="00CE11C7">
        <w:rPr>
          <w:rFonts w:ascii="Book Antiqua" w:hAnsi="Book Antiqua"/>
        </w:rPr>
        <w:t xml:space="preserve">problem of </w:t>
      </w:r>
      <w:r w:rsidR="00D62029" w:rsidRPr="00CE11C7">
        <w:rPr>
          <w:rFonts w:ascii="Book Antiqua" w:hAnsi="Book Antiqua"/>
        </w:rPr>
        <w:t xml:space="preserve">memory </w:t>
      </w:r>
      <w:r w:rsidR="00D713CD" w:rsidRPr="00CE11C7">
        <w:rPr>
          <w:rFonts w:ascii="Book Antiqua" w:hAnsi="Book Antiqua"/>
        </w:rPr>
        <w:t xml:space="preserve">as </w:t>
      </w:r>
      <w:r w:rsidR="00D62029" w:rsidRPr="00CE11C7">
        <w:rPr>
          <w:rFonts w:ascii="Book Antiqua" w:hAnsi="Book Antiqua"/>
        </w:rPr>
        <w:t>evidence</w:t>
      </w:r>
      <w:r w:rsidR="001119D6" w:rsidRPr="00CE11C7">
        <w:rPr>
          <w:rFonts w:ascii="Book Antiqua" w:hAnsi="Book Antiqua"/>
        </w:rPr>
        <w:t xml:space="preserve"> </w:t>
      </w:r>
      <w:r w:rsidR="002528AC" w:rsidRPr="00CE11C7">
        <w:rPr>
          <w:rFonts w:ascii="Book Antiqua" w:hAnsi="Book Antiqua"/>
        </w:rPr>
        <w:t>i</w:t>
      </w:r>
      <w:r w:rsidR="001119D6" w:rsidRPr="00CE11C7">
        <w:rPr>
          <w:rFonts w:ascii="Book Antiqua" w:hAnsi="Book Antiqua"/>
        </w:rPr>
        <w:t>s</w:t>
      </w:r>
      <w:r w:rsidR="00D62029" w:rsidRPr="00CE11C7">
        <w:rPr>
          <w:rFonts w:ascii="Book Antiqua" w:hAnsi="Book Antiqua"/>
        </w:rPr>
        <w:t xml:space="preserve"> </w:t>
      </w:r>
      <w:r w:rsidR="00D713CD" w:rsidRPr="00CE11C7">
        <w:rPr>
          <w:rFonts w:ascii="Book Antiqua" w:hAnsi="Book Antiqua"/>
        </w:rPr>
        <w:t xml:space="preserve">powerfully </w:t>
      </w:r>
      <w:r w:rsidR="00D62029" w:rsidRPr="00CE11C7">
        <w:rPr>
          <w:rFonts w:ascii="Book Antiqua" w:hAnsi="Book Antiqua"/>
        </w:rPr>
        <w:t xml:space="preserve">amplified. It is thus </w:t>
      </w:r>
      <w:r w:rsidR="004A4CBA">
        <w:rPr>
          <w:rFonts w:ascii="Book Antiqua" w:hAnsi="Book Antiqua"/>
        </w:rPr>
        <w:t>vitally</w:t>
      </w:r>
      <w:r w:rsidR="004A4CBA" w:rsidRPr="00CE11C7">
        <w:rPr>
          <w:rFonts w:ascii="Book Antiqua" w:hAnsi="Book Antiqua"/>
        </w:rPr>
        <w:t xml:space="preserve"> </w:t>
      </w:r>
      <w:r w:rsidR="00EB6783" w:rsidRPr="00CE11C7">
        <w:rPr>
          <w:rFonts w:ascii="Book Antiqua" w:hAnsi="Book Antiqua"/>
        </w:rPr>
        <w:t xml:space="preserve">important to </w:t>
      </w:r>
      <w:r w:rsidR="0099600F" w:rsidRPr="00CE11C7">
        <w:rPr>
          <w:rFonts w:ascii="Book Antiqua" w:hAnsi="Book Antiqua"/>
        </w:rPr>
        <w:t xml:space="preserve">make </w:t>
      </w:r>
      <w:r w:rsidR="00F547F0" w:rsidRPr="00CE11C7">
        <w:rPr>
          <w:rFonts w:ascii="Book Antiqua" w:hAnsi="Book Antiqua"/>
        </w:rPr>
        <w:t xml:space="preserve">explicit, </w:t>
      </w:r>
      <w:r w:rsidR="00747725" w:rsidRPr="00CE11C7">
        <w:rPr>
          <w:rFonts w:ascii="Book Antiqua" w:hAnsi="Book Antiqua"/>
        </w:rPr>
        <w:t>understand</w:t>
      </w:r>
      <w:r w:rsidR="00EB6783" w:rsidRPr="00CE11C7">
        <w:rPr>
          <w:rFonts w:ascii="Book Antiqua" w:hAnsi="Book Antiqua"/>
        </w:rPr>
        <w:t xml:space="preserve"> </w:t>
      </w:r>
      <w:r w:rsidR="00F547F0" w:rsidRPr="00CE11C7">
        <w:rPr>
          <w:rFonts w:ascii="Book Antiqua" w:hAnsi="Book Antiqua"/>
        </w:rPr>
        <w:t xml:space="preserve">and address </w:t>
      </w:r>
      <w:r w:rsidR="00EB6783" w:rsidRPr="00CE11C7">
        <w:rPr>
          <w:rFonts w:ascii="Book Antiqua" w:hAnsi="Book Antiqua"/>
        </w:rPr>
        <w:t xml:space="preserve">the </w:t>
      </w:r>
      <w:r w:rsidR="001119D6" w:rsidRPr="00CE11C7">
        <w:rPr>
          <w:rFonts w:ascii="Book Antiqua" w:hAnsi="Book Antiqua"/>
        </w:rPr>
        <w:t>issue</w:t>
      </w:r>
      <w:r w:rsidR="00EB6783" w:rsidRPr="00CE11C7">
        <w:rPr>
          <w:rFonts w:ascii="Book Antiqua" w:hAnsi="Book Antiqua"/>
        </w:rPr>
        <w:t xml:space="preserve"> of </w:t>
      </w:r>
      <w:r w:rsidR="004C3D1B" w:rsidRPr="00CE11C7">
        <w:rPr>
          <w:rFonts w:ascii="Book Antiqua" w:hAnsi="Book Antiqua"/>
        </w:rPr>
        <w:t>criminal justice us</w:t>
      </w:r>
      <w:r w:rsidR="00747725" w:rsidRPr="00CE11C7">
        <w:rPr>
          <w:rFonts w:ascii="Book Antiqua" w:hAnsi="Book Antiqua"/>
        </w:rPr>
        <w:t>e</w:t>
      </w:r>
      <w:r w:rsidR="004C3D1B" w:rsidRPr="00CE11C7">
        <w:rPr>
          <w:rFonts w:ascii="Book Antiqua" w:hAnsi="Book Antiqua"/>
        </w:rPr>
        <w:t xml:space="preserve"> of </w:t>
      </w:r>
      <w:r w:rsidR="00EB6783" w:rsidRPr="00CE11C7">
        <w:rPr>
          <w:rFonts w:ascii="Book Antiqua" w:hAnsi="Book Antiqua"/>
        </w:rPr>
        <w:t>memory evidence in rape complaints</w:t>
      </w:r>
      <w:r w:rsidR="00F60AA3" w:rsidRPr="00CE11C7">
        <w:rPr>
          <w:rFonts w:ascii="Book Antiqua" w:hAnsi="Book Antiqua"/>
        </w:rPr>
        <w:t>, and its implication</w:t>
      </w:r>
      <w:r w:rsidR="00BC2393" w:rsidRPr="00CE11C7">
        <w:rPr>
          <w:rFonts w:ascii="Book Antiqua" w:hAnsi="Book Antiqua"/>
        </w:rPr>
        <w:t>s for the outcomes of rape cases</w:t>
      </w:r>
      <w:r w:rsidR="0099600F" w:rsidRPr="00CE11C7">
        <w:rPr>
          <w:rFonts w:ascii="Book Antiqua" w:hAnsi="Book Antiqua"/>
        </w:rPr>
        <w:t>,</w:t>
      </w:r>
      <w:r w:rsidR="00BC2393" w:rsidRPr="00CE11C7">
        <w:rPr>
          <w:rFonts w:ascii="Book Antiqua" w:hAnsi="Book Antiqua"/>
        </w:rPr>
        <w:t xml:space="preserve"> </w:t>
      </w:r>
      <w:r w:rsidR="001119D6" w:rsidRPr="00CE11C7">
        <w:rPr>
          <w:rFonts w:ascii="Book Antiqua" w:hAnsi="Book Antiqua"/>
        </w:rPr>
        <w:t xml:space="preserve">i.e. </w:t>
      </w:r>
      <w:r w:rsidR="00F60AA3" w:rsidRPr="00CE11C7">
        <w:rPr>
          <w:rFonts w:ascii="Book Antiqua" w:hAnsi="Book Antiqua"/>
        </w:rPr>
        <w:t>the attrition problem</w:t>
      </w:r>
      <w:r w:rsidR="00EB6783" w:rsidRPr="00CE11C7">
        <w:rPr>
          <w:rFonts w:ascii="Book Antiqua" w:hAnsi="Book Antiqua"/>
        </w:rPr>
        <w:t xml:space="preserve">. </w:t>
      </w:r>
    </w:p>
    <w:p w14:paraId="6F54346D" w14:textId="77777777" w:rsidR="00015438" w:rsidRPr="00CE11C7" w:rsidRDefault="00015438" w:rsidP="004A4CBA">
      <w:pPr>
        <w:spacing w:line="360" w:lineRule="auto"/>
        <w:ind w:firstLine="567"/>
        <w:jc w:val="both"/>
        <w:rPr>
          <w:rFonts w:ascii="Book Antiqua" w:hAnsi="Book Antiqua"/>
        </w:rPr>
      </w:pPr>
    </w:p>
    <w:p w14:paraId="0ABE75C2" w14:textId="0C2A6D68" w:rsidR="00C57834" w:rsidRPr="00361BCF" w:rsidRDefault="00EB6783" w:rsidP="004A4CBA">
      <w:pPr>
        <w:spacing w:line="360" w:lineRule="auto"/>
        <w:ind w:firstLine="567"/>
        <w:jc w:val="both"/>
        <w:rPr>
          <w:rFonts w:ascii="Book Antiqua" w:hAnsi="Book Antiqua"/>
        </w:rPr>
      </w:pPr>
      <w:r w:rsidRPr="00CE11C7">
        <w:rPr>
          <w:rFonts w:ascii="Book Antiqua" w:hAnsi="Book Antiqua"/>
        </w:rPr>
        <w:t xml:space="preserve">This article </w:t>
      </w:r>
      <w:r w:rsidRPr="007E6D39">
        <w:rPr>
          <w:rFonts w:ascii="Book Antiqua" w:hAnsi="Book Antiqua"/>
        </w:rPr>
        <w:t>make</w:t>
      </w:r>
      <w:r w:rsidR="00042CF5" w:rsidRPr="007E6D39">
        <w:rPr>
          <w:rFonts w:ascii="Book Antiqua" w:hAnsi="Book Antiqua"/>
        </w:rPr>
        <w:t>s</w:t>
      </w:r>
      <w:r w:rsidRPr="007E6D39">
        <w:rPr>
          <w:rFonts w:ascii="Book Antiqua" w:hAnsi="Book Antiqua"/>
        </w:rPr>
        <w:t xml:space="preserve"> a</w:t>
      </w:r>
      <w:r w:rsidR="00AB2BF0" w:rsidRPr="007E6D39">
        <w:rPr>
          <w:rFonts w:ascii="Book Antiqua" w:hAnsi="Book Antiqua"/>
        </w:rPr>
        <w:t xml:space="preserve">n initial </w:t>
      </w:r>
      <w:r w:rsidRPr="007E6D39">
        <w:rPr>
          <w:rFonts w:ascii="Book Antiqua" w:hAnsi="Book Antiqua"/>
        </w:rPr>
        <w:t>step in this direction</w:t>
      </w:r>
      <w:r w:rsidR="00F60AA3" w:rsidRPr="007E6D39">
        <w:rPr>
          <w:rFonts w:ascii="Book Antiqua" w:hAnsi="Book Antiqua"/>
        </w:rPr>
        <w:t xml:space="preserve">. Firstly, by </w:t>
      </w:r>
      <w:r w:rsidR="007C2151" w:rsidRPr="007E6D39">
        <w:rPr>
          <w:rFonts w:ascii="Book Antiqua" w:hAnsi="Book Antiqua"/>
        </w:rPr>
        <w:t xml:space="preserve">bringing </w:t>
      </w:r>
      <w:r w:rsidR="00F60AA3" w:rsidRPr="007E6D39">
        <w:rPr>
          <w:rFonts w:ascii="Book Antiqua" w:hAnsi="Book Antiqua"/>
        </w:rPr>
        <w:t xml:space="preserve">together the </w:t>
      </w:r>
      <w:r w:rsidR="007C2151" w:rsidRPr="007E6D39">
        <w:rPr>
          <w:rFonts w:ascii="Book Antiqua" w:hAnsi="Book Antiqua"/>
        </w:rPr>
        <w:t>domains of</w:t>
      </w:r>
      <w:r w:rsidR="00F60AA3" w:rsidRPr="007E6D39">
        <w:rPr>
          <w:rFonts w:ascii="Book Antiqua" w:hAnsi="Book Antiqua"/>
        </w:rPr>
        <w:t xml:space="preserve"> existing research. At present, research</w:t>
      </w:r>
      <w:r w:rsidR="00BC2393" w:rsidRPr="007E6D39">
        <w:rPr>
          <w:rFonts w:ascii="Book Antiqua" w:hAnsi="Book Antiqua"/>
        </w:rPr>
        <w:t xml:space="preserve"> on human memory</w:t>
      </w:r>
      <w:r w:rsidR="00F60AA3" w:rsidRPr="007E6D39">
        <w:rPr>
          <w:rFonts w:ascii="Book Antiqua" w:hAnsi="Book Antiqua"/>
        </w:rPr>
        <w:t xml:space="preserve"> and criminological research on the </w:t>
      </w:r>
      <w:r w:rsidR="00112449">
        <w:rPr>
          <w:rFonts w:ascii="Book Antiqua" w:hAnsi="Book Antiqua"/>
        </w:rPr>
        <w:t>treatment</w:t>
      </w:r>
      <w:r w:rsidR="00F60AA3" w:rsidRPr="007E6D39">
        <w:rPr>
          <w:rFonts w:ascii="Book Antiqua" w:hAnsi="Book Antiqua"/>
        </w:rPr>
        <w:t xml:space="preserve"> of rape complaints within the criminal justice system ar</w:t>
      </w:r>
      <w:r w:rsidR="00F60AA3" w:rsidRPr="00361BCF">
        <w:rPr>
          <w:rFonts w:ascii="Book Antiqua" w:hAnsi="Book Antiqua"/>
        </w:rPr>
        <w:t xml:space="preserve">e </w:t>
      </w:r>
      <w:r w:rsidR="00BC2393" w:rsidRPr="00361BCF">
        <w:rPr>
          <w:rFonts w:ascii="Book Antiqua" w:hAnsi="Book Antiqua"/>
        </w:rPr>
        <w:t xml:space="preserve">largely </w:t>
      </w:r>
      <w:r w:rsidR="00F60AA3" w:rsidRPr="00361BCF">
        <w:rPr>
          <w:rFonts w:ascii="Book Antiqua" w:hAnsi="Book Antiqua"/>
        </w:rPr>
        <w:t xml:space="preserve">disconnected bodies of literature. The article provides a systematic, albeit brief, </w:t>
      </w:r>
      <w:r w:rsidR="006C2AB6" w:rsidRPr="00361BCF">
        <w:rPr>
          <w:rFonts w:ascii="Book Antiqua" w:hAnsi="Book Antiqua"/>
        </w:rPr>
        <w:t>review</w:t>
      </w:r>
      <w:r w:rsidR="00F60AA3" w:rsidRPr="00361BCF">
        <w:rPr>
          <w:rFonts w:ascii="Book Antiqua" w:hAnsi="Book Antiqua"/>
        </w:rPr>
        <w:t xml:space="preserve"> of both literatures</w:t>
      </w:r>
      <w:r w:rsidR="00D62E7D" w:rsidRPr="00361BCF">
        <w:rPr>
          <w:rFonts w:ascii="Book Antiqua" w:hAnsi="Book Antiqua"/>
        </w:rPr>
        <w:t xml:space="preserve"> – </w:t>
      </w:r>
      <w:r w:rsidR="00F547F0" w:rsidRPr="002B7EDE">
        <w:rPr>
          <w:rFonts w:ascii="Book Antiqua" w:hAnsi="Book Antiqua"/>
          <w:i/>
        </w:rPr>
        <w:t>the modern view of human memory</w:t>
      </w:r>
      <w:r w:rsidR="00D62E7D" w:rsidRPr="00361BCF">
        <w:rPr>
          <w:rFonts w:ascii="Book Antiqua" w:hAnsi="Book Antiqua"/>
        </w:rPr>
        <w:t xml:space="preserve"> and criminal justice conceptions of memory evidence</w:t>
      </w:r>
      <w:r w:rsidR="00F60AA3" w:rsidRPr="00361BCF">
        <w:rPr>
          <w:rFonts w:ascii="Book Antiqua" w:hAnsi="Book Antiqua"/>
        </w:rPr>
        <w:t xml:space="preserve">. </w:t>
      </w:r>
      <w:r w:rsidR="006C2AB6" w:rsidRPr="00361BCF">
        <w:rPr>
          <w:rFonts w:ascii="Book Antiqua" w:hAnsi="Book Antiqua"/>
        </w:rPr>
        <w:t>Secondly, we</w:t>
      </w:r>
      <w:r w:rsidR="00BC2393" w:rsidRPr="00361BCF">
        <w:rPr>
          <w:rFonts w:ascii="Book Antiqua" w:hAnsi="Book Antiqua"/>
        </w:rPr>
        <w:t xml:space="preserve"> develop a conceptual model </w:t>
      </w:r>
      <w:r w:rsidR="00015438" w:rsidRPr="00361BCF">
        <w:rPr>
          <w:rFonts w:ascii="Book Antiqua" w:hAnsi="Book Antiqua"/>
        </w:rPr>
        <w:t xml:space="preserve">of the pathways through which </w:t>
      </w:r>
      <w:r w:rsidR="004C3D1B" w:rsidRPr="00361BCF">
        <w:rPr>
          <w:rFonts w:ascii="Book Antiqua" w:hAnsi="Book Antiqua"/>
        </w:rPr>
        <w:t>typical features of victim memory, such as inconsistencies</w:t>
      </w:r>
      <w:r w:rsidR="00F547F0" w:rsidRPr="00361BCF">
        <w:rPr>
          <w:rFonts w:ascii="Book Antiqua" w:hAnsi="Book Antiqua"/>
        </w:rPr>
        <w:t xml:space="preserve"> in the </w:t>
      </w:r>
      <w:r w:rsidR="004A346C">
        <w:rPr>
          <w:rFonts w:ascii="Book Antiqua" w:hAnsi="Book Antiqua"/>
        </w:rPr>
        <w:t>victim account</w:t>
      </w:r>
      <w:r w:rsidR="004C3D1B" w:rsidRPr="00361BCF">
        <w:rPr>
          <w:rFonts w:ascii="Book Antiqua" w:hAnsi="Book Antiqua"/>
        </w:rPr>
        <w:t>,</w:t>
      </w:r>
      <w:r w:rsidR="006C2AB6" w:rsidRPr="00361BCF">
        <w:rPr>
          <w:rFonts w:ascii="Book Antiqua" w:hAnsi="Book Antiqua"/>
        </w:rPr>
        <w:t xml:space="preserve"> lead to attrition</w:t>
      </w:r>
      <w:r w:rsidR="004C3D1B" w:rsidRPr="00361BCF">
        <w:rPr>
          <w:rFonts w:ascii="Book Antiqua" w:hAnsi="Book Antiqua"/>
        </w:rPr>
        <w:t xml:space="preserve">. </w:t>
      </w:r>
      <w:r w:rsidR="00747725" w:rsidRPr="00361BCF">
        <w:rPr>
          <w:rFonts w:ascii="Book Antiqua" w:hAnsi="Book Antiqua"/>
        </w:rPr>
        <w:t>We put a key hypothesis derived from the conceptual model to the test</w:t>
      </w:r>
      <w:r w:rsidR="00401F75" w:rsidRPr="00361BCF">
        <w:rPr>
          <w:rFonts w:ascii="Book Antiqua" w:hAnsi="Book Antiqua"/>
        </w:rPr>
        <w:t xml:space="preserve"> using</w:t>
      </w:r>
      <w:r w:rsidR="006C2AB6" w:rsidRPr="00361BCF">
        <w:rPr>
          <w:rFonts w:ascii="Book Antiqua" w:hAnsi="Book Antiqua"/>
        </w:rPr>
        <w:t xml:space="preserve"> a</w:t>
      </w:r>
      <w:r w:rsidR="003843CB" w:rsidRPr="00361BCF">
        <w:rPr>
          <w:rFonts w:ascii="Book Antiqua" w:hAnsi="Book Antiqua"/>
        </w:rPr>
        <w:t xml:space="preserve"> </w:t>
      </w:r>
      <w:r w:rsidR="00976E7E" w:rsidRPr="00361BCF">
        <w:rPr>
          <w:rFonts w:ascii="Book Antiqua" w:hAnsi="Book Antiqua"/>
        </w:rPr>
        <w:t>large, representative sample of rape complaints made to t</w:t>
      </w:r>
      <w:r w:rsidR="00687019" w:rsidRPr="00361BCF">
        <w:rPr>
          <w:rFonts w:ascii="Book Antiqua" w:hAnsi="Book Antiqua"/>
        </w:rPr>
        <w:t>he</w:t>
      </w:r>
      <w:r w:rsidR="00976E7E" w:rsidRPr="00361BCF">
        <w:rPr>
          <w:rFonts w:ascii="Book Antiqua" w:hAnsi="Book Antiqua"/>
        </w:rPr>
        <w:t xml:space="preserve"> London</w:t>
      </w:r>
      <w:r w:rsidR="00687019" w:rsidRPr="00361BCF">
        <w:rPr>
          <w:rFonts w:ascii="Book Antiqua" w:hAnsi="Book Antiqua"/>
        </w:rPr>
        <w:t xml:space="preserve"> Metr</w:t>
      </w:r>
      <w:r w:rsidR="007501FF" w:rsidRPr="00361BCF">
        <w:rPr>
          <w:rFonts w:ascii="Book Antiqua" w:hAnsi="Book Antiqua"/>
        </w:rPr>
        <w:t>opolitan Police Service</w:t>
      </w:r>
      <w:r w:rsidR="00976E7E" w:rsidRPr="00361BCF">
        <w:rPr>
          <w:rFonts w:ascii="Book Antiqua" w:hAnsi="Book Antiqua"/>
        </w:rPr>
        <w:t xml:space="preserve"> (MPS)</w:t>
      </w:r>
      <w:r w:rsidR="006C2AB6" w:rsidRPr="00361BCF">
        <w:rPr>
          <w:rFonts w:ascii="Book Antiqua" w:hAnsi="Book Antiqua"/>
        </w:rPr>
        <w:t>.</w:t>
      </w:r>
      <w:r w:rsidR="00401F75" w:rsidRPr="00361BCF">
        <w:rPr>
          <w:rFonts w:ascii="Book Antiqua" w:hAnsi="Book Antiqua"/>
        </w:rPr>
        <w:t xml:space="preserve"> </w:t>
      </w:r>
      <w:r w:rsidR="006C2AB6" w:rsidRPr="00361BCF">
        <w:rPr>
          <w:rFonts w:ascii="Book Antiqua" w:hAnsi="Book Antiqua"/>
        </w:rPr>
        <w:t>The r</w:t>
      </w:r>
      <w:r w:rsidR="00296922" w:rsidRPr="00361BCF">
        <w:rPr>
          <w:rFonts w:ascii="Book Antiqua" w:hAnsi="Book Antiqua"/>
        </w:rPr>
        <w:t>esults provide</w:t>
      </w:r>
      <w:r w:rsidR="00401F75" w:rsidRPr="00361BCF">
        <w:rPr>
          <w:rFonts w:ascii="Book Antiqua" w:hAnsi="Book Antiqua"/>
        </w:rPr>
        <w:t xml:space="preserve"> evidence in support of the</w:t>
      </w:r>
      <w:r w:rsidR="003843CB" w:rsidRPr="00361BCF">
        <w:rPr>
          <w:rFonts w:ascii="Book Antiqua" w:hAnsi="Book Antiqua"/>
        </w:rPr>
        <w:t xml:space="preserve"> hypothesis</w:t>
      </w:r>
      <w:r w:rsidR="00401F75" w:rsidRPr="00361BCF">
        <w:rPr>
          <w:rFonts w:ascii="Book Antiqua" w:hAnsi="Book Antiqua"/>
        </w:rPr>
        <w:t xml:space="preserve"> that inconsistencies in the </w:t>
      </w:r>
      <w:r w:rsidR="004A346C">
        <w:rPr>
          <w:rFonts w:ascii="Book Antiqua" w:hAnsi="Book Antiqua"/>
        </w:rPr>
        <w:t>victim account</w:t>
      </w:r>
      <w:r w:rsidR="00401F75" w:rsidRPr="00361BCF">
        <w:rPr>
          <w:rFonts w:ascii="Book Antiqua" w:hAnsi="Book Antiqua"/>
        </w:rPr>
        <w:t xml:space="preserve"> increase the </w:t>
      </w:r>
      <w:r w:rsidR="00112449">
        <w:rPr>
          <w:rFonts w:ascii="Book Antiqua" w:hAnsi="Book Antiqua"/>
        </w:rPr>
        <w:t>odds</w:t>
      </w:r>
      <w:r w:rsidR="001941C9" w:rsidRPr="00361BCF">
        <w:rPr>
          <w:rFonts w:ascii="Book Antiqua" w:hAnsi="Book Antiqua"/>
        </w:rPr>
        <w:t xml:space="preserve"> </w:t>
      </w:r>
      <w:r w:rsidR="00401F75" w:rsidRPr="00361BCF">
        <w:rPr>
          <w:rFonts w:ascii="Book Antiqua" w:hAnsi="Book Antiqua"/>
        </w:rPr>
        <w:t>of attrition</w:t>
      </w:r>
      <w:r w:rsidR="003843CB" w:rsidRPr="00361BCF">
        <w:rPr>
          <w:rFonts w:ascii="Book Antiqua" w:hAnsi="Book Antiqua"/>
        </w:rPr>
        <w:t xml:space="preserve">. We conclude </w:t>
      </w:r>
      <w:r w:rsidR="00687019" w:rsidRPr="00361BCF">
        <w:rPr>
          <w:rFonts w:ascii="Book Antiqua" w:hAnsi="Book Antiqua"/>
        </w:rPr>
        <w:t xml:space="preserve">with a discussion of </w:t>
      </w:r>
      <w:r w:rsidR="0099600F" w:rsidRPr="00361BCF">
        <w:rPr>
          <w:rFonts w:ascii="Book Antiqua" w:hAnsi="Book Antiqua"/>
        </w:rPr>
        <w:t xml:space="preserve">the </w:t>
      </w:r>
      <w:r w:rsidR="00687019" w:rsidRPr="00361BCF">
        <w:rPr>
          <w:rFonts w:ascii="Book Antiqua" w:hAnsi="Book Antiqua"/>
        </w:rPr>
        <w:t>impli</w:t>
      </w:r>
      <w:r w:rsidR="00CA3B53" w:rsidRPr="00361BCF">
        <w:rPr>
          <w:rFonts w:ascii="Book Antiqua" w:hAnsi="Book Antiqua"/>
        </w:rPr>
        <w:t>cations</w:t>
      </w:r>
      <w:r w:rsidR="00456134" w:rsidRPr="00361BCF">
        <w:rPr>
          <w:rFonts w:ascii="Book Antiqua" w:hAnsi="Book Antiqua"/>
        </w:rPr>
        <w:t xml:space="preserve"> of the findings</w:t>
      </w:r>
      <w:r w:rsidR="00CA3B53" w:rsidRPr="00361BCF">
        <w:rPr>
          <w:rFonts w:ascii="Book Antiqua" w:hAnsi="Book Antiqua"/>
        </w:rPr>
        <w:t xml:space="preserve"> </w:t>
      </w:r>
      <w:r w:rsidR="003B2D77" w:rsidRPr="00361BCF">
        <w:rPr>
          <w:rFonts w:ascii="Book Antiqua" w:hAnsi="Book Antiqua"/>
        </w:rPr>
        <w:t xml:space="preserve">for </w:t>
      </w:r>
      <w:r w:rsidR="00687019" w:rsidRPr="00361BCF">
        <w:rPr>
          <w:rFonts w:ascii="Book Antiqua" w:hAnsi="Book Antiqua"/>
        </w:rPr>
        <w:t>crimin</w:t>
      </w:r>
      <w:r w:rsidR="00276643" w:rsidRPr="00361BCF">
        <w:rPr>
          <w:rFonts w:ascii="Book Antiqua" w:hAnsi="Book Antiqua"/>
        </w:rPr>
        <w:t>al just</w:t>
      </w:r>
      <w:r w:rsidR="000F1E64" w:rsidRPr="00361BCF">
        <w:rPr>
          <w:rFonts w:ascii="Book Antiqua" w:hAnsi="Book Antiqua"/>
        </w:rPr>
        <w:t xml:space="preserve">ice </w:t>
      </w:r>
      <w:r w:rsidR="0099600F" w:rsidRPr="00361BCF">
        <w:rPr>
          <w:rFonts w:ascii="Book Antiqua" w:hAnsi="Book Antiqua"/>
        </w:rPr>
        <w:t>policy</w:t>
      </w:r>
      <w:r w:rsidR="00456134" w:rsidRPr="00361BCF">
        <w:rPr>
          <w:rFonts w:ascii="Book Antiqua" w:hAnsi="Book Antiqua"/>
        </w:rPr>
        <w:t xml:space="preserve"> and</w:t>
      </w:r>
      <w:r w:rsidR="0036266C" w:rsidRPr="00361BCF">
        <w:rPr>
          <w:rFonts w:ascii="Book Antiqua" w:hAnsi="Book Antiqua"/>
        </w:rPr>
        <w:t xml:space="preserve"> questions for</w:t>
      </w:r>
      <w:r w:rsidR="00456134" w:rsidRPr="00361BCF">
        <w:rPr>
          <w:rFonts w:ascii="Book Antiqua" w:hAnsi="Book Antiqua"/>
        </w:rPr>
        <w:t xml:space="preserve"> </w:t>
      </w:r>
      <w:r w:rsidR="004D0A9B" w:rsidRPr="00361BCF">
        <w:rPr>
          <w:rFonts w:ascii="Book Antiqua" w:hAnsi="Book Antiqua"/>
        </w:rPr>
        <w:t>further research</w:t>
      </w:r>
      <w:r w:rsidR="000F1E64" w:rsidRPr="00361BCF">
        <w:rPr>
          <w:rFonts w:ascii="Book Antiqua" w:hAnsi="Book Antiqua"/>
        </w:rPr>
        <w:t xml:space="preserve">. </w:t>
      </w:r>
    </w:p>
    <w:p w14:paraId="0CC9A972" w14:textId="77777777" w:rsidR="003771FE" w:rsidRPr="00361BCF" w:rsidRDefault="003771FE" w:rsidP="004A4CBA">
      <w:pPr>
        <w:autoSpaceDE w:val="0"/>
        <w:autoSpaceDN w:val="0"/>
        <w:adjustRightInd w:val="0"/>
        <w:spacing w:line="360" w:lineRule="auto"/>
        <w:jc w:val="both"/>
        <w:rPr>
          <w:rFonts w:ascii="Book Antiqua" w:hAnsi="Book Antiqua"/>
        </w:rPr>
      </w:pPr>
    </w:p>
    <w:p w14:paraId="189495C3" w14:textId="77777777" w:rsidR="00992354" w:rsidRPr="00361BCF" w:rsidRDefault="0062549E" w:rsidP="004A4CBA">
      <w:pPr>
        <w:spacing w:line="360" w:lineRule="auto"/>
        <w:jc w:val="both"/>
        <w:rPr>
          <w:rFonts w:ascii="Book Antiqua" w:hAnsi="Book Antiqua"/>
          <w:b/>
        </w:rPr>
      </w:pPr>
      <w:r w:rsidRPr="00361BCF">
        <w:rPr>
          <w:rFonts w:ascii="Book Antiqua" w:hAnsi="Book Antiqua"/>
          <w:b/>
        </w:rPr>
        <w:t>The Modern View of Human Memory</w:t>
      </w:r>
    </w:p>
    <w:p w14:paraId="7DF93180" w14:textId="5CA57AF4" w:rsidR="0016406D" w:rsidRPr="00361BCF" w:rsidRDefault="00F323C9"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ab/>
      </w:r>
      <w:r w:rsidR="00513D46" w:rsidRPr="00361BCF">
        <w:rPr>
          <w:rFonts w:ascii="Book Antiqua" w:hAnsi="Book Antiqua"/>
        </w:rPr>
        <w:t xml:space="preserve">According to </w:t>
      </w:r>
      <w:r w:rsidR="00513D46" w:rsidRPr="002B7EDE">
        <w:rPr>
          <w:rFonts w:ascii="Book Antiqua" w:hAnsi="Book Antiqua"/>
          <w:i/>
        </w:rPr>
        <w:t xml:space="preserve">the </w:t>
      </w:r>
      <w:r w:rsidR="00597DD2" w:rsidRPr="002B7EDE">
        <w:rPr>
          <w:rFonts w:ascii="Book Antiqua" w:hAnsi="Book Antiqua"/>
          <w:i/>
        </w:rPr>
        <w:t>modern view</w:t>
      </w:r>
      <w:r w:rsidR="00B13AEE" w:rsidRPr="002B7EDE">
        <w:rPr>
          <w:rFonts w:ascii="Book Antiqua" w:hAnsi="Book Antiqua"/>
          <w:i/>
        </w:rPr>
        <w:t xml:space="preserve"> of human memory</w:t>
      </w:r>
      <w:r w:rsidR="004A4CBA" w:rsidRPr="00CE11C7">
        <w:rPr>
          <w:rStyle w:val="FootnoteReference"/>
          <w:rFonts w:ascii="Book Antiqua" w:hAnsi="Book Antiqua"/>
        </w:rPr>
        <w:footnoteReference w:id="3"/>
      </w:r>
      <w:r w:rsidR="00513D46" w:rsidRPr="007E6D39">
        <w:rPr>
          <w:rFonts w:ascii="Book Antiqua" w:hAnsi="Book Antiqua"/>
        </w:rPr>
        <w:t>,</w:t>
      </w:r>
      <w:r w:rsidR="00597DD2" w:rsidRPr="007E6D39">
        <w:rPr>
          <w:rFonts w:ascii="Book Antiqua" w:hAnsi="Book Antiqua"/>
        </w:rPr>
        <w:t xml:space="preserve"> </w:t>
      </w:r>
      <w:r w:rsidR="00513D46" w:rsidRPr="007E6D39">
        <w:rPr>
          <w:rFonts w:ascii="Book Antiqua" w:hAnsi="Book Antiqua"/>
        </w:rPr>
        <w:t xml:space="preserve">memories </w:t>
      </w:r>
      <w:r w:rsidR="00597DD2" w:rsidRPr="007E6D39">
        <w:rPr>
          <w:rFonts w:ascii="Book Antiqua" w:hAnsi="Book Antiqua"/>
        </w:rPr>
        <w:t>are mental constructions. They contain various types of information, conceptual knowledge, and image</w:t>
      </w:r>
      <w:r w:rsidR="00597DD2" w:rsidRPr="00361BCF">
        <w:rPr>
          <w:rFonts w:ascii="Book Antiqua" w:hAnsi="Book Antiqua"/>
        </w:rPr>
        <w:t xml:space="preserve">ry. </w:t>
      </w:r>
    </w:p>
    <w:p w14:paraId="536D1949" w14:textId="4CF705DA" w:rsidR="00597F1E" w:rsidRPr="00361BCF" w:rsidRDefault="0016406D"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ab/>
        <w:t>Memories represent only short time slices of experience, and because</w:t>
      </w:r>
      <w:r w:rsidR="00BE1B38" w:rsidRPr="00361BCF">
        <w:rPr>
          <w:rFonts w:ascii="Book Antiqua" w:hAnsi="Book Antiqua"/>
        </w:rPr>
        <w:t xml:space="preserve"> they are </w:t>
      </w:r>
      <w:r w:rsidR="00597F1E" w:rsidRPr="00361BCF">
        <w:rPr>
          <w:rFonts w:ascii="Book Antiqua" w:hAnsi="Book Antiqua"/>
        </w:rPr>
        <w:t xml:space="preserve">‘sample’ </w:t>
      </w:r>
      <w:r w:rsidR="00BE1B38" w:rsidRPr="00361BCF">
        <w:rPr>
          <w:rFonts w:ascii="Book Antiqua" w:hAnsi="Book Antiqua"/>
        </w:rPr>
        <w:t>fragments derived fro</w:t>
      </w:r>
      <w:r w:rsidR="004A4CBA">
        <w:rPr>
          <w:rFonts w:ascii="Book Antiqua" w:hAnsi="Book Antiqua"/>
        </w:rPr>
        <w:t>m the experience rather than a (</w:t>
      </w:r>
      <w:r w:rsidR="000E0800" w:rsidRPr="00361BCF">
        <w:rPr>
          <w:rFonts w:ascii="Book Antiqua" w:hAnsi="Book Antiqua"/>
        </w:rPr>
        <w:t>complete and literal)</w:t>
      </w:r>
      <w:r w:rsidR="00BE1B38" w:rsidRPr="00361BCF">
        <w:rPr>
          <w:rFonts w:ascii="Book Antiqua" w:hAnsi="Book Antiqua"/>
        </w:rPr>
        <w:t xml:space="preserve"> </w:t>
      </w:r>
      <w:r w:rsidR="00BE1B38" w:rsidRPr="00361BCF">
        <w:rPr>
          <w:rFonts w:ascii="Book Antiqua" w:hAnsi="Book Antiqua"/>
        </w:rPr>
        <w:lastRenderedPageBreak/>
        <w:t>record of it,</w:t>
      </w:r>
      <w:r w:rsidR="00597F1E" w:rsidRPr="00361BCF">
        <w:rPr>
          <w:rFonts w:ascii="Book Antiqua" w:hAnsi="Book Antiqua"/>
        </w:rPr>
        <w:t xml:space="preserve"> </w:t>
      </w:r>
      <w:r w:rsidRPr="00361BCF">
        <w:rPr>
          <w:rFonts w:ascii="Book Antiqua" w:hAnsi="Book Antiqua"/>
        </w:rPr>
        <w:t>neve</w:t>
      </w:r>
      <w:r w:rsidR="00597F1E" w:rsidRPr="00361BCF">
        <w:rPr>
          <w:rFonts w:ascii="Book Antiqua" w:hAnsi="Book Antiqua"/>
        </w:rPr>
        <w:t>r fully represent an experience</w:t>
      </w:r>
      <w:r w:rsidRPr="00361BCF">
        <w:rPr>
          <w:rFonts w:ascii="Book Antiqua" w:hAnsi="Book Antiqua"/>
        </w:rPr>
        <w:t xml:space="preserve">. Thus all memories are </w:t>
      </w:r>
      <w:r w:rsidRPr="00662059">
        <w:rPr>
          <w:rFonts w:ascii="Book Antiqua" w:hAnsi="Book Antiqua"/>
          <w:i/>
        </w:rPr>
        <w:t>time-compressed</w:t>
      </w:r>
      <w:r w:rsidRPr="00361BCF">
        <w:rPr>
          <w:rFonts w:ascii="Book Antiqua" w:hAnsi="Book Antiqua"/>
        </w:rPr>
        <w:t xml:space="preserve"> relat</w:t>
      </w:r>
      <w:r w:rsidR="000E0800" w:rsidRPr="00361BCF">
        <w:rPr>
          <w:rFonts w:ascii="Book Antiqua" w:hAnsi="Book Antiqua"/>
        </w:rPr>
        <w:t xml:space="preserve">ive to the event they represent </w:t>
      </w:r>
      <w:r w:rsidR="00BB1B14">
        <w:rPr>
          <w:rFonts w:ascii="Book Antiqua" w:hAnsi="Book Antiqua"/>
        </w:rPr>
        <w:t>(</w:t>
      </w:r>
      <w:r w:rsidR="00E36190" w:rsidRPr="00361BCF">
        <w:rPr>
          <w:rFonts w:ascii="Book Antiqua" w:hAnsi="Book Antiqua"/>
        </w:rPr>
        <w:t xml:space="preserve">Conway </w:t>
      </w:r>
      <w:r w:rsidR="00327C15" w:rsidRPr="00361BCF">
        <w:rPr>
          <w:rFonts w:ascii="Book Antiqua" w:hAnsi="Book Antiqua"/>
        </w:rPr>
        <w:t>and</w:t>
      </w:r>
      <w:r w:rsidR="00BB1B14">
        <w:rPr>
          <w:rFonts w:ascii="Book Antiqua" w:hAnsi="Book Antiqua"/>
        </w:rPr>
        <w:t xml:space="preserve"> </w:t>
      </w:r>
      <w:proofErr w:type="spellStart"/>
      <w:r w:rsidR="00BB1B14">
        <w:rPr>
          <w:rFonts w:ascii="Book Antiqua" w:hAnsi="Book Antiqua"/>
        </w:rPr>
        <w:t>Pleydell</w:t>
      </w:r>
      <w:proofErr w:type="spellEnd"/>
      <w:r w:rsidR="00BB1B14">
        <w:rPr>
          <w:rFonts w:ascii="Book Antiqua" w:hAnsi="Book Antiqua"/>
        </w:rPr>
        <w:t xml:space="preserve">-Pearce, </w:t>
      </w:r>
      <w:r w:rsidR="00FB47FA" w:rsidRPr="00361BCF">
        <w:rPr>
          <w:rFonts w:ascii="Book Antiqua" w:hAnsi="Book Antiqua"/>
        </w:rPr>
        <w:t>2000</w:t>
      </w:r>
      <w:r w:rsidRPr="00361BCF">
        <w:rPr>
          <w:rFonts w:ascii="Book Antiqua" w:hAnsi="Book Antiqua"/>
        </w:rPr>
        <w:t>). For example, recalling an event such as a dinner party one attended some months previously takes only a few seconds or minutes although the event itself, the party, may have lasted all evening. Because of time-compression</w:t>
      </w:r>
      <w:r w:rsidR="001C1DA7" w:rsidRPr="00361BCF">
        <w:rPr>
          <w:rFonts w:ascii="Book Antiqua" w:hAnsi="Book Antiqua"/>
        </w:rPr>
        <w:t>,</w:t>
      </w:r>
      <w:r w:rsidRPr="00361BCF">
        <w:rPr>
          <w:rFonts w:ascii="Book Antiqua" w:hAnsi="Book Antiqua"/>
        </w:rPr>
        <w:t xml:space="preserve"> gaps and missing information</w:t>
      </w:r>
      <w:r w:rsidR="00662059">
        <w:rPr>
          <w:rFonts w:ascii="Book Antiqua" w:hAnsi="Book Antiqua"/>
        </w:rPr>
        <w:t>,</w:t>
      </w:r>
      <w:r w:rsidRPr="00361BCF">
        <w:rPr>
          <w:rFonts w:ascii="Book Antiqua" w:hAnsi="Book Antiqua"/>
        </w:rPr>
        <w:t xml:space="preserve"> rather than being unusual</w:t>
      </w:r>
      <w:r w:rsidR="00662059">
        <w:rPr>
          <w:rFonts w:ascii="Book Antiqua" w:hAnsi="Book Antiqua"/>
        </w:rPr>
        <w:t>,</w:t>
      </w:r>
      <w:r w:rsidRPr="00361BCF">
        <w:rPr>
          <w:rFonts w:ascii="Book Antiqua" w:hAnsi="Book Antiqua"/>
        </w:rPr>
        <w:t xml:space="preserve"> </w:t>
      </w:r>
      <w:r w:rsidR="00112449" w:rsidRPr="00361BCF">
        <w:rPr>
          <w:rFonts w:ascii="Book Antiqua" w:hAnsi="Book Antiqua"/>
        </w:rPr>
        <w:t>are fundamental characteristics</w:t>
      </w:r>
      <w:r w:rsidRPr="00361BCF">
        <w:rPr>
          <w:rFonts w:ascii="Book Antiqua" w:hAnsi="Book Antiqua"/>
        </w:rPr>
        <w:t xml:space="preserve"> of human memory.</w:t>
      </w:r>
      <w:r w:rsidR="00597F1E" w:rsidRPr="00361BCF">
        <w:rPr>
          <w:rFonts w:ascii="Book Antiqua" w:hAnsi="Book Antiqua"/>
        </w:rPr>
        <w:t xml:space="preserve"> F</w:t>
      </w:r>
      <w:r w:rsidRPr="00361BCF">
        <w:rPr>
          <w:rFonts w:ascii="Book Antiqua" w:hAnsi="Book Antiqua"/>
        </w:rPr>
        <w:t xml:space="preserve">rom a memory perspective accounts purporting to be of memories that are </w:t>
      </w:r>
      <w:r w:rsidR="00E36190" w:rsidRPr="00361BCF">
        <w:rPr>
          <w:rFonts w:ascii="Book Antiqua" w:hAnsi="Book Antiqua"/>
        </w:rPr>
        <w:t>fluent rather than fragmentary</w:t>
      </w:r>
      <w:r w:rsidRPr="00361BCF">
        <w:rPr>
          <w:rFonts w:ascii="Book Antiqua" w:hAnsi="Book Antiqua"/>
        </w:rPr>
        <w:t xml:space="preserve"> and that contain many specific </w:t>
      </w:r>
      <w:r w:rsidR="00597F1E" w:rsidRPr="00361BCF">
        <w:rPr>
          <w:rFonts w:ascii="Book Antiqua" w:hAnsi="Book Antiqua"/>
        </w:rPr>
        <w:t>or</w:t>
      </w:r>
      <w:r w:rsidRPr="00361BCF">
        <w:rPr>
          <w:rFonts w:ascii="Book Antiqua" w:hAnsi="Book Antiqua"/>
        </w:rPr>
        <w:t xml:space="preserve"> peripheral details most probably are not memories or, at least, not accounts of memories in any straightforward way. </w:t>
      </w:r>
      <w:r w:rsidR="0009333F" w:rsidRPr="00361BCF">
        <w:rPr>
          <w:rFonts w:ascii="Book Antiqua" w:hAnsi="Book Antiqua"/>
        </w:rPr>
        <w:t>Instead</w:t>
      </w:r>
      <w:r w:rsidR="00B65852" w:rsidRPr="00361BCF">
        <w:rPr>
          <w:rFonts w:ascii="Book Antiqua" w:hAnsi="Book Antiqua"/>
        </w:rPr>
        <w:t>,</w:t>
      </w:r>
      <w:r w:rsidR="0009333F" w:rsidRPr="00361BCF">
        <w:rPr>
          <w:rFonts w:ascii="Book Antiqua" w:hAnsi="Book Antiqua"/>
        </w:rPr>
        <w:t xml:space="preserve"> they are over-rehearsed narratives</w:t>
      </w:r>
      <w:r w:rsidR="00B65852" w:rsidRPr="00361BCF">
        <w:rPr>
          <w:rFonts w:ascii="Book Antiqua" w:hAnsi="Book Antiqua"/>
        </w:rPr>
        <w:t>, the core of which may be a memory fragment,</w:t>
      </w:r>
      <w:r w:rsidR="0009333F" w:rsidRPr="00361BCF">
        <w:rPr>
          <w:rFonts w:ascii="Book Antiqua" w:hAnsi="Book Antiqua"/>
        </w:rPr>
        <w:t xml:space="preserve"> to which order and details have been added, often unconsciously, sometimes deliberately, and frequently a mix of both (Conway, 2005).</w:t>
      </w:r>
      <w:r w:rsidR="00597F1E" w:rsidRPr="00361BCF">
        <w:rPr>
          <w:rFonts w:ascii="Book Antiqua" w:hAnsi="Book Antiqua"/>
        </w:rPr>
        <w:t xml:space="preserve"> Furthermore, victims of one-off traumas typically recall only three to five ‘hotspots’ (vivid details) from their ordeal (Holmes et al., 2005) and relatively undetailed memories are thus to be expected.</w:t>
      </w:r>
    </w:p>
    <w:p w14:paraId="46EE4A54" w14:textId="5D0579E3" w:rsidR="0016406D" w:rsidRPr="00361BCF" w:rsidRDefault="0016406D"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Returning to our dinner party example, a</w:t>
      </w:r>
      <w:r w:rsidR="004F39CF" w:rsidRPr="00361BCF">
        <w:rPr>
          <w:rFonts w:ascii="Book Antiqua" w:hAnsi="Book Antiqua"/>
        </w:rPr>
        <w:t xml:space="preserve"> remembered</w:t>
      </w:r>
      <w:r w:rsidRPr="00361BCF">
        <w:rPr>
          <w:rFonts w:ascii="Book Antiqua" w:hAnsi="Book Antiqua"/>
        </w:rPr>
        <w:t xml:space="preserve"> event has a </w:t>
      </w:r>
      <w:r w:rsidRPr="00361BCF">
        <w:rPr>
          <w:rFonts w:ascii="Book Antiqua" w:hAnsi="Book Antiqua"/>
          <w:i/>
        </w:rPr>
        <w:t>retention interval</w:t>
      </w:r>
      <w:r w:rsidR="004F39CF" w:rsidRPr="00361BCF">
        <w:rPr>
          <w:rFonts w:ascii="Book Antiqua" w:hAnsi="Book Antiqua"/>
          <w:i/>
        </w:rPr>
        <w:t>,</w:t>
      </w:r>
      <w:r w:rsidRPr="00361BCF">
        <w:rPr>
          <w:rFonts w:ascii="Book Antiqua" w:hAnsi="Book Antiqua"/>
        </w:rPr>
        <w:t xml:space="preserve"> measured in months in this example, and </w:t>
      </w:r>
      <w:r w:rsidR="00E36190" w:rsidRPr="00361BCF">
        <w:rPr>
          <w:rFonts w:ascii="Book Antiqua" w:hAnsi="Book Antiqua"/>
        </w:rPr>
        <w:t xml:space="preserve">as the </w:t>
      </w:r>
      <w:r w:rsidRPr="00361BCF">
        <w:rPr>
          <w:rFonts w:ascii="Book Antiqua" w:hAnsi="Book Antiqua"/>
        </w:rPr>
        <w:t xml:space="preserve">retention interval </w:t>
      </w:r>
      <w:r w:rsidR="004F39CF" w:rsidRPr="00361BCF">
        <w:rPr>
          <w:rFonts w:ascii="Book Antiqua" w:hAnsi="Book Antiqua"/>
        </w:rPr>
        <w:t xml:space="preserve">lengthens </w:t>
      </w:r>
      <w:r w:rsidRPr="00361BCF">
        <w:rPr>
          <w:rFonts w:ascii="Book Antiqua" w:hAnsi="Book Antiqua"/>
        </w:rPr>
        <w:t xml:space="preserve">memory details </w:t>
      </w:r>
      <w:r w:rsidR="004F39CF" w:rsidRPr="00361BCF">
        <w:rPr>
          <w:rFonts w:ascii="Book Antiqua" w:hAnsi="Book Antiqua"/>
        </w:rPr>
        <w:t>become progressively</w:t>
      </w:r>
      <w:r w:rsidRPr="00361BCF">
        <w:rPr>
          <w:rFonts w:ascii="Book Antiqua" w:hAnsi="Book Antiqua"/>
        </w:rPr>
        <w:t xml:space="preserve"> </w:t>
      </w:r>
      <w:r w:rsidR="004F39CF" w:rsidRPr="00361BCF">
        <w:rPr>
          <w:rFonts w:ascii="Book Antiqua" w:hAnsi="Book Antiqua"/>
        </w:rPr>
        <w:t>in</w:t>
      </w:r>
      <w:r w:rsidRPr="00361BCF">
        <w:rPr>
          <w:rFonts w:ascii="Book Antiqua" w:hAnsi="Book Antiqua"/>
        </w:rPr>
        <w:t>accessible. Perh</w:t>
      </w:r>
      <w:r w:rsidR="000E0800" w:rsidRPr="00361BCF">
        <w:rPr>
          <w:rFonts w:ascii="Book Antiqua" w:hAnsi="Book Antiqua"/>
        </w:rPr>
        <w:t>aps</w:t>
      </w:r>
      <w:r w:rsidRPr="00361BCF">
        <w:rPr>
          <w:rFonts w:ascii="Book Antiqua" w:hAnsi="Book Antiqua"/>
        </w:rPr>
        <w:t xml:space="preserve"> one can no longer remember what one wore to the party or what other guests were wearing. However, and this is the key point, in the memory everyone is clothed. Obviously this is an example, but the same principle applies to all memories: the brain automatically and non-consciously fills in details to frame the remembered fragments. Such details may or may</w:t>
      </w:r>
      <w:r w:rsidR="00334361" w:rsidRPr="00361BCF">
        <w:rPr>
          <w:rFonts w:ascii="Book Antiqua" w:hAnsi="Book Antiqua"/>
        </w:rPr>
        <w:t xml:space="preserve"> not be accurate but they will</w:t>
      </w:r>
      <w:r w:rsidRPr="00361BCF">
        <w:rPr>
          <w:rFonts w:ascii="Book Antiqua" w:hAnsi="Book Antiqua"/>
        </w:rPr>
        <w:t xml:space="preserve"> be plausible</w:t>
      </w:r>
      <w:r w:rsidR="004F39CF" w:rsidRPr="00361BCF">
        <w:rPr>
          <w:rFonts w:ascii="Book Antiqua" w:hAnsi="Book Antiqua"/>
        </w:rPr>
        <w:t>, e.g. that one was clothed at the dinner party even though one can</w:t>
      </w:r>
      <w:r w:rsidR="000E0800" w:rsidRPr="00361BCF">
        <w:rPr>
          <w:rFonts w:ascii="Book Antiqua" w:hAnsi="Book Antiqua"/>
        </w:rPr>
        <w:t>not recall what one was wearing</w:t>
      </w:r>
      <w:r w:rsidRPr="00361BCF">
        <w:rPr>
          <w:rFonts w:ascii="Book Antiqua" w:hAnsi="Book Antiqua"/>
        </w:rPr>
        <w:t>. Thus, just as the visual system working with low quality sensory information is able to build a model of the visible world that we experience as stable, three dimensional, with colours</w:t>
      </w:r>
      <w:r w:rsidR="00112449">
        <w:rPr>
          <w:rFonts w:ascii="Book Antiqua" w:hAnsi="Book Antiqua"/>
        </w:rPr>
        <w:t xml:space="preserve">, depth </w:t>
      </w:r>
      <w:r w:rsidR="004F39CF" w:rsidRPr="00361BCF">
        <w:rPr>
          <w:rFonts w:ascii="Book Antiqua" w:hAnsi="Book Antiqua"/>
        </w:rPr>
        <w:t>etc.</w:t>
      </w:r>
      <w:r w:rsidR="00662059">
        <w:rPr>
          <w:rFonts w:ascii="Book Antiqua" w:hAnsi="Book Antiqua"/>
        </w:rPr>
        <w:t>,</w:t>
      </w:r>
      <w:r w:rsidR="004F39CF" w:rsidRPr="00361BCF">
        <w:rPr>
          <w:rFonts w:ascii="Book Antiqua" w:hAnsi="Book Antiqua"/>
        </w:rPr>
        <w:t xml:space="preserve"> </w:t>
      </w:r>
      <w:r w:rsidRPr="00361BCF">
        <w:rPr>
          <w:rFonts w:ascii="Book Antiqua" w:hAnsi="Book Antiqua"/>
        </w:rPr>
        <w:t xml:space="preserve">so the memory system fills in our memories with plausible </w:t>
      </w:r>
      <w:r w:rsidR="004F39CF" w:rsidRPr="00361BCF">
        <w:rPr>
          <w:rFonts w:ascii="Book Antiqua" w:hAnsi="Book Antiqua"/>
        </w:rPr>
        <w:t>information</w:t>
      </w:r>
      <w:r w:rsidRPr="00361BCF">
        <w:rPr>
          <w:rFonts w:ascii="Book Antiqua" w:hAnsi="Book Antiqua"/>
        </w:rPr>
        <w:t>. Just as the brain makes up the present, it also makes up the past (</w:t>
      </w:r>
      <w:r w:rsidR="004F39CF" w:rsidRPr="00361BCF">
        <w:rPr>
          <w:rFonts w:ascii="Book Antiqua" w:hAnsi="Book Antiqua"/>
        </w:rPr>
        <w:t>Conway</w:t>
      </w:r>
      <w:r w:rsidR="00E36190" w:rsidRPr="00361BCF">
        <w:rPr>
          <w:rFonts w:ascii="Book Antiqua" w:hAnsi="Book Antiqua"/>
        </w:rPr>
        <w:t>,</w:t>
      </w:r>
      <w:r w:rsidR="0037792F" w:rsidRPr="00361BCF">
        <w:rPr>
          <w:rFonts w:ascii="Book Antiqua" w:hAnsi="Book Antiqua"/>
        </w:rPr>
        <w:t xml:space="preserve"> 2005; </w:t>
      </w:r>
      <w:proofErr w:type="spellStart"/>
      <w:r w:rsidR="0037792F" w:rsidRPr="00361BCF">
        <w:rPr>
          <w:rFonts w:ascii="Book Antiqua" w:hAnsi="Book Antiqua"/>
        </w:rPr>
        <w:t>Schacter</w:t>
      </w:r>
      <w:proofErr w:type="spellEnd"/>
      <w:r w:rsidR="0037792F" w:rsidRPr="00361BCF">
        <w:rPr>
          <w:rFonts w:ascii="Book Antiqua" w:hAnsi="Book Antiqua"/>
        </w:rPr>
        <w:t xml:space="preserve"> et al., 2012</w:t>
      </w:r>
      <w:r w:rsidRPr="00361BCF">
        <w:rPr>
          <w:rFonts w:ascii="Book Antiqua" w:hAnsi="Book Antiqua"/>
        </w:rPr>
        <w:t>).</w:t>
      </w:r>
    </w:p>
    <w:p w14:paraId="5F76D83C" w14:textId="4A255FFF" w:rsidR="00F75487" w:rsidRPr="00361BCF" w:rsidRDefault="0016406D"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ab/>
      </w:r>
      <w:r w:rsidR="00597DD2" w:rsidRPr="00361BCF">
        <w:rPr>
          <w:rFonts w:ascii="Book Antiqua" w:hAnsi="Book Antiqua"/>
        </w:rPr>
        <w:t xml:space="preserve">Because of this complexity in the brain, memories are particularly prone to the deleterious effects of brain damage, psychological illnesses, pharmacological </w:t>
      </w:r>
      <w:r w:rsidR="00597DD2" w:rsidRPr="00361BCF">
        <w:rPr>
          <w:rFonts w:ascii="Book Antiqua" w:hAnsi="Book Antiqua"/>
        </w:rPr>
        <w:lastRenderedPageBreak/>
        <w:t>interventions, alcohol and other recreational drugs</w:t>
      </w:r>
      <w:r w:rsidR="008F4C9F" w:rsidRPr="00361BCF">
        <w:rPr>
          <w:rFonts w:ascii="Book Antiqua" w:hAnsi="Book Antiqua"/>
        </w:rPr>
        <w:t>. The</w:t>
      </w:r>
      <w:r w:rsidR="00597DD2" w:rsidRPr="00361BCF">
        <w:rPr>
          <w:rFonts w:ascii="Book Antiqua" w:hAnsi="Book Antiqua"/>
        </w:rPr>
        <w:t xml:space="preserve"> effects</w:t>
      </w:r>
      <w:r w:rsidR="008F4C9F" w:rsidRPr="00361BCF">
        <w:rPr>
          <w:rFonts w:ascii="Book Antiqua" w:hAnsi="Book Antiqua"/>
        </w:rPr>
        <w:t xml:space="preserve"> </w:t>
      </w:r>
      <w:r w:rsidR="00597DD2" w:rsidRPr="00361BCF">
        <w:rPr>
          <w:rFonts w:ascii="Book Antiqua" w:hAnsi="Book Antiqua"/>
        </w:rPr>
        <w:t xml:space="preserve">are always disruptive, sometimes extremely so, </w:t>
      </w:r>
      <w:r w:rsidR="00266890" w:rsidRPr="00361BCF">
        <w:rPr>
          <w:rFonts w:ascii="Book Antiqua" w:hAnsi="Book Antiqua"/>
        </w:rPr>
        <w:t xml:space="preserve">and </w:t>
      </w:r>
      <w:r w:rsidR="00597DD2" w:rsidRPr="00361BCF">
        <w:rPr>
          <w:rFonts w:ascii="Book Antiqua" w:hAnsi="Book Antiqua"/>
        </w:rPr>
        <w:t xml:space="preserve">can lead to amnesia, memory errors, false memories, déjà </w:t>
      </w:r>
      <w:r w:rsidR="000E0800" w:rsidRPr="00361BCF">
        <w:rPr>
          <w:rFonts w:ascii="Book Antiqua" w:hAnsi="Book Antiqua"/>
        </w:rPr>
        <w:t xml:space="preserve">vu </w:t>
      </w:r>
      <w:r w:rsidR="00597DD2" w:rsidRPr="00361BCF">
        <w:rPr>
          <w:rFonts w:ascii="Book Antiqua" w:hAnsi="Book Antiqua"/>
        </w:rPr>
        <w:t>states, delusions and hallucinations</w:t>
      </w:r>
      <w:r w:rsidR="003771FE" w:rsidRPr="00361BCF">
        <w:rPr>
          <w:rFonts w:ascii="Book Antiqua" w:hAnsi="Book Antiqua"/>
        </w:rPr>
        <w:t xml:space="preserve"> (</w:t>
      </w:r>
      <w:r w:rsidR="009966BA" w:rsidRPr="00361BCF">
        <w:rPr>
          <w:rFonts w:ascii="Book Antiqua" w:hAnsi="Book Antiqua"/>
        </w:rPr>
        <w:t>Conway, 2005</w:t>
      </w:r>
      <w:r w:rsidR="003771FE" w:rsidRPr="00361BCF">
        <w:rPr>
          <w:rFonts w:ascii="Book Antiqua" w:hAnsi="Book Antiqua"/>
        </w:rPr>
        <w:t>)</w:t>
      </w:r>
      <w:r w:rsidR="003640DA" w:rsidRPr="00361BCF">
        <w:rPr>
          <w:rFonts w:ascii="Book Antiqua" w:hAnsi="Book Antiqua"/>
        </w:rPr>
        <w:t>.</w:t>
      </w:r>
      <w:r w:rsidR="008F4C9F" w:rsidRPr="00361BCF">
        <w:rPr>
          <w:rFonts w:ascii="Book Antiqua" w:hAnsi="Book Antiqua"/>
        </w:rPr>
        <w:t xml:space="preserve"> This is particularly relevant</w:t>
      </w:r>
      <w:r w:rsidR="00790484" w:rsidRPr="00361BCF">
        <w:rPr>
          <w:rFonts w:ascii="Book Antiqua" w:hAnsi="Book Antiqua"/>
        </w:rPr>
        <w:t xml:space="preserve"> in this context</w:t>
      </w:r>
      <w:r w:rsidR="008F4C9F" w:rsidRPr="00361BCF">
        <w:rPr>
          <w:rFonts w:ascii="Book Antiqua" w:hAnsi="Book Antiqua"/>
        </w:rPr>
        <w:t xml:space="preserve"> </w:t>
      </w:r>
      <w:r w:rsidR="00492584" w:rsidRPr="00361BCF">
        <w:rPr>
          <w:rFonts w:ascii="Book Antiqua" w:hAnsi="Book Antiqua"/>
        </w:rPr>
        <w:t>as</w:t>
      </w:r>
      <w:r w:rsidR="008F4C9F" w:rsidRPr="00361BCF">
        <w:rPr>
          <w:rFonts w:ascii="Book Antiqua" w:hAnsi="Book Antiqua"/>
        </w:rPr>
        <w:t xml:space="preserve"> around </w:t>
      </w:r>
      <w:r w:rsidR="00492584" w:rsidRPr="00361BCF">
        <w:rPr>
          <w:rFonts w:ascii="Book Antiqua" w:hAnsi="Book Antiqua"/>
        </w:rPr>
        <w:t xml:space="preserve">one </w:t>
      </w:r>
      <w:r w:rsidR="008F4C9F" w:rsidRPr="00361BCF">
        <w:rPr>
          <w:rFonts w:ascii="Book Antiqua" w:hAnsi="Book Antiqua"/>
        </w:rPr>
        <w:t xml:space="preserve">third of </w:t>
      </w:r>
      <w:r w:rsidR="00334361" w:rsidRPr="00361BCF">
        <w:rPr>
          <w:rFonts w:ascii="Book Antiqua" w:hAnsi="Book Antiqua"/>
        </w:rPr>
        <w:t xml:space="preserve">rape </w:t>
      </w:r>
      <w:r w:rsidR="008F4C9F" w:rsidRPr="00361BCF">
        <w:rPr>
          <w:rFonts w:ascii="Book Antiqua" w:hAnsi="Book Antiqua"/>
        </w:rPr>
        <w:t>victims</w:t>
      </w:r>
      <w:r w:rsidR="00B46909" w:rsidRPr="00361BCF">
        <w:rPr>
          <w:rFonts w:ascii="Book Antiqua" w:hAnsi="Book Antiqua"/>
        </w:rPr>
        <w:t xml:space="preserve"> </w:t>
      </w:r>
      <w:proofErr w:type="gramStart"/>
      <w:r w:rsidR="00B46909" w:rsidRPr="00361BCF">
        <w:rPr>
          <w:rFonts w:ascii="Book Antiqua" w:hAnsi="Book Antiqua"/>
        </w:rPr>
        <w:t>are believed to be</w:t>
      </w:r>
      <w:r w:rsidR="008F4C9F" w:rsidRPr="00361BCF">
        <w:rPr>
          <w:rFonts w:ascii="Book Antiqua" w:hAnsi="Book Antiqua"/>
        </w:rPr>
        <w:t xml:space="preserve"> </w:t>
      </w:r>
      <w:r w:rsidR="00F323C9" w:rsidRPr="00361BCF">
        <w:rPr>
          <w:rFonts w:ascii="Book Antiqua" w:hAnsi="Book Antiqua"/>
        </w:rPr>
        <w:t>intoxicated</w:t>
      </w:r>
      <w:proofErr w:type="gramEnd"/>
      <w:r w:rsidR="00F323C9" w:rsidRPr="00361BCF">
        <w:rPr>
          <w:rFonts w:ascii="Book Antiqua" w:hAnsi="Book Antiqua"/>
        </w:rPr>
        <w:t xml:space="preserve"> </w:t>
      </w:r>
      <w:r w:rsidR="00D46423" w:rsidRPr="00361BCF">
        <w:rPr>
          <w:rFonts w:ascii="Book Antiqua" w:hAnsi="Book Antiqua"/>
        </w:rPr>
        <w:t xml:space="preserve">when </w:t>
      </w:r>
      <w:r w:rsidR="008F4C9F" w:rsidRPr="00361BCF">
        <w:rPr>
          <w:rFonts w:ascii="Book Antiqua" w:hAnsi="Book Antiqua"/>
        </w:rPr>
        <w:t>assault</w:t>
      </w:r>
      <w:r w:rsidR="00D46423" w:rsidRPr="00361BCF">
        <w:rPr>
          <w:rFonts w:ascii="Book Antiqua" w:hAnsi="Book Antiqua"/>
        </w:rPr>
        <w:t>ed</w:t>
      </w:r>
      <w:r w:rsidR="008F4C9F" w:rsidRPr="00361BCF">
        <w:rPr>
          <w:rFonts w:ascii="Book Antiqua" w:hAnsi="Book Antiqua"/>
        </w:rPr>
        <w:t xml:space="preserve"> (Kel</w:t>
      </w:r>
      <w:r w:rsidR="00D46423" w:rsidRPr="00361BCF">
        <w:rPr>
          <w:rFonts w:ascii="Book Antiqua" w:hAnsi="Book Antiqua"/>
        </w:rPr>
        <w:t>ly, 2</w:t>
      </w:r>
      <w:r w:rsidR="00A037F4" w:rsidRPr="00361BCF">
        <w:rPr>
          <w:rFonts w:ascii="Book Antiqua" w:hAnsi="Book Antiqua"/>
        </w:rPr>
        <w:t>0</w:t>
      </w:r>
      <w:r w:rsidR="00214A7A">
        <w:rPr>
          <w:rFonts w:ascii="Book Antiqua" w:hAnsi="Book Antiqua"/>
        </w:rPr>
        <w:t xml:space="preserve">05; Hohl and </w:t>
      </w:r>
      <w:proofErr w:type="spellStart"/>
      <w:r w:rsidR="00214A7A">
        <w:rPr>
          <w:rFonts w:ascii="Book Antiqua" w:hAnsi="Book Antiqua"/>
        </w:rPr>
        <w:t>Stanko</w:t>
      </w:r>
      <w:proofErr w:type="spellEnd"/>
      <w:r w:rsidR="00214A7A">
        <w:rPr>
          <w:rFonts w:ascii="Book Antiqua" w:hAnsi="Book Antiqua"/>
        </w:rPr>
        <w:t xml:space="preserve">, 2015). </w:t>
      </w:r>
      <w:r w:rsidR="00F75487" w:rsidRPr="00361BCF">
        <w:rPr>
          <w:rFonts w:ascii="Book Antiqua" w:hAnsi="Book Antiqua"/>
        </w:rPr>
        <w:t>Similarly,</w:t>
      </w:r>
      <w:r w:rsidRPr="00361BCF">
        <w:rPr>
          <w:rFonts w:ascii="Book Antiqua" w:hAnsi="Book Antiqua"/>
        </w:rPr>
        <w:t xml:space="preserve"> i</w:t>
      </w:r>
      <w:r w:rsidR="0013681A" w:rsidRPr="00361BCF">
        <w:rPr>
          <w:rFonts w:ascii="Book Antiqua" w:hAnsi="Book Antiqua"/>
        </w:rPr>
        <w:t>n extreme cases</w:t>
      </w:r>
      <w:r w:rsidR="00D46423" w:rsidRPr="00361BCF">
        <w:rPr>
          <w:rFonts w:ascii="Book Antiqua" w:hAnsi="Book Antiqua"/>
        </w:rPr>
        <w:t xml:space="preserve"> of negative emotio</w:t>
      </w:r>
      <w:r w:rsidR="00334361" w:rsidRPr="00361BCF">
        <w:rPr>
          <w:rFonts w:ascii="Book Antiqua" w:hAnsi="Book Antiqua"/>
        </w:rPr>
        <w:t>ns, such as</w:t>
      </w:r>
      <w:r w:rsidR="00D46423" w:rsidRPr="00361BCF">
        <w:rPr>
          <w:rFonts w:ascii="Book Antiqua" w:hAnsi="Book Antiqua"/>
        </w:rPr>
        <w:t xml:space="preserve"> rape trauma</w:t>
      </w:r>
      <w:r w:rsidR="0013681A" w:rsidRPr="00361BCF">
        <w:rPr>
          <w:rFonts w:ascii="Book Antiqua" w:hAnsi="Book Antiqua"/>
        </w:rPr>
        <w:t xml:space="preserve">, memories may be impaired </w:t>
      </w:r>
      <w:r w:rsidR="001847F4" w:rsidRPr="00361BCF">
        <w:rPr>
          <w:rFonts w:ascii="Book Antiqua" w:hAnsi="Book Antiqua"/>
        </w:rPr>
        <w:t xml:space="preserve">with </w:t>
      </w:r>
      <w:r w:rsidR="0013681A" w:rsidRPr="00361BCF">
        <w:rPr>
          <w:rFonts w:ascii="Book Antiqua" w:hAnsi="Book Antiqua"/>
        </w:rPr>
        <w:t>amne</w:t>
      </w:r>
      <w:r w:rsidR="00F75487" w:rsidRPr="00361BCF">
        <w:rPr>
          <w:rFonts w:ascii="Book Antiqua" w:hAnsi="Book Antiqua"/>
        </w:rPr>
        <w:t>sia or amnesic gaps, distorted and</w:t>
      </w:r>
      <w:r w:rsidR="0013681A" w:rsidRPr="00361BCF">
        <w:rPr>
          <w:rFonts w:ascii="Book Antiqua" w:hAnsi="Book Antiqua"/>
        </w:rPr>
        <w:t xml:space="preserve"> contain false details</w:t>
      </w:r>
      <w:r w:rsidR="00A01B12" w:rsidRPr="00361BCF">
        <w:rPr>
          <w:rFonts w:ascii="Book Antiqua" w:hAnsi="Book Antiqua"/>
        </w:rPr>
        <w:t xml:space="preserve"> along </w:t>
      </w:r>
      <w:r w:rsidR="0013681A" w:rsidRPr="00361BCF">
        <w:rPr>
          <w:rFonts w:ascii="Book Antiqua" w:hAnsi="Book Antiqua"/>
        </w:rPr>
        <w:t>with vivid intrusive details</w:t>
      </w:r>
      <w:r w:rsidR="00A01B12" w:rsidRPr="00361BCF">
        <w:rPr>
          <w:rFonts w:ascii="Book Antiqua" w:hAnsi="Book Antiqua"/>
        </w:rPr>
        <w:t xml:space="preserve"> (Conway, </w:t>
      </w:r>
      <w:proofErr w:type="spellStart"/>
      <w:r w:rsidR="00E75457" w:rsidRPr="00361BCF">
        <w:rPr>
          <w:rFonts w:ascii="Book Antiqua" w:hAnsi="Book Antiqua"/>
        </w:rPr>
        <w:t>M</w:t>
      </w:r>
      <w:r w:rsidR="00A01B12" w:rsidRPr="00361BCF">
        <w:rPr>
          <w:rFonts w:ascii="Book Antiqua" w:hAnsi="Book Antiqua"/>
        </w:rPr>
        <w:t>eares</w:t>
      </w:r>
      <w:proofErr w:type="spellEnd"/>
      <w:r w:rsidR="00E75457" w:rsidRPr="00361BCF">
        <w:rPr>
          <w:rFonts w:ascii="Book Antiqua" w:hAnsi="Book Antiqua"/>
        </w:rPr>
        <w:t xml:space="preserve"> and </w:t>
      </w:r>
      <w:proofErr w:type="spellStart"/>
      <w:r w:rsidR="00A01B12" w:rsidRPr="00361BCF">
        <w:rPr>
          <w:rFonts w:ascii="Book Antiqua" w:hAnsi="Book Antiqua"/>
        </w:rPr>
        <w:t>Standart</w:t>
      </w:r>
      <w:proofErr w:type="spellEnd"/>
      <w:r w:rsidR="00327C15" w:rsidRPr="00361BCF">
        <w:rPr>
          <w:rFonts w:ascii="Book Antiqua" w:hAnsi="Book Antiqua"/>
        </w:rPr>
        <w:t>,</w:t>
      </w:r>
      <w:r w:rsidR="00A01B12" w:rsidRPr="00361BCF">
        <w:rPr>
          <w:rFonts w:ascii="Book Antiqua" w:hAnsi="Book Antiqua"/>
        </w:rPr>
        <w:t xml:space="preserve"> 2004; </w:t>
      </w:r>
      <w:r w:rsidR="00F16CBD" w:rsidRPr="00361BCF">
        <w:rPr>
          <w:rFonts w:ascii="Book Antiqua" w:hAnsi="Book Antiqua"/>
        </w:rPr>
        <w:t>Holmes, Grey, and Yo</w:t>
      </w:r>
      <w:r w:rsidR="005A6AF4" w:rsidRPr="00361BCF">
        <w:rPr>
          <w:rFonts w:ascii="Book Antiqua" w:hAnsi="Book Antiqua"/>
        </w:rPr>
        <w:t>ung</w:t>
      </w:r>
      <w:r w:rsidR="00327C15" w:rsidRPr="00361BCF">
        <w:rPr>
          <w:rFonts w:ascii="Book Antiqua" w:hAnsi="Book Antiqua"/>
        </w:rPr>
        <w:t>,</w:t>
      </w:r>
      <w:r w:rsidR="005A6AF4" w:rsidRPr="00361BCF">
        <w:rPr>
          <w:rFonts w:ascii="Book Antiqua" w:hAnsi="Book Antiqua"/>
        </w:rPr>
        <w:t xml:space="preserve"> 2005; </w:t>
      </w:r>
      <w:r w:rsidR="00A01B12" w:rsidRPr="00361BCF">
        <w:rPr>
          <w:rFonts w:ascii="Book Antiqua" w:hAnsi="Book Antiqua"/>
        </w:rPr>
        <w:t>McNally</w:t>
      </w:r>
      <w:r w:rsidR="00327C15" w:rsidRPr="00361BCF">
        <w:rPr>
          <w:rFonts w:ascii="Book Antiqua" w:hAnsi="Book Antiqua"/>
        </w:rPr>
        <w:t>,</w:t>
      </w:r>
      <w:r w:rsidR="00A01B12" w:rsidRPr="00361BCF">
        <w:rPr>
          <w:rFonts w:ascii="Book Antiqua" w:hAnsi="Book Antiqua"/>
        </w:rPr>
        <w:t xml:space="preserve"> 200</w:t>
      </w:r>
      <w:r w:rsidR="005A6AF4" w:rsidRPr="00361BCF">
        <w:rPr>
          <w:rFonts w:ascii="Book Antiqua" w:hAnsi="Book Antiqua"/>
        </w:rPr>
        <w:t>3</w:t>
      </w:r>
      <w:r w:rsidR="00A01B12" w:rsidRPr="00361BCF">
        <w:rPr>
          <w:rFonts w:ascii="Book Antiqua" w:hAnsi="Book Antiqua"/>
        </w:rPr>
        <w:t>; Tromp et al.</w:t>
      </w:r>
      <w:r w:rsidR="00327C15" w:rsidRPr="00361BCF">
        <w:rPr>
          <w:rFonts w:ascii="Book Antiqua" w:hAnsi="Book Antiqua"/>
        </w:rPr>
        <w:t>,</w:t>
      </w:r>
      <w:r w:rsidR="00A01B12" w:rsidRPr="00361BCF">
        <w:rPr>
          <w:rFonts w:ascii="Book Antiqua" w:hAnsi="Book Antiqua"/>
        </w:rPr>
        <w:t xml:space="preserve"> 199</w:t>
      </w:r>
      <w:r w:rsidR="0093155F" w:rsidRPr="00361BCF">
        <w:rPr>
          <w:rFonts w:ascii="Book Antiqua" w:hAnsi="Book Antiqua"/>
        </w:rPr>
        <w:t>5</w:t>
      </w:r>
      <w:r w:rsidR="00A01B12" w:rsidRPr="00361BCF">
        <w:rPr>
          <w:rFonts w:ascii="Book Antiqua" w:hAnsi="Book Antiqua"/>
        </w:rPr>
        <w:t>).</w:t>
      </w:r>
      <w:r w:rsidR="00E75457" w:rsidRPr="00361BCF">
        <w:rPr>
          <w:rFonts w:ascii="Book Antiqua" w:hAnsi="Book Antiqua"/>
        </w:rPr>
        <w:t xml:space="preserve"> </w:t>
      </w:r>
    </w:p>
    <w:p w14:paraId="7EF0EDCC" w14:textId="42B707C6" w:rsidR="00597F1E" w:rsidRPr="00361BCF" w:rsidRDefault="00597F1E"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Memories often contain information that is non-consciously inferred by the brain, and sometimes consciously inferred, such as dates. Because of their constructed nature memories are prone to error, distortion, confabulation and even wholly false memories may at times arise. As a general rule, the more specific and detailed a memory the greater the possibility of error. This is especially the case when a rememberer is pressurized to be more specific, for example by repeated questions, implicit demands or recognition methods as they are often used during police interviews. Such techniques are likely to increase memory errors (British Psychological Society, 2008/10). The </w:t>
      </w:r>
      <w:proofErr w:type="spellStart"/>
      <w:r w:rsidRPr="00361BCF">
        <w:rPr>
          <w:rFonts w:ascii="Book Antiqua" w:hAnsi="Book Antiqua"/>
        </w:rPr>
        <w:t>rememberer</w:t>
      </w:r>
      <w:r w:rsidR="007D27AD">
        <w:rPr>
          <w:rFonts w:ascii="Book Antiqua" w:hAnsi="Book Antiqua"/>
        </w:rPr>
        <w:t>’</w:t>
      </w:r>
      <w:r w:rsidRPr="00361BCF">
        <w:rPr>
          <w:rFonts w:ascii="Book Antiqua" w:hAnsi="Book Antiqua"/>
        </w:rPr>
        <w:t>s</w:t>
      </w:r>
      <w:proofErr w:type="spellEnd"/>
      <w:r w:rsidRPr="00361BCF">
        <w:rPr>
          <w:rFonts w:ascii="Book Antiqua" w:hAnsi="Book Antiqua"/>
        </w:rPr>
        <w:t xml:space="preserve"> confidence in the accuracy of such recalled detail is of little help here. Research has found that participants who are highly confident </w:t>
      </w:r>
      <w:r w:rsidR="000E0800" w:rsidRPr="00361BCF">
        <w:rPr>
          <w:rFonts w:ascii="Book Antiqua" w:hAnsi="Book Antiqua"/>
        </w:rPr>
        <w:t xml:space="preserve">that </w:t>
      </w:r>
      <w:r w:rsidRPr="00361BCF">
        <w:rPr>
          <w:rFonts w:ascii="Book Antiqua" w:hAnsi="Book Antiqua"/>
        </w:rPr>
        <w:t>they have recalled a particular piece of information accurately can in fact be incorrect</w:t>
      </w:r>
      <w:r w:rsidR="00214A7A">
        <w:rPr>
          <w:rFonts w:ascii="Book Antiqua" w:hAnsi="Book Antiqua"/>
        </w:rPr>
        <w:t>;</w:t>
      </w:r>
      <w:r w:rsidRPr="00361BCF">
        <w:rPr>
          <w:rFonts w:ascii="Book Antiqua" w:hAnsi="Book Antiqua"/>
        </w:rPr>
        <w:t xml:space="preserve"> there is no simple relation between confidence and accuracy (see </w:t>
      </w:r>
      <w:proofErr w:type="spellStart"/>
      <w:r w:rsidRPr="00361BCF">
        <w:rPr>
          <w:rFonts w:ascii="Book Antiqua" w:hAnsi="Book Antiqua"/>
        </w:rPr>
        <w:t>Roediger</w:t>
      </w:r>
      <w:proofErr w:type="spellEnd"/>
      <w:r w:rsidRPr="00361BCF">
        <w:rPr>
          <w:rFonts w:ascii="Book Antiqua" w:hAnsi="Book Antiqua"/>
        </w:rPr>
        <w:t xml:space="preserve">, </w:t>
      </w:r>
      <w:proofErr w:type="spellStart"/>
      <w:r w:rsidRPr="00361BCF">
        <w:rPr>
          <w:rFonts w:ascii="Book Antiqua" w:hAnsi="Book Antiqua"/>
        </w:rPr>
        <w:t>Wixted</w:t>
      </w:r>
      <w:proofErr w:type="spellEnd"/>
      <w:r w:rsidRPr="00361BCF">
        <w:rPr>
          <w:rFonts w:ascii="Book Antiqua" w:hAnsi="Book Antiqua"/>
        </w:rPr>
        <w:t xml:space="preserve"> and </w:t>
      </w:r>
      <w:proofErr w:type="spellStart"/>
      <w:r w:rsidRPr="00361BCF">
        <w:rPr>
          <w:rFonts w:ascii="Book Antiqua" w:hAnsi="Book Antiqua"/>
        </w:rPr>
        <w:t>DeSoto</w:t>
      </w:r>
      <w:proofErr w:type="spellEnd"/>
      <w:r w:rsidRPr="00361BCF">
        <w:rPr>
          <w:rFonts w:ascii="Book Antiqua" w:hAnsi="Book Antiqua"/>
        </w:rPr>
        <w:t xml:space="preserve">, 2012). </w:t>
      </w:r>
    </w:p>
    <w:p w14:paraId="0B907959" w14:textId="28E2A717" w:rsidR="0016406D" w:rsidRPr="00361BCF" w:rsidRDefault="00873FA5" w:rsidP="004A4CBA">
      <w:pPr>
        <w:widowControl w:val="0"/>
        <w:tabs>
          <w:tab w:val="left" w:pos="0"/>
        </w:tabs>
        <w:autoSpaceDE w:val="0"/>
        <w:autoSpaceDN w:val="0"/>
        <w:adjustRightInd w:val="0"/>
        <w:spacing w:line="360" w:lineRule="auto"/>
        <w:ind w:firstLine="567"/>
        <w:jc w:val="both"/>
        <w:rPr>
          <w:rFonts w:ascii="Book Antiqua" w:hAnsi="Book Antiqua"/>
          <w:lang w:eastAsia="ja-JP"/>
        </w:rPr>
      </w:pPr>
      <w:r w:rsidRPr="00361BCF">
        <w:rPr>
          <w:rFonts w:ascii="Book Antiqua" w:hAnsi="Book Antiqua"/>
          <w:lang w:eastAsia="ja-JP"/>
        </w:rPr>
        <w:tab/>
      </w:r>
      <w:r w:rsidR="0068471C" w:rsidRPr="00361BCF">
        <w:rPr>
          <w:rFonts w:ascii="Book Antiqua" w:hAnsi="Book Antiqua"/>
          <w:lang w:eastAsia="ja-JP"/>
        </w:rPr>
        <w:t>Relevant</w:t>
      </w:r>
      <w:r w:rsidR="0016406D" w:rsidRPr="00361BCF">
        <w:rPr>
          <w:rFonts w:ascii="Book Antiqua" w:hAnsi="Book Antiqua"/>
          <w:lang w:eastAsia="ja-JP"/>
        </w:rPr>
        <w:t xml:space="preserve"> in the context of child sexual abuse cases</w:t>
      </w:r>
      <w:r w:rsidR="0068471C" w:rsidRPr="00361BCF">
        <w:rPr>
          <w:rFonts w:ascii="Book Antiqua" w:hAnsi="Book Antiqua"/>
          <w:lang w:eastAsia="ja-JP"/>
        </w:rPr>
        <w:t xml:space="preserve"> is research which has established</w:t>
      </w:r>
      <w:r w:rsidRPr="00361BCF">
        <w:rPr>
          <w:rFonts w:ascii="Book Antiqua" w:hAnsi="Book Antiqua"/>
          <w:lang w:eastAsia="ja-JP"/>
        </w:rPr>
        <w:t xml:space="preserve"> </w:t>
      </w:r>
      <w:r w:rsidR="0068471C" w:rsidRPr="00361BCF">
        <w:rPr>
          <w:rFonts w:ascii="Book Antiqua" w:hAnsi="Book Antiqua"/>
          <w:lang w:eastAsia="ja-JP"/>
        </w:rPr>
        <w:t xml:space="preserve">that </w:t>
      </w:r>
      <w:r w:rsidRPr="00361BCF">
        <w:rPr>
          <w:rFonts w:ascii="Book Antiqua" w:hAnsi="Book Antiqua"/>
          <w:lang w:eastAsia="ja-JP"/>
        </w:rPr>
        <w:t>a brain area crucial to remembering, the prefrontal cortex, does not mature until late adolescence/early adulthood. The prefrontal cortex is critical in both forming memories and in later reconstructing them.</w:t>
      </w:r>
      <w:r w:rsidR="00597F1E" w:rsidRPr="00361BCF">
        <w:rPr>
          <w:rFonts w:ascii="Book Antiqua" w:hAnsi="Book Antiqua"/>
          <w:lang w:eastAsia="ja-JP"/>
        </w:rPr>
        <w:t xml:space="preserve"> P</w:t>
      </w:r>
      <w:r w:rsidRPr="00361BCF">
        <w:rPr>
          <w:rFonts w:ascii="Book Antiqua" w:hAnsi="Book Antiqua"/>
          <w:lang w:eastAsia="ja-JP"/>
        </w:rPr>
        <w:t xml:space="preserve">rocesses associated with this brain region underlie what has been termed </w:t>
      </w:r>
      <w:r w:rsidRPr="00361BCF">
        <w:rPr>
          <w:rFonts w:ascii="Book Antiqua" w:hAnsi="Book Antiqua"/>
          <w:i/>
          <w:lang w:eastAsia="ja-JP"/>
        </w:rPr>
        <w:t>reality monitoring</w:t>
      </w:r>
      <w:r w:rsidRPr="00361BCF">
        <w:rPr>
          <w:rFonts w:ascii="Book Antiqua" w:hAnsi="Book Antiqua"/>
          <w:lang w:eastAsia="ja-JP"/>
        </w:rPr>
        <w:t>: the ability to recognize or differentiate that which is genuinely remembered from that which is imagined, seen, heard, or read about</w:t>
      </w:r>
      <w:r w:rsidR="0068471C" w:rsidRPr="00361BCF">
        <w:rPr>
          <w:rFonts w:ascii="Book Antiqua" w:hAnsi="Book Antiqua"/>
          <w:lang w:eastAsia="ja-JP"/>
        </w:rPr>
        <w:t xml:space="preserve"> (</w:t>
      </w:r>
      <w:r w:rsidR="00983CCF" w:rsidRPr="00361BCF">
        <w:rPr>
          <w:rFonts w:ascii="Book Antiqua" w:hAnsi="Book Antiqua"/>
          <w:lang w:eastAsia="ja-JP"/>
        </w:rPr>
        <w:t>Macintosh, 20</w:t>
      </w:r>
      <w:r w:rsidR="00E60DA6" w:rsidRPr="00361BCF">
        <w:rPr>
          <w:rFonts w:ascii="Book Antiqua" w:hAnsi="Book Antiqua"/>
          <w:lang w:eastAsia="ja-JP"/>
        </w:rPr>
        <w:t>11</w:t>
      </w:r>
      <w:r w:rsidR="0068471C" w:rsidRPr="00361BCF">
        <w:rPr>
          <w:rFonts w:ascii="Book Antiqua" w:hAnsi="Book Antiqua"/>
          <w:lang w:eastAsia="ja-JP"/>
        </w:rPr>
        <w:t>)</w:t>
      </w:r>
      <w:r w:rsidRPr="00361BCF">
        <w:rPr>
          <w:rFonts w:ascii="Book Antiqua" w:hAnsi="Book Antiqua"/>
          <w:lang w:eastAsia="ja-JP"/>
        </w:rPr>
        <w:t>. This has implications for adolescent and child victims</w:t>
      </w:r>
      <w:r w:rsidR="007D27AD">
        <w:rPr>
          <w:rFonts w:ascii="Book Antiqua" w:hAnsi="Book Antiqua"/>
          <w:lang w:eastAsia="ja-JP"/>
        </w:rPr>
        <w:t>’</w:t>
      </w:r>
      <w:r w:rsidRPr="00361BCF">
        <w:rPr>
          <w:rFonts w:ascii="Book Antiqua" w:hAnsi="Book Antiqua"/>
          <w:lang w:eastAsia="ja-JP"/>
        </w:rPr>
        <w:t xml:space="preserve"> recall of sexual assault, whose memories will be even more fragmentary and contain more imagined details than those of adults.</w:t>
      </w:r>
      <w:r w:rsidR="0068471C" w:rsidRPr="00361BCF">
        <w:rPr>
          <w:rFonts w:ascii="Book Antiqua" w:hAnsi="Book Antiqua"/>
          <w:lang w:eastAsia="ja-JP"/>
        </w:rPr>
        <w:t xml:space="preserve"> </w:t>
      </w:r>
      <w:r w:rsidRPr="00361BCF">
        <w:rPr>
          <w:rFonts w:ascii="Book Antiqua" w:hAnsi="Book Antiqua"/>
          <w:lang w:eastAsia="ja-JP"/>
        </w:rPr>
        <w:t xml:space="preserve"> </w:t>
      </w:r>
    </w:p>
    <w:p w14:paraId="35E95BC6" w14:textId="46A1AAE2" w:rsidR="00790484" w:rsidRPr="00361BCF" w:rsidRDefault="00790484"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lastRenderedPageBreak/>
        <w:tab/>
        <w:t>Finally, current views of the function of memories emphasize their role in ‘meaning maki</w:t>
      </w:r>
      <w:r w:rsidR="000E0800" w:rsidRPr="00361BCF">
        <w:rPr>
          <w:rFonts w:ascii="Book Antiqua" w:hAnsi="Book Antiqua"/>
        </w:rPr>
        <w:t>ng’, i.e.</w:t>
      </w:r>
      <w:r w:rsidRPr="00361BCF">
        <w:rPr>
          <w:rFonts w:ascii="Book Antiqua" w:hAnsi="Book Antiqua"/>
        </w:rPr>
        <w:t xml:space="preserve"> making sense of our lives, of the lives of others, and </w:t>
      </w:r>
      <w:r w:rsidR="000E0800" w:rsidRPr="00361BCF">
        <w:rPr>
          <w:rFonts w:ascii="Book Antiqua" w:hAnsi="Book Antiqua"/>
        </w:rPr>
        <w:t>social interactions</w:t>
      </w:r>
      <w:r w:rsidRPr="00361BCF">
        <w:rPr>
          <w:rFonts w:ascii="Book Antiqua" w:hAnsi="Book Antiqua"/>
        </w:rPr>
        <w:t xml:space="preserve"> and in guiding behaviour (e.g. their influence on the future). These functions of memory often override exactness and accuracy in remembering and, instead, prioritize the retention and recall of information of value to the self, whether or not that information is veridical with respect to actual past experience (</w:t>
      </w:r>
      <w:r w:rsidR="00B63321" w:rsidRPr="00361BCF">
        <w:rPr>
          <w:rFonts w:ascii="Book Antiqua" w:hAnsi="Book Antiqua"/>
        </w:rPr>
        <w:t>Conway, 2005;</w:t>
      </w:r>
      <w:r w:rsidRPr="00361BCF">
        <w:rPr>
          <w:rFonts w:ascii="Book Antiqua" w:hAnsi="Book Antiqua"/>
        </w:rPr>
        <w:t xml:space="preserve"> </w:t>
      </w:r>
      <w:r w:rsidR="0037792F" w:rsidRPr="00361BCF">
        <w:rPr>
          <w:rFonts w:ascii="Book Antiqua" w:hAnsi="Book Antiqua"/>
        </w:rPr>
        <w:t>Conway and</w:t>
      </w:r>
      <w:r w:rsidR="00DB7548" w:rsidRPr="00361BCF">
        <w:rPr>
          <w:rFonts w:ascii="Book Antiqua" w:hAnsi="Book Antiqua"/>
        </w:rPr>
        <w:t xml:space="preserve"> </w:t>
      </w:r>
      <w:proofErr w:type="spellStart"/>
      <w:r w:rsidR="00DB7548" w:rsidRPr="00361BCF">
        <w:rPr>
          <w:rFonts w:ascii="Book Antiqua" w:hAnsi="Book Antiqua"/>
        </w:rPr>
        <w:t>Loveday</w:t>
      </w:r>
      <w:proofErr w:type="spellEnd"/>
      <w:r w:rsidR="00DB7548" w:rsidRPr="00361BCF">
        <w:rPr>
          <w:rFonts w:ascii="Book Antiqua" w:hAnsi="Book Antiqua"/>
        </w:rPr>
        <w:t>, 2015; Conway et al., 2016</w:t>
      </w:r>
      <w:r w:rsidRPr="00361BCF">
        <w:rPr>
          <w:rFonts w:ascii="Book Antiqua" w:hAnsi="Book Antiqua"/>
        </w:rPr>
        <w:t>).</w:t>
      </w:r>
    </w:p>
    <w:p w14:paraId="1AE09131" w14:textId="05C7D224" w:rsidR="00C91A71" w:rsidRPr="007E6D39" w:rsidRDefault="001543C0"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According to </w:t>
      </w:r>
      <w:r w:rsidRPr="002B7EDE">
        <w:rPr>
          <w:rFonts w:ascii="Book Antiqua" w:hAnsi="Book Antiqua"/>
          <w:i/>
        </w:rPr>
        <w:t>the modern view of human memory</w:t>
      </w:r>
      <w:r w:rsidRPr="00361BCF">
        <w:rPr>
          <w:rFonts w:ascii="Book Antiqua" w:hAnsi="Book Antiqua"/>
        </w:rPr>
        <w:t xml:space="preserve"> then, memory is a complex</w:t>
      </w:r>
      <w:r w:rsidR="00401F75" w:rsidRPr="00361BCF">
        <w:rPr>
          <w:rFonts w:ascii="Book Antiqua" w:hAnsi="Book Antiqua"/>
        </w:rPr>
        <w:t>,</w:t>
      </w:r>
      <w:r w:rsidRPr="00361BCF">
        <w:rPr>
          <w:rFonts w:ascii="Book Antiqua" w:hAnsi="Book Antiqua"/>
        </w:rPr>
        <w:t xml:space="preserve"> highly labile and dynamic system in which memories are constructed across interlocked neur</w:t>
      </w:r>
      <w:r w:rsidR="0029723B" w:rsidRPr="00361BCF">
        <w:rPr>
          <w:rFonts w:ascii="Book Antiqua" w:hAnsi="Book Antiqua"/>
        </w:rPr>
        <w:t>al networks</w:t>
      </w:r>
      <w:r w:rsidR="00EB631F" w:rsidRPr="00361BCF">
        <w:rPr>
          <w:rFonts w:ascii="Book Antiqua" w:hAnsi="Book Antiqua"/>
        </w:rPr>
        <w:t xml:space="preserve"> in the brain</w:t>
      </w:r>
      <w:r w:rsidRPr="00361BCF">
        <w:rPr>
          <w:rFonts w:ascii="Book Antiqua" w:hAnsi="Book Antiqua"/>
        </w:rPr>
        <w:t xml:space="preserve">. It is </w:t>
      </w:r>
      <w:r w:rsidR="0029723B" w:rsidRPr="00361BCF">
        <w:rPr>
          <w:rFonts w:ascii="Book Antiqua" w:hAnsi="Book Antiqua"/>
        </w:rPr>
        <w:t>closely linked to the future as</w:t>
      </w:r>
      <w:r w:rsidRPr="00361BCF">
        <w:rPr>
          <w:rFonts w:ascii="Book Antiqua" w:hAnsi="Book Antiqua"/>
        </w:rPr>
        <w:t xml:space="preserve"> well as the past and plays an important role in imagination and in allowing us to have distinct and unique selves. </w:t>
      </w:r>
      <w:r w:rsidR="0029723B" w:rsidRPr="00361BCF">
        <w:rPr>
          <w:rFonts w:ascii="Book Antiqua" w:hAnsi="Book Antiqua"/>
        </w:rPr>
        <w:t xml:space="preserve">There are many consequences of this complex view of memory for our legal systems. </w:t>
      </w:r>
      <w:r w:rsidR="00983CCF" w:rsidRPr="00361BCF">
        <w:rPr>
          <w:rFonts w:ascii="Book Antiqua" w:hAnsi="Book Antiqua"/>
        </w:rPr>
        <w:t xml:space="preserve">But perhaps the most important is that </w:t>
      </w:r>
      <w:r w:rsidR="0029723B" w:rsidRPr="00361BCF">
        <w:rPr>
          <w:rFonts w:ascii="Book Antiqua" w:hAnsi="Book Antiqua"/>
        </w:rPr>
        <w:t>fragmentary, confused, inconsistent</w:t>
      </w:r>
      <w:r w:rsidR="00D46423" w:rsidRPr="00361BCF">
        <w:rPr>
          <w:rFonts w:ascii="Book Antiqua" w:hAnsi="Book Antiqua"/>
        </w:rPr>
        <w:t>, undetailed</w:t>
      </w:r>
      <w:r w:rsidR="0029723B" w:rsidRPr="00361BCF">
        <w:rPr>
          <w:rFonts w:ascii="Book Antiqua" w:hAnsi="Book Antiqua"/>
        </w:rPr>
        <w:t xml:space="preserve"> memories</w:t>
      </w:r>
      <w:r w:rsidR="00983CCF" w:rsidRPr="00361BCF">
        <w:rPr>
          <w:rFonts w:ascii="Book Antiqua" w:hAnsi="Book Antiqua"/>
        </w:rPr>
        <w:t>, with low specificity</w:t>
      </w:r>
      <w:r w:rsidR="00844BE5" w:rsidRPr="00361BCF">
        <w:rPr>
          <w:rFonts w:ascii="Book Antiqua" w:hAnsi="Book Antiqua"/>
        </w:rPr>
        <w:t>,</w:t>
      </w:r>
      <w:r w:rsidR="00983CCF" w:rsidRPr="00361BCF">
        <w:rPr>
          <w:rFonts w:ascii="Book Antiqua" w:hAnsi="Book Antiqua"/>
        </w:rPr>
        <w:t xml:space="preserve"> are</w:t>
      </w:r>
      <w:r w:rsidR="0029723B" w:rsidRPr="00361BCF">
        <w:rPr>
          <w:rFonts w:ascii="Book Antiqua" w:hAnsi="Book Antiqua"/>
        </w:rPr>
        <w:t xml:space="preserve"> the norm</w:t>
      </w:r>
      <w:r w:rsidR="006908E6" w:rsidRPr="00CE11C7">
        <w:rPr>
          <w:rStyle w:val="FootnoteReference"/>
          <w:rFonts w:ascii="Book Antiqua" w:hAnsi="Book Antiqua"/>
        </w:rPr>
        <w:footnoteReference w:id="4"/>
      </w:r>
      <w:r w:rsidR="0029723B" w:rsidRPr="00CE11C7">
        <w:rPr>
          <w:rFonts w:ascii="Book Antiqua" w:hAnsi="Book Antiqua"/>
        </w:rPr>
        <w:t xml:space="preserve">. </w:t>
      </w:r>
    </w:p>
    <w:p w14:paraId="3FDA5FFB" w14:textId="56EA194D" w:rsidR="005D40B1" w:rsidRPr="00361BCF" w:rsidRDefault="00F16CBD" w:rsidP="004A4CBA">
      <w:pPr>
        <w:tabs>
          <w:tab w:val="left" w:pos="1584"/>
        </w:tabs>
        <w:spacing w:line="360" w:lineRule="auto"/>
        <w:ind w:firstLine="567"/>
        <w:jc w:val="both"/>
        <w:rPr>
          <w:rFonts w:ascii="Book Antiqua" w:hAnsi="Book Antiqua"/>
        </w:rPr>
      </w:pPr>
      <w:r w:rsidRPr="00361BCF">
        <w:rPr>
          <w:rFonts w:ascii="Book Antiqua" w:hAnsi="Book Antiqua"/>
        </w:rPr>
        <w:tab/>
      </w:r>
    </w:p>
    <w:p w14:paraId="36766069" w14:textId="77777777" w:rsidR="005D40B1" w:rsidRPr="00361BCF" w:rsidRDefault="005D40B1" w:rsidP="004A4CBA">
      <w:pPr>
        <w:spacing w:line="360" w:lineRule="auto"/>
        <w:jc w:val="both"/>
        <w:rPr>
          <w:rFonts w:ascii="Book Antiqua" w:hAnsi="Book Antiqua"/>
          <w:b/>
        </w:rPr>
      </w:pPr>
      <w:r w:rsidRPr="00361BCF">
        <w:rPr>
          <w:rFonts w:ascii="Book Antiqua" w:hAnsi="Book Antiqua"/>
          <w:b/>
        </w:rPr>
        <w:t>Criminal justice conceptions of victim memory</w:t>
      </w:r>
    </w:p>
    <w:p w14:paraId="765D7B9A" w14:textId="5286EA16" w:rsidR="005D40B1" w:rsidRPr="00361BCF" w:rsidRDefault="005D40B1" w:rsidP="004A4CBA">
      <w:pPr>
        <w:spacing w:line="360" w:lineRule="auto"/>
        <w:ind w:firstLine="567"/>
        <w:jc w:val="both"/>
        <w:rPr>
          <w:rFonts w:ascii="Book Antiqua" w:hAnsi="Book Antiqua"/>
        </w:rPr>
      </w:pPr>
      <w:r w:rsidRPr="00361BCF">
        <w:rPr>
          <w:rFonts w:ascii="Book Antiqua" w:hAnsi="Book Antiqua"/>
        </w:rPr>
        <w:t>Every complaint of rape begins its passage through the criminal justice process with an initial report to the police followed by an in-depth police interview. The witness statement</w:t>
      </w:r>
      <w:r w:rsidR="00835274" w:rsidRPr="00361BCF">
        <w:rPr>
          <w:rFonts w:ascii="Book Antiqua" w:hAnsi="Book Antiqua"/>
        </w:rPr>
        <w:t xml:space="preserve"> (written or video-recorded)</w:t>
      </w:r>
      <w:r w:rsidRPr="00361BCF">
        <w:rPr>
          <w:rFonts w:ascii="Book Antiqua" w:hAnsi="Book Antiqua"/>
        </w:rPr>
        <w:t xml:space="preserve"> produced during the interview then forms the basis of the police investigation</w:t>
      </w:r>
      <w:r w:rsidR="00214A7A">
        <w:rPr>
          <w:rFonts w:ascii="Book Antiqua" w:hAnsi="Book Antiqua"/>
        </w:rPr>
        <w:t xml:space="preserve"> and if the case goes to trial,</w:t>
      </w:r>
      <w:r w:rsidRPr="00361BCF">
        <w:rPr>
          <w:rFonts w:ascii="Book Antiqua" w:hAnsi="Book Antiqua"/>
        </w:rPr>
        <w:t xml:space="preserve"> key evidence to be interrogated </w:t>
      </w:r>
      <w:r w:rsidR="00214A7A">
        <w:rPr>
          <w:rFonts w:ascii="Book Antiqua" w:hAnsi="Book Antiqua"/>
        </w:rPr>
        <w:t>in court</w:t>
      </w:r>
      <w:r w:rsidRPr="00361BCF">
        <w:rPr>
          <w:rFonts w:ascii="Book Antiqua" w:hAnsi="Book Antiqua"/>
        </w:rPr>
        <w:t>. In order to understand how criminal justice evaluations of the witness statement impact on a complain</w:t>
      </w:r>
      <w:r w:rsidR="00EE2936">
        <w:rPr>
          <w:rFonts w:ascii="Book Antiqua" w:hAnsi="Book Antiqua"/>
        </w:rPr>
        <w:t>t</w:t>
      </w:r>
      <w:r w:rsidRPr="00361BCF">
        <w:rPr>
          <w:rFonts w:ascii="Book Antiqua" w:hAnsi="Book Antiqua"/>
        </w:rPr>
        <w:t xml:space="preserve">’s progress – or lack thereof – through the criminal justice process one must remind oneself of the </w:t>
      </w:r>
      <w:r w:rsidR="00835274" w:rsidRPr="00361BCF">
        <w:rPr>
          <w:rFonts w:ascii="Book Antiqua" w:hAnsi="Book Antiqua"/>
        </w:rPr>
        <w:t>ult</w:t>
      </w:r>
      <w:r w:rsidR="00CC23F7">
        <w:rPr>
          <w:rFonts w:ascii="Book Antiqua" w:hAnsi="Book Antiqua"/>
        </w:rPr>
        <w:t>imate decision maker if the case</w:t>
      </w:r>
      <w:r w:rsidR="00835274" w:rsidRPr="00361BCF">
        <w:rPr>
          <w:rFonts w:ascii="Book Antiqua" w:hAnsi="Book Antiqua"/>
        </w:rPr>
        <w:t xml:space="preserve"> goes to trial: the jury</w:t>
      </w:r>
      <w:r w:rsidRPr="00361BCF">
        <w:rPr>
          <w:rFonts w:ascii="Book Antiqua" w:hAnsi="Book Antiqua"/>
        </w:rPr>
        <w:t xml:space="preserve">. We thus turn to jury evaluations of witness memory evidence first. </w:t>
      </w:r>
    </w:p>
    <w:p w14:paraId="7B5BAC84" w14:textId="77777777" w:rsidR="005D40B1" w:rsidRDefault="005D40B1" w:rsidP="004A4CBA">
      <w:pPr>
        <w:autoSpaceDE w:val="0"/>
        <w:autoSpaceDN w:val="0"/>
        <w:adjustRightInd w:val="0"/>
        <w:spacing w:line="360" w:lineRule="auto"/>
        <w:ind w:firstLine="567"/>
        <w:jc w:val="both"/>
        <w:rPr>
          <w:rFonts w:ascii="Book Antiqua" w:hAnsi="Book Antiqua"/>
        </w:rPr>
      </w:pPr>
    </w:p>
    <w:p w14:paraId="327F0594" w14:textId="77777777" w:rsidR="00EE2936" w:rsidRPr="00361BCF" w:rsidRDefault="00EE2936" w:rsidP="004A4CBA">
      <w:pPr>
        <w:autoSpaceDE w:val="0"/>
        <w:autoSpaceDN w:val="0"/>
        <w:adjustRightInd w:val="0"/>
        <w:spacing w:line="360" w:lineRule="auto"/>
        <w:ind w:firstLine="567"/>
        <w:jc w:val="both"/>
        <w:rPr>
          <w:rFonts w:ascii="Book Antiqua" w:hAnsi="Book Antiqua"/>
        </w:rPr>
      </w:pPr>
    </w:p>
    <w:p w14:paraId="06F6419D" w14:textId="77777777" w:rsidR="005D40B1" w:rsidRPr="00361BCF" w:rsidRDefault="005D40B1" w:rsidP="004A4CBA">
      <w:pPr>
        <w:autoSpaceDE w:val="0"/>
        <w:autoSpaceDN w:val="0"/>
        <w:adjustRightInd w:val="0"/>
        <w:spacing w:line="360" w:lineRule="auto"/>
        <w:jc w:val="both"/>
        <w:rPr>
          <w:rFonts w:ascii="Book Antiqua" w:hAnsi="Book Antiqua"/>
          <w:i/>
        </w:rPr>
      </w:pPr>
      <w:r w:rsidRPr="00361BCF">
        <w:rPr>
          <w:rFonts w:ascii="Book Antiqua" w:hAnsi="Book Antiqua"/>
          <w:i/>
        </w:rPr>
        <w:lastRenderedPageBreak/>
        <w:t>(Mock-</w:t>
      </w:r>
      <w:proofErr w:type="gramStart"/>
      <w:r w:rsidRPr="00361BCF">
        <w:rPr>
          <w:rFonts w:ascii="Book Antiqua" w:hAnsi="Book Antiqua"/>
          <w:i/>
        </w:rPr>
        <w:t>)jury</w:t>
      </w:r>
      <w:proofErr w:type="gramEnd"/>
      <w:r w:rsidRPr="00361BCF">
        <w:rPr>
          <w:rFonts w:ascii="Book Antiqua" w:hAnsi="Book Antiqua"/>
          <w:i/>
        </w:rPr>
        <w:t xml:space="preserve"> evaluation of memory evidence</w:t>
      </w:r>
    </w:p>
    <w:p w14:paraId="1A0267DF" w14:textId="59D67154" w:rsidR="005D40B1" w:rsidRPr="00361BCF" w:rsidRDefault="005D40B1" w:rsidP="004A4CBA">
      <w:pPr>
        <w:spacing w:line="360" w:lineRule="auto"/>
        <w:ind w:firstLine="567"/>
        <w:jc w:val="both"/>
        <w:rPr>
          <w:rFonts w:ascii="Book Antiqua" w:hAnsi="Book Antiqua"/>
        </w:rPr>
      </w:pPr>
      <w:r w:rsidRPr="00361BCF">
        <w:rPr>
          <w:rFonts w:ascii="Book Antiqua" w:hAnsi="Book Antiqua"/>
        </w:rPr>
        <w:t xml:space="preserve">How do juries decide whether or not to believe the </w:t>
      </w:r>
      <w:r w:rsidR="004A346C">
        <w:rPr>
          <w:rFonts w:ascii="Book Antiqua" w:hAnsi="Book Antiqua"/>
        </w:rPr>
        <w:t>victim account</w:t>
      </w:r>
      <w:r w:rsidRPr="00361BCF">
        <w:rPr>
          <w:rFonts w:ascii="Book Antiqua" w:hAnsi="Book Antiqua"/>
        </w:rPr>
        <w:t xml:space="preserve">? How do juries assess the accuracy and credibility of </w:t>
      </w:r>
      <w:r w:rsidR="002511B2" w:rsidRPr="00361BCF">
        <w:rPr>
          <w:rFonts w:ascii="Book Antiqua" w:hAnsi="Book Antiqua"/>
        </w:rPr>
        <w:t>witness</w:t>
      </w:r>
      <w:r w:rsidRPr="00361BCF">
        <w:rPr>
          <w:rFonts w:ascii="Book Antiqua" w:hAnsi="Book Antiqua"/>
        </w:rPr>
        <w:t xml:space="preserve"> testimony? Jury studies, or mock jury studies in jurisdictions such as the UK in which studying real juries is prohibited, provide some insight. Bell and Loftus (1989) found that (mock-)</w:t>
      </w:r>
      <w:r w:rsidR="00B36A2E" w:rsidRPr="00361BCF">
        <w:rPr>
          <w:rFonts w:ascii="Book Antiqua" w:hAnsi="Book Antiqua"/>
        </w:rPr>
        <w:t xml:space="preserve"> </w:t>
      </w:r>
      <w:r w:rsidRPr="00361BCF">
        <w:rPr>
          <w:rFonts w:ascii="Book Antiqua" w:hAnsi="Book Antiqua"/>
        </w:rPr>
        <w:t>juries perceive witness testimony as more credible if it contains vivid detail, however insignificant</w:t>
      </w:r>
      <w:r w:rsidR="00F32726" w:rsidRPr="00361BCF">
        <w:rPr>
          <w:rFonts w:ascii="Book Antiqua" w:hAnsi="Book Antiqua"/>
        </w:rPr>
        <w:t xml:space="preserve">, </w:t>
      </w:r>
      <w:r w:rsidR="00327C15" w:rsidRPr="00361BCF">
        <w:rPr>
          <w:rFonts w:ascii="Book Antiqua" w:hAnsi="Book Antiqua"/>
        </w:rPr>
        <w:t>peripheral</w:t>
      </w:r>
      <w:r w:rsidR="00F32726" w:rsidRPr="00361BCF">
        <w:rPr>
          <w:rFonts w:ascii="Book Antiqua" w:hAnsi="Book Antiqua"/>
        </w:rPr>
        <w:t xml:space="preserve">, </w:t>
      </w:r>
      <w:r w:rsidRPr="00361BCF">
        <w:rPr>
          <w:rFonts w:ascii="Book Antiqua" w:hAnsi="Book Antiqua"/>
        </w:rPr>
        <w:t>or wholly irrelevant it is to the case. They further found the credibility of a witness was damaged if they had to admit that they had not noticed or could not remember a particular, however insignificant, detail. Bell and Loftus (</w:t>
      </w:r>
      <w:r w:rsidR="00C35DCF">
        <w:rPr>
          <w:rFonts w:ascii="Book Antiqua" w:hAnsi="Book Antiqua"/>
        </w:rPr>
        <w:t>ibid.</w:t>
      </w:r>
      <w:r w:rsidRPr="00361BCF">
        <w:rPr>
          <w:rFonts w:ascii="Book Antiqua" w:hAnsi="Book Antiqua"/>
        </w:rPr>
        <w:t xml:space="preserve">) call this effect </w:t>
      </w:r>
      <w:r w:rsidRPr="00361BCF">
        <w:rPr>
          <w:rFonts w:ascii="Book Antiqua" w:hAnsi="Book Antiqua"/>
          <w:i/>
        </w:rPr>
        <w:t xml:space="preserve">trivial persuasion. </w:t>
      </w:r>
      <w:proofErr w:type="spellStart"/>
      <w:r w:rsidR="00327C15" w:rsidRPr="00361BCF">
        <w:rPr>
          <w:rFonts w:ascii="Book Antiqua" w:hAnsi="Book Antiqua"/>
        </w:rPr>
        <w:t>Brockhardt</w:t>
      </w:r>
      <w:proofErr w:type="spellEnd"/>
      <w:r w:rsidRPr="00361BCF">
        <w:rPr>
          <w:rFonts w:ascii="Book Antiqua" w:hAnsi="Book Antiqua"/>
        </w:rPr>
        <w:t xml:space="preserve"> et al.</w:t>
      </w:r>
      <w:r w:rsidR="00327C15" w:rsidRPr="00361BCF">
        <w:rPr>
          <w:rFonts w:ascii="Book Antiqua" w:hAnsi="Book Antiqua"/>
        </w:rPr>
        <w:t xml:space="preserve"> </w:t>
      </w:r>
      <w:r w:rsidRPr="00361BCF">
        <w:rPr>
          <w:rFonts w:ascii="Book Antiqua" w:hAnsi="Book Antiqua"/>
        </w:rPr>
        <w:t>(2003</w:t>
      </w:r>
      <w:r w:rsidR="00F30E3E">
        <w:rPr>
          <w:rFonts w:ascii="Book Antiqua" w:hAnsi="Book Antiqua"/>
        </w:rPr>
        <w:t xml:space="preserve">) </w:t>
      </w:r>
      <w:r w:rsidRPr="00361BCF">
        <w:rPr>
          <w:rFonts w:ascii="Book Antiqua" w:hAnsi="Book Antiqua"/>
        </w:rPr>
        <w:t xml:space="preserve">investigated </w:t>
      </w:r>
      <w:r w:rsidR="00F32726" w:rsidRPr="00361BCF">
        <w:rPr>
          <w:rFonts w:ascii="Book Antiqua" w:hAnsi="Book Antiqua"/>
        </w:rPr>
        <w:t xml:space="preserve">a </w:t>
      </w:r>
      <w:r w:rsidR="00327C15" w:rsidRPr="00361BCF">
        <w:rPr>
          <w:rFonts w:ascii="Book Antiqua" w:hAnsi="Book Antiqua"/>
        </w:rPr>
        <w:t>similarly</w:t>
      </w:r>
      <w:r w:rsidRPr="00361BCF">
        <w:rPr>
          <w:rFonts w:ascii="Book Antiqua" w:hAnsi="Book Antiqua"/>
        </w:rPr>
        <w:t xml:space="preserve"> powerful </w:t>
      </w:r>
      <w:r w:rsidR="00B36A2E" w:rsidRPr="00361BCF">
        <w:rPr>
          <w:rFonts w:ascii="Book Antiqua" w:hAnsi="Book Antiqua"/>
        </w:rPr>
        <w:t xml:space="preserve">phenomenon termed </w:t>
      </w:r>
      <w:r w:rsidRPr="00361BCF">
        <w:rPr>
          <w:rFonts w:ascii="Book Antiqua" w:hAnsi="Book Antiqua"/>
        </w:rPr>
        <w:t xml:space="preserve">the </w:t>
      </w:r>
      <w:r w:rsidRPr="00361BCF">
        <w:rPr>
          <w:rFonts w:ascii="Book Antiqua" w:hAnsi="Book Antiqua"/>
          <w:i/>
        </w:rPr>
        <w:t xml:space="preserve">discrediting effect: </w:t>
      </w:r>
      <w:r w:rsidRPr="00361BCF">
        <w:rPr>
          <w:rFonts w:ascii="Book Antiqua" w:hAnsi="Book Antiqua"/>
        </w:rPr>
        <w:t>if details in the witness’s testimony, however small, are found to be inaccurate it discredits the witness and their entire testimony in the eyes of the (mock-)</w:t>
      </w:r>
      <w:r w:rsidR="00F44F91" w:rsidRPr="00361BCF">
        <w:rPr>
          <w:rFonts w:ascii="Book Antiqua" w:hAnsi="Book Antiqua"/>
        </w:rPr>
        <w:t xml:space="preserve"> </w:t>
      </w:r>
      <w:r w:rsidRPr="00361BCF">
        <w:rPr>
          <w:rFonts w:ascii="Book Antiqua" w:hAnsi="Book Antiqua"/>
        </w:rPr>
        <w:t>jury and automatically renders the opposing party more credible. Inconsistencies in the witness testimony, arising either from repeat questioning or in comparison to the (pre-tri</w:t>
      </w:r>
      <w:r w:rsidR="00305E3D">
        <w:rPr>
          <w:rFonts w:ascii="Book Antiqua" w:hAnsi="Book Antiqua"/>
        </w:rPr>
        <w:t>a</w:t>
      </w:r>
      <w:r w:rsidRPr="00361BCF">
        <w:rPr>
          <w:rFonts w:ascii="Book Antiqua" w:hAnsi="Book Antiqua"/>
        </w:rPr>
        <w:t>l) witness statement are widely evidenced to discredit the witness in the eyes of the (mock-)</w:t>
      </w:r>
      <w:r w:rsidR="00F44F91" w:rsidRPr="00361BCF">
        <w:rPr>
          <w:rFonts w:ascii="Book Antiqua" w:hAnsi="Book Antiqua"/>
        </w:rPr>
        <w:t xml:space="preserve"> </w:t>
      </w:r>
      <w:r w:rsidRPr="00361BCF">
        <w:rPr>
          <w:rFonts w:ascii="Book Antiqua" w:hAnsi="Book Antiqua"/>
        </w:rPr>
        <w:t>jury. Again, this also holds true for inconsistencies in minute detail, howe</w:t>
      </w:r>
      <w:r w:rsidR="00C43645">
        <w:rPr>
          <w:rFonts w:ascii="Book Antiqua" w:hAnsi="Book Antiqua"/>
        </w:rPr>
        <w:t>ver insignificant (</w:t>
      </w:r>
      <w:r w:rsidRPr="00361BCF">
        <w:rPr>
          <w:rFonts w:ascii="Book Antiqua" w:hAnsi="Book Antiqua"/>
        </w:rPr>
        <w:t>Brewer et al.</w:t>
      </w:r>
      <w:r w:rsidR="00327C15" w:rsidRPr="00361BCF">
        <w:rPr>
          <w:rFonts w:ascii="Book Antiqua" w:hAnsi="Book Antiqua"/>
        </w:rPr>
        <w:t>,</w:t>
      </w:r>
      <w:r w:rsidRPr="00361BCF">
        <w:rPr>
          <w:rFonts w:ascii="Book Antiqua" w:hAnsi="Book Antiqua"/>
        </w:rPr>
        <w:t xml:space="preserve"> 1999; Potter and Brewer</w:t>
      </w:r>
      <w:r w:rsidR="00327C15" w:rsidRPr="00361BCF">
        <w:rPr>
          <w:rFonts w:ascii="Book Antiqua" w:hAnsi="Book Antiqua"/>
        </w:rPr>
        <w:t>,</w:t>
      </w:r>
      <w:r w:rsidRPr="00361BCF">
        <w:rPr>
          <w:rFonts w:ascii="Book Antiqua" w:hAnsi="Book Antiqua"/>
        </w:rPr>
        <w:t xml:space="preserve"> 2009; Brewer and Burke</w:t>
      </w:r>
      <w:r w:rsidR="00327C15" w:rsidRPr="00361BCF">
        <w:rPr>
          <w:rFonts w:ascii="Book Antiqua" w:hAnsi="Book Antiqua"/>
        </w:rPr>
        <w:t>,</w:t>
      </w:r>
      <w:r w:rsidR="00996FB0">
        <w:rPr>
          <w:rFonts w:ascii="Book Antiqua" w:hAnsi="Book Antiqua"/>
        </w:rPr>
        <w:t xml:space="preserve"> 2002</w:t>
      </w:r>
      <w:r w:rsidRPr="00361BCF">
        <w:rPr>
          <w:rFonts w:ascii="Book Antiqua" w:hAnsi="Book Antiqua"/>
        </w:rPr>
        <w:t>; Fisher et al.</w:t>
      </w:r>
      <w:r w:rsidR="00327C15" w:rsidRPr="00361BCF">
        <w:rPr>
          <w:rFonts w:ascii="Book Antiqua" w:hAnsi="Book Antiqua"/>
        </w:rPr>
        <w:t>,</w:t>
      </w:r>
      <w:r w:rsidRPr="00361BCF">
        <w:rPr>
          <w:rFonts w:ascii="Book Antiqua" w:hAnsi="Book Antiqua"/>
        </w:rPr>
        <w:t xml:space="preserve"> 2009). </w:t>
      </w:r>
    </w:p>
    <w:p w14:paraId="69579360" w14:textId="4E05DDB3" w:rsidR="005D40B1" w:rsidRPr="00361BCF" w:rsidRDefault="005D40B1" w:rsidP="004A4CBA">
      <w:pPr>
        <w:spacing w:line="360" w:lineRule="auto"/>
        <w:ind w:firstLine="567"/>
        <w:jc w:val="both"/>
        <w:rPr>
          <w:rFonts w:ascii="Book Antiqua" w:hAnsi="Book Antiqua"/>
        </w:rPr>
      </w:pPr>
      <w:r w:rsidRPr="00361BCF">
        <w:rPr>
          <w:rFonts w:ascii="Book Antiqua" w:hAnsi="Book Antiqua"/>
        </w:rPr>
        <w:t>These cognitive biases are common knowledge amongst the legal profession and routinely exploited during cross-examination in rape trials. Defence lawyers use a range of cross-examination techniques to expose memory gaps, inaccuracies and inconsistencies in the victim’s testimony, typically by homing in on minutiae and peripheral detail where the aim of inducing errors is most easily achieved (Taylor</w:t>
      </w:r>
      <w:r w:rsidR="00327C15" w:rsidRPr="00361BCF">
        <w:rPr>
          <w:rFonts w:ascii="Book Antiqua" w:hAnsi="Book Antiqua"/>
        </w:rPr>
        <w:t>,</w:t>
      </w:r>
      <w:r w:rsidRPr="00361BCF">
        <w:rPr>
          <w:rFonts w:ascii="Book Antiqua" w:hAnsi="Book Antiqua"/>
        </w:rPr>
        <w:t xml:space="preserve"> 2004; </w:t>
      </w:r>
      <w:proofErr w:type="spellStart"/>
      <w:r w:rsidRPr="00361BCF">
        <w:rPr>
          <w:rFonts w:ascii="Book Antiqua" w:hAnsi="Book Antiqua"/>
        </w:rPr>
        <w:t>Kebbell</w:t>
      </w:r>
      <w:proofErr w:type="spellEnd"/>
      <w:r w:rsidRPr="00361BCF">
        <w:rPr>
          <w:rFonts w:ascii="Book Antiqua" w:hAnsi="Book Antiqua"/>
        </w:rPr>
        <w:t xml:space="preserve"> et al.</w:t>
      </w:r>
      <w:r w:rsidR="00327C15" w:rsidRPr="00361BCF">
        <w:rPr>
          <w:rFonts w:ascii="Book Antiqua" w:hAnsi="Book Antiqua"/>
        </w:rPr>
        <w:t>,</w:t>
      </w:r>
      <w:r w:rsidR="00BB1B14">
        <w:rPr>
          <w:rFonts w:ascii="Book Antiqua" w:hAnsi="Book Antiqua"/>
        </w:rPr>
        <w:t xml:space="preserve"> 2007</w:t>
      </w:r>
      <w:r w:rsidRPr="00361BCF">
        <w:rPr>
          <w:rFonts w:ascii="Book Antiqua" w:hAnsi="Book Antiqua"/>
        </w:rPr>
        <w:t>). Socio-legal scholars have observed a detrimental effect of such cross-examination techniques on convictions in rape trials (Taylor</w:t>
      </w:r>
      <w:r w:rsidR="00327C15" w:rsidRPr="00361BCF">
        <w:rPr>
          <w:rFonts w:ascii="Book Antiqua" w:hAnsi="Book Antiqua"/>
        </w:rPr>
        <w:t>,</w:t>
      </w:r>
      <w:r w:rsidRPr="00361BCF">
        <w:rPr>
          <w:rFonts w:ascii="Book Antiqua" w:hAnsi="Book Antiqua"/>
        </w:rPr>
        <w:t xml:space="preserve"> 2004; Ellison</w:t>
      </w:r>
      <w:r w:rsidR="00327C15" w:rsidRPr="00361BCF">
        <w:rPr>
          <w:rFonts w:ascii="Book Antiqua" w:hAnsi="Book Antiqua"/>
        </w:rPr>
        <w:t>,</w:t>
      </w:r>
      <w:r w:rsidRPr="00361BCF">
        <w:rPr>
          <w:rFonts w:ascii="Book Antiqua" w:hAnsi="Book Antiqua"/>
        </w:rPr>
        <w:t xml:space="preserve"> 2005; </w:t>
      </w:r>
      <w:proofErr w:type="spellStart"/>
      <w:r w:rsidRPr="00361BCF">
        <w:rPr>
          <w:rFonts w:ascii="Book Antiqua" w:hAnsi="Book Antiqua"/>
        </w:rPr>
        <w:t>Temkin</w:t>
      </w:r>
      <w:proofErr w:type="spellEnd"/>
      <w:r w:rsidR="00327C15" w:rsidRPr="00361BCF">
        <w:rPr>
          <w:rFonts w:ascii="Book Antiqua" w:hAnsi="Book Antiqua"/>
        </w:rPr>
        <w:t>,</w:t>
      </w:r>
      <w:r w:rsidRPr="00361BCF">
        <w:rPr>
          <w:rFonts w:ascii="Book Antiqua" w:hAnsi="Book Antiqua"/>
        </w:rPr>
        <w:t xml:space="preserve"> 2000, 2002; </w:t>
      </w:r>
      <w:proofErr w:type="spellStart"/>
      <w:r w:rsidRPr="00361BCF">
        <w:rPr>
          <w:rFonts w:ascii="Book Antiqua" w:hAnsi="Book Antiqua"/>
        </w:rPr>
        <w:t>Temkin</w:t>
      </w:r>
      <w:proofErr w:type="spellEnd"/>
      <w:r w:rsidRPr="00361BCF">
        <w:rPr>
          <w:rFonts w:ascii="Book Antiqua" w:hAnsi="Book Antiqua"/>
        </w:rPr>
        <w:t xml:space="preserve"> and </w:t>
      </w:r>
      <w:proofErr w:type="spellStart"/>
      <w:r w:rsidRPr="00361BCF">
        <w:rPr>
          <w:rFonts w:ascii="Book Antiqua" w:hAnsi="Book Antiqua"/>
        </w:rPr>
        <w:t>Krahe</w:t>
      </w:r>
      <w:proofErr w:type="spellEnd"/>
      <w:r w:rsidR="00327C15" w:rsidRPr="00361BCF">
        <w:rPr>
          <w:rFonts w:ascii="Book Antiqua" w:hAnsi="Book Antiqua"/>
        </w:rPr>
        <w:t>,</w:t>
      </w:r>
      <w:r w:rsidRPr="00361BCF">
        <w:rPr>
          <w:rFonts w:ascii="Book Antiqua" w:hAnsi="Book Antiqua"/>
        </w:rPr>
        <w:t xml:space="preserve"> 2008). Yet, memory research has found that in fact gaps, errors, omissions and inconsistencies in memories are the norm. Indeed, the </w:t>
      </w:r>
      <w:r w:rsidRPr="00361BCF">
        <w:rPr>
          <w:rFonts w:ascii="Book Antiqua" w:hAnsi="Book Antiqua"/>
          <w:i/>
        </w:rPr>
        <w:t>modern view of human memory</w:t>
      </w:r>
      <w:r w:rsidR="002B5B04" w:rsidRPr="00361BCF">
        <w:rPr>
          <w:rFonts w:ascii="Book Antiqua" w:hAnsi="Book Antiqua"/>
          <w:i/>
        </w:rPr>
        <w:t xml:space="preserve">, </w:t>
      </w:r>
      <w:r w:rsidR="002B5B04" w:rsidRPr="00361BCF">
        <w:rPr>
          <w:rFonts w:ascii="Book Antiqua" w:hAnsi="Book Antiqua"/>
        </w:rPr>
        <w:t xml:space="preserve">reviewed above, </w:t>
      </w:r>
      <w:r w:rsidRPr="00361BCF">
        <w:rPr>
          <w:rFonts w:ascii="Book Antiqua" w:hAnsi="Book Antiqua"/>
        </w:rPr>
        <w:t>considers all memories to be incomplete and to contain details and other information that were</w:t>
      </w:r>
      <w:r w:rsidR="00BB1B14">
        <w:rPr>
          <w:rFonts w:ascii="Book Antiqua" w:hAnsi="Book Antiqua"/>
        </w:rPr>
        <w:t xml:space="preserve"> not part of the original event.</w:t>
      </w:r>
    </w:p>
    <w:p w14:paraId="5FBDC102" w14:textId="77777777" w:rsidR="005D40B1" w:rsidRPr="00361BCF" w:rsidRDefault="005D40B1" w:rsidP="004A4CBA">
      <w:pPr>
        <w:spacing w:line="360" w:lineRule="auto"/>
        <w:ind w:firstLine="567"/>
        <w:jc w:val="both"/>
        <w:rPr>
          <w:rFonts w:ascii="Book Antiqua" w:hAnsi="Book Antiqua"/>
        </w:rPr>
      </w:pPr>
    </w:p>
    <w:p w14:paraId="0DA26297" w14:textId="77777777" w:rsidR="005D40B1" w:rsidRPr="00361BCF" w:rsidRDefault="005D40B1" w:rsidP="004A4CBA">
      <w:pPr>
        <w:spacing w:line="360" w:lineRule="auto"/>
        <w:jc w:val="both"/>
        <w:rPr>
          <w:rFonts w:ascii="Book Antiqua" w:hAnsi="Book Antiqua"/>
          <w:i/>
        </w:rPr>
      </w:pPr>
      <w:r w:rsidRPr="00361BCF">
        <w:rPr>
          <w:rFonts w:ascii="Book Antiqua" w:hAnsi="Book Antiqua"/>
          <w:i/>
        </w:rPr>
        <w:lastRenderedPageBreak/>
        <w:t>Police and prosecution evaluation of memory evidence</w:t>
      </w:r>
    </w:p>
    <w:p w14:paraId="6A2BE574" w14:textId="43B87DE6" w:rsidR="005D40B1" w:rsidRPr="00361BCF" w:rsidRDefault="005D40B1"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Police officers and prosecutors build and dismiss cases with the jury in mind: with limited resources available, police and prosecutors cannot pursue every rape complaint equally. Instead, police and prosecutors </w:t>
      </w:r>
      <w:r w:rsidR="00420E83" w:rsidRPr="00361BCF">
        <w:rPr>
          <w:rFonts w:ascii="Book Antiqua" w:hAnsi="Book Antiqua"/>
        </w:rPr>
        <w:t>tend to</w:t>
      </w:r>
      <w:r w:rsidRPr="00361BCF">
        <w:rPr>
          <w:rFonts w:ascii="Book Antiqua" w:hAnsi="Book Antiqua"/>
        </w:rPr>
        <w:t xml:space="preserve"> focus on cases they anticipate will have a good chance of succeeding in court. Conversely, police and prosecutors are likely to drop a case as it becomes apparent that it would have little chance in court. This idea is central to Munro and Kelly’s (2009) </w:t>
      </w:r>
      <w:r w:rsidR="00A75408">
        <w:rPr>
          <w:rFonts w:ascii="Book Antiqua" w:hAnsi="Book Antiqua"/>
        </w:rPr>
        <w:t>‘</w:t>
      </w:r>
      <w:r w:rsidRPr="00361BCF">
        <w:rPr>
          <w:rFonts w:ascii="Book Antiqua" w:hAnsi="Book Antiqua"/>
        </w:rPr>
        <w:t>vicious cycle</w:t>
      </w:r>
      <w:r w:rsidR="00A75408">
        <w:rPr>
          <w:rFonts w:ascii="Book Antiqua" w:hAnsi="Book Antiqua"/>
        </w:rPr>
        <w:t>’</w:t>
      </w:r>
      <w:r w:rsidRPr="00361BCF">
        <w:rPr>
          <w:rFonts w:ascii="Book Antiqua" w:hAnsi="Book Antiqua"/>
        </w:rPr>
        <w:t xml:space="preserve"> of attrition. It may</w:t>
      </w:r>
      <w:r w:rsidR="00826124" w:rsidRPr="00361BCF">
        <w:rPr>
          <w:rFonts w:ascii="Book Antiqua" w:hAnsi="Book Antiqua"/>
        </w:rPr>
        <w:t xml:space="preserve"> also</w:t>
      </w:r>
      <w:r w:rsidRPr="00361BCF">
        <w:rPr>
          <w:rFonts w:ascii="Book Antiqua" w:hAnsi="Book Antiqua"/>
        </w:rPr>
        <w:t xml:space="preserve"> explain why police officers’ and prosecutors’ criteria of credibility of victim </w:t>
      </w:r>
      <w:r w:rsidR="006706C3">
        <w:rPr>
          <w:rFonts w:ascii="Book Antiqua" w:hAnsi="Book Antiqua"/>
        </w:rPr>
        <w:t>accounts</w:t>
      </w:r>
      <w:r w:rsidRPr="00361BCF">
        <w:rPr>
          <w:rFonts w:ascii="Book Antiqua" w:hAnsi="Book Antiqua"/>
        </w:rPr>
        <w:t xml:space="preserve"> mirror exactly those of (mock-)</w:t>
      </w:r>
      <w:r w:rsidR="00F44F91" w:rsidRPr="00361BCF">
        <w:rPr>
          <w:rFonts w:ascii="Book Antiqua" w:hAnsi="Book Antiqua"/>
        </w:rPr>
        <w:t xml:space="preserve"> </w:t>
      </w:r>
      <w:r w:rsidRPr="00361BCF">
        <w:rPr>
          <w:rFonts w:ascii="Book Antiqua" w:hAnsi="Book Antiqua"/>
        </w:rPr>
        <w:t xml:space="preserve">juries: ability to recall detail, accuracy of the victim’s recollections, and consistency of the </w:t>
      </w:r>
      <w:r w:rsidR="004A346C">
        <w:rPr>
          <w:rFonts w:ascii="Book Antiqua" w:hAnsi="Book Antiqua"/>
        </w:rPr>
        <w:t>victim account</w:t>
      </w:r>
      <w:r w:rsidRPr="00361BCF">
        <w:rPr>
          <w:rFonts w:ascii="Book Antiqua" w:hAnsi="Book Antiqua"/>
        </w:rPr>
        <w:t xml:space="preserve"> - internally and over repeated retellings. </w:t>
      </w:r>
    </w:p>
    <w:p w14:paraId="15B919D8" w14:textId="46EA074C" w:rsidR="005D40B1" w:rsidRPr="00361BCF" w:rsidRDefault="005D40B1"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ab/>
        <w:t xml:space="preserve">Police interviews are conducted with a view to </w:t>
      </w:r>
      <w:proofErr w:type="gramStart"/>
      <w:r w:rsidRPr="00361BCF">
        <w:rPr>
          <w:rFonts w:ascii="Book Antiqua" w:hAnsi="Book Antiqua"/>
        </w:rPr>
        <w:t>elicit</w:t>
      </w:r>
      <w:proofErr w:type="gramEnd"/>
      <w:r w:rsidRPr="00361BCF">
        <w:rPr>
          <w:rFonts w:ascii="Book Antiqua" w:hAnsi="Book Antiqua"/>
        </w:rPr>
        <w:t xml:space="preserve"> as much fine-grained detail as possible – including peripheral</w:t>
      </w:r>
      <w:r w:rsidR="00F32726" w:rsidRPr="00361BCF">
        <w:rPr>
          <w:rFonts w:ascii="Book Antiqua" w:hAnsi="Book Antiqua"/>
        </w:rPr>
        <w:t xml:space="preserve"> details </w:t>
      </w:r>
      <w:r w:rsidRPr="00361BCF">
        <w:rPr>
          <w:rFonts w:ascii="Book Antiqua" w:hAnsi="Book Antiqua"/>
        </w:rPr>
        <w:t>of the alleged rape or sexual assault (McMillan and Thomas</w:t>
      </w:r>
      <w:r w:rsidR="00327C15" w:rsidRPr="00361BCF">
        <w:rPr>
          <w:rFonts w:ascii="Book Antiqua" w:hAnsi="Book Antiqua"/>
        </w:rPr>
        <w:t>,</w:t>
      </w:r>
      <w:r w:rsidRPr="00361BCF">
        <w:rPr>
          <w:rFonts w:ascii="Book Antiqua" w:hAnsi="Book Antiqua"/>
        </w:rPr>
        <w:t xml:space="preserve"> 2009; O’Keeffe et al.</w:t>
      </w:r>
      <w:r w:rsidR="00327C15" w:rsidRPr="00361BCF">
        <w:rPr>
          <w:rFonts w:ascii="Book Antiqua" w:hAnsi="Book Antiqua"/>
        </w:rPr>
        <w:t>,</w:t>
      </w:r>
      <w:r w:rsidRPr="00361BCF">
        <w:rPr>
          <w:rFonts w:ascii="Book Antiqua" w:hAnsi="Book Antiqua"/>
        </w:rPr>
        <w:t xml:space="preserve"> 2009; </w:t>
      </w:r>
      <w:proofErr w:type="spellStart"/>
      <w:r w:rsidRPr="00361BCF">
        <w:rPr>
          <w:rFonts w:ascii="Book Antiqua" w:hAnsi="Book Antiqua"/>
        </w:rPr>
        <w:t>Westra</w:t>
      </w:r>
      <w:proofErr w:type="spellEnd"/>
      <w:r w:rsidRPr="00361BCF">
        <w:rPr>
          <w:rFonts w:ascii="Book Antiqua" w:hAnsi="Book Antiqua"/>
        </w:rPr>
        <w:t xml:space="preserve"> et al.</w:t>
      </w:r>
      <w:r w:rsidR="00327C15" w:rsidRPr="00361BCF">
        <w:rPr>
          <w:rFonts w:ascii="Book Antiqua" w:hAnsi="Book Antiqua"/>
        </w:rPr>
        <w:t>,</w:t>
      </w:r>
      <w:r w:rsidRPr="00361BCF">
        <w:rPr>
          <w:rFonts w:ascii="Book Antiqua" w:hAnsi="Book Antiqua"/>
        </w:rPr>
        <w:t xml:space="preserve"> 2011). Unresolved inconsistencies put in doubt the credibility of the victim and the continuation of the case (see also Jordan</w:t>
      </w:r>
      <w:r w:rsidR="007F1303" w:rsidRPr="00361BCF">
        <w:rPr>
          <w:rFonts w:ascii="Book Antiqua" w:hAnsi="Book Antiqua"/>
        </w:rPr>
        <w:t>,</w:t>
      </w:r>
      <w:r w:rsidRPr="00361BCF">
        <w:rPr>
          <w:rFonts w:ascii="Book Antiqua" w:hAnsi="Book Antiqua"/>
        </w:rPr>
        <w:t xml:space="preserve"> 2001). The importance attributed to inconsistencies, gaps and omissions in the </w:t>
      </w:r>
      <w:r w:rsidR="004A346C">
        <w:rPr>
          <w:rFonts w:ascii="Book Antiqua" w:hAnsi="Book Antiqua"/>
        </w:rPr>
        <w:t>victim account</w:t>
      </w:r>
      <w:r w:rsidRPr="00361BCF">
        <w:rPr>
          <w:rFonts w:ascii="Book Antiqua" w:hAnsi="Book Antiqua"/>
        </w:rPr>
        <w:t xml:space="preserve"> are reflected in police officers notions of ‘false allegations’ of rape. Saunders (2012) found that police officers deem false an account of a rape if the victim forgets, omits or incorrectly relays - deliberately or not - aspects of a genuine rape. Saunders (ibid.) shows that police officers treat ‘false accounts’ of genuine rapes in a similar fashion to ‘false complaints’ because </w:t>
      </w:r>
      <w:r w:rsidR="00730C08">
        <w:rPr>
          <w:rFonts w:ascii="Book Antiqua" w:hAnsi="Book Antiqua"/>
        </w:rPr>
        <w:t>officers believe that these</w:t>
      </w:r>
      <w:r w:rsidRPr="00361BCF">
        <w:rPr>
          <w:rFonts w:ascii="Book Antiqua" w:hAnsi="Book Antiqua"/>
        </w:rPr>
        <w:t xml:space="preserve"> would not withsta</w:t>
      </w:r>
      <w:r w:rsidR="002C69F2" w:rsidRPr="00361BCF">
        <w:rPr>
          <w:rFonts w:ascii="Book Antiqua" w:hAnsi="Book Antiqua"/>
        </w:rPr>
        <w:t xml:space="preserve">nd scrutiny in court. </w:t>
      </w:r>
    </w:p>
    <w:p w14:paraId="697173F3" w14:textId="7F877725" w:rsidR="00F151C2" w:rsidRPr="00361BCF" w:rsidRDefault="005D40B1"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Yet, in contrast to court and mock-jury studies that find that even minor inconsistencies can discredit a victim entir</w:t>
      </w:r>
      <w:r w:rsidR="002511B2" w:rsidRPr="00361BCF">
        <w:rPr>
          <w:rFonts w:ascii="Book Antiqua" w:hAnsi="Book Antiqua"/>
        </w:rPr>
        <w:t>ely, research on police officer</w:t>
      </w:r>
      <w:r w:rsidRPr="00361BCF">
        <w:rPr>
          <w:rFonts w:ascii="Book Antiqua" w:hAnsi="Book Antiqua"/>
        </w:rPr>
        <w:t xml:space="preserve"> and prosecutor perceptions of inconsistencies and gaps in the </w:t>
      </w:r>
      <w:r w:rsidR="004A346C">
        <w:rPr>
          <w:rFonts w:ascii="Book Antiqua" w:hAnsi="Book Antiqua"/>
        </w:rPr>
        <w:t>victim account</w:t>
      </w:r>
      <w:r w:rsidRPr="00361BCF">
        <w:rPr>
          <w:rFonts w:ascii="Book Antiqua" w:hAnsi="Book Antiqua"/>
        </w:rPr>
        <w:t xml:space="preserve"> does not produce the same ‘black and white’ picture. In fact, police officers and prosecutors show some awareness of the problem of memory and recall, and acknowledge that noticing and recalling extreme detail is unnatural for most people, and that a rape is a traumatic event that may impair recall, in particular when under the influence of alcohol or drugs (McMillan and Thomas</w:t>
      </w:r>
      <w:r w:rsidR="00327C15" w:rsidRPr="00361BCF">
        <w:rPr>
          <w:rFonts w:ascii="Book Antiqua" w:hAnsi="Book Antiqua"/>
        </w:rPr>
        <w:t>,</w:t>
      </w:r>
      <w:r w:rsidRPr="00361BCF">
        <w:rPr>
          <w:rFonts w:ascii="Book Antiqua" w:hAnsi="Book Antiqua"/>
        </w:rPr>
        <w:t xml:space="preserve"> 2009; O’Keeffe et al.</w:t>
      </w:r>
      <w:r w:rsidR="00327C15" w:rsidRPr="00361BCF">
        <w:rPr>
          <w:rFonts w:ascii="Book Antiqua" w:hAnsi="Book Antiqua"/>
        </w:rPr>
        <w:t>,</w:t>
      </w:r>
      <w:r w:rsidRPr="00361BCF">
        <w:rPr>
          <w:rFonts w:ascii="Book Antiqua" w:hAnsi="Book Antiqua"/>
        </w:rPr>
        <w:t xml:space="preserve"> 2009). Police officers and prosecutors perceive a certain amount of inconsistency in the victim account as normal and to be </w:t>
      </w:r>
      <w:r w:rsidRPr="00361BCF">
        <w:rPr>
          <w:rFonts w:ascii="Book Antiqua" w:hAnsi="Book Antiqua"/>
        </w:rPr>
        <w:lastRenderedPageBreak/>
        <w:t>expected, and would aim to resolve these through repeat interviewing of the complainant (Saunders</w:t>
      </w:r>
      <w:r w:rsidR="007F1303" w:rsidRPr="00361BCF">
        <w:rPr>
          <w:rFonts w:ascii="Book Antiqua" w:hAnsi="Book Antiqua"/>
        </w:rPr>
        <w:t>,</w:t>
      </w:r>
      <w:r w:rsidRPr="00361BCF">
        <w:rPr>
          <w:rFonts w:ascii="Book Antiqua" w:hAnsi="Book Antiqua"/>
        </w:rPr>
        <w:t xml:space="preserve"> 2012) – </w:t>
      </w:r>
      <w:r w:rsidR="007F1303" w:rsidRPr="00361BCF">
        <w:rPr>
          <w:rFonts w:ascii="Book Antiqua" w:hAnsi="Book Antiqua"/>
        </w:rPr>
        <w:t xml:space="preserve">although such repetition is more likely to increase the number of erroneous memory details </w:t>
      </w:r>
      <w:r w:rsidR="00826124" w:rsidRPr="00361BCF">
        <w:rPr>
          <w:rFonts w:ascii="Book Antiqua" w:hAnsi="Book Antiqua"/>
        </w:rPr>
        <w:t xml:space="preserve">incorporated in the emerging narrative </w:t>
      </w:r>
      <w:r w:rsidR="007F1303" w:rsidRPr="00361BCF">
        <w:rPr>
          <w:rFonts w:ascii="Book Antiqua" w:hAnsi="Book Antiqua"/>
        </w:rPr>
        <w:t>(</w:t>
      </w:r>
      <w:r w:rsidR="00327C15" w:rsidRPr="00361BCF">
        <w:rPr>
          <w:rFonts w:ascii="Book Antiqua" w:hAnsi="Book Antiqua"/>
          <w:lang w:val="en-US"/>
        </w:rPr>
        <w:t xml:space="preserve">Goldsmith, </w:t>
      </w:r>
      <w:proofErr w:type="spellStart"/>
      <w:r w:rsidR="00327C15" w:rsidRPr="00361BCF">
        <w:rPr>
          <w:rFonts w:ascii="Book Antiqua" w:hAnsi="Book Antiqua"/>
          <w:lang w:val="en-US"/>
        </w:rPr>
        <w:t>Koriat</w:t>
      </w:r>
      <w:proofErr w:type="spellEnd"/>
      <w:r w:rsidR="00327C15" w:rsidRPr="00361BCF">
        <w:rPr>
          <w:rFonts w:ascii="Book Antiqua" w:hAnsi="Book Antiqua"/>
          <w:lang w:val="en-US"/>
        </w:rPr>
        <w:t xml:space="preserve"> and </w:t>
      </w:r>
      <w:proofErr w:type="spellStart"/>
      <w:r w:rsidR="00327C15" w:rsidRPr="00361BCF">
        <w:rPr>
          <w:rFonts w:ascii="Book Antiqua" w:hAnsi="Book Antiqua"/>
          <w:lang w:val="en-US"/>
        </w:rPr>
        <w:t>Pansky</w:t>
      </w:r>
      <w:proofErr w:type="spellEnd"/>
      <w:r w:rsidR="0064049A" w:rsidRPr="00361BCF">
        <w:rPr>
          <w:rFonts w:ascii="Book Antiqua" w:hAnsi="Book Antiqua"/>
          <w:lang w:val="en-US"/>
        </w:rPr>
        <w:t>, 2005)</w:t>
      </w:r>
      <w:r w:rsidRPr="00361BCF">
        <w:rPr>
          <w:rFonts w:ascii="Book Antiqua" w:hAnsi="Book Antiqua"/>
        </w:rPr>
        <w:t xml:space="preserve">. What exactly the threshold for acceptable types and levels of inconsistencies in victim accounts is, </w:t>
      </w:r>
      <w:r w:rsidR="00F947D2">
        <w:rPr>
          <w:rFonts w:ascii="Book Antiqua" w:hAnsi="Book Antiqua"/>
        </w:rPr>
        <w:t xml:space="preserve">and </w:t>
      </w:r>
      <w:r w:rsidRPr="00361BCF">
        <w:rPr>
          <w:rFonts w:ascii="Book Antiqua" w:hAnsi="Book Antiqua"/>
        </w:rPr>
        <w:t>whether and how these change at different stages of the criminal justice process is unclear and in need of research. Based on the existing research it appears that</w:t>
      </w:r>
      <w:r w:rsidR="00826124" w:rsidRPr="00361BCF">
        <w:rPr>
          <w:rFonts w:ascii="Book Antiqua" w:hAnsi="Book Antiqua"/>
        </w:rPr>
        <w:t xml:space="preserve"> at the police investigation stage at least,</w:t>
      </w:r>
      <w:r w:rsidRPr="00361BCF">
        <w:rPr>
          <w:rFonts w:ascii="Book Antiqua" w:hAnsi="Book Antiqua"/>
        </w:rPr>
        <w:t xml:space="preserve"> a tacit acceptance of some inconsistencies in victim account uneasily co-exists with </w:t>
      </w:r>
      <w:r w:rsidR="002D0D1F" w:rsidRPr="00361BCF">
        <w:rPr>
          <w:rFonts w:ascii="Book Antiqua" w:hAnsi="Book Antiqua"/>
        </w:rPr>
        <w:t>awareness</w:t>
      </w:r>
      <w:r w:rsidRPr="00361BCF">
        <w:rPr>
          <w:rFonts w:ascii="Book Antiqua" w:hAnsi="Book Antiqua"/>
        </w:rPr>
        <w:t xml:space="preserve"> that even minor inconsistencies can put in jeopardy a successful prosecution. </w:t>
      </w:r>
    </w:p>
    <w:p w14:paraId="4610D5F2" w14:textId="77777777" w:rsidR="00826124" w:rsidRPr="00361BCF" w:rsidRDefault="00826124" w:rsidP="004A4CBA">
      <w:pPr>
        <w:widowControl w:val="0"/>
        <w:tabs>
          <w:tab w:val="left" w:pos="0"/>
        </w:tabs>
        <w:autoSpaceDE w:val="0"/>
        <w:autoSpaceDN w:val="0"/>
        <w:adjustRightInd w:val="0"/>
        <w:spacing w:line="360" w:lineRule="auto"/>
        <w:ind w:firstLine="567"/>
        <w:jc w:val="both"/>
        <w:rPr>
          <w:rFonts w:ascii="Book Antiqua" w:hAnsi="Book Antiqua"/>
        </w:rPr>
      </w:pPr>
    </w:p>
    <w:p w14:paraId="00FE7321" w14:textId="55315A43" w:rsidR="00D62E7D" w:rsidRPr="00361BCF" w:rsidRDefault="00826124" w:rsidP="004A4CBA">
      <w:pPr>
        <w:widowControl w:val="0"/>
        <w:tabs>
          <w:tab w:val="left" w:pos="0"/>
        </w:tabs>
        <w:autoSpaceDE w:val="0"/>
        <w:autoSpaceDN w:val="0"/>
        <w:adjustRightInd w:val="0"/>
        <w:spacing w:line="360" w:lineRule="auto"/>
        <w:ind w:firstLine="567"/>
        <w:jc w:val="both"/>
        <w:rPr>
          <w:rFonts w:ascii="Book Antiqua" w:hAnsi="Book Antiqua"/>
        </w:rPr>
      </w:pPr>
      <w:r w:rsidRPr="00361BCF">
        <w:rPr>
          <w:rFonts w:ascii="Book Antiqua" w:hAnsi="Book Antiqua"/>
        </w:rPr>
        <w:t>In summary, j</w:t>
      </w:r>
      <w:r w:rsidR="00D62E7D" w:rsidRPr="00361BCF">
        <w:rPr>
          <w:rFonts w:ascii="Book Antiqua" w:hAnsi="Book Antiqua"/>
        </w:rPr>
        <w:t>uxtaposing the above review</w:t>
      </w:r>
      <w:r w:rsidR="00860886" w:rsidRPr="00361BCF">
        <w:rPr>
          <w:rFonts w:ascii="Book Antiqua" w:hAnsi="Book Antiqua"/>
        </w:rPr>
        <w:t xml:space="preserve"> of</w:t>
      </w:r>
      <w:r w:rsidR="00D62E7D" w:rsidRPr="00361BCF">
        <w:rPr>
          <w:rFonts w:ascii="Book Antiqua" w:hAnsi="Book Antiqua"/>
        </w:rPr>
        <w:t xml:space="preserve"> memory research findings and criminal justice use of memory evidence expose</w:t>
      </w:r>
      <w:r w:rsidR="00860886" w:rsidRPr="00361BCF">
        <w:rPr>
          <w:rFonts w:ascii="Book Antiqua" w:hAnsi="Book Antiqua"/>
        </w:rPr>
        <w:t>s</w:t>
      </w:r>
      <w:r w:rsidR="00D62E7D" w:rsidRPr="00361BCF">
        <w:rPr>
          <w:rFonts w:ascii="Book Antiqua" w:hAnsi="Book Antiqua"/>
        </w:rPr>
        <w:t xml:space="preserve"> grave </w:t>
      </w:r>
      <w:r w:rsidR="0077516C" w:rsidRPr="00361BCF">
        <w:rPr>
          <w:rFonts w:ascii="Book Antiqua" w:hAnsi="Book Antiqua"/>
        </w:rPr>
        <w:t>discrepancies</w:t>
      </w:r>
      <w:r w:rsidR="00D62E7D" w:rsidRPr="00361BCF">
        <w:rPr>
          <w:rFonts w:ascii="Book Antiqua" w:hAnsi="Book Antiqua"/>
        </w:rPr>
        <w:t>. The consistent, detailed narratives police interviewing techniques aim to produce in order to increase a complaint’s chances of success are at odds with the nature of human memories which are always fragmentary, time-compressed and prone to errors of omission and commission. Vivid detail that persuade</w:t>
      </w:r>
      <w:r w:rsidR="00860886" w:rsidRPr="00361BCF">
        <w:rPr>
          <w:rFonts w:ascii="Book Antiqua" w:hAnsi="Book Antiqua"/>
        </w:rPr>
        <w:t>s</w:t>
      </w:r>
      <w:r w:rsidR="00D62E7D" w:rsidRPr="00361BCF">
        <w:rPr>
          <w:rFonts w:ascii="Book Antiqua" w:hAnsi="Book Antiqua"/>
        </w:rPr>
        <w:t xml:space="preserve"> juries of the truthfulness of the </w:t>
      </w:r>
      <w:r w:rsidR="004A346C">
        <w:rPr>
          <w:rFonts w:ascii="Book Antiqua" w:hAnsi="Book Antiqua"/>
        </w:rPr>
        <w:t>victim account</w:t>
      </w:r>
      <w:r w:rsidR="00D62E7D" w:rsidRPr="00361BCF">
        <w:rPr>
          <w:rFonts w:ascii="Book Antiqua" w:hAnsi="Book Antiqua"/>
        </w:rPr>
        <w:t xml:space="preserve"> is particularly prone to error, and victims are unlikely to recall more than a few specific details. Contrary to common belief, inconsistencies and a lack of detail are typical of human memories and poor indicators of reliable memory or </w:t>
      </w:r>
      <w:r w:rsidR="00860886" w:rsidRPr="00361BCF">
        <w:rPr>
          <w:rFonts w:ascii="Book Antiqua" w:hAnsi="Book Antiqua"/>
        </w:rPr>
        <w:t xml:space="preserve">any sort of </w:t>
      </w:r>
      <w:r w:rsidR="00EE2936">
        <w:rPr>
          <w:rFonts w:ascii="Book Antiqua" w:hAnsi="Book Antiqua"/>
        </w:rPr>
        <w:t>intention to deceive</w:t>
      </w:r>
      <w:r w:rsidR="00D62E7D" w:rsidRPr="00361BCF">
        <w:rPr>
          <w:rFonts w:ascii="Book Antiqua" w:hAnsi="Book Antiqua"/>
        </w:rPr>
        <w:t>. Whilst the detrimental effect of inconsistencies in the victim’s testimony on case progress h</w:t>
      </w:r>
      <w:r w:rsidR="00F30E3E">
        <w:rPr>
          <w:rFonts w:ascii="Book Antiqua" w:hAnsi="Book Antiqua"/>
        </w:rPr>
        <w:t xml:space="preserve">as been noted in the literature </w:t>
      </w:r>
      <w:r w:rsidR="00D62E7D" w:rsidRPr="00361BCF">
        <w:rPr>
          <w:rFonts w:ascii="Book Antiqua" w:hAnsi="Book Antiqua"/>
        </w:rPr>
        <w:t xml:space="preserve">to date there exists, to our knowledge, no systematic analysis </w:t>
      </w:r>
      <w:r w:rsidR="00046279" w:rsidRPr="00361BCF">
        <w:rPr>
          <w:rFonts w:ascii="Book Antiqua" w:hAnsi="Book Antiqua"/>
        </w:rPr>
        <w:t xml:space="preserve">of </w:t>
      </w:r>
      <w:r w:rsidR="0077516C" w:rsidRPr="00361BCF">
        <w:rPr>
          <w:rFonts w:ascii="Book Antiqua" w:hAnsi="Book Antiqua"/>
        </w:rPr>
        <w:t xml:space="preserve">the extent to which and how </w:t>
      </w:r>
      <w:r w:rsidR="00DD3C04" w:rsidRPr="00361BCF">
        <w:rPr>
          <w:rFonts w:ascii="Book Antiqua" w:hAnsi="Book Antiqua"/>
        </w:rPr>
        <w:t>these</w:t>
      </w:r>
      <w:r w:rsidR="00046279" w:rsidRPr="00361BCF">
        <w:rPr>
          <w:rFonts w:ascii="Book Antiqua" w:hAnsi="Book Antiqua"/>
        </w:rPr>
        <w:t xml:space="preserve"> and other normal features </w:t>
      </w:r>
      <w:r w:rsidR="00DD3C04" w:rsidRPr="00361BCF">
        <w:rPr>
          <w:rFonts w:ascii="Book Antiqua" w:hAnsi="Book Antiqua"/>
        </w:rPr>
        <w:t xml:space="preserve">of human memory </w:t>
      </w:r>
      <w:r w:rsidR="00860886" w:rsidRPr="00361BCF">
        <w:rPr>
          <w:rFonts w:ascii="Book Antiqua" w:hAnsi="Book Antiqua"/>
        </w:rPr>
        <w:t xml:space="preserve">impact </w:t>
      </w:r>
      <w:r w:rsidR="00DD3C04" w:rsidRPr="00361BCF">
        <w:rPr>
          <w:rFonts w:ascii="Book Antiqua" w:hAnsi="Book Antiqua"/>
        </w:rPr>
        <w:t>on the attrition problem.</w:t>
      </w:r>
    </w:p>
    <w:p w14:paraId="156801BF" w14:textId="77777777" w:rsidR="002C69F2" w:rsidRPr="00361BCF" w:rsidRDefault="002C69F2" w:rsidP="004A4CBA">
      <w:pPr>
        <w:spacing w:line="360" w:lineRule="auto"/>
        <w:ind w:firstLine="567"/>
        <w:jc w:val="both"/>
        <w:rPr>
          <w:rFonts w:ascii="Book Antiqua" w:hAnsi="Book Antiqua"/>
          <w:b/>
          <w:i/>
        </w:rPr>
      </w:pPr>
    </w:p>
    <w:p w14:paraId="30B8B365" w14:textId="2F2246AA" w:rsidR="00B84F67" w:rsidRPr="00361BCF" w:rsidRDefault="00940270" w:rsidP="004A4CBA">
      <w:pPr>
        <w:spacing w:line="360" w:lineRule="auto"/>
        <w:jc w:val="both"/>
        <w:rPr>
          <w:rFonts w:ascii="Book Antiqua" w:hAnsi="Book Antiqua"/>
          <w:b/>
        </w:rPr>
      </w:pPr>
      <w:r w:rsidRPr="00361BCF">
        <w:rPr>
          <w:rFonts w:ascii="Book Antiqua" w:hAnsi="Book Antiqua"/>
          <w:b/>
        </w:rPr>
        <w:t xml:space="preserve">From </w:t>
      </w:r>
      <w:r w:rsidR="00A3239A" w:rsidRPr="00361BCF">
        <w:rPr>
          <w:rFonts w:ascii="Book Antiqua" w:hAnsi="Book Antiqua"/>
          <w:b/>
        </w:rPr>
        <w:t>typical memories</w:t>
      </w:r>
      <w:r w:rsidR="006C5654" w:rsidRPr="00361BCF">
        <w:rPr>
          <w:rFonts w:ascii="Book Antiqua" w:hAnsi="Book Antiqua"/>
          <w:b/>
        </w:rPr>
        <w:t xml:space="preserve"> </w:t>
      </w:r>
      <w:r w:rsidRPr="00361BCF">
        <w:rPr>
          <w:rFonts w:ascii="Book Antiqua" w:hAnsi="Book Antiqua"/>
          <w:b/>
        </w:rPr>
        <w:t xml:space="preserve">to </w:t>
      </w:r>
      <w:r w:rsidR="00271859" w:rsidRPr="00361BCF">
        <w:rPr>
          <w:rFonts w:ascii="Book Antiqua" w:hAnsi="Book Antiqua"/>
          <w:b/>
        </w:rPr>
        <w:t>attrition</w:t>
      </w:r>
      <w:r w:rsidR="00A20E28" w:rsidRPr="00361BCF">
        <w:rPr>
          <w:rFonts w:ascii="Book Antiqua" w:hAnsi="Book Antiqua"/>
          <w:b/>
        </w:rPr>
        <w:t>: a conceptual model</w:t>
      </w:r>
    </w:p>
    <w:p w14:paraId="289649DB" w14:textId="6723776F" w:rsidR="006D096B" w:rsidRPr="00361BCF" w:rsidRDefault="006D096B" w:rsidP="004A4CBA">
      <w:pPr>
        <w:spacing w:line="360" w:lineRule="auto"/>
        <w:ind w:firstLine="567"/>
        <w:jc w:val="both"/>
        <w:rPr>
          <w:rFonts w:ascii="Book Antiqua" w:hAnsi="Book Antiqua"/>
        </w:rPr>
      </w:pPr>
      <w:r w:rsidRPr="00361BCF">
        <w:rPr>
          <w:rFonts w:ascii="Book Antiqua" w:hAnsi="Book Antiqua"/>
        </w:rPr>
        <w:t>Two pathways may lead from normal features of human memory to the attrition of rape allegations</w:t>
      </w:r>
      <w:r w:rsidR="001F4AA0">
        <w:rPr>
          <w:rFonts w:ascii="Book Antiqua" w:hAnsi="Book Antiqua"/>
        </w:rPr>
        <w:t xml:space="preserve">, depicted in Figure 1. </w:t>
      </w:r>
      <w:r w:rsidRPr="00361BCF">
        <w:rPr>
          <w:rFonts w:ascii="Book Antiqua" w:hAnsi="Book Antiqua"/>
        </w:rPr>
        <w:t>The first pathway</w:t>
      </w:r>
      <w:r w:rsidR="001F4AA0">
        <w:rPr>
          <w:rFonts w:ascii="Book Antiqua" w:hAnsi="Book Antiqua"/>
        </w:rPr>
        <w:t xml:space="preserve"> to attrition</w:t>
      </w:r>
      <w:r w:rsidRPr="00361BCF">
        <w:rPr>
          <w:rFonts w:ascii="Book Antiqua" w:hAnsi="Book Antiqua"/>
        </w:rPr>
        <w:t xml:space="preserve"> is victim withdrawal; the second is a criminal justice agent’s decision to drop the case or acquit t</w:t>
      </w:r>
      <w:r w:rsidR="001F4AA0">
        <w:rPr>
          <w:rFonts w:ascii="Book Antiqua" w:hAnsi="Book Antiqua"/>
        </w:rPr>
        <w:t xml:space="preserve">he defendant(s) at one of the attrition points: the police decision to ‘no crime’ the case resulting in no further investigation, the police decision to take ‘no further action </w:t>
      </w:r>
      <w:r w:rsidR="001F4AA0">
        <w:rPr>
          <w:rFonts w:ascii="Book Antiqua" w:hAnsi="Book Antiqua"/>
        </w:rPr>
        <w:lastRenderedPageBreak/>
        <w:t xml:space="preserve">(NFA)’ rather than refer the case to the CPS for charge, the CPS decision to take ‘no further action’ rather than prosecute, and finally, the jury decision to </w:t>
      </w:r>
      <w:r w:rsidR="00090BE0">
        <w:rPr>
          <w:rFonts w:ascii="Book Antiqua" w:hAnsi="Book Antiqua"/>
        </w:rPr>
        <w:t>acquit rather than convict a</w:t>
      </w:r>
      <w:r w:rsidR="001F4AA0">
        <w:rPr>
          <w:rFonts w:ascii="Book Antiqua" w:hAnsi="Book Antiqua"/>
        </w:rPr>
        <w:t xml:space="preserve"> defendan</w:t>
      </w:r>
      <w:r w:rsidR="00090BE0">
        <w:rPr>
          <w:rFonts w:ascii="Book Antiqua" w:hAnsi="Book Antiqua"/>
        </w:rPr>
        <w:t>t</w:t>
      </w:r>
      <w:r w:rsidR="001F4AA0">
        <w:rPr>
          <w:rFonts w:ascii="Book Antiqua" w:hAnsi="Book Antiqua"/>
        </w:rPr>
        <w:t xml:space="preserve">. </w:t>
      </w:r>
    </w:p>
    <w:p w14:paraId="446C7AC3" w14:textId="77777777" w:rsidR="00086BE8" w:rsidRPr="00361BCF" w:rsidRDefault="00086BE8" w:rsidP="004A4CBA">
      <w:pPr>
        <w:spacing w:line="360" w:lineRule="auto"/>
        <w:ind w:firstLine="567"/>
        <w:jc w:val="both"/>
        <w:rPr>
          <w:rFonts w:ascii="Book Antiqua" w:hAnsi="Book Antiqua"/>
          <w:b/>
        </w:rPr>
      </w:pPr>
    </w:p>
    <w:p w14:paraId="10AE5EC3" w14:textId="77777777" w:rsidR="00086BE8" w:rsidRPr="00361BCF" w:rsidRDefault="00086BE8" w:rsidP="004A4CBA">
      <w:pPr>
        <w:spacing w:line="360" w:lineRule="auto"/>
        <w:ind w:firstLine="567"/>
        <w:jc w:val="both"/>
        <w:rPr>
          <w:rFonts w:ascii="Book Antiqua" w:hAnsi="Book Antiqua"/>
          <w:b/>
        </w:rPr>
      </w:pPr>
      <w:r w:rsidRPr="00361BCF">
        <w:rPr>
          <w:rFonts w:ascii="Book Antiqua" w:hAnsi="Book Antiqua"/>
          <w:b/>
        </w:rPr>
        <w:t>- FIGURE 1 about here -</w:t>
      </w:r>
    </w:p>
    <w:p w14:paraId="0C76231A" w14:textId="77777777" w:rsidR="00A05323" w:rsidRPr="00361BCF" w:rsidRDefault="00A05323" w:rsidP="004A4CBA">
      <w:pPr>
        <w:spacing w:line="360" w:lineRule="auto"/>
        <w:ind w:firstLine="567"/>
        <w:jc w:val="both"/>
        <w:rPr>
          <w:rFonts w:ascii="Book Antiqua" w:hAnsi="Book Antiqua"/>
        </w:rPr>
      </w:pPr>
    </w:p>
    <w:p w14:paraId="2B2D6221" w14:textId="77777777" w:rsidR="0029723B" w:rsidRPr="00361BCF" w:rsidRDefault="00767A2D" w:rsidP="004A4CBA">
      <w:pPr>
        <w:spacing w:line="360" w:lineRule="auto"/>
        <w:jc w:val="both"/>
        <w:rPr>
          <w:rFonts w:ascii="Book Antiqua" w:hAnsi="Book Antiqua"/>
          <w:i/>
        </w:rPr>
      </w:pPr>
      <w:r w:rsidRPr="00361BCF">
        <w:rPr>
          <w:rFonts w:ascii="Book Antiqua" w:hAnsi="Book Antiqua"/>
          <w:i/>
        </w:rPr>
        <w:t>Victim withdrawal</w:t>
      </w:r>
    </w:p>
    <w:p w14:paraId="1A540C9B" w14:textId="642A1958" w:rsidR="00EE126E" w:rsidRPr="00361BCF" w:rsidRDefault="008B6EB4" w:rsidP="004A4CBA">
      <w:pPr>
        <w:spacing w:line="360" w:lineRule="auto"/>
        <w:ind w:firstLine="567"/>
        <w:jc w:val="both"/>
        <w:rPr>
          <w:rFonts w:ascii="Book Antiqua" w:hAnsi="Book Antiqua"/>
        </w:rPr>
      </w:pPr>
      <w:r w:rsidRPr="00361BCF">
        <w:rPr>
          <w:rFonts w:ascii="Book Antiqua" w:hAnsi="Book Antiqua"/>
        </w:rPr>
        <w:t xml:space="preserve">Complainant withdrawal from the process or retraction </w:t>
      </w:r>
      <w:r w:rsidR="0024309E" w:rsidRPr="00361BCF">
        <w:rPr>
          <w:rFonts w:ascii="Book Antiqua" w:hAnsi="Book Antiqua"/>
        </w:rPr>
        <w:t xml:space="preserve">of </w:t>
      </w:r>
      <w:r w:rsidRPr="00361BCF">
        <w:rPr>
          <w:rFonts w:ascii="Book Antiqua" w:hAnsi="Book Antiqua"/>
        </w:rPr>
        <w:t xml:space="preserve">the allegation accounts for a large </w:t>
      </w:r>
      <w:r w:rsidR="000C011F" w:rsidRPr="00361BCF">
        <w:rPr>
          <w:rFonts w:ascii="Book Antiqua" w:hAnsi="Book Antiqua"/>
        </w:rPr>
        <w:t xml:space="preserve">percentage </w:t>
      </w:r>
      <w:r w:rsidRPr="00361BCF">
        <w:rPr>
          <w:rFonts w:ascii="Book Antiqua" w:hAnsi="Book Antiqua"/>
        </w:rPr>
        <w:t>of attrition (Harris and Grace</w:t>
      </w:r>
      <w:r w:rsidR="00327C15" w:rsidRPr="00361BCF">
        <w:rPr>
          <w:rFonts w:ascii="Book Antiqua" w:hAnsi="Book Antiqua"/>
        </w:rPr>
        <w:t>,</w:t>
      </w:r>
      <w:r w:rsidRPr="00361BCF">
        <w:rPr>
          <w:rFonts w:ascii="Book Antiqua" w:hAnsi="Book Antiqua"/>
        </w:rPr>
        <w:t xml:space="preserve"> 1999; Kelly</w:t>
      </w:r>
      <w:r w:rsidR="00327C15" w:rsidRPr="00361BCF">
        <w:rPr>
          <w:rFonts w:ascii="Book Antiqua" w:hAnsi="Book Antiqua"/>
        </w:rPr>
        <w:t>,</w:t>
      </w:r>
      <w:r w:rsidRPr="00361BCF">
        <w:rPr>
          <w:rFonts w:ascii="Book Antiqua" w:hAnsi="Book Antiqua"/>
        </w:rPr>
        <w:t xml:space="preserve"> 2002, 2005). If the </w:t>
      </w:r>
      <w:r w:rsidR="00FE6DE7" w:rsidRPr="00361BCF">
        <w:rPr>
          <w:rFonts w:ascii="Book Antiqua" w:hAnsi="Book Antiqua"/>
        </w:rPr>
        <w:t>complainant</w:t>
      </w:r>
      <w:r w:rsidRPr="00361BCF">
        <w:rPr>
          <w:rFonts w:ascii="Book Antiqua" w:hAnsi="Book Antiqua"/>
        </w:rPr>
        <w:t xml:space="preserve"> </w:t>
      </w:r>
      <w:r w:rsidR="00FE6DE7" w:rsidRPr="00361BCF">
        <w:rPr>
          <w:rFonts w:ascii="Book Antiqua" w:hAnsi="Book Antiqua"/>
        </w:rPr>
        <w:t>retracts</w:t>
      </w:r>
      <w:r w:rsidRPr="00361BCF">
        <w:rPr>
          <w:rFonts w:ascii="Book Antiqua" w:hAnsi="Book Antiqua"/>
        </w:rPr>
        <w:t xml:space="preserve"> the a</w:t>
      </w:r>
      <w:r w:rsidR="00984A10" w:rsidRPr="00361BCF">
        <w:rPr>
          <w:rFonts w:ascii="Book Antiqua" w:hAnsi="Book Antiqua"/>
        </w:rPr>
        <w:t>lleg</w:t>
      </w:r>
      <w:r w:rsidR="002D1FB9">
        <w:rPr>
          <w:rFonts w:ascii="Book Antiqua" w:hAnsi="Book Antiqua"/>
        </w:rPr>
        <w:t>ation or</w:t>
      </w:r>
      <w:r w:rsidR="00853213" w:rsidRPr="00361BCF">
        <w:rPr>
          <w:rFonts w:ascii="Book Antiqua" w:hAnsi="Book Antiqua"/>
        </w:rPr>
        <w:t xml:space="preserve"> </w:t>
      </w:r>
      <w:r w:rsidR="00984A10" w:rsidRPr="00361BCF">
        <w:rPr>
          <w:rFonts w:ascii="Book Antiqua" w:hAnsi="Book Antiqua"/>
        </w:rPr>
        <w:t xml:space="preserve">refuses to </w:t>
      </w:r>
      <w:r w:rsidR="00FE6DE7" w:rsidRPr="00361BCF">
        <w:rPr>
          <w:rFonts w:ascii="Book Antiqua" w:hAnsi="Book Antiqua"/>
        </w:rPr>
        <w:t>engage</w:t>
      </w:r>
      <w:r w:rsidR="002D1FB9">
        <w:rPr>
          <w:rFonts w:ascii="Book Antiqua" w:hAnsi="Book Antiqua"/>
        </w:rPr>
        <w:t xml:space="preserve"> further</w:t>
      </w:r>
      <w:r w:rsidR="00775D02">
        <w:rPr>
          <w:rFonts w:ascii="Book Antiqua" w:hAnsi="Book Antiqua"/>
        </w:rPr>
        <w:t>,</w:t>
      </w:r>
      <w:r w:rsidRPr="00361BCF">
        <w:rPr>
          <w:rFonts w:ascii="Book Antiqua" w:hAnsi="Book Antiqua"/>
        </w:rPr>
        <w:t xml:space="preserve"> </w:t>
      </w:r>
      <w:r w:rsidR="00984A10" w:rsidRPr="00361BCF">
        <w:rPr>
          <w:rFonts w:ascii="Book Antiqua" w:hAnsi="Book Antiqua"/>
        </w:rPr>
        <w:t xml:space="preserve">police and prosecutors are usually left </w:t>
      </w:r>
      <w:r w:rsidR="00600A1E" w:rsidRPr="00361BCF">
        <w:rPr>
          <w:rFonts w:ascii="Book Antiqua" w:hAnsi="Book Antiqua"/>
        </w:rPr>
        <w:t xml:space="preserve">with </w:t>
      </w:r>
      <w:r w:rsidR="00853213" w:rsidRPr="00361BCF">
        <w:rPr>
          <w:rFonts w:ascii="Book Antiqua" w:hAnsi="Book Antiqua"/>
        </w:rPr>
        <w:t>little</w:t>
      </w:r>
      <w:r w:rsidR="00984A10" w:rsidRPr="00361BCF">
        <w:rPr>
          <w:rFonts w:ascii="Book Antiqua" w:hAnsi="Book Antiqua"/>
        </w:rPr>
        <w:t xml:space="preserve"> choice but </w:t>
      </w:r>
      <w:r w:rsidR="00600A1E" w:rsidRPr="00361BCF">
        <w:rPr>
          <w:rFonts w:ascii="Book Antiqua" w:hAnsi="Book Antiqua"/>
        </w:rPr>
        <w:t xml:space="preserve">to </w:t>
      </w:r>
      <w:r w:rsidR="00984A10" w:rsidRPr="00361BCF">
        <w:rPr>
          <w:rFonts w:ascii="Book Antiqua" w:hAnsi="Book Antiqua"/>
        </w:rPr>
        <w:t>discontinue the case</w:t>
      </w:r>
      <w:r w:rsidR="00853213" w:rsidRPr="00361BCF">
        <w:rPr>
          <w:rFonts w:ascii="Book Antiqua" w:hAnsi="Book Antiqua"/>
        </w:rPr>
        <w:t xml:space="preserve">. How police treat victims </w:t>
      </w:r>
      <w:r w:rsidRPr="00361BCF">
        <w:rPr>
          <w:rFonts w:ascii="Book Antiqua" w:hAnsi="Book Antiqua"/>
        </w:rPr>
        <w:t xml:space="preserve">plays a major part in </w:t>
      </w:r>
      <w:r w:rsidR="00853213" w:rsidRPr="00361BCF">
        <w:rPr>
          <w:rFonts w:ascii="Book Antiqua" w:hAnsi="Book Antiqua"/>
        </w:rPr>
        <w:t xml:space="preserve">their </w:t>
      </w:r>
      <w:r w:rsidRPr="00361BCF">
        <w:rPr>
          <w:rFonts w:ascii="Book Antiqua" w:hAnsi="Book Antiqua"/>
        </w:rPr>
        <w:t xml:space="preserve">willingness to stay with the process. Police interactions </w:t>
      </w:r>
      <w:r w:rsidR="001902B4" w:rsidRPr="00361BCF">
        <w:rPr>
          <w:rFonts w:ascii="Book Antiqua" w:hAnsi="Book Antiqua"/>
        </w:rPr>
        <w:t>that</w:t>
      </w:r>
      <w:r w:rsidRPr="00361BCF">
        <w:rPr>
          <w:rFonts w:ascii="Book Antiqua" w:hAnsi="Book Antiqua"/>
        </w:rPr>
        <w:t xml:space="preserve"> leave victims feel</w:t>
      </w:r>
      <w:r w:rsidR="00191E3C" w:rsidRPr="00361BCF">
        <w:rPr>
          <w:rFonts w:ascii="Book Antiqua" w:hAnsi="Book Antiqua"/>
        </w:rPr>
        <w:t>ing</w:t>
      </w:r>
      <w:r w:rsidRPr="00361BCF">
        <w:rPr>
          <w:rFonts w:ascii="Book Antiqua" w:hAnsi="Book Antiqua"/>
        </w:rPr>
        <w:t xml:space="preserve"> they are not believed, blamed for the rape, </w:t>
      </w:r>
      <w:r w:rsidR="00775D02">
        <w:rPr>
          <w:rFonts w:ascii="Book Antiqua" w:hAnsi="Book Antiqua"/>
        </w:rPr>
        <w:t xml:space="preserve">or </w:t>
      </w:r>
      <w:r w:rsidRPr="00361BCF">
        <w:rPr>
          <w:rFonts w:ascii="Book Antiqua" w:hAnsi="Book Antiqua"/>
        </w:rPr>
        <w:t xml:space="preserve">treated with a lack of dignity and empathy result in the experience of ‘secondary victimisation’ – feeling </w:t>
      </w:r>
      <w:r w:rsidR="00090BE0">
        <w:rPr>
          <w:rFonts w:ascii="Book Antiqua" w:hAnsi="Book Antiqua"/>
        </w:rPr>
        <w:t>‘</w:t>
      </w:r>
      <w:r w:rsidRPr="00361BCF">
        <w:rPr>
          <w:rFonts w:ascii="Book Antiqua" w:hAnsi="Book Antiqua"/>
        </w:rPr>
        <w:t>raped all over again</w:t>
      </w:r>
      <w:r w:rsidR="00090BE0">
        <w:rPr>
          <w:rFonts w:ascii="Book Antiqua" w:hAnsi="Book Antiqua"/>
        </w:rPr>
        <w:t>’</w:t>
      </w:r>
      <w:r w:rsidRPr="00361BCF">
        <w:rPr>
          <w:rFonts w:ascii="Book Antiqua" w:hAnsi="Book Antiqua"/>
        </w:rPr>
        <w:t xml:space="preserve"> by </w:t>
      </w:r>
      <w:r w:rsidR="00F82D87" w:rsidRPr="00361BCF">
        <w:rPr>
          <w:rFonts w:ascii="Book Antiqua" w:hAnsi="Book Antiqua"/>
        </w:rPr>
        <w:t>the</w:t>
      </w:r>
      <w:r w:rsidR="002177D7" w:rsidRPr="00361BCF">
        <w:rPr>
          <w:rFonts w:ascii="Book Antiqua" w:hAnsi="Book Antiqua"/>
        </w:rPr>
        <w:t>ir</w:t>
      </w:r>
      <w:r w:rsidRPr="00361BCF">
        <w:rPr>
          <w:rFonts w:ascii="Book Antiqua" w:hAnsi="Book Antiqua"/>
        </w:rPr>
        <w:t xml:space="preserve"> treatment </w:t>
      </w:r>
      <w:r w:rsidR="00600A1E" w:rsidRPr="00361BCF">
        <w:rPr>
          <w:rFonts w:ascii="Book Antiqua" w:hAnsi="Book Antiqua"/>
        </w:rPr>
        <w:t>as a complainant</w:t>
      </w:r>
      <w:r w:rsidRPr="00361BCF">
        <w:rPr>
          <w:rFonts w:ascii="Book Antiqua" w:hAnsi="Book Antiqua"/>
        </w:rPr>
        <w:t xml:space="preserve">. </w:t>
      </w:r>
      <w:r w:rsidR="004B200B" w:rsidRPr="00361BCF">
        <w:rPr>
          <w:rFonts w:ascii="Book Antiqua" w:hAnsi="Book Antiqua"/>
        </w:rPr>
        <w:t>Victims</w:t>
      </w:r>
      <w:r w:rsidRPr="00361BCF">
        <w:rPr>
          <w:rFonts w:ascii="Book Antiqua" w:hAnsi="Book Antiqua"/>
        </w:rPr>
        <w:t xml:space="preserve"> lose trust </w:t>
      </w:r>
      <w:r w:rsidR="000C011F" w:rsidRPr="00361BCF">
        <w:rPr>
          <w:rFonts w:ascii="Book Antiqua" w:hAnsi="Book Antiqua"/>
        </w:rPr>
        <w:t xml:space="preserve">that </w:t>
      </w:r>
      <w:r w:rsidRPr="00361BCF">
        <w:rPr>
          <w:rFonts w:ascii="Book Antiqua" w:hAnsi="Book Antiqua"/>
        </w:rPr>
        <w:t xml:space="preserve">the police and criminal justice system </w:t>
      </w:r>
      <w:r w:rsidR="000C011F" w:rsidRPr="00361BCF">
        <w:rPr>
          <w:rFonts w:ascii="Book Antiqua" w:hAnsi="Book Antiqua"/>
        </w:rPr>
        <w:t xml:space="preserve">will </w:t>
      </w:r>
      <w:r w:rsidRPr="00361BCF">
        <w:rPr>
          <w:rFonts w:ascii="Book Antiqua" w:hAnsi="Book Antiqua"/>
        </w:rPr>
        <w:t>take their complaint seriously and pursue the</w:t>
      </w:r>
      <w:r w:rsidR="00090BE0">
        <w:rPr>
          <w:rFonts w:ascii="Book Antiqua" w:hAnsi="Book Antiqua"/>
        </w:rPr>
        <w:t>ir</w:t>
      </w:r>
      <w:r w:rsidRPr="00361BCF">
        <w:rPr>
          <w:rFonts w:ascii="Book Antiqua" w:hAnsi="Book Antiqua"/>
        </w:rPr>
        <w:t xml:space="preserve"> case</w:t>
      </w:r>
      <w:r w:rsidR="00090BE0">
        <w:rPr>
          <w:rFonts w:ascii="Book Antiqua" w:hAnsi="Book Antiqua"/>
        </w:rPr>
        <w:t xml:space="preserve"> effectively</w:t>
      </w:r>
      <w:r w:rsidRPr="00361BCF">
        <w:rPr>
          <w:rFonts w:ascii="Book Antiqua" w:hAnsi="Book Antiqua"/>
        </w:rPr>
        <w:t xml:space="preserve">, and as a result withdraw from the process or retract the allegation </w:t>
      </w:r>
      <w:r w:rsidR="003823E8" w:rsidRPr="00361BCF">
        <w:rPr>
          <w:rFonts w:ascii="Book Antiqua" w:hAnsi="Book Antiqua"/>
        </w:rPr>
        <w:t>altogether</w:t>
      </w:r>
      <w:r w:rsidRPr="00361BCF">
        <w:rPr>
          <w:rFonts w:ascii="Book Antiqua" w:hAnsi="Book Antiqua"/>
        </w:rPr>
        <w:t xml:space="preserve"> (</w:t>
      </w:r>
      <w:proofErr w:type="spellStart"/>
      <w:r w:rsidRPr="00361BCF">
        <w:rPr>
          <w:rFonts w:ascii="Book Antiqua" w:hAnsi="Book Antiqua"/>
        </w:rPr>
        <w:t>Stanko</w:t>
      </w:r>
      <w:proofErr w:type="spellEnd"/>
      <w:r w:rsidR="00327C15" w:rsidRPr="00361BCF">
        <w:rPr>
          <w:rFonts w:ascii="Book Antiqua" w:hAnsi="Book Antiqua"/>
        </w:rPr>
        <w:t>,</w:t>
      </w:r>
      <w:r w:rsidR="007E0445">
        <w:rPr>
          <w:rFonts w:ascii="Book Antiqua" w:hAnsi="Book Antiqua"/>
        </w:rPr>
        <w:t xml:space="preserve"> 1985; </w:t>
      </w:r>
      <w:proofErr w:type="spellStart"/>
      <w:r w:rsidRPr="00361BCF">
        <w:rPr>
          <w:rFonts w:ascii="Book Antiqua" w:hAnsi="Book Antiqua"/>
        </w:rPr>
        <w:t>Temkin</w:t>
      </w:r>
      <w:proofErr w:type="spellEnd"/>
      <w:r w:rsidR="00327C15" w:rsidRPr="00361BCF">
        <w:rPr>
          <w:rFonts w:ascii="Book Antiqua" w:hAnsi="Book Antiqua"/>
        </w:rPr>
        <w:t>,</w:t>
      </w:r>
      <w:r w:rsidR="00471850">
        <w:rPr>
          <w:rFonts w:ascii="Book Antiqua" w:hAnsi="Book Antiqua"/>
        </w:rPr>
        <w:t xml:space="preserve"> 1997</w:t>
      </w:r>
      <w:r w:rsidRPr="00361BCF">
        <w:rPr>
          <w:rFonts w:ascii="Book Antiqua" w:hAnsi="Book Antiqua"/>
        </w:rPr>
        <w:t>; Kelly</w:t>
      </w:r>
      <w:r w:rsidR="00327C15" w:rsidRPr="00361BCF">
        <w:rPr>
          <w:rFonts w:ascii="Book Antiqua" w:hAnsi="Book Antiqua"/>
        </w:rPr>
        <w:t>,</w:t>
      </w:r>
      <w:r w:rsidRPr="00361BCF">
        <w:rPr>
          <w:rFonts w:ascii="Book Antiqua" w:hAnsi="Book Antiqua"/>
        </w:rPr>
        <w:t xml:space="preserve"> 20</w:t>
      </w:r>
      <w:r w:rsidR="00980117" w:rsidRPr="00361BCF">
        <w:rPr>
          <w:rFonts w:ascii="Book Antiqua" w:hAnsi="Book Antiqua"/>
        </w:rPr>
        <w:t>02; Jordan</w:t>
      </w:r>
      <w:r w:rsidR="00327C15" w:rsidRPr="00361BCF">
        <w:rPr>
          <w:rFonts w:ascii="Book Antiqua" w:hAnsi="Book Antiqua"/>
        </w:rPr>
        <w:t>,</w:t>
      </w:r>
      <w:r w:rsidR="00A815C2">
        <w:rPr>
          <w:rFonts w:ascii="Book Antiqua" w:hAnsi="Book Antiqua"/>
        </w:rPr>
        <w:t xml:space="preserve"> 2001</w:t>
      </w:r>
      <w:r w:rsidRPr="00361BCF">
        <w:rPr>
          <w:rFonts w:ascii="Book Antiqua" w:hAnsi="Book Antiqua"/>
        </w:rPr>
        <w:t xml:space="preserve">). </w:t>
      </w:r>
    </w:p>
    <w:p w14:paraId="69E51883" w14:textId="77777777" w:rsidR="00807722" w:rsidRDefault="001902B4" w:rsidP="004A4CBA">
      <w:pPr>
        <w:spacing w:line="360" w:lineRule="auto"/>
        <w:ind w:firstLine="567"/>
        <w:jc w:val="both"/>
        <w:rPr>
          <w:rFonts w:ascii="Book Antiqua" w:hAnsi="Book Antiqua"/>
        </w:rPr>
      </w:pPr>
      <w:r w:rsidRPr="00361BCF">
        <w:rPr>
          <w:rFonts w:ascii="Book Antiqua" w:hAnsi="Book Antiqua"/>
        </w:rPr>
        <w:t>Police</w:t>
      </w:r>
      <w:r w:rsidR="008B6EB4" w:rsidRPr="00361BCF">
        <w:rPr>
          <w:rFonts w:ascii="Book Antiqua" w:hAnsi="Book Antiqua"/>
        </w:rPr>
        <w:t xml:space="preserve"> interview techniq</w:t>
      </w:r>
      <w:r w:rsidR="00853213" w:rsidRPr="00361BCF">
        <w:rPr>
          <w:rFonts w:ascii="Book Antiqua" w:hAnsi="Book Antiqua"/>
        </w:rPr>
        <w:t>ues aimed at</w:t>
      </w:r>
      <w:r w:rsidR="00FC609E" w:rsidRPr="00361BCF">
        <w:rPr>
          <w:rFonts w:ascii="Book Antiqua" w:hAnsi="Book Antiqua"/>
        </w:rPr>
        <w:t xml:space="preserve"> </w:t>
      </w:r>
      <w:r w:rsidR="00853213" w:rsidRPr="00361BCF">
        <w:rPr>
          <w:rFonts w:ascii="Book Antiqua" w:hAnsi="Book Antiqua"/>
        </w:rPr>
        <w:t>producing</w:t>
      </w:r>
      <w:r w:rsidR="008B6EB4" w:rsidRPr="00361BCF">
        <w:rPr>
          <w:rFonts w:ascii="Book Antiqua" w:hAnsi="Book Antiqua"/>
        </w:rPr>
        <w:t xml:space="preserve"> </w:t>
      </w:r>
      <w:r w:rsidR="003823E8" w:rsidRPr="00361BCF">
        <w:rPr>
          <w:rFonts w:ascii="Book Antiqua" w:hAnsi="Book Antiqua"/>
        </w:rPr>
        <w:t>a</w:t>
      </w:r>
      <w:r w:rsidR="00FC609E" w:rsidRPr="00361BCF">
        <w:rPr>
          <w:rFonts w:ascii="Book Antiqua" w:hAnsi="Book Antiqua"/>
        </w:rPr>
        <w:t xml:space="preserve"> </w:t>
      </w:r>
      <w:r w:rsidR="00F82D87" w:rsidRPr="00361BCF">
        <w:rPr>
          <w:rFonts w:ascii="Book Antiqua" w:hAnsi="Book Antiqua"/>
        </w:rPr>
        <w:t>coherent</w:t>
      </w:r>
      <w:r w:rsidR="00FC609E" w:rsidRPr="00361BCF">
        <w:rPr>
          <w:rFonts w:ascii="Book Antiqua" w:hAnsi="Book Antiqua"/>
        </w:rPr>
        <w:t>, consistent</w:t>
      </w:r>
      <w:r w:rsidR="00853213" w:rsidRPr="00361BCF">
        <w:rPr>
          <w:rFonts w:ascii="Book Antiqua" w:hAnsi="Book Antiqua"/>
        </w:rPr>
        <w:t xml:space="preserve"> victim</w:t>
      </w:r>
      <w:r w:rsidR="00F82D87" w:rsidRPr="00361BCF">
        <w:rPr>
          <w:rFonts w:ascii="Book Antiqua" w:hAnsi="Book Antiqua"/>
        </w:rPr>
        <w:t xml:space="preserve"> account replete with </w:t>
      </w:r>
      <w:r w:rsidR="008B6EB4" w:rsidRPr="00361BCF">
        <w:rPr>
          <w:rFonts w:ascii="Book Antiqua" w:hAnsi="Book Antiqua"/>
        </w:rPr>
        <w:t>minute detail</w:t>
      </w:r>
      <w:r w:rsidR="00DB67DC" w:rsidRPr="00361BCF">
        <w:rPr>
          <w:rFonts w:ascii="Book Antiqua" w:hAnsi="Book Antiqua"/>
        </w:rPr>
        <w:t xml:space="preserve"> </w:t>
      </w:r>
      <w:r w:rsidR="00853213" w:rsidRPr="00361BCF">
        <w:rPr>
          <w:rFonts w:ascii="Book Antiqua" w:hAnsi="Book Antiqua"/>
        </w:rPr>
        <w:t>- the hallmarks of</w:t>
      </w:r>
      <w:r w:rsidR="004B200B" w:rsidRPr="00361BCF">
        <w:rPr>
          <w:rFonts w:ascii="Book Antiqua" w:hAnsi="Book Antiqua"/>
        </w:rPr>
        <w:t xml:space="preserve"> ‘good’ </w:t>
      </w:r>
      <w:r w:rsidR="00853213" w:rsidRPr="00361BCF">
        <w:rPr>
          <w:rFonts w:ascii="Book Antiqua" w:hAnsi="Book Antiqua"/>
        </w:rPr>
        <w:t>memory evidence -</w:t>
      </w:r>
      <w:r w:rsidR="00DB67DC" w:rsidRPr="00361BCF">
        <w:rPr>
          <w:rFonts w:ascii="Book Antiqua" w:hAnsi="Book Antiqua"/>
        </w:rPr>
        <w:t xml:space="preserve"> </w:t>
      </w:r>
      <w:r w:rsidR="00853213" w:rsidRPr="00361BCF">
        <w:rPr>
          <w:rFonts w:ascii="Book Antiqua" w:hAnsi="Book Antiqua"/>
        </w:rPr>
        <w:t>may play a major part in victim</w:t>
      </w:r>
      <w:r w:rsidR="008B6EB4" w:rsidRPr="00361BCF">
        <w:rPr>
          <w:rFonts w:ascii="Book Antiqua" w:hAnsi="Book Antiqua"/>
        </w:rPr>
        <w:t xml:space="preserve">s feeling disbelieved. </w:t>
      </w:r>
      <w:r w:rsidR="00853213" w:rsidRPr="00361BCF">
        <w:rPr>
          <w:rFonts w:ascii="Book Antiqua" w:hAnsi="Book Antiqua"/>
        </w:rPr>
        <w:t>Such</w:t>
      </w:r>
      <w:r w:rsidR="00980117" w:rsidRPr="00361BCF">
        <w:rPr>
          <w:rFonts w:ascii="Book Antiqua" w:hAnsi="Book Antiqua"/>
        </w:rPr>
        <w:t xml:space="preserve"> interviewing techniques involve painstaking attention to seemingly irrelevant</w:t>
      </w:r>
      <w:r w:rsidR="00600A1E" w:rsidRPr="00361BCF">
        <w:rPr>
          <w:rFonts w:ascii="Book Antiqua" w:hAnsi="Book Antiqua"/>
        </w:rPr>
        <w:t xml:space="preserve">, </w:t>
      </w:r>
      <w:r w:rsidR="00EA7093" w:rsidRPr="00361BCF">
        <w:rPr>
          <w:rFonts w:ascii="Book Antiqua" w:hAnsi="Book Antiqua"/>
        </w:rPr>
        <w:t>insignificant</w:t>
      </w:r>
      <w:r w:rsidR="00600A1E" w:rsidRPr="00361BCF">
        <w:rPr>
          <w:rFonts w:ascii="Book Antiqua" w:hAnsi="Book Antiqua"/>
        </w:rPr>
        <w:t>, and peripheral</w:t>
      </w:r>
      <w:r w:rsidR="00980117" w:rsidRPr="00361BCF">
        <w:rPr>
          <w:rFonts w:ascii="Book Antiqua" w:hAnsi="Book Antiqua"/>
        </w:rPr>
        <w:t xml:space="preserve"> detail</w:t>
      </w:r>
      <w:r w:rsidR="00600A1E" w:rsidRPr="00361BCF">
        <w:rPr>
          <w:rFonts w:ascii="Book Antiqua" w:hAnsi="Book Antiqua"/>
        </w:rPr>
        <w:t>s</w:t>
      </w:r>
      <w:r w:rsidR="00980117" w:rsidRPr="00361BCF">
        <w:rPr>
          <w:rFonts w:ascii="Book Antiqua" w:hAnsi="Book Antiqua"/>
        </w:rPr>
        <w:t xml:space="preserve"> </w:t>
      </w:r>
      <w:r w:rsidR="000C011F" w:rsidRPr="00361BCF">
        <w:rPr>
          <w:rFonts w:ascii="Book Antiqua" w:hAnsi="Book Antiqua"/>
        </w:rPr>
        <w:t xml:space="preserve">that </w:t>
      </w:r>
      <w:r w:rsidR="00980117" w:rsidRPr="00361BCF">
        <w:rPr>
          <w:rFonts w:ascii="Book Antiqua" w:hAnsi="Book Antiqua"/>
        </w:rPr>
        <w:t xml:space="preserve">victims </w:t>
      </w:r>
      <w:r w:rsidR="00600A1E" w:rsidRPr="00361BCF">
        <w:rPr>
          <w:rFonts w:ascii="Book Antiqua" w:hAnsi="Book Antiqua"/>
        </w:rPr>
        <w:t xml:space="preserve">(rightly) </w:t>
      </w:r>
      <w:r w:rsidR="00980117" w:rsidRPr="00361BCF">
        <w:rPr>
          <w:rFonts w:ascii="Book Antiqua" w:hAnsi="Book Antiqua"/>
        </w:rPr>
        <w:t xml:space="preserve">find difficult or impossible to </w:t>
      </w:r>
      <w:r w:rsidR="003823E8" w:rsidRPr="00361BCF">
        <w:rPr>
          <w:rFonts w:ascii="Book Antiqua" w:hAnsi="Book Antiqua"/>
        </w:rPr>
        <w:t>recall</w:t>
      </w:r>
      <w:r w:rsidR="00600A1E" w:rsidRPr="00361BCF">
        <w:rPr>
          <w:rFonts w:ascii="Book Antiqua" w:hAnsi="Book Antiqua"/>
        </w:rPr>
        <w:t>. Repeated</w:t>
      </w:r>
      <w:r w:rsidR="00980117" w:rsidRPr="00361BCF">
        <w:rPr>
          <w:rFonts w:ascii="Book Antiqua" w:hAnsi="Book Antiqua"/>
        </w:rPr>
        <w:t xml:space="preserve"> probing </w:t>
      </w:r>
      <w:r w:rsidR="000C011F" w:rsidRPr="00361BCF">
        <w:rPr>
          <w:rFonts w:ascii="Book Antiqua" w:hAnsi="Book Antiqua"/>
        </w:rPr>
        <w:t xml:space="preserve">a </w:t>
      </w:r>
      <w:r w:rsidR="00980117" w:rsidRPr="00361BCF">
        <w:rPr>
          <w:rFonts w:ascii="Book Antiqua" w:hAnsi="Book Antiqua"/>
        </w:rPr>
        <w:t xml:space="preserve">victim’s recollections </w:t>
      </w:r>
      <w:r w:rsidRPr="00361BCF">
        <w:rPr>
          <w:rFonts w:ascii="Book Antiqua" w:hAnsi="Book Antiqua"/>
        </w:rPr>
        <w:t xml:space="preserve">and </w:t>
      </w:r>
      <w:r w:rsidR="000C011F" w:rsidRPr="00361BCF">
        <w:rPr>
          <w:rFonts w:ascii="Book Antiqua" w:hAnsi="Book Antiqua"/>
        </w:rPr>
        <w:t xml:space="preserve">questioning them </w:t>
      </w:r>
      <w:r w:rsidR="00EA7093" w:rsidRPr="00361BCF">
        <w:rPr>
          <w:rFonts w:ascii="Book Antiqua" w:hAnsi="Book Antiqua"/>
        </w:rPr>
        <w:t>on apparent inconsistencies</w:t>
      </w:r>
      <w:r w:rsidR="00980117" w:rsidRPr="00361BCF">
        <w:rPr>
          <w:rFonts w:ascii="Book Antiqua" w:hAnsi="Book Antiqua"/>
        </w:rPr>
        <w:t>,</w:t>
      </w:r>
      <w:r w:rsidR="00B70459" w:rsidRPr="00361BCF">
        <w:rPr>
          <w:rFonts w:ascii="Book Antiqua" w:hAnsi="Book Antiqua"/>
        </w:rPr>
        <w:t xml:space="preserve"> and</w:t>
      </w:r>
      <w:r w:rsidR="00980117" w:rsidRPr="00361BCF">
        <w:rPr>
          <w:rFonts w:ascii="Book Antiqua" w:hAnsi="Book Antiqua"/>
        </w:rPr>
        <w:t xml:space="preserve"> </w:t>
      </w:r>
      <w:r w:rsidR="00FC609E" w:rsidRPr="00361BCF">
        <w:rPr>
          <w:rFonts w:ascii="Book Antiqua" w:hAnsi="Book Antiqua"/>
        </w:rPr>
        <w:t>repetition of the same questions</w:t>
      </w:r>
      <w:r w:rsidR="00980117" w:rsidRPr="00361BCF">
        <w:rPr>
          <w:rFonts w:ascii="Book Antiqua" w:hAnsi="Book Antiqua"/>
        </w:rPr>
        <w:t xml:space="preserve"> </w:t>
      </w:r>
      <w:r w:rsidR="00EA7093" w:rsidRPr="00361BCF">
        <w:rPr>
          <w:rFonts w:ascii="Book Antiqua" w:hAnsi="Book Antiqua"/>
        </w:rPr>
        <w:t xml:space="preserve">at different points </w:t>
      </w:r>
      <w:r w:rsidRPr="00361BCF">
        <w:rPr>
          <w:rFonts w:ascii="Book Antiqua" w:hAnsi="Book Antiqua"/>
        </w:rPr>
        <w:t xml:space="preserve">in the interview </w:t>
      </w:r>
      <w:r w:rsidR="00EA7093" w:rsidRPr="00361BCF">
        <w:rPr>
          <w:rFonts w:ascii="Book Antiqua" w:hAnsi="Book Antiqua"/>
        </w:rPr>
        <w:t xml:space="preserve">and/or </w:t>
      </w:r>
      <w:r w:rsidR="00980117" w:rsidRPr="00361BCF">
        <w:rPr>
          <w:rFonts w:ascii="Book Antiqua" w:hAnsi="Book Antiqua"/>
        </w:rPr>
        <w:t>by d</w:t>
      </w:r>
      <w:r w:rsidR="00EA7093" w:rsidRPr="00361BCF">
        <w:rPr>
          <w:rFonts w:ascii="Book Antiqua" w:hAnsi="Book Antiqua"/>
        </w:rPr>
        <w:t>ifferent interviewing officers</w:t>
      </w:r>
      <w:r w:rsidR="00600A1E" w:rsidRPr="00361BCF">
        <w:rPr>
          <w:rFonts w:ascii="Book Antiqua" w:hAnsi="Book Antiqua"/>
        </w:rPr>
        <w:t>, also serve to deter</w:t>
      </w:r>
      <w:r w:rsidR="00980117" w:rsidRPr="00361BCF">
        <w:rPr>
          <w:rFonts w:ascii="Book Antiqua" w:hAnsi="Book Antiqua"/>
        </w:rPr>
        <w:t xml:space="preserve">. </w:t>
      </w:r>
      <w:r w:rsidRPr="00361BCF">
        <w:rPr>
          <w:rFonts w:ascii="Book Antiqua" w:hAnsi="Book Antiqua"/>
        </w:rPr>
        <w:t>Police</w:t>
      </w:r>
      <w:r w:rsidR="004B200B" w:rsidRPr="00361BCF">
        <w:rPr>
          <w:rFonts w:ascii="Book Antiqua" w:hAnsi="Book Antiqua"/>
        </w:rPr>
        <w:t xml:space="preserve"> in-depth</w:t>
      </w:r>
      <w:r w:rsidR="008B6EB4" w:rsidRPr="00361BCF">
        <w:rPr>
          <w:rFonts w:ascii="Book Antiqua" w:hAnsi="Book Antiqua"/>
        </w:rPr>
        <w:t xml:space="preserve"> interview</w:t>
      </w:r>
      <w:r w:rsidRPr="00361BCF">
        <w:rPr>
          <w:rFonts w:ascii="Book Antiqua" w:hAnsi="Book Antiqua"/>
        </w:rPr>
        <w:t>s</w:t>
      </w:r>
      <w:r w:rsidR="008B6EB4" w:rsidRPr="00361BCF">
        <w:rPr>
          <w:rFonts w:ascii="Book Antiqua" w:hAnsi="Book Antiqua"/>
        </w:rPr>
        <w:t xml:space="preserve"> </w:t>
      </w:r>
      <w:r w:rsidRPr="00361BCF">
        <w:rPr>
          <w:rFonts w:ascii="Book Antiqua" w:hAnsi="Book Antiqua"/>
        </w:rPr>
        <w:t>are lengthy</w:t>
      </w:r>
      <w:r w:rsidR="00E00FC2" w:rsidRPr="00361BCF">
        <w:rPr>
          <w:rFonts w:ascii="Book Antiqua" w:hAnsi="Book Antiqua"/>
        </w:rPr>
        <w:t xml:space="preserve"> </w:t>
      </w:r>
      <w:r w:rsidRPr="00361BCF">
        <w:rPr>
          <w:rFonts w:ascii="Book Antiqua" w:hAnsi="Book Antiqua"/>
        </w:rPr>
        <w:t>and majorly shape</w:t>
      </w:r>
      <w:r w:rsidR="008B6EB4" w:rsidRPr="00361BCF">
        <w:rPr>
          <w:rFonts w:ascii="Book Antiqua" w:hAnsi="Book Antiqua"/>
        </w:rPr>
        <w:t xml:space="preserve"> complainants</w:t>
      </w:r>
      <w:r w:rsidRPr="00361BCF">
        <w:rPr>
          <w:rFonts w:ascii="Book Antiqua" w:hAnsi="Book Antiqua"/>
        </w:rPr>
        <w:t>’</w:t>
      </w:r>
      <w:r w:rsidR="008B6EB4" w:rsidRPr="00361BCF">
        <w:rPr>
          <w:rFonts w:ascii="Book Antiqua" w:hAnsi="Book Antiqua"/>
        </w:rPr>
        <w:t xml:space="preserve"> experi</w:t>
      </w:r>
      <w:r w:rsidRPr="00361BCF">
        <w:rPr>
          <w:rFonts w:ascii="Book Antiqua" w:hAnsi="Book Antiqua"/>
        </w:rPr>
        <w:t xml:space="preserve">ence of the police. </w:t>
      </w:r>
      <w:r w:rsidR="00853213" w:rsidRPr="00361BCF">
        <w:rPr>
          <w:rFonts w:ascii="Book Antiqua" w:hAnsi="Book Antiqua"/>
        </w:rPr>
        <w:t>They</w:t>
      </w:r>
      <w:r w:rsidR="008B6EB4" w:rsidRPr="00361BCF">
        <w:rPr>
          <w:rFonts w:ascii="Book Antiqua" w:hAnsi="Book Antiqua"/>
        </w:rPr>
        <w:t xml:space="preserve"> </w:t>
      </w:r>
      <w:r w:rsidR="00EA7093" w:rsidRPr="00361BCF">
        <w:rPr>
          <w:rFonts w:ascii="Book Antiqua" w:hAnsi="Book Antiqua"/>
        </w:rPr>
        <w:t xml:space="preserve">can </w:t>
      </w:r>
      <w:r w:rsidR="004B200B" w:rsidRPr="00361BCF">
        <w:rPr>
          <w:rFonts w:ascii="Book Antiqua" w:hAnsi="Book Antiqua"/>
        </w:rPr>
        <w:t>leave</w:t>
      </w:r>
      <w:r w:rsidR="008B6EB4" w:rsidRPr="00361BCF">
        <w:rPr>
          <w:rFonts w:ascii="Book Antiqua" w:hAnsi="Book Antiqua"/>
        </w:rPr>
        <w:t xml:space="preserve"> victims feel</w:t>
      </w:r>
      <w:r w:rsidR="00B70459" w:rsidRPr="00361BCF">
        <w:rPr>
          <w:rFonts w:ascii="Book Antiqua" w:hAnsi="Book Antiqua"/>
        </w:rPr>
        <w:t>ing</w:t>
      </w:r>
      <w:r w:rsidR="008B6EB4" w:rsidRPr="00361BCF">
        <w:rPr>
          <w:rFonts w:ascii="Book Antiqua" w:hAnsi="Book Antiqua"/>
        </w:rPr>
        <w:t xml:space="preserve"> </w:t>
      </w:r>
      <w:r w:rsidR="004B200B" w:rsidRPr="00361BCF">
        <w:rPr>
          <w:rFonts w:ascii="Book Antiqua" w:hAnsi="Book Antiqua"/>
        </w:rPr>
        <w:t xml:space="preserve">disbelieved, </w:t>
      </w:r>
      <w:r w:rsidR="008B6EB4" w:rsidRPr="00361BCF">
        <w:rPr>
          <w:rFonts w:ascii="Book Antiqua" w:hAnsi="Book Antiqua"/>
        </w:rPr>
        <w:t>confused</w:t>
      </w:r>
      <w:r w:rsidR="004B200B" w:rsidRPr="00361BCF">
        <w:rPr>
          <w:rFonts w:ascii="Book Antiqua" w:hAnsi="Book Antiqua"/>
        </w:rPr>
        <w:t xml:space="preserve"> about their memory of the rape</w:t>
      </w:r>
      <w:r w:rsidR="008B6EB4" w:rsidRPr="00361BCF">
        <w:rPr>
          <w:rFonts w:ascii="Book Antiqua" w:hAnsi="Book Antiqua"/>
        </w:rPr>
        <w:t>, irritated</w:t>
      </w:r>
      <w:r w:rsidR="00B70459" w:rsidRPr="00361BCF">
        <w:rPr>
          <w:rFonts w:ascii="Book Antiqua" w:hAnsi="Book Antiqua"/>
        </w:rPr>
        <w:t>, upset</w:t>
      </w:r>
      <w:r w:rsidR="008B6EB4" w:rsidRPr="00361BCF">
        <w:rPr>
          <w:rFonts w:ascii="Book Antiqua" w:hAnsi="Book Antiqua"/>
        </w:rPr>
        <w:t>, and unwilling to continue the process</w:t>
      </w:r>
      <w:r w:rsidR="00EA7093" w:rsidRPr="00361BCF">
        <w:rPr>
          <w:rFonts w:ascii="Book Antiqua" w:hAnsi="Book Antiqua"/>
        </w:rPr>
        <w:t xml:space="preserve"> (McMillan and Thomas</w:t>
      </w:r>
      <w:r w:rsidR="00327C15" w:rsidRPr="00361BCF">
        <w:rPr>
          <w:rFonts w:ascii="Book Antiqua" w:hAnsi="Book Antiqua"/>
        </w:rPr>
        <w:t>,</w:t>
      </w:r>
      <w:r w:rsidR="00EA7093" w:rsidRPr="00361BCF">
        <w:rPr>
          <w:rFonts w:ascii="Book Antiqua" w:hAnsi="Book Antiqua"/>
        </w:rPr>
        <w:t xml:space="preserve"> 200</w:t>
      </w:r>
      <w:r w:rsidR="003A3D8E" w:rsidRPr="00361BCF">
        <w:rPr>
          <w:rFonts w:ascii="Book Antiqua" w:hAnsi="Book Antiqua"/>
        </w:rPr>
        <w:t>9;</w:t>
      </w:r>
      <w:r w:rsidR="00EA7093" w:rsidRPr="00361BCF">
        <w:rPr>
          <w:rFonts w:ascii="Book Antiqua" w:hAnsi="Book Antiqua"/>
        </w:rPr>
        <w:t xml:space="preserve"> O’Keeffe et al.</w:t>
      </w:r>
      <w:r w:rsidR="00327C15" w:rsidRPr="00361BCF">
        <w:rPr>
          <w:rFonts w:ascii="Book Antiqua" w:hAnsi="Book Antiqua"/>
        </w:rPr>
        <w:t>,</w:t>
      </w:r>
      <w:r w:rsidR="00EA7093" w:rsidRPr="00361BCF">
        <w:rPr>
          <w:rFonts w:ascii="Book Antiqua" w:hAnsi="Book Antiqua"/>
        </w:rPr>
        <w:t xml:space="preserve"> 2009)</w:t>
      </w:r>
      <w:r w:rsidR="008B6EB4" w:rsidRPr="00361BCF">
        <w:rPr>
          <w:rFonts w:ascii="Book Antiqua" w:hAnsi="Book Antiqua"/>
        </w:rPr>
        <w:t>.</w:t>
      </w:r>
      <w:r w:rsidR="00853213" w:rsidRPr="00361BCF">
        <w:rPr>
          <w:rFonts w:ascii="Book Antiqua" w:hAnsi="Book Antiqua"/>
        </w:rPr>
        <w:t xml:space="preserve"> </w:t>
      </w:r>
    </w:p>
    <w:p w14:paraId="25744C7C" w14:textId="14EA3F1F" w:rsidR="008B6EB4" w:rsidRPr="00361BCF" w:rsidRDefault="00B81EE7" w:rsidP="004A4CBA">
      <w:pPr>
        <w:spacing w:line="360" w:lineRule="auto"/>
        <w:ind w:firstLine="567"/>
        <w:jc w:val="both"/>
        <w:rPr>
          <w:rFonts w:ascii="Book Antiqua" w:hAnsi="Book Antiqua"/>
        </w:rPr>
      </w:pPr>
      <w:r w:rsidRPr="00361BCF">
        <w:rPr>
          <w:rFonts w:ascii="Book Antiqua" w:hAnsi="Book Antiqua"/>
        </w:rPr>
        <w:lastRenderedPageBreak/>
        <w:t xml:space="preserve">In </w:t>
      </w:r>
      <w:r w:rsidR="00807722">
        <w:rPr>
          <w:rFonts w:ascii="Book Antiqua" w:hAnsi="Book Antiqua"/>
        </w:rPr>
        <w:t>short</w:t>
      </w:r>
      <w:r w:rsidRPr="00361BCF">
        <w:rPr>
          <w:rFonts w:ascii="Book Antiqua" w:hAnsi="Book Antiqua"/>
        </w:rPr>
        <w:t>, c</w:t>
      </w:r>
      <w:r w:rsidR="001902B4" w:rsidRPr="00361BCF">
        <w:rPr>
          <w:rFonts w:ascii="Book Antiqua" w:hAnsi="Book Antiqua"/>
        </w:rPr>
        <w:t xml:space="preserve">riminal justice criteria </w:t>
      </w:r>
      <w:r w:rsidR="00B70459" w:rsidRPr="00361BCF">
        <w:rPr>
          <w:rFonts w:ascii="Book Antiqua" w:hAnsi="Book Antiqua"/>
        </w:rPr>
        <w:t xml:space="preserve">for </w:t>
      </w:r>
      <w:r w:rsidR="00EE126E" w:rsidRPr="00361BCF">
        <w:rPr>
          <w:rFonts w:ascii="Book Antiqua" w:hAnsi="Book Antiqua"/>
        </w:rPr>
        <w:t>‘</w:t>
      </w:r>
      <w:r w:rsidR="003823E8" w:rsidRPr="00361BCF">
        <w:rPr>
          <w:rFonts w:ascii="Book Antiqua" w:hAnsi="Book Antiqua"/>
        </w:rPr>
        <w:t>convincing</w:t>
      </w:r>
      <w:r w:rsidR="00EE126E" w:rsidRPr="00361BCF">
        <w:rPr>
          <w:rFonts w:ascii="Book Antiqua" w:hAnsi="Book Antiqua"/>
        </w:rPr>
        <w:t>’</w:t>
      </w:r>
      <w:r w:rsidR="001902B4" w:rsidRPr="00361BCF">
        <w:rPr>
          <w:rFonts w:ascii="Book Antiqua" w:hAnsi="Book Antiqua"/>
        </w:rPr>
        <w:t xml:space="preserve"> memory evidence </w:t>
      </w:r>
      <w:r w:rsidR="0024309E" w:rsidRPr="00361BCF">
        <w:rPr>
          <w:rFonts w:ascii="Book Antiqua" w:hAnsi="Book Antiqua"/>
        </w:rPr>
        <w:t>give rise to</w:t>
      </w:r>
      <w:r w:rsidR="008B6EB4" w:rsidRPr="00361BCF">
        <w:rPr>
          <w:rFonts w:ascii="Book Antiqua" w:hAnsi="Book Antiqua"/>
        </w:rPr>
        <w:t xml:space="preserve"> </w:t>
      </w:r>
      <w:r w:rsidR="004B200B" w:rsidRPr="00361BCF">
        <w:rPr>
          <w:rFonts w:ascii="Book Antiqua" w:hAnsi="Book Antiqua"/>
        </w:rPr>
        <w:t>police</w:t>
      </w:r>
      <w:r w:rsidR="008B6EB4" w:rsidRPr="00361BCF">
        <w:rPr>
          <w:rFonts w:ascii="Book Antiqua" w:hAnsi="Book Antiqua"/>
        </w:rPr>
        <w:t xml:space="preserve"> interview</w:t>
      </w:r>
      <w:r w:rsidR="0024309E" w:rsidRPr="00361BCF">
        <w:rPr>
          <w:rFonts w:ascii="Book Antiqua" w:hAnsi="Book Antiqua"/>
        </w:rPr>
        <w:t>ing techniques that</w:t>
      </w:r>
      <w:r w:rsidR="001902B4" w:rsidRPr="00361BCF">
        <w:rPr>
          <w:rFonts w:ascii="Book Antiqua" w:hAnsi="Book Antiqua"/>
        </w:rPr>
        <w:t xml:space="preserve"> can result in</w:t>
      </w:r>
      <w:r w:rsidR="008B6EB4" w:rsidRPr="00361BCF">
        <w:rPr>
          <w:rFonts w:ascii="Book Antiqua" w:hAnsi="Book Antiqua"/>
        </w:rPr>
        <w:t xml:space="preserve"> feelings of secondary victimisation </w:t>
      </w:r>
      <w:r w:rsidR="004B200B" w:rsidRPr="00361BCF">
        <w:rPr>
          <w:rFonts w:ascii="Book Antiqua" w:hAnsi="Book Antiqua"/>
        </w:rPr>
        <w:t>in</w:t>
      </w:r>
      <w:r w:rsidR="008B6EB4" w:rsidRPr="00361BCF">
        <w:rPr>
          <w:rFonts w:ascii="Book Antiqua" w:hAnsi="Book Antiqua"/>
        </w:rPr>
        <w:t xml:space="preserve"> the </w:t>
      </w:r>
      <w:r w:rsidR="004B200B" w:rsidRPr="00361BCF">
        <w:rPr>
          <w:rFonts w:ascii="Book Antiqua" w:hAnsi="Book Antiqua"/>
        </w:rPr>
        <w:t>complainant</w:t>
      </w:r>
      <w:r w:rsidR="0024309E" w:rsidRPr="00361BCF">
        <w:rPr>
          <w:rFonts w:ascii="Book Antiqua" w:hAnsi="Book Antiqua"/>
        </w:rPr>
        <w:t>. Secondary victimisation</w:t>
      </w:r>
      <w:r w:rsidR="00F8086F" w:rsidRPr="00361BCF">
        <w:rPr>
          <w:rFonts w:ascii="Book Antiqua" w:hAnsi="Book Antiqua"/>
        </w:rPr>
        <w:t xml:space="preserve"> experiences</w:t>
      </w:r>
      <w:r w:rsidR="0024309E" w:rsidRPr="00361BCF">
        <w:rPr>
          <w:rFonts w:ascii="Book Antiqua" w:hAnsi="Book Antiqua"/>
        </w:rPr>
        <w:t xml:space="preserve"> can trigger</w:t>
      </w:r>
      <w:r w:rsidR="008B6EB4" w:rsidRPr="00361BCF">
        <w:rPr>
          <w:rFonts w:ascii="Book Antiqua" w:hAnsi="Book Antiqua"/>
        </w:rPr>
        <w:t xml:space="preserve"> </w:t>
      </w:r>
      <w:r w:rsidR="0024309E" w:rsidRPr="00361BCF">
        <w:rPr>
          <w:rFonts w:ascii="Book Antiqua" w:hAnsi="Book Antiqua"/>
        </w:rPr>
        <w:t xml:space="preserve">complainant withdrawal. Complainant withdrawal, </w:t>
      </w:r>
      <w:r w:rsidR="004B200B" w:rsidRPr="00361BCF">
        <w:rPr>
          <w:rFonts w:ascii="Book Antiqua" w:hAnsi="Book Antiqua"/>
        </w:rPr>
        <w:t>in turn</w:t>
      </w:r>
      <w:r w:rsidR="0024309E" w:rsidRPr="00361BCF">
        <w:rPr>
          <w:rFonts w:ascii="Book Antiqua" w:hAnsi="Book Antiqua"/>
        </w:rPr>
        <w:t>,</w:t>
      </w:r>
      <w:r w:rsidR="004B200B" w:rsidRPr="00361BCF">
        <w:rPr>
          <w:rFonts w:ascii="Book Antiqua" w:hAnsi="Book Antiqua"/>
        </w:rPr>
        <w:t xml:space="preserve"> typically </w:t>
      </w:r>
      <w:r w:rsidR="008B6EB4" w:rsidRPr="00361BCF">
        <w:rPr>
          <w:rFonts w:ascii="Book Antiqua" w:hAnsi="Book Antiqua"/>
        </w:rPr>
        <w:t xml:space="preserve">results in the case being </w:t>
      </w:r>
      <w:r w:rsidR="004B200B" w:rsidRPr="00361BCF">
        <w:rPr>
          <w:rFonts w:ascii="Book Antiqua" w:hAnsi="Book Antiqua"/>
        </w:rPr>
        <w:t>discontinued</w:t>
      </w:r>
      <w:r w:rsidR="008B6EB4" w:rsidRPr="00361BCF">
        <w:rPr>
          <w:rFonts w:ascii="Book Antiqua" w:hAnsi="Book Antiqua"/>
        </w:rPr>
        <w:t xml:space="preserve">. </w:t>
      </w:r>
    </w:p>
    <w:p w14:paraId="79A6F108" w14:textId="78BE7EAF" w:rsidR="003E2396" w:rsidRPr="00361BCF" w:rsidRDefault="008B6EB4" w:rsidP="004A4CBA">
      <w:pPr>
        <w:tabs>
          <w:tab w:val="left" w:pos="1360"/>
        </w:tabs>
        <w:spacing w:line="360" w:lineRule="auto"/>
        <w:ind w:firstLine="567"/>
        <w:jc w:val="both"/>
        <w:rPr>
          <w:rFonts w:ascii="Book Antiqua" w:hAnsi="Book Antiqua"/>
        </w:rPr>
      </w:pPr>
      <w:r w:rsidRPr="00361BCF">
        <w:rPr>
          <w:rFonts w:ascii="Book Antiqua" w:hAnsi="Book Antiqua"/>
        </w:rPr>
        <w:t xml:space="preserve"> </w:t>
      </w:r>
      <w:r w:rsidR="002B5B04" w:rsidRPr="00361BCF">
        <w:rPr>
          <w:rFonts w:ascii="Book Antiqua" w:hAnsi="Book Antiqua"/>
        </w:rPr>
        <w:tab/>
      </w:r>
    </w:p>
    <w:p w14:paraId="1479C4C2" w14:textId="081FA030" w:rsidR="009211D2" w:rsidRPr="00361BCF" w:rsidRDefault="00A3239A" w:rsidP="004A4CBA">
      <w:pPr>
        <w:spacing w:line="360" w:lineRule="auto"/>
        <w:jc w:val="both"/>
        <w:rPr>
          <w:rFonts w:ascii="Book Antiqua" w:hAnsi="Book Antiqua"/>
          <w:i/>
        </w:rPr>
      </w:pPr>
      <w:r w:rsidRPr="00361BCF">
        <w:rPr>
          <w:rFonts w:ascii="Book Antiqua" w:hAnsi="Book Antiqua"/>
          <w:i/>
        </w:rPr>
        <w:t>Police and prosecution</w:t>
      </w:r>
      <w:r w:rsidR="002B5B04" w:rsidRPr="00361BCF">
        <w:rPr>
          <w:rFonts w:ascii="Book Antiqua" w:hAnsi="Book Antiqua"/>
          <w:i/>
        </w:rPr>
        <w:t xml:space="preserve"> decisions to drop the case</w:t>
      </w:r>
    </w:p>
    <w:p w14:paraId="1E7DFBE7" w14:textId="4B800299" w:rsidR="00CB6BA0" w:rsidRPr="00361BCF" w:rsidRDefault="00AF79DE" w:rsidP="004A4CBA">
      <w:pPr>
        <w:spacing w:line="360" w:lineRule="auto"/>
        <w:ind w:firstLine="567"/>
        <w:jc w:val="both"/>
        <w:rPr>
          <w:rFonts w:ascii="Book Antiqua" w:hAnsi="Book Antiqua"/>
        </w:rPr>
      </w:pPr>
      <w:r w:rsidRPr="00361BCF">
        <w:rPr>
          <w:rFonts w:ascii="Book Antiqua" w:hAnsi="Book Antiqua"/>
        </w:rPr>
        <w:t xml:space="preserve">There are </w:t>
      </w:r>
      <w:r w:rsidR="005363C2" w:rsidRPr="00361BCF">
        <w:rPr>
          <w:rFonts w:ascii="Book Antiqua" w:hAnsi="Book Antiqua"/>
        </w:rPr>
        <w:t>several</w:t>
      </w:r>
      <w:r w:rsidRPr="00361BCF">
        <w:rPr>
          <w:rFonts w:ascii="Book Antiqua" w:hAnsi="Book Antiqua"/>
        </w:rPr>
        <w:t xml:space="preserve"> attrition points a rape complaint must successfully </w:t>
      </w:r>
      <w:r w:rsidR="000A3820" w:rsidRPr="00361BCF">
        <w:rPr>
          <w:rFonts w:ascii="Book Antiqua" w:hAnsi="Book Antiqua"/>
        </w:rPr>
        <w:t>navigate</w:t>
      </w:r>
      <w:r w:rsidRPr="00361BCF">
        <w:rPr>
          <w:rFonts w:ascii="Book Antiqua" w:hAnsi="Book Antiqua"/>
        </w:rPr>
        <w:t xml:space="preserve"> to result in a co</w:t>
      </w:r>
      <w:r w:rsidR="00510B59" w:rsidRPr="00361BCF">
        <w:rPr>
          <w:rFonts w:ascii="Book Antiqua" w:hAnsi="Book Antiqua"/>
        </w:rPr>
        <w:t xml:space="preserve">nviction, rather than attrition. </w:t>
      </w:r>
      <w:r w:rsidRPr="00361BCF">
        <w:rPr>
          <w:rFonts w:ascii="Book Antiqua" w:hAnsi="Book Antiqua"/>
        </w:rPr>
        <w:t>Once a rape complaint is made, the police need to deem what is reported to them</w:t>
      </w:r>
      <w:r w:rsidR="00AD4F6D" w:rsidRPr="00361BCF">
        <w:rPr>
          <w:rFonts w:ascii="Book Antiqua" w:hAnsi="Book Antiqua"/>
        </w:rPr>
        <w:t xml:space="preserve"> </w:t>
      </w:r>
      <w:r w:rsidRPr="00361BCF">
        <w:rPr>
          <w:rFonts w:ascii="Book Antiqua" w:hAnsi="Book Antiqua"/>
        </w:rPr>
        <w:t xml:space="preserve">a </w:t>
      </w:r>
      <w:r w:rsidR="002E0BAB" w:rsidRPr="00361BCF">
        <w:rPr>
          <w:rFonts w:ascii="Book Antiqua" w:hAnsi="Book Antiqua"/>
        </w:rPr>
        <w:t xml:space="preserve">possible </w:t>
      </w:r>
      <w:r w:rsidRPr="00361BCF">
        <w:rPr>
          <w:rFonts w:ascii="Book Antiqua" w:hAnsi="Book Antiqua"/>
        </w:rPr>
        <w:t xml:space="preserve">crime and investigate it as such. </w:t>
      </w:r>
      <w:r w:rsidR="002E0BAB" w:rsidRPr="00361BCF">
        <w:rPr>
          <w:rFonts w:ascii="Book Antiqua" w:hAnsi="Book Antiqua"/>
        </w:rPr>
        <w:t>Police might still decide to ‘no crime’ the complaint after initial investigations if these</w:t>
      </w:r>
      <w:r w:rsidR="00AD4F6D" w:rsidRPr="00361BCF">
        <w:rPr>
          <w:rFonts w:ascii="Book Antiqua" w:hAnsi="Book Antiqua"/>
        </w:rPr>
        <w:t xml:space="preserve"> investigations</w:t>
      </w:r>
      <w:r w:rsidR="002E0BAB" w:rsidRPr="00361BCF">
        <w:rPr>
          <w:rFonts w:ascii="Book Antiqua" w:hAnsi="Book Antiqua"/>
        </w:rPr>
        <w:t xml:space="preserve"> produce verifiable information that the allegation is false and </w:t>
      </w:r>
      <w:r w:rsidR="000A3820" w:rsidRPr="00361BCF">
        <w:rPr>
          <w:rFonts w:ascii="Book Antiqua" w:hAnsi="Book Antiqua"/>
        </w:rPr>
        <w:t xml:space="preserve">in fact </w:t>
      </w:r>
      <w:r w:rsidR="002E0BAB" w:rsidRPr="00361BCF">
        <w:rPr>
          <w:rFonts w:ascii="Book Antiqua" w:hAnsi="Book Antiqua"/>
        </w:rPr>
        <w:t>no crime took place</w:t>
      </w:r>
      <w:r w:rsidR="00B65DED" w:rsidRPr="00361BCF">
        <w:rPr>
          <w:rFonts w:ascii="Book Antiqua" w:hAnsi="Book Antiqua"/>
        </w:rPr>
        <w:t xml:space="preserve"> (Home Office</w:t>
      </w:r>
      <w:r w:rsidR="00327C15" w:rsidRPr="00361BCF">
        <w:rPr>
          <w:rFonts w:ascii="Book Antiqua" w:hAnsi="Book Antiqua"/>
        </w:rPr>
        <w:t>,</w:t>
      </w:r>
      <w:r w:rsidR="00B65DED" w:rsidRPr="00361BCF">
        <w:rPr>
          <w:rFonts w:ascii="Book Antiqua" w:hAnsi="Book Antiqua"/>
        </w:rPr>
        <w:t xml:space="preserve"> 2014</w:t>
      </w:r>
      <w:r w:rsidR="005363C2" w:rsidRPr="00361BCF">
        <w:rPr>
          <w:rFonts w:ascii="Book Antiqua" w:hAnsi="Book Antiqua"/>
        </w:rPr>
        <w:t>)</w:t>
      </w:r>
      <w:r w:rsidR="002E0BAB" w:rsidRPr="00361BCF">
        <w:rPr>
          <w:rFonts w:ascii="Book Antiqua" w:hAnsi="Book Antiqua"/>
        </w:rPr>
        <w:t xml:space="preserve">. </w:t>
      </w:r>
      <w:r w:rsidR="00277130" w:rsidRPr="00361BCF">
        <w:rPr>
          <w:rFonts w:ascii="Book Antiqua" w:hAnsi="Book Antiqua"/>
        </w:rPr>
        <w:t>Y</w:t>
      </w:r>
      <w:r w:rsidR="00CB6BA0" w:rsidRPr="00361BCF">
        <w:rPr>
          <w:rFonts w:ascii="Book Antiqua" w:hAnsi="Book Antiqua"/>
        </w:rPr>
        <w:t>et</w:t>
      </w:r>
      <w:r w:rsidR="00277130" w:rsidRPr="00361BCF">
        <w:rPr>
          <w:rFonts w:ascii="Book Antiqua" w:hAnsi="Book Antiqua"/>
        </w:rPr>
        <w:t>,</w:t>
      </w:r>
      <w:r w:rsidR="00CB6BA0" w:rsidRPr="00361BCF">
        <w:rPr>
          <w:rFonts w:ascii="Book Antiqua" w:hAnsi="Book Antiqua"/>
        </w:rPr>
        <w:t xml:space="preserve"> evidence suggests that </w:t>
      </w:r>
      <w:r w:rsidR="00421BAD" w:rsidRPr="00361BCF">
        <w:rPr>
          <w:rFonts w:ascii="Book Antiqua" w:hAnsi="Book Antiqua"/>
        </w:rPr>
        <w:t>some police forces</w:t>
      </w:r>
      <w:r w:rsidR="00DB67DC" w:rsidRPr="00361BCF">
        <w:rPr>
          <w:rFonts w:ascii="Book Antiqua" w:hAnsi="Book Antiqua"/>
        </w:rPr>
        <w:t xml:space="preserve"> </w:t>
      </w:r>
      <w:r w:rsidR="002E0BAB" w:rsidRPr="00361BCF">
        <w:rPr>
          <w:rFonts w:ascii="Book Antiqua" w:hAnsi="Book Antiqua"/>
        </w:rPr>
        <w:t xml:space="preserve">‘no crime’ </w:t>
      </w:r>
      <w:r w:rsidR="00F93F6D" w:rsidRPr="00361BCF">
        <w:rPr>
          <w:rFonts w:ascii="Book Antiqua" w:hAnsi="Book Antiqua"/>
        </w:rPr>
        <w:t xml:space="preserve">some </w:t>
      </w:r>
      <w:r w:rsidR="002E0BAB" w:rsidRPr="00361BCF">
        <w:rPr>
          <w:rFonts w:ascii="Book Antiqua" w:hAnsi="Book Antiqua"/>
        </w:rPr>
        <w:t>complaints</w:t>
      </w:r>
      <w:r w:rsidR="002A25DE" w:rsidRPr="00361BCF">
        <w:rPr>
          <w:rFonts w:ascii="Book Antiqua" w:hAnsi="Book Antiqua"/>
        </w:rPr>
        <w:t xml:space="preserve"> </w:t>
      </w:r>
      <w:r w:rsidR="00F93F6D" w:rsidRPr="00361BCF">
        <w:rPr>
          <w:rFonts w:ascii="Book Antiqua" w:hAnsi="Book Antiqua"/>
        </w:rPr>
        <w:t>because</w:t>
      </w:r>
      <w:r w:rsidR="002A25DE" w:rsidRPr="00361BCF">
        <w:rPr>
          <w:rFonts w:ascii="Book Antiqua" w:hAnsi="Book Antiqua"/>
        </w:rPr>
        <w:t xml:space="preserve"> </w:t>
      </w:r>
      <w:r w:rsidR="00B81EE7" w:rsidRPr="00361BCF">
        <w:rPr>
          <w:rFonts w:ascii="Book Antiqua" w:hAnsi="Book Antiqua"/>
        </w:rPr>
        <w:t xml:space="preserve">of </w:t>
      </w:r>
      <w:r w:rsidR="002A25DE" w:rsidRPr="00361BCF">
        <w:rPr>
          <w:rFonts w:ascii="Book Antiqua" w:hAnsi="Book Antiqua"/>
        </w:rPr>
        <w:t xml:space="preserve">inconsistencies in the victim account </w:t>
      </w:r>
      <w:r w:rsidR="00AF6C37">
        <w:rPr>
          <w:rFonts w:ascii="Book Antiqua" w:hAnsi="Book Antiqua"/>
        </w:rPr>
        <w:t xml:space="preserve">alone </w:t>
      </w:r>
      <w:r w:rsidR="00421BAD" w:rsidRPr="00361BCF">
        <w:rPr>
          <w:rFonts w:ascii="Book Antiqua" w:hAnsi="Book Antiqua"/>
        </w:rPr>
        <w:t>(HMIC and HMCPSI</w:t>
      </w:r>
      <w:r w:rsidR="00327C15" w:rsidRPr="00361BCF">
        <w:rPr>
          <w:rFonts w:ascii="Book Antiqua" w:hAnsi="Book Antiqua"/>
        </w:rPr>
        <w:t>,</w:t>
      </w:r>
      <w:r w:rsidR="00421BAD" w:rsidRPr="00361BCF">
        <w:rPr>
          <w:rFonts w:ascii="Book Antiqua" w:hAnsi="Book Antiqua"/>
        </w:rPr>
        <w:t xml:space="preserve"> 2007</w:t>
      </w:r>
      <w:r w:rsidR="000A3820" w:rsidRPr="00361BCF">
        <w:rPr>
          <w:rFonts w:ascii="Book Antiqua" w:hAnsi="Book Antiqua"/>
        </w:rPr>
        <w:t xml:space="preserve">; </w:t>
      </w:r>
      <w:r w:rsidR="003A6E4B" w:rsidRPr="00361BCF">
        <w:rPr>
          <w:rFonts w:ascii="Book Antiqua" w:hAnsi="Book Antiqua"/>
        </w:rPr>
        <w:t>HMIC</w:t>
      </w:r>
      <w:r w:rsidR="00327C15" w:rsidRPr="00361BCF">
        <w:rPr>
          <w:rFonts w:ascii="Book Antiqua" w:hAnsi="Book Antiqua"/>
        </w:rPr>
        <w:t>,</w:t>
      </w:r>
      <w:r w:rsidR="003A6E4B" w:rsidRPr="00361BCF">
        <w:rPr>
          <w:rFonts w:ascii="Book Antiqua" w:hAnsi="Book Antiqua"/>
        </w:rPr>
        <w:t xml:space="preserve"> 2014; </w:t>
      </w:r>
      <w:r w:rsidR="000A3820" w:rsidRPr="00361BCF">
        <w:rPr>
          <w:rFonts w:ascii="Book Antiqua" w:hAnsi="Book Antiqua"/>
        </w:rPr>
        <w:t>recall</w:t>
      </w:r>
      <w:r w:rsidR="00F30F71" w:rsidRPr="00361BCF">
        <w:rPr>
          <w:rFonts w:ascii="Book Antiqua" w:hAnsi="Book Antiqua"/>
        </w:rPr>
        <w:t xml:space="preserve"> also</w:t>
      </w:r>
      <w:r w:rsidR="000A3820" w:rsidRPr="00361BCF">
        <w:rPr>
          <w:rFonts w:ascii="Book Antiqua" w:hAnsi="Book Antiqua"/>
        </w:rPr>
        <w:t xml:space="preserve"> Saunders</w:t>
      </w:r>
      <w:r w:rsidR="005363C2" w:rsidRPr="00361BCF">
        <w:rPr>
          <w:rFonts w:ascii="Book Antiqua" w:hAnsi="Book Antiqua"/>
        </w:rPr>
        <w:t xml:space="preserve"> (2012) ‘false accounts’ treated as ‘false allegations’</w:t>
      </w:r>
      <w:r w:rsidR="00421BAD" w:rsidRPr="00361BCF">
        <w:rPr>
          <w:rFonts w:ascii="Book Antiqua" w:hAnsi="Book Antiqua"/>
        </w:rPr>
        <w:t>).</w:t>
      </w:r>
      <w:r w:rsidR="00CB6BA0" w:rsidRPr="00361BCF">
        <w:rPr>
          <w:rFonts w:ascii="Book Antiqua" w:hAnsi="Book Antiqua"/>
        </w:rPr>
        <w:t xml:space="preserve"> </w:t>
      </w:r>
      <w:r w:rsidR="00FE4D7A" w:rsidRPr="00361BCF">
        <w:rPr>
          <w:rFonts w:ascii="Book Antiqua" w:hAnsi="Book Antiqua"/>
        </w:rPr>
        <w:t>In 2012/13 the average no-criming rate for rape complaints in England and Wales was 12%, six times higher than for other victim-based crimes (2%; HMIC</w:t>
      </w:r>
      <w:r w:rsidR="00327C15" w:rsidRPr="00361BCF">
        <w:rPr>
          <w:rFonts w:ascii="Book Antiqua" w:hAnsi="Book Antiqua"/>
        </w:rPr>
        <w:t>,</w:t>
      </w:r>
      <w:r w:rsidR="00FE4D7A" w:rsidRPr="00361BCF">
        <w:rPr>
          <w:rFonts w:ascii="Book Antiqua" w:hAnsi="Book Antiqua"/>
        </w:rPr>
        <w:t xml:space="preserve"> 2014). </w:t>
      </w:r>
    </w:p>
    <w:p w14:paraId="5505E776" w14:textId="77777777" w:rsidR="002B5B04" w:rsidRPr="00361BCF" w:rsidRDefault="00CB6BA0" w:rsidP="004A4CBA">
      <w:pPr>
        <w:spacing w:line="360" w:lineRule="auto"/>
        <w:ind w:firstLine="567"/>
        <w:jc w:val="both"/>
        <w:rPr>
          <w:rFonts w:ascii="Book Antiqua" w:hAnsi="Book Antiqua"/>
        </w:rPr>
      </w:pPr>
      <w:r w:rsidRPr="00361BCF">
        <w:rPr>
          <w:rFonts w:ascii="Book Antiqua" w:hAnsi="Book Antiqua"/>
        </w:rPr>
        <w:t xml:space="preserve"> </w:t>
      </w:r>
    </w:p>
    <w:p w14:paraId="72B9A2A4" w14:textId="3E1B403A" w:rsidR="002B5B04" w:rsidRPr="00361BCF" w:rsidRDefault="003A3C58" w:rsidP="004A4CBA">
      <w:pPr>
        <w:spacing w:line="360" w:lineRule="auto"/>
        <w:ind w:firstLine="567"/>
        <w:jc w:val="both"/>
        <w:rPr>
          <w:rFonts w:ascii="Book Antiqua" w:hAnsi="Book Antiqua"/>
        </w:rPr>
      </w:pPr>
      <w:r w:rsidRPr="00361BCF">
        <w:rPr>
          <w:rFonts w:ascii="Book Antiqua" w:hAnsi="Book Antiqua"/>
        </w:rPr>
        <w:t>The next hurdle is a successful police investigation that results in a referral of the case to the C</w:t>
      </w:r>
      <w:r w:rsidR="00D86811" w:rsidRPr="00361BCF">
        <w:rPr>
          <w:rFonts w:ascii="Book Antiqua" w:hAnsi="Book Antiqua"/>
        </w:rPr>
        <w:t>PS</w:t>
      </w:r>
      <w:r w:rsidRPr="00361BCF">
        <w:rPr>
          <w:rFonts w:ascii="Book Antiqua" w:hAnsi="Book Antiqua"/>
        </w:rPr>
        <w:t xml:space="preserve"> for charge, rather than a police decisi</w:t>
      </w:r>
      <w:r w:rsidR="00F25B97" w:rsidRPr="00361BCF">
        <w:rPr>
          <w:rFonts w:ascii="Book Antiqua" w:hAnsi="Book Antiqua"/>
        </w:rPr>
        <w:t xml:space="preserve">on to take ‘no further action’. </w:t>
      </w:r>
      <w:r w:rsidR="00C75FBF" w:rsidRPr="00361BCF">
        <w:rPr>
          <w:rFonts w:ascii="Book Antiqua" w:hAnsi="Book Antiqua"/>
        </w:rPr>
        <w:t>It is at this stage that attrition is highest (</w:t>
      </w:r>
      <w:r w:rsidR="004E1B13" w:rsidRPr="00361BCF">
        <w:rPr>
          <w:rFonts w:ascii="Book Antiqua" w:hAnsi="Book Antiqua"/>
        </w:rPr>
        <w:t>HMCPSI/HMIC</w:t>
      </w:r>
      <w:r w:rsidR="00327C15" w:rsidRPr="00361BCF">
        <w:rPr>
          <w:rFonts w:ascii="Book Antiqua" w:hAnsi="Book Antiqua"/>
        </w:rPr>
        <w:t>,</w:t>
      </w:r>
      <w:r w:rsidR="004E1B13" w:rsidRPr="00361BCF">
        <w:rPr>
          <w:rFonts w:ascii="Book Antiqua" w:hAnsi="Book Antiqua"/>
        </w:rPr>
        <w:t xml:space="preserve"> 2007; </w:t>
      </w:r>
      <w:r w:rsidR="00C75FBF" w:rsidRPr="00361BCF">
        <w:rPr>
          <w:rFonts w:ascii="Book Antiqua" w:hAnsi="Book Antiqua"/>
        </w:rPr>
        <w:t>Stern</w:t>
      </w:r>
      <w:r w:rsidR="00327C15" w:rsidRPr="00361BCF">
        <w:rPr>
          <w:rFonts w:ascii="Book Antiqua" w:hAnsi="Book Antiqua"/>
        </w:rPr>
        <w:t>,</w:t>
      </w:r>
      <w:r w:rsidR="00C75FBF" w:rsidRPr="00361BCF">
        <w:rPr>
          <w:rFonts w:ascii="Book Antiqua" w:hAnsi="Book Antiqua"/>
        </w:rPr>
        <w:t xml:space="preserve"> 2010). </w:t>
      </w:r>
      <w:r w:rsidR="00F25B97" w:rsidRPr="00361BCF">
        <w:rPr>
          <w:rFonts w:ascii="Book Antiqua" w:hAnsi="Book Antiqua"/>
        </w:rPr>
        <w:t xml:space="preserve">Cases referred to the CPS </w:t>
      </w:r>
      <w:r w:rsidR="003823E8" w:rsidRPr="00361BCF">
        <w:rPr>
          <w:rFonts w:ascii="Book Antiqua" w:hAnsi="Book Antiqua"/>
        </w:rPr>
        <w:t>for charg</w:t>
      </w:r>
      <w:r w:rsidR="000A3820" w:rsidRPr="00361BCF">
        <w:rPr>
          <w:rFonts w:ascii="Book Antiqua" w:hAnsi="Book Antiqua"/>
        </w:rPr>
        <w:t>e</w:t>
      </w:r>
      <w:r w:rsidR="00F25B97" w:rsidRPr="00361BCF">
        <w:rPr>
          <w:rFonts w:ascii="Book Antiqua" w:hAnsi="Book Antiqua"/>
        </w:rPr>
        <w:t xml:space="preserve"> have to pass a</w:t>
      </w:r>
      <w:r w:rsidR="001730CD" w:rsidRPr="00361BCF">
        <w:rPr>
          <w:rFonts w:ascii="Book Antiqua" w:hAnsi="Book Antiqua"/>
        </w:rPr>
        <w:t xml:space="preserve"> further</w:t>
      </w:r>
      <w:r w:rsidR="00F25B97" w:rsidRPr="00361BCF">
        <w:rPr>
          <w:rFonts w:ascii="Book Antiqua" w:hAnsi="Book Antiqua"/>
        </w:rPr>
        <w:t xml:space="preserve"> two-level test to result in a prosecution: an evidential sufficiency test</w:t>
      </w:r>
      <w:r w:rsidRPr="00361BCF">
        <w:rPr>
          <w:rFonts w:ascii="Book Antiqua" w:hAnsi="Book Antiqua"/>
        </w:rPr>
        <w:t xml:space="preserve"> </w:t>
      </w:r>
      <w:r w:rsidR="00F25B97" w:rsidRPr="00361BCF">
        <w:rPr>
          <w:rFonts w:ascii="Book Antiqua" w:hAnsi="Book Antiqua"/>
        </w:rPr>
        <w:t>and a public interest test. If the prosecution decides that the evidence is insufficient for a realistic prospect of conviction or</w:t>
      </w:r>
      <w:r w:rsidR="000A3820" w:rsidRPr="00361BCF">
        <w:rPr>
          <w:rFonts w:ascii="Book Antiqua" w:hAnsi="Book Antiqua"/>
        </w:rPr>
        <w:t xml:space="preserve"> that</w:t>
      </w:r>
      <w:r w:rsidR="00F25B97" w:rsidRPr="00361BCF">
        <w:rPr>
          <w:rFonts w:ascii="Book Antiqua" w:hAnsi="Book Antiqua"/>
        </w:rPr>
        <w:t xml:space="preserve"> a prosecution is, on balance, not in the public interest the case is closed with ‘no further action’.</w:t>
      </w:r>
      <w:r w:rsidR="00F66060" w:rsidRPr="00361BCF">
        <w:rPr>
          <w:rFonts w:ascii="Book Antiqua" w:hAnsi="Book Antiqua"/>
        </w:rPr>
        <w:t xml:space="preserve"> </w:t>
      </w:r>
    </w:p>
    <w:p w14:paraId="35DD0E41" w14:textId="77777777" w:rsidR="00C91A71" w:rsidRPr="00361BCF" w:rsidRDefault="00C91A71" w:rsidP="004A4CBA">
      <w:pPr>
        <w:spacing w:line="360" w:lineRule="auto"/>
        <w:ind w:firstLine="567"/>
        <w:jc w:val="both"/>
        <w:rPr>
          <w:rFonts w:ascii="Book Antiqua" w:hAnsi="Book Antiqua"/>
        </w:rPr>
      </w:pPr>
    </w:p>
    <w:p w14:paraId="23C5E2A4" w14:textId="08F082D9" w:rsidR="00392CB9" w:rsidRPr="00361BCF" w:rsidRDefault="00F93F6D" w:rsidP="004A4CBA">
      <w:pPr>
        <w:spacing w:line="360" w:lineRule="auto"/>
        <w:ind w:firstLine="567"/>
        <w:jc w:val="both"/>
        <w:rPr>
          <w:rFonts w:ascii="Book Antiqua" w:hAnsi="Book Antiqua"/>
        </w:rPr>
      </w:pPr>
      <w:r w:rsidRPr="00361BCF">
        <w:rPr>
          <w:rFonts w:ascii="Book Antiqua" w:hAnsi="Book Antiqua"/>
        </w:rPr>
        <w:t>Attrition studies have identified</w:t>
      </w:r>
      <w:r w:rsidR="00FA14AD" w:rsidRPr="00361BCF">
        <w:rPr>
          <w:rFonts w:ascii="Book Antiqua" w:hAnsi="Book Antiqua"/>
        </w:rPr>
        <w:t xml:space="preserve"> a </w:t>
      </w:r>
      <w:r w:rsidR="004B62DA" w:rsidRPr="00361BCF">
        <w:rPr>
          <w:rFonts w:ascii="Book Antiqua" w:hAnsi="Book Antiqua"/>
        </w:rPr>
        <w:t xml:space="preserve">whole </w:t>
      </w:r>
      <w:r w:rsidR="00FA14AD" w:rsidRPr="00361BCF">
        <w:rPr>
          <w:rFonts w:ascii="Book Antiqua" w:hAnsi="Book Antiqua"/>
        </w:rPr>
        <w:t>range of</w:t>
      </w:r>
      <w:r w:rsidRPr="00361BCF">
        <w:rPr>
          <w:rFonts w:ascii="Book Antiqua" w:hAnsi="Book Antiqua"/>
        </w:rPr>
        <w:t xml:space="preserve"> victim characteristics, victim-suspect relationships and circumstances of the rape that are associated w</w:t>
      </w:r>
      <w:r w:rsidR="00130D19" w:rsidRPr="00361BCF">
        <w:rPr>
          <w:rFonts w:ascii="Book Antiqua" w:hAnsi="Book Antiqua"/>
        </w:rPr>
        <w:t>ith drop out</w:t>
      </w:r>
      <w:r w:rsidR="004E1B13" w:rsidRPr="00361BCF">
        <w:rPr>
          <w:rFonts w:ascii="Book Antiqua" w:hAnsi="Book Antiqua"/>
        </w:rPr>
        <w:t xml:space="preserve"> at the various</w:t>
      </w:r>
      <w:r w:rsidRPr="00361BCF">
        <w:rPr>
          <w:rFonts w:ascii="Book Antiqua" w:hAnsi="Book Antiqua"/>
        </w:rPr>
        <w:t xml:space="preserve"> attrition points</w:t>
      </w:r>
      <w:r w:rsidR="00807722">
        <w:rPr>
          <w:rFonts w:ascii="Book Antiqua" w:hAnsi="Book Antiqua"/>
        </w:rPr>
        <w:t xml:space="preserve"> - v</w:t>
      </w:r>
      <w:r w:rsidR="00807722" w:rsidRPr="00361BCF">
        <w:rPr>
          <w:rFonts w:ascii="Book Antiqua" w:hAnsi="Book Antiqua"/>
        </w:rPr>
        <w:t xml:space="preserve">ictim memory is of course not the only reason why rape </w:t>
      </w:r>
      <w:r w:rsidR="00807722" w:rsidRPr="00361BCF">
        <w:rPr>
          <w:rFonts w:ascii="Book Antiqua" w:hAnsi="Book Antiqua"/>
        </w:rPr>
        <w:lastRenderedPageBreak/>
        <w:t xml:space="preserve">complaints might </w:t>
      </w:r>
      <w:r w:rsidR="00807722">
        <w:rPr>
          <w:rFonts w:ascii="Book Antiqua" w:hAnsi="Book Antiqua"/>
        </w:rPr>
        <w:t>fail to progress (</w:t>
      </w:r>
      <w:r w:rsidR="00090BE0">
        <w:rPr>
          <w:rFonts w:ascii="Book Antiqua" w:hAnsi="Book Antiqua"/>
        </w:rPr>
        <w:t xml:space="preserve">for example, </w:t>
      </w:r>
      <w:r w:rsidR="00090BE0" w:rsidRPr="00361BCF">
        <w:rPr>
          <w:rFonts w:ascii="Book Antiqua" w:hAnsi="Book Antiqua"/>
        </w:rPr>
        <w:t xml:space="preserve">Harris and Grace, 1999; Lea et al., 2003; Kelly et al., 2005; Brown et al., 2007; Daly and </w:t>
      </w:r>
      <w:proofErr w:type="spellStart"/>
      <w:r w:rsidR="00090BE0" w:rsidRPr="00361BCF">
        <w:rPr>
          <w:rFonts w:ascii="Book Antiqua" w:hAnsi="Book Antiqua"/>
        </w:rPr>
        <w:t>Bouhours</w:t>
      </w:r>
      <w:proofErr w:type="spellEnd"/>
      <w:r w:rsidR="00090BE0" w:rsidRPr="00361BCF">
        <w:rPr>
          <w:rFonts w:ascii="Book Antiqua" w:hAnsi="Book Antiqua"/>
        </w:rPr>
        <w:t>, 2010</w:t>
      </w:r>
      <w:r w:rsidR="00090BE0">
        <w:rPr>
          <w:rFonts w:ascii="Book Antiqua" w:hAnsi="Book Antiqua"/>
        </w:rPr>
        <w:t>;</w:t>
      </w:r>
      <w:r w:rsidR="00807722" w:rsidRPr="00361BCF">
        <w:rPr>
          <w:rFonts w:ascii="Book Antiqua" w:hAnsi="Book Antiqua"/>
        </w:rPr>
        <w:t xml:space="preserve"> </w:t>
      </w:r>
      <w:r w:rsidR="00AF6C37">
        <w:rPr>
          <w:rFonts w:ascii="Book Antiqua" w:hAnsi="Book Antiqua"/>
        </w:rPr>
        <w:t xml:space="preserve">for a recent review see </w:t>
      </w:r>
      <w:r w:rsidR="00807722" w:rsidRPr="00361BCF">
        <w:rPr>
          <w:rFonts w:ascii="Book Antiqua" w:hAnsi="Book Antiqua"/>
        </w:rPr>
        <w:t xml:space="preserve">Hohl and </w:t>
      </w:r>
      <w:proofErr w:type="spellStart"/>
      <w:r w:rsidR="00807722" w:rsidRPr="00361BCF">
        <w:rPr>
          <w:rFonts w:ascii="Book Antiqua" w:hAnsi="Book Antiqua"/>
        </w:rPr>
        <w:t>Stanko</w:t>
      </w:r>
      <w:proofErr w:type="spellEnd"/>
      <w:r w:rsidR="00807722" w:rsidRPr="00361BCF">
        <w:rPr>
          <w:rFonts w:ascii="Book Antiqua" w:hAnsi="Book Antiqua"/>
        </w:rPr>
        <w:t>, 2015</w:t>
      </w:r>
      <w:r w:rsidR="004B62DA" w:rsidRPr="00361BCF">
        <w:rPr>
          <w:rFonts w:ascii="Book Antiqua" w:hAnsi="Book Antiqua"/>
        </w:rPr>
        <w:t>)</w:t>
      </w:r>
      <w:r w:rsidR="00FA14AD" w:rsidRPr="00361BCF">
        <w:rPr>
          <w:rFonts w:ascii="Book Antiqua" w:hAnsi="Book Antiqua"/>
        </w:rPr>
        <w:t xml:space="preserve">. </w:t>
      </w:r>
      <w:r w:rsidR="004B62DA" w:rsidRPr="00361BCF">
        <w:rPr>
          <w:rFonts w:ascii="Book Antiqua" w:hAnsi="Book Antiqua"/>
        </w:rPr>
        <w:t>O</w:t>
      </w:r>
      <w:r w:rsidR="00090CBE" w:rsidRPr="00361BCF">
        <w:rPr>
          <w:rFonts w:ascii="Book Antiqua" w:hAnsi="Book Antiqua"/>
        </w:rPr>
        <w:t xml:space="preserve">f these, </w:t>
      </w:r>
      <w:r w:rsidRPr="00361BCF">
        <w:rPr>
          <w:rFonts w:ascii="Book Antiqua" w:hAnsi="Book Antiqua"/>
        </w:rPr>
        <w:t>Kelly et al.’s (2005) study included in their analyses a variable capturing the presence of inconsistencies in the victim account and its association with attrition. The authors found that inconsistencies in the account featured strongly in 30 of the 216 of the cases categorised as false allegations in their sam</w:t>
      </w:r>
      <w:r w:rsidR="009F0B0E" w:rsidRPr="00361BCF">
        <w:rPr>
          <w:rFonts w:ascii="Book Antiqua" w:hAnsi="Book Antiqua"/>
        </w:rPr>
        <w:t xml:space="preserve">ple, all of which were dropped. </w:t>
      </w:r>
      <w:r w:rsidR="006D1544" w:rsidRPr="00361BCF">
        <w:rPr>
          <w:rFonts w:ascii="Book Antiqua" w:hAnsi="Book Antiqua"/>
        </w:rPr>
        <w:t>Indeed, p</w:t>
      </w:r>
      <w:r w:rsidR="004E1B13" w:rsidRPr="00361BCF">
        <w:rPr>
          <w:rFonts w:ascii="Book Antiqua" w:hAnsi="Book Antiqua"/>
        </w:rPr>
        <w:t>olice officers and prosecutors do not perceive inconsistencies and lack of detail as a liability without reason.</w:t>
      </w:r>
      <w:r w:rsidR="00FA14AD" w:rsidRPr="00361BCF">
        <w:rPr>
          <w:rFonts w:ascii="Book Antiqua" w:hAnsi="Book Antiqua"/>
        </w:rPr>
        <w:t xml:space="preserve"> </w:t>
      </w:r>
      <w:r w:rsidR="00FD5267" w:rsidRPr="00361BCF">
        <w:rPr>
          <w:rFonts w:ascii="Book Antiqua" w:hAnsi="Book Antiqua"/>
        </w:rPr>
        <w:t>The final hurdle in the crimin</w:t>
      </w:r>
      <w:r w:rsidR="002B5B04" w:rsidRPr="00361BCF">
        <w:rPr>
          <w:rFonts w:ascii="Book Antiqua" w:hAnsi="Book Antiqua"/>
        </w:rPr>
        <w:t>al justice process is the</w:t>
      </w:r>
      <w:r w:rsidR="00543FA3" w:rsidRPr="00361BCF">
        <w:rPr>
          <w:rFonts w:ascii="Book Antiqua" w:hAnsi="Book Antiqua"/>
        </w:rPr>
        <w:t xml:space="preserve"> trial wherein a </w:t>
      </w:r>
      <w:r w:rsidR="006D1544" w:rsidRPr="00361BCF">
        <w:rPr>
          <w:rFonts w:ascii="Book Antiqua" w:hAnsi="Book Antiqua"/>
        </w:rPr>
        <w:t>jury</w:t>
      </w:r>
      <w:r w:rsidR="00850198" w:rsidRPr="00361BCF">
        <w:rPr>
          <w:rFonts w:ascii="Book Antiqua" w:hAnsi="Book Antiqua"/>
        </w:rPr>
        <w:t xml:space="preserve"> must return a ‘guilty’ verdict for the </w:t>
      </w:r>
      <w:r w:rsidR="00614F7F" w:rsidRPr="00361BCF">
        <w:rPr>
          <w:rFonts w:ascii="Book Antiqua" w:hAnsi="Book Antiqua"/>
        </w:rPr>
        <w:t>prosecution</w:t>
      </w:r>
      <w:r w:rsidR="00850198" w:rsidRPr="00361BCF">
        <w:rPr>
          <w:rFonts w:ascii="Book Antiqua" w:hAnsi="Book Antiqua"/>
        </w:rPr>
        <w:t xml:space="preserve"> to succeed</w:t>
      </w:r>
      <w:r w:rsidR="006D1544" w:rsidRPr="00361BCF">
        <w:rPr>
          <w:rFonts w:ascii="Book Antiqua" w:hAnsi="Book Antiqua"/>
        </w:rPr>
        <w:t>. T</w:t>
      </w:r>
      <w:r w:rsidR="004E1B13" w:rsidRPr="00361BCF">
        <w:rPr>
          <w:rFonts w:ascii="Book Antiqua" w:hAnsi="Book Antiqua"/>
        </w:rPr>
        <w:t>here is ample evidence</w:t>
      </w:r>
      <w:r w:rsidR="006D1544" w:rsidRPr="00361BCF">
        <w:rPr>
          <w:rFonts w:ascii="Book Antiqua" w:hAnsi="Book Antiqua"/>
        </w:rPr>
        <w:t>, reviewed above,</w:t>
      </w:r>
      <w:r w:rsidR="004E1B13" w:rsidRPr="00361BCF">
        <w:rPr>
          <w:rFonts w:ascii="Book Antiqua" w:hAnsi="Book Antiqua"/>
        </w:rPr>
        <w:t xml:space="preserve"> to show how defence lawyers </w:t>
      </w:r>
      <w:r w:rsidR="006D1544" w:rsidRPr="00361BCF">
        <w:rPr>
          <w:rFonts w:ascii="Book Antiqua" w:hAnsi="Book Antiqua"/>
        </w:rPr>
        <w:t>will exploit any weakness</w:t>
      </w:r>
      <w:r w:rsidR="004E1B13" w:rsidRPr="00361BCF">
        <w:rPr>
          <w:rFonts w:ascii="Book Antiqua" w:hAnsi="Book Antiqua"/>
        </w:rPr>
        <w:t xml:space="preserve"> in the </w:t>
      </w:r>
      <w:r w:rsidR="004A346C">
        <w:rPr>
          <w:rFonts w:ascii="Book Antiqua" w:hAnsi="Book Antiqua"/>
        </w:rPr>
        <w:t>victim account</w:t>
      </w:r>
      <w:r w:rsidR="00323E51" w:rsidRPr="00361BCF">
        <w:rPr>
          <w:rFonts w:ascii="Book Antiqua" w:hAnsi="Book Antiqua"/>
        </w:rPr>
        <w:t xml:space="preserve"> during cross-examination. </w:t>
      </w:r>
      <w:r w:rsidR="006D1544" w:rsidRPr="00361BCF">
        <w:rPr>
          <w:rFonts w:ascii="Book Antiqua" w:hAnsi="Book Antiqua"/>
        </w:rPr>
        <w:t xml:space="preserve">Cross-examination tactics aimed at forcing errors and inconsistencies in the victim’s </w:t>
      </w:r>
      <w:r w:rsidR="00323E51" w:rsidRPr="00361BCF">
        <w:rPr>
          <w:rFonts w:ascii="Book Antiqua" w:hAnsi="Book Antiqua"/>
        </w:rPr>
        <w:t>testimony</w:t>
      </w:r>
      <w:r w:rsidR="006D1544" w:rsidRPr="00361BCF">
        <w:rPr>
          <w:rFonts w:ascii="Book Antiqua" w:hAnsi="Book Antiqua"/>
        </w:rPr>
        <w:t xml:space="preserve"> </w:t>
      </w:r>
      <w:r w:rsidR="00323E51" w:rsidRPr="00361BCF">
        <w:rPr>
          <w:rFonts w:ascii="Book Antiqua" w:hAnsi="Book Antiqua"/>
        </w:rPr>
        <w:t>or</w:t>
      </w:r>
      <w:r w:rsidR="006D1544" w:rsidRPr="00361BCF">
        <w:rPr>
          <w:rFonts w:ascii="Book Antiqua" w:hAnsi="Book Antiqua"/>
        </w:rPr>
        <w:t xml:space="preserve"> exposing </w:t>
      </w:r>
      <w:r w:rsidR="00850198" w:rsidRPr="00361BCF">
        <w:rPr>
          <w:rFonts w:ascii="Book Antiqua" w:hAnsi="Book Antiqua"/>
        </w:rPr>
        <w:t xml:space="preserve">gaps in the victim’s memory are effective </w:t>
      </w:r>
      <w:r w:rsidR="006D1544" w:rsidRPr="00361BCF">
        <w:rPr>
          <w:rFonts w:ascii="Book Antiqua" w:hAnsi="Book Antiqua"/>
        </w:rPr>
        <w:t xml:space="preserve">because </w:t>
      </w:r>
      <w:r w:rsidR="004E1B13" w:rsidRPr="00361BCF">
        <w:rPr>
          <w:rFonts w:ascii="Book Antiqua" w:hAnsi="Book Antiqua"/>
        </w:rPr>
        <w:t>juries are liable to trivial persuasion and discrediting effects</w:t>
      </w:r>
      <w:r w:rsidR="004E1B13" w:rsidRPr="00361BCF">
        <w:rPr>
          <w:rFonts w:ascii="Book Antiqua" w:hAnsi="Book Antiqua"/>
          <w:i/>
        </w:rPr>
        <w:t xml:space="preserve">, </w:t>
      </w:r>
      <w:r w:rsidR="004E1B13" w:rsidRPr="00361BCF">
        <w:rPr>
          <w:rFonts w:ascii="Book Antiqua" w:hAnsi="Book Antiqua"/>
        </w:rPr>
        <w:t xml:space="preserve">disbelieving victims </w:t>
      </w:r>
      <w:r w:rsidR="00323E51" w:rsidRPr="00361BCF">
        <w:rPr>
          <w:rFonts w:ascii="Book Antiqua" w:hAnsi="Book Antiqua"/>
        </w:rPr>
        <w:t xml:space="preserve">and acquitting the defendant as </w:t>
      </w:r>
      <w:r w:rsidR="004E1B13" w:rsidRPr="00361BCF">
        <w:rPr>
          <w:rFonts w:ascii="Book Antiqua" w:hAnsi="Book Antiqua"/>
        </w:rPr>
        <w:t>a result</w:t>
      </w:r>
      <w:r w:rsidR="00323E51" w:rsidRPr="00361BCF">
        <w:rPr>
          <w:rFonts w:ascii="Book Antiqua" w:hAnsi="Book Antiqua"/>
        </w:rPr>
        <w:t xml:space="preserve"> </w:t>
      </w:r>
      <w:r w:rsidR="004E1B13" w:rsidRPr="00361BCF">
        <w:rPr>
          <w:rFonts w:ascii="Book Antiqua" w:hAnsi="Book Antiqua"/>
        </w:rPr>
        <w:t>(Taylor</w:t>
      </w:r>
      <w:r w:rsidR="00327C15" w:rsidRPr="00361BCF">
        <w:rPr>
          <w:rFonts w:ascii="Book Antiqua" w:hAnsi="Book Antiqua"/>
        </w:rPr>
        <w:t>,</w:t>
      </w:r>
      <w:r w:rsidR="004E1B13" w:rsidRPr="00361BCF">
        <w:rPr>
          <w:rFonts w:ascii="Book Antiqua" w:hAnsi="Book Antiqua"/>
        </w:rPr>
        <w:t xml:space="preserve"> 2004; </w:t>
      </w:r>
      <w:proofErr w:type="spellStart"/>
      <w:r w:rsidR="004E1B13" w:rsidRPr="00361BCF">
        <w:rPr>
          <w:rFonts w:ascii="Book Antiqua" w:hAnsi="Book Antiqua"/>
        </w:rPr>
        <w:t>Temkin</w:t>
      </w:r>
      <w:proofErr w:type="spellEnd"/>
      <w:r w:rsidR="00327C15" w:rsidRPr="00361BCF">
        <w:rPr>
          <w:rFonts w:ascii="Book Antiqua" w:hAnsi="Book Antiqua"/>
        </w:rPr>
        <w:t>,</w:t>
      </w:r>
      <w:r w:rsidR="004E1B13" w:rsidRPr="00361BCF">
        <w:rPr>
          <w:rFonts w:ascii="Book Antiqua" w:hAnsi="Book Antiqua"/>
        </w:rPr>
        <w:t xml:space="preserve"> 2000, 2002; Fisher et al.</w:t>
      </w:r>
      <w:r w:rsidR="00327C15" w:rsidRPr="00361BCF">
        <w:rPr>
          <w:rFonts w:ascii="Book Antiqua" w:hAnsi="Book Antiqua"/>
        </w:rPr>
        <w:t>,</w:t>
      </w:r>
      <w:r w:rsidR="004E1B13" w:rsidRPr="00361BCF">
        <w:rPr>
          <w:rFonts w:ascii="Book Antiqua" w:hAnsi="Book Antiqua"/>
        </w:rPr>
        <w:t xml:space="preserve"> 20</w:t>
      </w:r>
      <w:r w:rsidR="00BB1B14">
        <w:rPr>
          <w:rFonts w:ascii="Book Antiqua" w:hAnsi="Book Antiqua"/>
        </w:rPr>
        <w:t>09</w:t>
      </w:r>
      <w:r w:rsidR="004E1B13" w:rsidRPr="00361BCF">
        <w:rPr>
          <w:rFonts w:ascii="Book Antiqua" w:hAnsi="Book Antiqua"/>
        </w:rPr>
        <w:t>).</w:t>
      </w:r>
      <w:r w:rsidR="007E2E17" w:rsidRPr="00361BCF">
        <w:rPr>
          <w:rFonts w:ascii="Book Antiqua" w:hAnsi="Book Antiqua"/>
        </w:rPr>
        <w:t xml:space="preserve"> </w:t>
      </w:r>
    </w:p>
    <w:p w14:paraId="79946A7E" w14:textId="77777777" w:rsidR="009211D2" w:rsidRPr="00361BCF" w:rsidRDefault="009211D2" w:rsidP="004A4CBA">
      <w:pPr>
        <w:spacing w:line="360" w:lineRule="auto"/>
        <w:ind w:firstLine="567"/>
        <w:jc w:val="both"/>
        <w:rPr>
          <w:rFonts w:ascii="Book Antiqua" w:hAnsi="Book Antiqua"/>
        </w:rPr>
      </w:pPr>
    </w:p>
    <w:p w14:paraId="4DC65776" w14:textId="6B69D627" w:rsidR="00C43E90" w:rsidRPr="00361BCF" w:rsidRDefault="00F30F71" w:rsidP="004A4CBA">
      <w:pPr>
        <w:spacing w:line="360" w:lineRule="auto"/>
        <w:ind w:firstLine="567"/>
        <w:jc w:val="both"/>
        <w:rPr>
          <w:rFonts w:ascii="Book Antiqua" w:hAnsi="Book Antiqua"/>
        </w:rPr>
      </w:pPr>
      <w:r w:rsidRPr="00361BCF">
        <w:rPr>
          <w:rFonts w:ascii="Book Antiqua" w:hAnsi="Book Antiqua"/>
        </w:rPr>
        <w:tab/>
      </w:r>
      <w:r w:rsidR="0036162B" w:rsidRPr="00361BCF">
        <w:rPr>
          <w:rFonts w:ascii="Book Antiqua" w:hAnsi="Book Antiqua"/>
        </w:rPr>
        <w:t>In sum</w:t>
      </w:r>
      <w:r w:rsidR="000E4697" w:rsidRPr="00361BCF">
        <w:rPr>
          <w:rFonts w:ascii="Book Antiqua" w:hAnsi="Book Antiqua"/>
        </w:rPr>
        <w:t>mary</w:t>
      </w:r>
      <w:r w:rsidR="0036162B" w:rsidRPr="00361BCF">
        <w:rPr>
          <w:rFonts w:ascii="Book Antiqua" w:hAnsi="Book Antiqua"/>
        </w:rPr>
        <w:t xml:space="preserve">, </w:t>
      </w:r>
      <w:r w:rsidR="00392CB9" w:rsidRPr="00361BCF">
        <w:rPr>
          <w:rFonts w:ascii="Book Antiqua" w:hAnsi="Book Antiqua"/>
        </w:rPr>
        <w:t xml:space="preserve">the </w:t>
      </w:r>
      <w:r w:rsidR="003D02B9" w:rsidRPr="00361BCF">
        <w:rPr>
          <w:rFonts w:ascii="Book Antiqua" w:hAnsi="Book Antiqua"/>
        </w:rPr>
        <w:t>existing research suggests that</w:t>
      </w:r>
      <w:r w:rsidRPr="00361BCF">
        <w:rPr>
          <w:rFonts w:ascii="Book Antiqua" w:hAnsi="Book Antiqua"/>
        </w:rPr>
        <w:t xml:space="preserve"> police officers and prosecutors may drop complaints of rape either because they themselves perceive the credibility of the complaint </w:t>
      </w:r>
      <w:r w:rsidR="00F60330" w:rsidRPr="00361BCF">
        <w:rPr>
          <w:rFonts w:ascii="Book Antiqua" w:hAnsi="Book Antiqua"/>
        </w:rPr>
        <w:t xml:space="preserve">to be diminished </w:t>
      </w:r>
      <w:r w:rsidRPr="00361BCF">
        <w:rPr>
          <w:rFonts w:ascii="Book Antiqua" w:hAnsi="Book Antiqua"/>
        </w:rPr>
        <w:t xml:space="preserve">by </w:t>
      </w:r>
      <w:r w:rsidR="0072414B" w:rsidRPr="00361BCF">
        <w:rPr>
          <w:rFonts w:ascii="Book Antiqua" w:hAnsi="Book Antiqua"/>
        </w:rPr>
        <w:t>inconsistencies</w:t>
      </w:r>
      <w:r w:rsidRPr="00361BCF">
        <w:rPr>
          <w:rFonts w:ascii="Book Antiqua" w:hAnsi="Book Antiqua"/>
        </w:rPr>
        <w:t xml:space="preserve">, lack of detail and </w:t>
      </w:r>
      <w:r w:rsidR="00392CB9" w:rsidRPr="00361BCF">
        <w:rPr>
          <w:rFonts w:ascii="Book Antiqua" w:hAnsi="Book Antiqua"/>
        </w:rPr>
        <w:t xml:space="preserve">memory </w:t>
      </w:r>
      <w:r w:rsidRPr="00361BCF">
        <w:rPr>
          <w:rFonts w:ascii="Book Antiqua" w:hAnsi="Book Antiqua"/>
        </w:rPr>
        <w:t>errors</w:t>
      </w:r>
      <w:r w:rsidR="0072414B" w:rsidRPr="00361BCF">
        <w:rPr>
          <w:rFonts w:ascii="Book Antiqua" w:hAnsi="Book Antiqua"/>
        </w:rPr>
        <w:t xml:space="preserve"> in the victim account</w:t>
      </w:r>
      <w:r w:rsidRPr="00361BCF">
        <w:rPr>
          <w:rFonts w:ascii="Book Antiqua" w:hAnsi="Book Antiqua"/>
        </w:rPr>
        <w:t>, or because they anticipate that</w:t>
      </w:r>
      <w:r w:rsidR="00392CB9" w:rsidRPr="00361BCF">
        <w:rPr>
          <w:rFonts w:ascii="Book Antiqua" w:hAnsi="Book Antiqua"/>
        </w:rPr>
        <w:t xml:space="preserve"> </w:t>
      </w:r>
      <w:r w:rsidR="00E00FC2" w:rsidRPr="00361BCF">
        <w:rPr>
          <w:rFonts w:ascii="Book Antiqua" w:hAnsi="Book Antiqua"/>
        </w:rPr>
        <w:t>such</w:t>
      </w:r>
      <w:r w:rsidR="00392CB9" w:rsidRPr="00361BCF">
        <w:rPr>
          <w:rFonts w:ascii="Book Antiqua" w:hAnsi="Book Antiqua"/>
        </w:rPr>
        <w:t xml:space="preserve"> </w:t>
      </w:r>
      <w:r w:rsidR="00753677" w:rsidRPr="00361BCF">
        <w:rPr>
          <w:rFonts w:ascii="Book Antiqua" w:hAnsi="Book Antiqua"/>
        </w:rPr>
        <w:t>shortcomings</w:t>
      </w:r>
      <w:r w:rsidR="00392CB9" w:rsidRPr="00361BCF">
        <w:rPr>
          <w:rFonts w:ascii="Book Antiqua" w:hAnsi="Book Antiqua"/>
        </w:rPr>
        <w:t xml:space="preserve"> are likely to discredit the complaint </w:t>
      </w:r>
      <w:r w:rsidR="00753677" w:rsidRPr="00361BCF">
        <w:rPr>
          <w:rFonts w:ascii="Book Antiqua" w:hAnsi="Book Antiqua"/>
        </w:rPr>
        <w:t xml:space="preserve">in the eyes of </w:t>
      </w:r>
      <w:r w:rsidR="00387164" w:rsidRPr="00361BCF">
        <w:rPr>
          <w:rFonts w:ascii="Book Antiqua" w:hAnsi="Book Antiqua"/>
        </w:rPr>
        <w:t>other decision makers in the case (</w:t>
      </w:r>
      <w:r w:rsidR="00230175" w:rsidRPr="00361BCF">
        <w:rPr>
          <w:rFonts w:ascii="Book Antiqua" w:hAnsi="Book Antiqua"/>
        </w:rPr>
        <w:t xml:space="preserve">e.g. </w:t>
      </w:r>
      <w:r w:rsidR="006D096B" w:rsidRPr="00361BCF">
        <w:rPr>
          <w:rFonts w:ascii="Book Antiqua" w:hAnsi="Book Antiqua"/>
        </w:rPr>
        <w:t>prosecutors</w:t>
      </w:r>
      <w:r w:rsidR="00387164" w:rsidRPr="00361BCF">
        <w:rPr>
          <w:rFonts w:ascii="Book Antiqua" w:hAnsi="Book Antiqua"/>
        </w:rPr>
        <w:t>, juries)</w:t>
      </w:r>
      <w:r w:rsidR="00753677" w:rsidRPr="00361BCF">
        <w:rPr>
          <w:rFonts w:ascii="Book Antiqua" w:hAnsi="Book Antiqua"/>
        </w:rPr>
        <w:t>.</w:t>
      </w:r>
      <w:r w:rsidR="00323E51" w:rsidRPr="00361BCF">
        <w:rPr>
          <w:rFonts w:ascii="Book Antiqua" w:hAnsi="Book Antiqua"/>
        </w:rPr>
        <w:t xml:space="preserve"> If the </w:t>
      </w:r>
      <w:r w:rsidR="004A346C">
        <w:rPr>
          <w:rFonts w:ascii="Book Antiqua" w:hAnsi="Book Antiqua"/>
        </w:rPr>
        <w:t>victim account</w:t>
      </w:r>
      <w:r w:rsidR="00323E51" w:rsidRPr="00361BCF">
        <w:rPr>
          <w:rFonts w:ascii="Book Antiqua" w:hAnsi="Book Antiqua"/>
        </w:rPr>
        <w:t xml:space="preserve"> fails to convince the jury of the defendant’s guilt beyond reasonable doubt as a result of inconsistencies, gaps and errors in their memory of the rape, a ‘not guilty’ verdict </w:t>
      </w:r>
      <w:r w:rsidR="009F0B0E" w:rsidRPr="00361BCF">
        <w:rPr>
          <w:rFonts w:ascii="Book Antiqua" w:hAnsi="Book Antiqua"/>
        </w:rPr>
        <w:t>is likely</w:t>
      </w:r>
      <w:r w:rsidR="00323E51" w:rsidRPr="00361BCF">
        <w:rPr>
          <w:rFonts w:ascii="Book Antiqua" w:hAnsi="Book Antiqua"/>
        </w:rPr>
        <w:t xml:space="preserve">. </w:t>
      </w:r>
      <w:r w:rsidR="00753677" w:rsidRPr="00361BCF">
        <w:rPr>
          <w:rFonts w:ascii="Book Antiqua" w:hAnsi="Book Antiqua"/>
        </w:rPr>
        <w:t xml:space="preserve">In this way criminal justice </w:t>
      </w:r>
      <w:r w:rsidR="006D096B" w:rsidRPr="00361BCF">
        <w:rPr>
          <w:rFonts w:ascii="Book Antiqua" w:hAnsi="Book Antiqua"/>
        </w:rPr>
        <w:t>mis</w:t>
      </w:r>
      <w:r w:rsidR="002B5B04" w:rsidRPr="00361BCF">
        <w:rPr>
          <w:rFonts w:ascii="Book Antiqua" w:hAnsi="Book Antiqua"/>
        </w:rPr>
        <w:t>judgements</w:t>
      </w:r>
      <w:r w:rsidR="0072414B" w:rsidRPr="00361BCF">
        <w:rPr>
          <w:rFonts w:ascii="Book Antiqua" w:hAnsi="Book Antiqua"/>
        </w:rPr>
        <w:t xml:space="preserve"> of victim memory </w:t>
      </w:r>
      <w:r w:rsidR="009211D2" w:rsidRPr="00361BCF">
        <w:rPr>
          <w:rFonts w:ascii="Book Antiqua" w:hAnsi="Book Antiqua"/>
        </w:rPr>
        <w:t>may contribute to</w:t>
      </w:r>
      <w:r w:rsidR="0072414B" w:rsidRPr="00361BCF">
        <w:rPr>
          <w:rFonts w:ascii="Book Antiqua" w:hAnsi="Book Antiqua"/>
        </w:rPr>
        <w:t xml:space="preserve"> the attrition problem. </w:t>
      </w:r>
      <w:r w:rsidR="003371ED" w:rsidRPr="00361BCF">
        <w:rPr>
          <w:rFonts w:ascii="Book Antiqua" w:hAnsi="Book Antiqua"/>
        </w:rPr>
        <w:t xml:space="preserve">We now turn to </w:t>
      </w:r>
      <w:r w:rsidR="00850198" w:rsidRPr="00361BCF">
        <w:rPr>
          <w:rFonts w:ascii="Book Antiqua" w:hAnsi="Book Antiqua"/>
        </w:rPr>
        <w:t>the</w:t>
      </w:r>
      <w:r w:rsidR="009211D2" w:rsidRPr="00361BCF">
        <w:rPr>
          <w:rFonts w:ascii="Book Antiqua" w:hAnsi="Book Antiqua"/>
        </w:rPr>
        <w:t xml:space="preserve"> </w:t>
      </w:r>
      <w:r w:rsidR="00230175" w:rsidRPr="00361BCF">
        <w:rPr>
          <w:rFonts w:ascii="Book Antiqua" w:hAnsi="Book Antiqua"/>
        </w:rPr>
        <w:t xml:space="preserve">– </w:t>
      </w:r>
      <w:r w:rsidR="00921619" w:rsidRPr="00361BCF">
        <w:rPr>
          <w:rFonts w:ascii="Book Antiqua" w:hAnsi="Book Antiqua"/>
        </w:rPr>
        <w:t>partia</w:t>
      </w:r>
      <w:r w:rsidR="00230175" w:rsidRPr="00361BCF">
        <w:rPr>
          <w:rFonts w:ascii="Book Antiqua" w:hAnsi="Book Antiqua"/>
        </w:rPr>
        <w:t xml:space="preserve">l - </w:t>
      </w:r>
      <w:r w:rsidR="003371ED" w:rsidRPr="00361BCF">
        <w:rPr>
          <w:rFonts w:ascii="Book Antiqua" w:hAnsi="Book Antiqua"/>
        </w:rPr>
        <w:t>empirical test</w:t>
      </w:r>
      <w:r w:rsidR="00850198" w:rsidRPr="00361BCF">
        <w:rPr>
          <w:rFonts w:ascii="Book Antiqua" w:hAnsi="Book Antiqua"/>
        </w:rPr>
        <w:t xml:space="preserve"> of the pathway model</w:t>
      </w:r>
      <w:r w:rsidR="003371ED" w:rsidRPr="00361BCF">
        <w:rPr>
          <w:rFonts w:ascii="Book Antiqua" w:hAnsi="Book Antiqua"/>
        </w:rPr>
        <w:t>.</w:t>
      </w:r>
    </w:p>
    <w:p w14:paraId="4D163517" w14:textId="77777777" w:rsidR="00510B59" w:rsidRPr="00361BCF" w:rsidRDefault="00510B59" w:rsidP="004A4CBA">
      <w:pPr>
        <w:spacing w:line="360" w:lineRule="auto"/>
        <w:ind w:firstLine="567"/>
        <w:jc w:val="both"/>
        <w:rPr>
          <w:rFonts w:ascii="Book Antiqua" w:hAnsi="Book Antiqua"/>
        </w:rPr>
      </w:pPr>
    </w:p>
    <w:p w14:paraId="2DDC8599" w14:textId="77777777" w:rsidR="000529BC" w:rsidRDefault="000529BC" w:rsidP="004A4CBA">
      <w:pPr>
        <w:spacing w:line="360" w:lineRule="auto"/>
        <w:jc w:val="both"/>
        <w:rPr>
          <w:rFonts w:ascii="Book Antiqua" w:hAnsi="Book Antiqua"/>
          <w:b/>
        </w:rPr>
      </w:pPr>
      <w:r>
        <w:rPr>
          <w:rFonts w:ascii="Book Antiqua" w:hAnsi="Book Antiqua"/>
          <w:b/>
        </w:rPr>
        <w:br w:type="page"/>
      </w:r>
    </w:p>
    <w:p w14:paraId="67FF8A6C" w14:textId="0DA92AD2" w:rsidR="00D37CAF" w:rsidRPr="00361BCF" w:rsidRDefault="00A3239A" w:rsidP="004A4CBA">
      <w:pPr>
        <w:spacing w:line="360" w:lineRule="auto"/>
        <w:jc w:val="both"/>
        <w:rPr>
          <w:rFonts w:ascii="Book Antiqua" w:hAnsi="Book Antiqua"/>
          <w:b/>
        </w:rPr>
      </w:pPr>
      <w:r w:rsidRPr="00361BCF">
        <w:rPr>
          <w:rFonts w:ascii="Book Antiqua" w:hAnsi="Book Antiqua"/>
          <w:b/>
        </w:rPr>
        <w:lastRenderedPageBreak/>
        <w:t>The study</w:t>
      </w:r>
    </w:p>
    <w:p w14:paraId="2F89D1A8" w14:textId="61C4F4CD" w:rsidR="009A1B6D" w:rsidRPr="00361BCF" w:rsidRDefault="0099734F"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The data consist</w:t>
      </w:r>
      <w:r w:rsidR="00CB7C4B" w:rsidRPr="00361BCF">
        <w:rPr>
          <w:rFonts w:ascii="Book Antiqua" w:hAnsi="Book Antiqua"/>
        </w:rPr>
        <w:t xml:space="preserve"> of all </w:t>
      </w:r>
      <w:r w:rsidR="000553D5" w:rsidRPr="00361BCF">
        <w:rPr>
          <w:rFonts w:ascii="Book Antiqua" w:hAnsi="Book Antiqua"/>
        </w:rPr>
        <w:t>rape complaints</w:t>
      </w:r>
      <w:r w:rsidR="00CB7C4B" w:rsidRPr="00361BCF">
        <w:rPr>
          <w:rFonts w:ascii="Book Antiqua" w:hAnsi="Book Antiqua"/>
        </w:rPr>
        <w:t xml:space="preserve"> reported to the </w:t>
      </w:r>
      <w:r w:rsidR="000553D5" w:rsidRPr="00361BCF">
        <w:rPr>
          <w:rFonts w:ascii="Book Antiqua" w:hAnsi="Book Antiqua"/>
        </w:rPr>
        <w:t xml:space="preserve">London </w:t>
      </w:r>
      <w:r w:rsidR="00CB7C4B" w:rsidRPr="00361BCF">
        <w:rPr>
          <w:rFonts w:ascii="Book Antiqua" w:hAnsi="Book Antiqua"/>
        </w:rPr>
        <w:t xml:space="preserve">Metropolitan Police </w:t>
      </w:r>
      <w:r w:rsidR="000553D5" w:rsidRPr="00361BCF">
        <w:rPr>
          <w:rFonts w:ascii="Book Antiqua" w:hAnsi="Book Antiqua"/>
        </w:rPr>
        <w:t>Service (MPS)</w:t>
      </w:r>
      <w:r w:rsidR="00CB7C4B" w:rsidRPr="00361BCF">
        <w:rPr>
          <w:rFonts w:ascii="Book Antiqua" w:hAnsi="Book Antiqua"/>
        </w:rPr>
        <w:t xml:space="preserve"> during April and May 2012 (n=679). </w:t>
      </w:r>
      <w:r w:rsidR="00D86811" w:rsidRPr="00361BCF">
        <w:rPr>
          <w:rFonts w:ascii="Book Antiqua" w:hAnsi="Book Antiqua"/>
        </w:rPr>
        <w:t>Because all complaints within these two months are included the only factor introducing potential sampling bias is the selection of the months April and May</w:t>
      </w:r>
      <w:r w:rsidR="0054245E" w:rsidRPr="00361BCF">
        <w:rPr>
          <w:rFonts w:ascii="Book Antiqua" w:hAnsi="Book Antiqua"/>
        </w:rPr>
        <w:t>, which Home Office data on seasonalit</w:t>
      </w:r>
      <w:r w:rsidR="00171037" w:rsidRPr="00361BCF">
        <w:rPr>
          <w:rFonts w:ascii="Book Antiqua" w:hAnsi="Book Antiqua"/>
        </w:rPr>
        <w:t>y in crime suggest are typical</w:t>
      </w:r>
      <w:r w:rsidR="0054245E" w:rsidRPr="00361BCF">
        <w:rPr>
          <w:rFonts w:ascii="Book Antiqua" w:hAnsi="Book Antiqua"/>
        </w:rPr>
        <w:t xml:space="preserve"> months</w:t>
      </w:r>
      <w:r w:rsidR="00D86811" w:rsidRPr="00361BCF">
        <w:rPr>
          <w:rFonts w:ascii="Book Antiqua" w:hAnsi="Book Antiqua"/>
        </w:rPr>
        <w:t xml:space="preserve"> </w:t>
      </w:r>
      <w:r w:rsidR="00D86811" w:rsidRPr="00361BCF">
        <w:rPr>
          <w:rFonts w:ascii="Book Antiqua" w:hAnsi="Book Antiqua"/>
          <w:lang w:val="en-US"/>
        </w:rPr>
        <w:t>(</w:t>
      </w:r>
      <w:proofErr w:type="spellStart"/>
      <w:r w:rsidR="00D86811" w:rsidRPr="00361BCF">
        <w:rPr>
          <w:rFonts w:ascii="Book Antiqua" w:hAnsi="Book Antiqua"/>
          <w:lang w:val="en-US"/>
        </w:rPr>
        <w:t>Hird</w:t>
      </w:r>
      <w:proofErr w:type="spellEnd"/>
      <w:r w:rsidR="00D86811" w:rsidRPr="00361BCF">
        <w:rPr>
          <w:rFonts w:ascii="Book Antiqua" w:hAnsi="Book Antiqua"/>
          <w:lang w:val="en-US"/>
        </w:rPr>
        <w:t xml:space="preserve"> </w:t>
      </w:r>
      <w:r w:rsidR="00327C15" w:rsidRPr="00361BCF">
        <w:rPr>
          <w:rFonts w:ascii="Book Antiqua" w:hAnsi="Book Antiqua"/>
          <w:lang w:val="en-US"/>
        </w:rPr>
        <w:t>and</w:t>
      </w:r>
      <w:r w:rsidR="00C259A0" w:rsidRPr="00361BCF">
        <w:rPr>
          <w:rFonts w:ascii="Book Antiqua" w:hAnsi="Book Antiqua"/>
          <w:lang w:val="en-US"/>
        </w:rPr>
        <w:t xml:space="preserve"> </w:t>
      </w:r>
      <w:proofErr w:type="spellStart"/>
      <w:r w:rsidR="00D86811" w:rsidRPr="00361BCF">
        <w:rPr>
          <w:rFonts w:ascii="Book Antiqua" w:hAnsi="Book Antiqua"/>
          <w:lang w:val="en-US"/>
        </w:rPr>
        <w:t>Ruparel</w:t>
      </w:r>
      <w:proofErr w:type="spellEnd"/>
      <w:r w:rsidR="00327C15" w:rsidRPr="00361BCF">
        <w:rPr>
          <w:rFonts w:ascii="Book Antiqua" w:hAnsi="Book Antiqua"/>
          <w:lang w:val="en-US"/>
        </w:rPr>
        <w:t>,</w:t>
      </w:r>
      <w:r w:rsidR="00D86811" w:rsidRPr="00361BCF">
        <w:rPr>
          <w:rFonts w:ascii="Book Antiqua" w:hAnsi="Book Antiqua"/>
          <w:lang w:val="en-US"/>
        </w:rPr>
        <w:t xml:space="preserve"> 2007). </w:t>
      </w:r>
      <w:r w:rsidR="00D86811" w:rsidRPr="00361BCF">
        <w:rPr>
          <w:rFonts w:ascii="Book Antiqua" w:hAnsi="Book Antiqua"/>
        </w:rPr>
        <w:t>The risk of sampling bias thus appears small</w:t>
      </w:r>
      <w:r w:rsidR="0054245E" w:rsidRPr="00361BCF">
        <w:rPr>
          <w:rFonts w:ascii="Book Antiqua" w:hAnsi="Book Antiqua"/>
        </w:rPr>
        <w:t xml:space="preserve">, </w:t>
      </w:r>
      <w:r w:rsidR="00D86811" w:rsidRPr="00361BCF">
        <w:rPr>
          <w:rFonts w:ascii="Book Antiqua" w:hAnsi="Book Antiqua"/>
        </w:rPr>
        <w:t>rendering the</w:t>
      </w:r>
      <w:r w:rsidR="002177D7" w:rsidRPr="00361BCF">
        <w:rPr>
          <w:rFonts w:ascii="Book Antiqua" w:hAnsi="Book Antiqua"/>
        </w:rPr>
        <w:t xml:space="preserve"> </w:t>
      </w:r>
      <w:r w:rsidR="00CB7C4B" w:rsidRPr="00361BCF">
        <w:rPr>
          <w:rFonts w:ascii="Book Antiqua" w:hAnsi="Book Antiqua"/>
        </w:rPr>
        <w:t xml:space="preserve">sample representative of all rape allegations made to </w:t>
      </w:r>
      <w:r w:rsidR="0054245E" w:rsidRPr="00361BCF">
        <w:rPr>
          <w:rFonts w:ascii="Book Antiqua" w:hAnsi="Book Antiqua"/>
        </w:rPr>
        <w:t xml:space="preserve">the London </w:t>
      </w:r>
      <w:r w:rsidR="00CB7C4B" w:rsidRPr="00361BCF">
        <w:rPr>
          <w:rFonts w:ascii="Book Antiqua" w:hAnsi="Book Antiqua"/>
        </w:rPr>
        <w:t>police.</w:t>
      </w:r>
      <w:r w:rsidR="000553D5" w:rsidRPr="00361BCF">
        <w:rPr>
          <w:rFonts w:ascii="Book Antiqua" w:hAnsi="Book Antiqua"/>
        </w:rPr>
        <w:t xml:space="preserve"> The full police records of each rape complaint were read, analyse</w:t>
      </w:r>
      <w:r w:rsidR="00135F44" w:rsidRPr="00361BCF">
        <w:rPr>
          <w:rFonts w:ascii="Book Antiqua" w:hAnsi="Book Antiqua"/>
        </w:rPr>
        <w:t xml:space="preserve">d and coded by the MPS </w:t>
      </w:r>
      <w:r w:rsidR="000553D5" w:rsidRPr="00361BCF">
        <w:rPr>
          <w:rFonts w:ascii="Book Antiqua" w:hAnsi="Book Antiqua"/>
        </w:rPr>
        <w:t xml:space="preserve">Research Unit. </w:t>
      </w:r>
      <w:r w:rsidR="002F529B" w:rsidRPr="00361BCF">
        <w:rPr>
          <w:rFonts w:ascii="Book Antiqua" w:hAnsi="Book Antiqua"/>
        </w:rPr>
        <w:t>The authors have been granted permission to re-analyse the dataset</w:t>
      </w:r>
      <w:r w:rsidR="000553D5" w:rsidRPr="00361BCF">
        <w:rPr>
          <w:rFonts w:ascii="Book Antiqua" w:hAnsi="Book Antiqua"/>
        </w:rPr>
        <w:t>. As with all secondary data analyses, the d</w:t>
      </w:r>
      <w:r w:rsidR="004F4942" w:rsidRPr="00361BCF">
        <w:rPr>
          <w:rFonts w:ascii="Book Antiqua" w:hAnsi="Book Antiqua"/>
        </w:rPr>
        <w:t>ata were not collected wi</w:t>
      </w:r>
      <w:r w:rsidR="006A034E" w:rsidRPr="00361BCF">
        <w:rPr>
          <w:rFonts w:ascii="Book Antiqua" w:hAnsi="Book Antiqua"/>
        </w:rPr>
        <w:t xml:space="preserve">th the present </w:t>
      </w:r>
      <w:r w:rsidR="00AF6C37">
        <w:rPr>
          <w:rFonts w:ascii="Book Antiqua" w:hAnsi="Book Antiqua"/>
        </w:rPr>
        <w:t>study</w:t>
      </w:r>
      <w:r w:rsidR="006A034E" w:rsidRPr="00361BCF">
        <w:rPr>
          <w:rFonts w:ascii="Book Antiqua" w:hAnsi="Book Antiqua"/>
        </w:rPr>
        <w:t xml:space="preserve"> in mind</w:t>
      </w:r>
      <w:r w:rsidR="004F4942" w:rsidRPr="00361BCF">
        <w:rPr>
          <w:rFonts w:ascii="Book Antiqua" w:hAnsi="Book Antiqua"/>
        </w:rPr>
        <w:t xml:space="preserve"> and have limitations as a result. </w:t>
      </w:r>
      <w:r w:rsidR="004A7D04" w:rsidRPr="00361BCF">
        <w:rPr>
          <w:rFonts w:ascii="Book Antiqua" w:hAnsi="Book Antiqua"/>
        </w:rPr>
        <w:t>T</w:t>
      </w:r>
      <w:r w:rsidR="004F4942" w:rsidRPr="00361BCF">
        <w:rPr>
          <w:rFonts w:ascii="Book Antiqua" w:hAnsi="Book Antiqua"/>
        </w:rPr>
        <w:t>he dataset contains variables that capture</w:t>
      </w:r>
      <w:r w:rsidR="004A7D04" w:rsidRPr="00361BCF">
        <w:rPr>
          <w:rFonts w:ascii="Book Antiqua" w:hAnsi="Book Antiqua"/>
        </w:rPr>
        <w:t xml:space="preserve"> </w:t>
      </w:r>
      <w:r w:rsidR="000E7442" w:rsidRPr="00361BCF">
        <w:rPr>
          <w:rFonts w:ascii="Book Antiqua" w:hAnsi="Book Antiqua"/>
        </w:rPr>
        <w:t xml:space="preserve">some </w:t>
      </w:r>
      <w:r w:rsidR="00975751" w:rsidRPr="00361BCF">
        <w:rPr>
          <w:rFonts w:ascii="Book Antiqua" w:hAnsi="Book Antiqua"/>
        </w:rPr>
        <w:t xml:space="preserve">basic elements </w:t>
      </w:r>
      <w:r w:rsidR="004A7D04" w:rsidRPr="00361BCF">
        <w:rPr>
          <w:rFonts w:ascii="Book Antiqua" w:hAnsi="Book Antiqua"/>
        </w:rPr>
        <w:t xml:space="preserve">of our </w:t>
      </w:r>
      <w:r w:rsidR="003276DB" w:rsidRPr="00361BCF">
        <w:rPr>
          <w:rFonts w:ascii="Book Antiqua" w:hAnsi="Book Antiqua"/>
        </w:rPr>
        <w:t>‘</w:t>
      </w:r>
      <w:r w:rsidR="00CB04EA" w:rsidRPr="00361BCF">
        <w:rPr>
          <w:rFonts w:ascii="Book Antiqua" w:hAnsi="Book Antiqua"/>
        </w:rPr>
        <w:t xml:space="preserve">pathways to </w:t>
      </w:r>
      <w:r w:rsidR="004A7D04" w:rsidRPr="00361BCF">
        <w:rPr>
          <w:rFonts w:ascii="Book Antiqua" w:hAnsi="Book Antiqua"/>
        </w:rPr>
        <w:t>attrition</w:t>
      </w:r>
      <w:r w:rsidR="003276DB" w:rsidRPr="00361BCF">
        <w:rPr>
          <w:rFonts w:ascii="Book Antiqua" w:hAnsi="Book Antiqua"/>
        </w:rPr>
        <w:t>’</w:t>
      </w:r>
      <w:r w:rsidR="004A7D04" w:rsidRPr="00361BCF">
        <w:rPr>
          <w:rFonts w:ascii="Book Antiqua" w:hAnsi="Book Antiqua"/>
          <w:i/>
        </w:rPr>
        <w:t xml:space="preserve"> </w:t>
      </w:r>
      <w:r w:rsidR="003276DB" w:rsidRPr="00361BCF">
        <w:rPr>
          <w:rFonts w:ascii="Book Antiqua" w:hAnsi="Book Antiqua"/>
        </w:rPr>
        <w:t>conceptual</w:t>
      </w:r>
      <w:r w:rsidR="003276DB" w:rsidRPr="00361BCF">
        <w:rPr>
          <w:rFonts w:ascii="Book Antiqua" w:hAnsi="Book Antiqua"/>
          <w:i/>
        </w:rPr>
        <w:t xml:space="preserve"> </w:t>
      </w:r>
      <w:r w:rsidR="004A7D04" w:rsidRPr="00361BCF">
        <w:rPr>
          <w:rFonts w:ascii="Book Antiqua" w:hAnsi="Book Antiqua"/>
        </w:rPr>
        <w:t>model: whether</w:t>
      </w:r>
      <w:r w:rsidR="004F4942" w:rsidRPr="00361BCF">
        <w:rPr>
          <w:rFonts w:ascii="Book Antiqua" w:hAnsi="Book Antiqua"/>
        </w:rPr>
        <w:t xml:space="preserve"> police officers noted inconsistencies in the victim account, </w:t>
      </w:r>
      <w:r w:rsidR="004A7D04" w:rsidRPr="00361BCF">
        <w:rPr>
          <w:rFonts w:ascii="Book Antiqua" w:hAnsi="Book Antiqua"/>
        </w:rPr>
        <w:t>victim withdrawal, and the attrition points. H</w:t>
      </w:r>
      <w:r w:rsidR="00975751" w:rsidRPr="00361BCF">
        <w:rPr>
          <w:rFonts w:ascii="Book Antiqua" w:hAnsi="Book Antiqua"/>
        </w:rPr>
        <w:t>o</w:t>
      </w:r>
      <w:r w:rsidR="004A7D04" w:rsidRPr="00361BCF">
        <w:rPr>
          <w:rFonts w:ascii="Book Antiqua" w:hAnsi="Book Antiqua"/>
        </w:rPr>
        <w:t xml:space="preserve">wever, </w:t>
      </w:r>
      <w:r w:rsidR="004F4942" w:rsidRPr="00361BCF">
        <w:rPr>
          <w:rFonts w:ascii="Book Antiqua" w:hAnsi="Book Antiqua"/>
        </w:rPr>
        <w:t xml:space="preserve">there </w:t>
      </w:r>
      <w:r w:rsidR="004A7D04" w:rsidRPr="00361BCF">
        <w:rPr>
          <w:rFonts w:ascii="Book Antiqua" w:hAnsi="Book Antiqua"/>
        </w:rPr>
        <w:t>are n</w:t>
      </w:r>
      <w:r w:rsidR="00975751" w:rsidRPr="00361BCF">
        <w:rPr>
          <w:rFonts w:ascii="Book Antiqua" w:hAnsi="Book Antiqua"/>
        </w:rPr>
        <w:t xml:space="preserve">o variables to test the exact </w:t>
      </w:r>
      <w:r w:rsidR="004A7D04" w:rsidRPr="00361BCF">
        <w:rPr>
          <w:rFonts w:ascii="Book Antiqua" w:hAnsi="Book Antiqua"/>
        </w:rPr>
        <w:t>mechanisms that link inconsistencies in the victim account to attrition</w:t>
      </w:r>
      <w:r w:rsidR="00975751" w:rsidRPr="00361BCF">
        <w:rPr>
          <w:rFonts w:ascii="Book Antiqua" w:hAnsi="Book Antiqua"/>
        </w:rPr>
        <w:t xml:space="preserve"> </w:t>
      </w:r>
      <w:r w:rsidR="004F7146" w:rsidRPr="00361BCF">
        <w:rPr>
          <w:rFonts w:ascii="Book Antiqua" w:hAnsi="Book Antiqua"/>
        </w:rPr>
        <w:t xml:space="preserve">as proposed </w:t>
      </w:r>
      <w:r w:rsidR="000E7442" w:rsidRPr="00361BCF">
        <w:rPr>
          <w:rFonts w:ascii="Book Antiqua" w:hAnsi="Book Antiqua"/>
        </w:rPr>
        <w:t>in</w:t>
      </w:r>
      <w:r w:rsidR="004F7146" w:rsidRPr="00361BCF">
        <w:rPr>
          <w:rFonts w:ascii="Book Antiqua" w:hAnsi="Book Antiqua"/>
        </w:rPr>
        <w:t xml:space="preserve"> the </w:t>
      </w:r>
      <w:r w:rsidR="00975751" w:rsidRPr="00361BCF">
        <w:rPr>
          <w:rFonts w:ascii="Book Antiqua" w:hAnsi="Book Antiqua"/>
        </w:rPr>
        <w:t>pathway model</w:t>
      </w:r>
      <w:r w:rsidR="000E7442" w:rsidRPr="00361BCF">
        <w:rPr>
          <w:rFonts w:ascii="Book Antiqua" w:hAnsi="Book Antiqua"/>
        </w:rPr>
        <w:t xml:space="preserve"> (</w:t>
      </w:r>
      <w:r w:rsidR="00D0319F" w:rsidRPr="00361BCF">
        <w:rPr>
          <w:rFonts w:ascii="Book Antiqua" w:hAnsi="Book Antiqua"/>
        </w:rPr>
        <w:t>Figure</w:t>
      </w:r>
      <w:r w:rsidR="000E7442" w:rsidRPr="00361BCF">
        <w:rPr>
          <w:rFonts w:ascii="Book Antiqua" w:hAnsi="Book Antiqua"/>
        </w:rPr>
        <w:t xml:space="preserve"> 1)</w:t>
      </w:r>
      <w:r w:rsidR="00975751" w:rsidRPr="00361BCF">
        <w:rPr>
          <w:rFonts w:ascii="Book Antiqua" w:hAnsi="Book Antiqua"/>
        </w:rPr>
        <w:t>.</w:t>
      </w:r>
      <w:r w:rsidR="004A7D04" w:rsidRPr="00361BCF">
        <w:rPr>
          <w:rFonts w:ascii="Book Antiqua" w:hAnsi="Book Antiqua"/>
        </w:rPr>
        <w:t xml:space="preserve"> The dataset also contains </w:t>
      </w:r>
      <w:r w:rsidR="004F4942" w:rsidRPr="00361BCF">
        <w:rPr>
          <w:rFonts w:ascii="Book Antiqua" w:hAnsi="Book Antiqua"/>
        </w:rPr>
        <w:t>no variable</w:t>
      </w:r>
      <w:r w:rsidR="00AA330B" w:rsidRPr="00361BCF">
        <w:rPr>
          <w:rFonts w:ascii="Book Antiqua" w:hAnsi="Book Antiqua"/>
        </w:rPr>
        <w:t>s</w:t>
      </w:r>
      <w:r w:rsidR="004F4942" w:rsidRPr="00361BCF">
        <w:rPr>
          <w:rFonts w:ascii="Book Antiqua" w:hAnsi="Book Antiqua"/>
        </w:rPr>
        <w:t xml:space="preserve"> capturing the amount of</w:t>
      </w:r>
      <w:r w:rsidR="004A7D04" w:rsidRPr="00361BCF">
        <w:rPr>
          <w:rFonts w:ascii="Book Antiqua" w:hAnsi="Book Antiqua"/>
        </w:rPr>
        <w:t xml:space="preserve"> </w:t>
      </w:r>
      <w:r w:rsidR="00766AF4" w:rsidRPr="00361BCF">
        <w:rPr>
          <w:rFonts w:ascii="Book Antiqua" w:hAnsi="Book Antiqua"/>
        </w:rPr>
        <w:t>detail in the victim account.</w:t>
      </w:r>
      <w:r w:rsidR="00CB04EA" w:rsidRPr="00361BCF">
        <w:rPr>
          <w:rFonts w:ascii="Book Antiqua" w:hAnsi="Book Antiqua"/>
        </w:rPr>
        <w:t xml:space="preserve"> In short</w:t>
      </w:r>
      <w:r w:rsidR="00766AF4" w:rsidRPr="00361BCF">
        <w:rPr>
          <w:rFonts w:ascii="Book Antiqua" w:hAnsi="Book Antiqua"/>
        </w:rPr>
        <w:t>, the dataset does not permit</w:t>
      </w:r>
      <w:r w:rsidR="003371ED" w:rsidRPr="00361BCF">
        <w:rPr>
          <w:rFonts w:ascii="Book Antiqua" w:hAnsi="Book Antiqua"/>
        </w:rPr>
        <w:t xml:space="preserve"> a full empirical test</w:t>
      </w:r>
      <w:r w:rsidR="00766AF4" w:rsidRPr="00361BCF">
        <w:rPr>
          <w:rFonts w:ascii="Book Antiqua" w:hAnsi="Book Antiqua"/>
        </w:rPr>
        <w:t xml:space="preserve"> of the exact mechanisms that </w:t>
      </w:r>
      <w:r w:rsidR="00B4566B" w:rsidRPr="00361BCF">
        <w:rPr>
          <w:rFonts w:ascii="Book Antiqua" w:hAnsi="Book Antiqua"/>
        </w:rPr>
        <w:t xml:space="preserve">normal features of </w:t>
      </w:r>
      <w:r w:rsidR="003371ED" w:rsidRPr="00361BCF">
        <w:rPr>
          <w:rFonts w:ascii="Book Antiqua" w:hAnsi="Book Antiqua"/>
        </w:rPr>
        <w:t>memory evidence</w:t>
      </w:r>
      <w:r w:rsidR="00766AF4" w:rsidRPr="00361BCF">
        <w:rPr>
          <w:rFonts w:ascii="Book Antiqua" w:hAnsi="Book Antiqua"/>
        </w:rPr>
        <w:t xml:space="preserve"> to attrition. However, the </w:t>
      </w:r>
      <w:r w:rsidR="00693329" w:rsidRPr="00361BCF">
        <w:rPr>
          <w:rFonts w:ascii="Book Antiqua" w:hAnsi="Book Antiqua"/>
        </w:rPr>
        <w:t xml:space="preserve">data </w:t>
      </w:r>
      <w:r w:rsidR="00AA330B" w:rsidRPr="00361BCF">
        <w:rPr>
          <w:rFonts w:ascii="Book Antiqua" w:hAnsi="Book Antiqua"/>
        </w:rPr>
        <w:t>do</w:t>
      </w:r>
      <w:r w:rsidR="00693329" w:rsidRPr="00361BCF">
        <w:rPr>
          <w:rFonts w:ascii="Book Antiqua" w:hAnsi="Book Antiqua"/>
        </w:rPr>
        <w:t xml:space="preserve"> allow</w:t>
      </w:r>
      <w:r w:rsidR="004F7146" w:rsidRPr="00361BCF">
        <w:rPr>
          <w:rFonts w:ascii="Book Antiqua" w:hAnsi="Book Antiqua"/>
        </w:rPr>
        <w:t xml:space="preserve"> </w:t>
      </w:r>
      <w:r w:rsidR="00693329" w:rsidRPr="00361BCF">
        <w:rPr>
          <w:rFonts w:ascii="Book Antiqua" w:hAnsi="Book Antiqua"/>
        </w:rPr>
        <w:t xml:space="preserve">for </w:t>
      </w:r>
      <w:r w:rsidR="00796C3D" w:rsidRPr="00361BCF">
        <w:rPr>
          <w:rFonts w:ascii="Book Antiqua" w:hAnsi="Book Antiqua"/>
        </w:rPr>
        <w:t>a valuable</w:t>
      </w:r>
      <w:r w:rsidR="00D904A5" w:rsidRPr="00361BCF">
        <w:rPr>
          <w:rFonts w:ascii="Book Antiqua" w:hAnsi="Book Antiqua"/>
        </w:rPr>
        <w:t>,</w:t>
      </w:r>
      <w:r w:rsidR="00796C3D" w:rsidRPr="00361BCF">
        <w:rPr>
          <w:rFonts w:ascii="Book Antiqua" w:hAnsi="Book Antiqua"/>
        </w:rPr>
        <w:t xml:space="preserve"> initial empirical test of</w:t>
      </w:r>
      <w:r w:rsidR="003371ED" w:rsidRPr="00361BCF">
        <w:rPr>
          <w:rFonts w:ascii="Book Antiqua" w:hAnsi="Book Antiqua"/>
        </w:rPr>
        <w:t xml:space="preserve"> </w:t>
      </w:r>
      <w:r w:rsidR="00693329" w:rsidRPr="00361BCF">
        <w:rPr>
          <w:rFonts w:ascii="Book Antiqua" w:hAnsi="Book Antiqua"/>
        </w:rPr>
        <w:t>one</w:t>
      </w:r>
      <w:r w:rsidR="001A255B" w:rsidRPr="00361BCF">
        <w:rPr>
          <w:rFonts w:ascii="Book Antiqua" w:hAnsi="Book Antiqua"/>
        </w:rPr>
        <w:t xml:space="preserve"> </w:t>
      </w:r>
      <w:r w:rsidR="00693329" w:rsidRPr="00361BCF">
        <w:rPr>
          <w:rFonts w:ascii="Book Antiqua" w:hAnsi="Book Antiqua"/>
        </w:rPr>
        <w:t>central</w:t>
      </w:r>
      <w:r w:rsidR="001A255B" w:rsidRPr="00361BCF">
        <w:rPr>
          <w:rFonts w:ascii="Book Antiqua" w:hAnsi="Book Antiqua"/>
        </w:rPr>
        <w:t xml:space="preserve"> association</w:t>
      </w:r>
      <w:r w:rsidR="00796C3D" w:rsidRPr="00361BCF">
        <w:rPr>
          <w:rFonts w:ascii="Book Antiqua" w:hAnsi="Book Antiqua"/>
        </w:rPr>
        <w:t xml:space="preserve"> </w:t>
      </w:r>
      <w:r w:rsidR="00766AF4" w:rsidRPr="00361BCF">
        <w:rPr>
          <w:rFonts w:ascii="Book Antiqua" w:hAnsi="Book Antiqua"/>
        </w:rPr>
        <w:t xml:space="preserve">in </w:t>
      </w:r>
      <w:r w:rsidR="003276DB" w:rsidRPr="00361BCF">
        <w:rPr>
          <w:rFonts w:ascii="Book Antiqua" w:hAnsi="Book Antiqua"/>
        </w:rPr>
        <w:t>this</w:t>
      </w:r>
      <w:r w:rsidR="00766AF4" w:rsidRPr="00361BCF">
        <w:rPr>
          <w:rFonts w:ascii="Book Antiqua" w:hAnsi="Book Antiqua"/>
        </w:rPr>
        <w:t xml:space="preserve"> large</w:t>
      </w:r>
      <w:r w:rsidR="00322C8B" w:rsidRPr="00361BCF">
        <w:rPr>
          <w:rFonts w:ascii="Book Antiqua" w:hAnsi="Book Antiqua"/>
        </w:rPr>
        <w:t>,</w:t>
      </w:r>
      <w:r w:rsidR="001A255B" w:rsidRPr="00361BCF">
        <w:rPr>
          <w:rFonts w:ascii="Book Antiqua" w:hAnsi="Book Antiqua"/>
        </w:rPr>
        <w:t xml:space="preserve"> representative sample:</w:t>
      </w:r>
      <w:r w:rsidR="00693329" w:rsidRPr="00361BCF">
        <w:rPr>
          <w:rFonts w:ascii="Book Antiqua" w:hAnsi="Book Antiqua"/>
        </w:rPr>
        <w:t xml:space="preserve"> based on the pathway model,</w:t>
      </w:r>
      <w:r w:rsidR="001A255B" w:rsidRPr="00361BCF">
        <w:rPr>
          <w:rFonts w:ascii="Book Antiqua" w:hAnsi="Book Antiqua"/>
        </w:rPr>
        <w:t xml:space="preserve"> inconsistencies in the victim account should be associated with higher attrition. If the data do not support this </w:t>
      </w:r>
      <w:r w:rsidR="00693329" w:rsidRPr="00361BCF">
        <w:rPr>
          <w:rFonts w:ascii="Book Antiqua" w:hAnsi="Book Antiqua"/>
        </w:rPr>
        <w:t>hypothesis</w:t>
      </w:r>
      <w:r w:rsidR="00C46551" w:rsidRPr="00361BCF">
        <w:rPr>
          <w:rFonts w:ascii="Book Antiqua" w:hAnsi="Book Antiqua"/>
        </w:rPr>
        <w:t xml:space="preserve"> the validity of the pathway model would be put into question</w:t>
      </w:r>
      <w:r w:rsidR="004F7146" w:rsidRPr="00361BCF">
        <w:rPr>
          <w:rFonts w:ascii="Book Antiqua" w:hAnsi="Book Antiqua"/>
        </w:rPr>
        <w:t xml:space="preserve">. </w:t>
      </w:r>
      <w:r w:rsidR="00693329" w:rsidRPr="00361BCF">
        <w:rPr>
          <w:rFonts w:ascii="Book Antiqua" w:hAnsi="Book Antiqua"/>
        </w:rPr>
        <w:t>This study</w:t>
      </w:r>
      <w:r w:rsidR="00766AF4" w:rsidRPr="00361BCF">
        <w:rPr>
          <w:rFonts w:ascii="Book Antiqua" w:hAnsi="Book Antiqua"/>
        </w:rPr>
        <w:t xml:space="preserve"> is thus an important first step in the empirical testing of the </w:t>
      </w:r>
      <w:r w:rsidR="00693329" w:rsidRPr="00361BCF">
        <w:rPr>
          <w:rFonts w:ascii="Book Antiqua" w:hAnsi="Book Antiqua"/>
        </w:rPr>
        <w:t>pathway</w:t>
      </w:r>
      <w:r w:rsidR="000E7442" w:rsidRPr="00361BCF">
        <w:rPr>
          <w:rFonts w:ascii="Book Antiqua" w:hAnsi="Book Antiqua"/>
        </w:rPr>
        <w:t xml:space="preserve"> </w:t>
      </w:r>
      <w:r w:rsidR="00766AF4" w:rsidRPr="00361BCF">
        <w:rPr>
          <w:rFonts w:ascii="Book Antiqua" w:hAnsi="Book Antiqua"/>
        </w:rPr>
        <w:t xml:space="preserve">model. </w:t>
      </w:r>
    </w:p>
    <w:p w14:paraId="1DAF6BD5" w14:textId="77777777" w:rsidR="009A1B6D" w:rsidRPr="00361BCF" w:rsidRDefault="009A1B6D" w:rsidP="004A4CBA">
      <w:pPr>
        <w:autoSpaceDE w:val="0"/>
        <w:autoSpaceDN w:val="0"/>
        <w:adjustRightInd w:val="0"/>
        <w:spacing w:line="360" w:lineRule="auto"/>
        <w:ind w:firstLine="567"/>
        <w:jc w:val="both"/>
        <w:rPr>
          <w:rFonts w:ascii="Book Antiqua" w:hAnsi="Book Antiqua"/>
        </w:rPr>
      </w:pPr>
    </w:p>
    <w:p w14:paraId="341D20A0" w14:textId="5DE445CF" w:rsidR="004C08F8" w:rsidRPr="00361BCF" w:rsidRDefault="009A1B6D"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The key variable of interest in is whether police noted inconsistencies in the </w:t>
      </w:r>
      <w:r w:rsidR="004A346C">
        <w:rPr>
          <w:rFonts w:ascii="Book Antiqua" w:hAnsi="Book Antiqua"/>
        </w:rPr>
        <w:t>victim account</w:t>
      </w:r>
      <w:r w:rsidR="00F25105" w:rsidRPr="00361BCF">
        <w:rPr>
          <w:rFonts w:ascii="Book Antiqua" w:hAnsi="Book Antiqua"/>
        </w:rPr>
        <w:t xml:space="preserve"> in the case file, coded as 1= ‘</w:t>
      </w:r>
      <w:r w:rsidR="0028103F" w:rsidRPr="00361BCF">
        <w:rPr>
          <w:rFonts w:ascii="Book Antiqua" w:hAnsi="Book Antiqua"/>
        </w:rPr>
        <w:t xml:space="preserve">noted’ and 0= ‘not </w:t>
      </w:r>
      <w:r w:rsidR="00F25105" w:rsidRPr="00361BCF">
        <w:rPr>
          <w:rFonts w:ascii="Book Antiqua" w:hAnsi="Book Antiqua"/>
        </w:rPr>
        <w:t>noted’.</w:t>
      </w:r>
      <w:r w:rsidRPr="00361BCF">
        <w:rPr>
          <w:rFonts w:ascii="Book Antiqua" w:hAnsi="Book Antiqua"/>
        </w:rPr>
        <w:t xml:space="preserve"> </w:t>
      </w:r>
      <w:r w:rsidR="004A21B1" w:rsidRPr="00361BCF">
        <w:rPr>
          <w:rFonts w:ascii="Book Antiqua" w:hAnsi="Book Antiqua"/>
        </w:rPr>
        <w:t>These</w:t>
      </w:r>
      <w:r w:rsidR="004C08F8" w:rsidRPr="00361BCF">
        <w:rPr>
          <w:rFonts w:ascii="Book Antiqua" w:hAnsi="Book Antiqua"/>
        </w:rPr>
        <w:t xml:space="preserve"> can refer either</w:t>
      </w:r>
      <w:r w:rsidR="00C972E8" w:rsidRPr="00361BCF">
        <w:rPr>
          <w:rFonts w:ascii="Book Antiqua" w:hAnsi="Book Antiqua"/>
        </w:rPr>
        <w:t xml:space="preserve"> </w:t>
      </w:r>
      <w:r w:rsidR="004C08F8" w:rsidRPr="00361BCF">
        <w:rPr>
          <w:rFonts w:ascii="Book Antiqua" w:hAnsi="Book Antiqua"/>
        </w:rPr>
        <w:t xml:space="preserve">to </w:t>
      </w:r>
      <w:r w:rsidR="00C972E8" w:rsidRPr="00361BCF">
        <w:rPr>
          <w:rFonts w:ascii="Book Antiqua" w:hAnsi="Book Antiqua"/>
        </w:rPr>
        <w:t>internal inconsistencies</w:t>
      </w:r>
      <w:r w:rsidR="004C08F8" w:rsidRPr="00361BCF">
        <w:rPr>
          <w:rFonts w:ascii="Book Antiqua" w:hAnsi="Book Antiqua"/>
        </w:rPr>
        <w:t xml:space="preserve"> within one interview (witness statement)</w:t>
      </w:r>
      <w:r w:rsidR="00C972E8" w:rsidRPr="00361BCF">
        <w:rPr>
          <w:rFonts w:ascii="Book Antiqua" w:hAnsi="Book Antiqua"/>
        </w:rPr>
        <w:t xml:space="preserve"> or inconsistencies over repeat</w:t>
      </w:r>
      <w:r w:rsidR="00C50C63" w:rsidRPr="00361BCF">
        <w:rPr>
          <w:rFonts w:ascii="Book Antiqua" w:hAnsi="Book Antiqua"/>
        </w:rPr>
        <w:t>ed</w:t>
      </w:r>
      <w:r w:rsidR="00C972E8" w:rsidRPr="00361BCF">
        <w:rPr>
          <w:rFonts w:ascii="Book Antiqua" w:hAnsi="Book Antiqua"/>
        </w:rPr>
        <w:t xml:space="preserve"> interviews of the victim</w:t>
      </w:r>
      <w:r w:rsidR="00135402" w:rsidRPr="00361BCF">
        <w:rPr>
          <w:rFonts w:ascii="Book Antiqua" w:hAnsi="Book Antiqua"/>
        </w:rPr>
        <w:t xml:space="preserve">, i.e. between separate retellings of </w:t>
      </w:r>
      <w:r w:rsidR="00C50C63" w:rsidRPr="00361BCF">
        <w:rPr>
          <w:rFonts w:ascii="Book Antiqua" w:hAnsi="Book Antiqua"/>
        </w:rPr>
        <w:t>the victim’s</w:t>
      </w:r>
      <w:r w:rsidR="00135402" w:rsidRPr="00361BCF">
        <w:rPr>
          <w:rFonts w:ascii="Book Antiqua" w:hAnsi="Book Antiqua"/>
        </w:rPr>
        <w:t xml:space="preserve"> memory of the incident</w:t>
      </w:r>
      <w:r w:rsidR="00C972E8" w:rsidRPr="00361BCF">
        <w:rPr>
          <w:rFonts w:ascii="Book Antiqua" w:hAnsi="Book Antiqua"/>
        </w:rPr>
        <w:t xml:space="preserve">. </w:t>
      </w:r>
      <w:r w:rsidR="00135402" w:rsidRPr="00361BCF">
        <w:rPr>
          <w:rFonts w:ascii="Book Antiqua" w:hAnsi="Book Antiqua"/>
        </w:rPr>
        <w:t xml:space="preserve"> </w:t>
      </w:r>
      <w:r w:rsidR="004C08F8" w:rsidRPr="00361BCF">
        <w:rPr>
          <w:rFonts w:ascii="Book Antiqua" w:hAnsi="Book Antiqua"/>
        </w:rPr>
        <w:t xml:space="preserve">It is important to note that this is a measure of police perceived </w:t>
      </w:r>
      <w:r w:rsidR="004C08F8" w:rsidRPr="00361BCF">
        <w:rPr>
          <w:rFonts w:ascii="Book Antiqua" w:hAnsi="Book Antiqua"/>
        </w:rPr>
        <w:lastRenderedPageBreak/>
        <w:t>and recorded inconsistencies, rather than of ‘objective’ inconsistencies. The researchers did not have access to the original case files preclud</w:t>
      </w:r>
      <w:r w:rsidR="00135402" w:rsidRPr="00361BCF">
        <w:rPr>
          <w:rFonts w:ascii="Book Antiqua" w:hAnsi="Book Antiqua"/>
        </w:rPr>
        <w:t>ing an</w:t>
      </w:r>
      <w:r w:rsidR="004C08F8" w:rsidRPr="00361BCF">
        <w:rPr>
          <w:rFonts w:ascii="Book Antiqua" w:hAnsi="Book Antiqua"/>
        </w:rPr>
        <w:t xml:space="preserve"> analysis of the reliabil</w:t>
      </w:r>
      <w:r w:rsidR="00135402" w:rsidRPr="00361BCF">
        <w:rPr>
          <w:rFonts w:ascii="Book Antiqua" w:hAnsi="Book Antiqua"/>
        </w:rPr>
        <w:t>ity of su</w:t>
      </w:r>
      <w:r w:rsidR="004A21B1" w:rsidRPr="00361BCF">
        <w:rPr>
          <w:rFonts w:ascii="Book Antiqua" w:hAnsi="Book Antiqua"/>
        </w:rPr>
        <w:t>ch police judgements. Arguably</w:t>
      </w:r>
      <w:r w:rsidR="00E619BA">
        <w:rPr>
          <w:rFonts w:ascii="Book Antiqua" w:hAnsi="Book Antiqua"/>
        </w:rPr>
        <w:t xml:space="preserve"> however</w:t>
      </w:r>
      <w:r w:rsidR="004A21B1" w:rsidRPr="00361BCF">
        <w:rPr>
          <w:rFonts w:ascii="Book Antiqua" w:hAnsi="Book Antiqua"/>
        </w:rPr>
        <w:t xml:space="preserve"> it is </w:t>
      </w:r>
      <w:r w:rsidR="00135402" w:rsidRPr="00361BCF">
        <w:rPr>
          <w:rFonts w:ascii="Book Antiqua" w:hAnsi="Book Antiqua"/>
        </w:rPr>
        <w:t xml:space="preserve">police judgments of inconsistencies, </w:t>
      </w:r>
      <w:r w:rsidR="004A21B1" w:rsidRPr="00361BCF">
        <w:rPr>
          <w:rFonts w:ascii="Book Antiqua" w:hAnsi="Book Antiqua"/>
        </w:rPr>
        <w:t>rather than</w:t>
      </w:r>
      <w:r w:rsidR="00135402" w:rsidRPr="00361BCF">
        <w:rPr>
          <w:rFonts w:ascii="Book Antiqua" w:hAnsi="Book Antiqua"/>
        </w:rPr>
        <w:t xml:space="preserve"> </w:t>
      </w:r>
      <w:r w:rsidR="004A21B1" w:rsidRPr="00361BCF">
        <w:rPr>
          <w:rFonts w:ascii="Book Antiqua" w:hAnsi="Book Antiqua"/>
        </w:rPr>
        <w:t>researcher judgments</w:t>
      </w:r>
      <w:r w:rsidR="00C50C63" w:rsidRPr="00361BCF">
        <w:rPr>
          <w:rFonts w:ascii="Book Antiqua" w:hAnsi="Book Antiqua"/>
        </w:rPr>
        <w:t xml:space="preserve"> that influence</w:t>
      </w:r>
      <w:r w:rsidR="000245FD" w:rsidRPr="00361BCF">
        <w:rPr>
          <w:rFonts w:ascii="Book Antiqua" w:hAnsi="Book Antiqua"/>
        </w:rPr>
        <w:t xml:space="preserve"> police decision-</w:t>
      </w:r>
      <w:r w:rsidR="00C50C63" w:rsidRPr="00361BCF">
        <w:rPr>
          <w:rFonts w:ascii="Book Antiqua" w:hAnsi="Book Antiqua"/>
        </w:rPr>
        <w:t xml:space="preserve">making in the case. </w:t>
      </w:r>
    </w:p>
    <w:p w14:paraId="6DC89AD9" w14:textId="55CF6539" w:rsidR="009A1B6D" w:rsidRPr="00361BCF" w:rsidRDefault="009A1B6D" w:rsidP="004A4CBA">
      <w:pPr>
        <w:autoSpaceDE w:val="0"/>
        <w:autoSpaceDN w:val="0"/>
        <w:adjustRightInd w:val="0"/>
        <w:spacing w:line="360" w:lineRule="auto"/>
        <w:jc w:val="both"/>
        <w:rPr>
          <w:rFonts w:ascii="Book Antiqua" w:hAnsi="Book Antiqua"/>
        </w:rPr>
      </w:pPr>
    </w:p>
    <w:p w14:paraId="06E45ED7" w14:textId="0312F7AF" w:rsidR="009A1B6D" w:rsidRPr="00361BCF" w:rsidRDefault="000245FD"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Z-tests are used to test the statistical significance of </w:t>
      </w:r>
      <w:r w:rsidR="00B33F7D">
        <w:rPr>
          <w:rFonts w:ascii="Book Antiqua" w:hAnsi="Book Antiqua"/>
        </w:rPr>
        <w:t>the</w:t>
      </w:r>
      <w:r w:rsidRPr="00361BCF">
        <w:rPr>
          <w:rFonts w:ascii="Book Antiqua" w:hAnsi="Book Antiqua"/>
        </w:rPr>
        <w:t xml:space="preserve"> observed differences </w:t>
      </w:r>
      <w:r w:rsidR="00C50C63" w:rsidRPr="00361BCF">
        <w:rPr>
          <w:rFonts w:ascii="Book Antiqua" w:hAnsi="Book Antiqua"/>
        </w:rPr>
        <w:t>between cases with and without inconsistencies noted in the case file with regard to the outcome at each attrition point</w:t>
      </w:r>
      <w:r w:rsidR="009D6DD4" w:rsidRPr="00361BCF">
        <w:rPr>
          <w:rFonts w:ascii="Book Antiqua" w:hAnsi="Book Antiqua"/>
        </w:rPr>
        <w:t xml:space="preserve">. </w:t>
      </w:r>
      <w:r w:rsidRPr="00361BCF">
        <w:rPr>
          <w:rFonts w:ascii="Book Antiqua" w:hAnsi="Book Antiqua"/>
        </w:rPr>
        <w:t>The following attrition points are considered: a) police decision to ‘no crime’ the case instead of continuing to investigate it as a crime (coded 1= ‘no crime’ and 0 ‘</w:t>
      </w:r>
      <w:r w:rsidR="009D6DD4" w:rsidRPr="00361BCF">
        <w:rPr>
          <w:rFonts w:ascii="Book Antiqua" w:hAnsi="Book Antiqua"/>
        </w:rPr>
        <w:t>continued investigation’</w:t>
      </w:r>
      <w:r w:rsidRPr="00361BCF">
        <w:rPr>
          <w:rFonts w:ascii="Book Antiqua" w:hAnsi="Book Antiqua"/>
        </w:rPr>
        <w:t xml:space="preserve">), b) a police decision to close the case with ‘no further action’ instead of referring </w:t>
      </w:r>
      <w:r w:rsidR="009D6DD4" w:rsidRPr="00361BCF">
        <w:rPr>
          <w:rFonts w:ascii="Book Antiqua" w:hAnsi="Book Antiqua"/>
        </w:rPr>
        <w:t>it</w:t>
      </w:r>
      <w:r w:rsidRPr="00361BCF">
        <w:rPr>
          <w:rFonts w:ascii="Book Antiqua" w:hAnsi="Book Antiqua"/>
        </w:rPr>
        <w:t xml:space="preserve"> to the CPS for charge (coded 1= ‘</w:t>
      </w:r>
      <w:r w:rsidR="009D6DD4" w:rsidRPr="00361BCF">
        <w:rPr>
          <w:rFonts w:ascii="Book Antiqua" w:hAnsi="Book Antiqua"/>
        </w:rPr>
        <w:t xml:space="preserve">police </w:t>
      </w:r>
      <w:r w:rsidRPr="00361BCF">
        <w:rPr>
          <w:rFonts w:ascii="Book Antiqua" w:hAnsi="Book Antiqua"/>
        </w:rPr>
        <w:t xml:space="preserve">no further action, 0 = ‘referred to CPS for charge’ c) a CPS decision to take no further action instead of prosecuting in court </w:t>
      </w:r>
      <w:r w:rsidR="009D6DD4" w:rsidRPr="00361BCF">
        <w:rPr>
          <w:rFonts w:ascii="Book Antiqua" w:hAnsi="Book Antiqua"/>
        </w:rPr>
        <w:t xml:space="preserve">(coded 1 = ‘CPS no further action’ and 0 = ‘prosecution’). At the time of data collection none of the cases had been before a court, attrition through a jury ‘not guilty’ verdict can thus not be empirically considered in this study. </w:t>
      </w:r>
    </w:p>
    <w:p w14:paraId="00C85C3A" w14:textId="77777777" w:rsidR="000B673D" w:rsidRPr="00361BCF" w:rsidRDefault="000B673D" w:rsidP="004A4CBA">
      <w:pPr>
        <w:autoSpaceDE w:val="0"/>
        <w:autoSpaceDN w:val="0"/>
        <w:adjustRightInd w:val="0"/>
        <w:spacing w:line="360" w:lineRule="auto"/>
        <w:jc w:val="both"/>
        <w:rPr>
          <w:rFonts w:ascii="Book Antiqua" w:hAnsi="Book Antiqua"/>
        </w:rPr>
      </w:pPr>
    </w:p>
    <w:p w14:paraId="634AFCC0" w14:textId="741B3B53" w:rsidR="009D6DD4" w:rsidRPr="00361BCF" w:rsidRDefault="000B673D"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The pathway model specifies victim withdrawal as a second pathway to attrition. Again, z-tests are used to test the significance of any observed differences </w:t>
      </w:r>
      <w:r w:rsidR="00C50C63" w:rsidRPr="00361BCF">
        <w:rPr>
          <w:rFonts w:ascii="Book Antiqua" w:hAnsi="Book Antiqua"/>
        </w:rPr>
        <w:t>between cases with and without inconsistencies</w:t>
      </w:r>
      <w:r w:rsidR="00DA1EEC" w:rsidRPr="00361BCF">
        <w:rPr>
          <w:rFonts w:ascii="Book Antiqua" w:hAnsi="Book Antiqua"/>
        </w:rPr>
        <w:t xml:space="preserve">. </w:t>
      </w:r>
      <w:r w:rsidRPr="00361BCF">
        <w:rPr>
          <w:rFonts w:ascii="Book Antiqua" w:hAnsi="Book Antiqua"/>
        </w:rPr>
        <w:t xml:space="preserve">We distinguish between </w:t>
      </w:r>
      <w:r w:rsidR="00DA1EEC" w:rsidRPr="00361BCF">
        <w:rPr>
          <w:rFonts w:ascii="Book Antiqua" w:hAnsi="Book Antiqua"/>
        </w:rPr>
        <w:t>three types</w:t>
      </w:r>
      <w:r w:rsidR="004311AF" w:rsidRPr="00361BCF">
        <w:rPr>
          <w:rFonts w:ascii="Book Antiqua" w:hAnsi="Book Antiqua"/>
        </w:rPr>
        <w:t xml:space="preserve"> victim withdrawal</w:t>
      </w:r>
      <w:r w:rsidR="00A10EBE" w:rsidRPr="00361BCF">
        <w:rPr>
          <w:rFonts w:ascii="Book Antiqua" w:hAnsi="Book Antiqua"/>
        </w:rPr>
        <w:t xml:space="preserve">: a) </w:t>
      </w:r>
      <w:r w:rsidR="00DA1EEC" w:rsidRPr="00361BCF">
        <w:rPr>
          <w:rFonts w:ascii="Book Antiqua" w:hAnsi="Book Antiqua"/>
        </w:rPr>
        <w:t xml:space="preserve">formal </w:t>
      </w:r>
      <w:r w:rsidR="00A10EBE" w:rsidRPr="00361BCF">
        <w:rPr>
          <w:rFonts w:ascii="Book Antiqua" w:hAnsi="Book Antiqua"/>
        </w:rPr>
        <w:t>retraction</w:t>
      </w:r>
      <w:r w:rsidR="00DA1EEC" w:rsidRPr="00361BCF">
        <w:rPr>
          <w:rFonts w:ascii="Book Antiqua" w:hAnsi="Book Antiqua"/>
        </w:rPr>
        <w:t xml:space="preserve"> of the </w:t>
      </w:r>
      <w:r w:rsidR="00A10EBE" w:rsidRPr="00361BCF">
        <w:rPr>
          <w:rFonts w:ascii="Book Antiqua" w:hAnsi="Book Antiqua"/>
        </w:rPr>
        <w:t>complaint</w:t>
      </w:r>
      <w:r w:rsidR="00DA1EEC" w:rsidRPr="00361BCF">
        <w:rPr>
          <w:rFonts w:ascii="Book Antiqua" w:hAnsi="Book Antiqua"/>
        </w:rPr>
        <w:t xml:space="preserve"> stating the allegation was false</w:t>
      </w:r>
      <w:r w:rsidR="00A10EBE" w:rsidRPr="00361BCF">
        <w:rPr>
          <w:rFonts w:ascii="Book Antiqua" w:hAnsi="Book Antiqua"/>
        </w:rPr>
        <w:t xml:space="preserve">, b) </w:t>
      </w:r>
      <w:r w:rsidR="004311AF" w:rsidRPr="00361BCF">
        <w:rPr>
          <w:rFonts w:ascii="Book Antiqua" w:hAnsi="Book Antiqua"/>
        </w:rPr>
        <w:t>a written, signed statement from the victim stating that they do not wish the complaint to be pursued further</w:t>
      </w:r>
      <w:r w:rsidR="00A10EBE" w:rsidRPr="00361BCF">
        <w:rPr>
          <w:rFonts w:ascii="Book Antiqua" w:hAnsi="Book Antiqua"/>
        </w:rPr>
        <w:t xml:space="preserve"> without retracting the allegation as false, and c) i</w:t>
      </w:r>
      <w:r w:rsidRPr="00361BCF">
        <w:rPr>
          <w:rFonts w:ascii="Book Antiqua" w:hAnsi="Book Antiqua"/>
        </w:rPr>
        <w:t xml:space="preserve">nformal victim withdrawal </w:t>
      </w:r>
      <w:r w:rsidR="00A10EBE" w:rsidRPr="00361BCF">
        <w:rPr>
          <w:rFonts w:ascii="Book Antiqua" w:hAnsi="Book Antiqua"/>
        </w:rPr>
        <w:t xml:space="preserve">where </w:t>
      </w:r>
      <w:r w:rsidR="00B33F7D">
        <w:rPr>
          <w:rFonts w:ascii="Book Antiqua" w:hAnsi="Book Antiqua"/>
        </w:rPr>
        <w:t xml:space="preserve">the </w:t>
      </w:r>
      <w:r w:rsidRPr="00361BCF">
        <w:rPr>
          <w:rFonts w:ascii="Book Antiqua" w:hAnsi="Book Antiqua"/>
        </w:rPr>
        <w:t>victim</w:t>
      </w:r>
      <w:r w:rsidR="004311AF" w:rsidRPr="00361BCF">
        <w:rPr>
          <w:rFonts w:ascii="Book Antiqua" w:hAnsi="Book Antiqua"/>
        </w:rPr>
        <w:t xml:space="preserve"> becomes difficult to contact and</w:t>
      </w:r>
      <w:r w:rsidRPr="00361BCF">
        <w:rPr>
          <w:rFonts w:ascii="Book Antiqua" w:hAnsi="Book Antiqua"/>
        </w:rPr>
        <w:t xml:space="preserve"> </w:t>
      </w:r>
      <w:r w:rsidR="004311AF" w:rsidRPr="00361BCF">
        <w:rPr>
          <w:rFonts w:ascii="Book Antiqua" w:hAnsi="Book Antiqua"/>
        </w:rPr>
        <w:t>ceases to cooperate</w:t>
      </w:r>
      <w:r w:rsidRPr="00361BCF">
        <w:rPr>
          <w:rFonts w:ascii="Book Antiqua" w:hAnsi="Book Antiqua"/>
        </w:rPr>
        <w:t xml:space="preserve"> wi</w:t>
      </w:r>
      <w:r w:rsidR="004311AF" w:rsidRPr="00361BCF">
        <w:rPr>
          <w:rFonts w:ascii="Book Antiqua" w:hAnsi="Book Antiqua"/>
        </w:rPr>
        <w:t>th the poli</w:t>
      </w:r>
      <w:r w:rsidR="00DA1EEC" w:rsidRPr="00361BCF">
        <w:rPr>
          <w:rFonts w:ascii="Book Antiqua" w:hAnsi="Book Antiqua"/>
        </w:rPr>
        <w:t xml:space="preserve">ce, thus effectively withdrawing their support of the investigation. </w:t>
      </w:r>
      <w:r w:rsidR="00A10EBE" w:rsidRPr="00361BCF">
        <w:rPr>
          <w:rFonts w:ascii="Book Antiqua" w:hAnsi="Book Antiqua"/>
        </w:rPr>
        <w:t>All</w:t>
      </w:r>
      <w:r w:rsidR="004A21B1" w:rsidRPr="00361BCF">
        <w:rPr>
          <w:rFonts w:ascii="Book Antiqua" w:hAnsi="Book Antiqua"/>
        </w:rPr>
        <w:t xml:space="preserve"> of the variables</w:t>
      </w:r>
      <w:r w:rsidR="00363D29" w:rsidRPr="00361BCF">
        <w:rPr>
          <w:rFonts w:ascii="Book Antiqua" w:hAnsi="Book Antiqua"/>
        </w:rPr>
        <w:t xml:space="preserve"> </w:t>
      </w:r>
      <w:r w:rsidR="00A10EBE" w:rsidRPr="00361BCF">
        <w:rPr>
          <w:rFonts w:ascii="Book Antiqua" w:hAnsi="Book Antiqua"/>
        </w:rPr>
        <w:t xml:space="preserve">are coded as 1= ‘yes’ or 0 = ‘no’. </w:t>
      </w:r>
    </w:p>
    <w:p w14:paraId="3898135A" w14:textId="77777777" w:rsidR="00A10EBE" w:rsidRPr="00361BCF" w:rsidRDefault="00A10EBE" w:rsidP="004A4CBA">
      <w:pPr>
        <w:autoSpaceDE w:val="0"/>
        <w:autoSpaceDN w:val="0"/>
        <w:adjustRightInd w:val="0"/>
        <w:spacing w:line="360" w:lineRule="auto"/>
        <w:jc w:val="both"/>
        <w:rPr>
          <w:rFonts w:ascii="Book Antiqua" w:hAnsi="Book Antiqua"/>
        </w:rPr>
      </w:pPr>
    </w:p>
    <w:p w14:paraId="31C0D14D" w14:textId="77777777" w:rsidR="002328EE" w:rsidRPr="00361BCF" w:rsidRDefault="002328EE" w:rsidP="004A4CBA">
      <w:pPr>
        <w:autoSpaceDE w:val="0"/>
        <w:autoSpaceDN w:val="0"/>
        <w:adjustRightInd w:val="0"/>
        <w:spacing w:line="360" w:lineRule="auto"/>
        <w:jc w:val="both"/>
        <w:rPr>
          <w:rFonts w:ascii="Book Antiqua" w:hAnsi="Book Antiqua"/>
          <w:b/>
        </w:rPr>
      </w:pPr>
      <w:r w:rsidRPr="00361BCF">
        <w:rPr>
          <w:rFonts w:ascii="Book Antiqua" w:hAnsi="Book Antiqua"/>
          <w:b/>
        </w:rPr>
        <w:t>- Table 1 about here -</w:t>
      </w:r>
    </w:p>
    <w:p w14:paraId="208537F7" w14:textId="77777777" w:rsidR="002328EE" w:rsidRPr="00361BCF" w:rsidRDefault="002328EE" w:rsidP="004A4CBA">
      <w:pPr>
        <w:autoSpaceDE w:val="0"/>
        <w:autoSpaceDN w:val="0"/>
        <w:adjustRightInd w:val="0"/>
        <w:spacing w:line="360" w:lineRule="auto"/>
        <w:jc w:val="both"/>
        <w:rPr>
          <w:rFonts w:ascii="Book Antiqua" w:hAnsi="Book Antiqua"/>
        </w:rPr>
      </w:pPr>
    </w:p>
    <w:p w14:paraId="44184BFF" w14:textId="1EBCEB82" w:rsidR="004A21B1" w:rsidRPr="00361BCF" w:rsidRDefault="00073D16"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Finally, </w:t>
      </w:r>
      <w:r w:rsidR="00363D29" w:rsidRPr="00361BCF">
        <w:rPr>
          <w:rFonts w:ascii="Book Antiqua" w:hAnsi="Book Antiqua"/>
        </w:rPr>
        <w:t>a series of binary, multivariate logistic regression analyses</w:t>
      </w:r>
      <w:r w:rsidR="00601E77" w:rsidRPr="00361BCF">
        <w:rPr>
          <w:rFonts w:ascii="Book Antiqua" w:hAnsi="Book Antiqua"/>
        </w:rPr>
        <w:t xml:space="preserve"> </w:t>
      </w:r>
      <w:r w:rsidR="00363D29" w:rsidRPr="00361BCF">
        <w:rPr>
          <w:rFonts w:ascii="Book Antiqua" w:hAnsi="Book Antiqua"/>
        </w:rPr>
        <w:t>test</w:t>
      </w:r>
      <w:r w:rsidR="00D23A98" w:rsidRPr="00361BCF">
        <w:rPr>
          <w:rFonts w:ascii="Book Antiqua" w:hAnsi="Book Antiqua"/>
        </w:rPr>
        <w:t>s</w:t>
      </w:r>
      <w:r w:rsidR="00363D29" w:rsidRPr="00361BCF">
        <w:rPr>
          <w:rFonts w:ascii="Book Antiqua" w:hAnsi="Book Antiqua"/>
        </w:rPr>
        <w:t xml:space="preserve"> for potential confounding variables.</w:t>
      </w:r>
      <w:r w:rsidR="00FA49B7" w:rsidRPr="00361BCF">
        <w:rPr>
          <w:rFonts w:ascii="Book Antiqua" w:hAnsi="Book Antiqua"/>
        </w:rPr>
        <w:t xml:space="preserve"> A separate binary logistic regression model is fitted for </w:t>
      </w:r>
      <w:r w:rsidR="00FA49B7" w:rsidRPr="00361BCF">
        <w:rPr>
          <w:rFonts w:ascii="Book Antiqua" w:hAnsi="Book Antiqua"/>
        </w:rPr>
        <w:lastRenderedPageBreak/>
        <w:t>each of</w:t>
      </w:r>
      <w:r w:rsidR="00363D29" w:rsidRPr="00361BCF">
        <w:rPr>
          <w:rFonts w:ascii="Book Antiqua" w:hAnsi="Book Antiqua"/>
        </w:rPr>
        <w:t xml:space="preserve"> </w:t>
      </w:r>
      <w:r w:rsidR="00452045" w:rsidRPr="00361BCF">
        <w:rPr>
          <w:rFonts w:ascii="Book Antiqua" w:hAnsi="Book Antiqua"/>
        </w:rPr>
        <w:t xml:space="preserve">the </w:t>
      </w:r>
      <w:r w:rsidR="00FA49B7" w:rsidRPr="00361BCF">
        <w:rPr>
          <w:rFonts w:ascii="Book Antiqua" w:hAnsi="Book Antiqua"/>
        </w:rPr>
        <w:t xml:space="preserve">attrition points as well as </w:t>
      </w:r>
      <w:r w:rsidR="00701E21" w:rsidRPr="00361BCF">
        <w:rPr>
          <w:rFonts w:ascii="Book Antiqua" w:hAnsi="Book Antiqua"/>
        </w:rPr>
        <w:t xml:space="preserve">for </w:t>
      </w:r>
      <w:r w:rsidR="00FA49B7" w:rsidRPr="00361BCF">
        <w:rPr>
          <w:rFonts w:ascii="Book Antiqua" w:hAnsi="Book Antiqua"/>
        </w:rPr>
        <w:t xml:space="preserve">victim withdrawal </w:t>
      </w:r>
      <w:r w:rsidR="00601E77" w:rsidRPr="00361BCF">
        <w:rPr>
          <w:rFonts w:ascii="Book Antiqua" w:hAnsi="Book Antiqua"/>
        </w:rPr>
        <w:t xml:space="preserve">as the dependent variable </w:t>
      </w:r>
      <w:r w:rsidR="006E5EE1" w:rsidRPr="00361BCF">
        <w:rPr>
          <w:rFonts w:ascii="Book Antiqua" w:hAnsi="Book Antiqua"/>
        </w:rPr>
        <w:t xml:space="preserve">(variables </w:t>
      </w:r>
      <w:r w:rsidR="00FA49B7" w:rsidRPr="00361BCF">
        <w:rPr>
          <w:rFonts w:ascii="Book Antiqua" w:hAnsi="Book Antiqua"/>
        </w:rPr>
        <w:t>coded and specified as described above</w:t>
      </w:r>
      <w:r w:rsidR="006E5EE1" w:rsidRPr="00361BCF">
        <w:rPr>
          <w:rFonts w:ascii="Book Antiqua" w:hAnsi="Book Antiqua"/>
        </w:rPr>
        <w:t>)</w:t>
      </w:r>
      <w:r w:rsidR="00FA49B7" w:rsidRPr="00361BCF">
        <w:rPr>
          <w:rFonts w:ascii="Book Antiqua" w:hAnsi="Book Antiqua"/>
        </w:rPr>
        <w:t>. The key explanatory variable is the binary ‘inconsistencies’ variable (</w:t>
      </w:r>
      <w:r w:rsidR="006E5EE1" w:rsidRPr="00361BCF">
        <w:rPr>
          <w:rFonts w:ascii="Book Antiqua" w:hAnsi="Book Antiqua"/>
        </w:rPr>
        <w:t>described</w:t>
      </w:r>
      <w:r w:rsidR="00FA49B7" w:rsidRPr="00361BCF">
        <w:rPr>
          <w:rFonts w:ascii="Book Antiqua" w:hAnsi="Book Antiqua"/>
        </w:rPr>
        <w:t xml:space="preserve"> above). Table 1 gives an overview of </w:t>
      </w:r>
      <w:r w:rsidR="006E5EE1" w:rsidRPr="00361BCF">
        <w:rPr>
          <w:rFonts w:ascii="Book Antiqua" w:hAnsi="Book Antiqua"/>
        </w:rPr>
        <w:t xml:space="preserve">the </w:t>
      </w:r>
      <w:r w:rsidR="00D23A98" w:rsidRPr="00361BCF">
        <w:rPr>
          <w:rFonts w:ascii="Book Antiqua" w:hAnsi="Book Antiqua"/>
        </w:rPr>
        <w:t>additional explanatory</w:t>
      </w:r>
      <w:r w:rsidR="00363D29" w:rsidRPr="00361BCF">
        <w:rPr>
          <w:rFonts w:ascii="Book Antiqua" w:hAnsi="Book Antiqua"/>
        </w:rPr>
        <w:t xml:space="preserve"> variables </w:t>
      </w:r>
      <w:r w:rsidR="002C69F2" w:rsidRPr="00361BCF">
        <w:rPr>
          <w:rFonts w:ascii="Book Antiqua" w:hAnsi="Book Antiqua"/>
        </w:rPr>
        <w:t>available in the dataset</w:t>
      </w:r>
      <w:r w:rsidR="00363D29" w:rsidRPr="00361BCF">
        <w:rPr>
          <w:rFonts w:ascii="Book Antiqua" w:hAnsi="Book Antiqua"/>
        </w:rPr>
        <w:t xml:space="preserve"> </w:t>
      </w:r>
      <w:r w:rsidR="00FA49B7" w:rsidRPr="00361BCF">
        <w:rPr>
          <w:rFonts w:ascii="Book Antiqua" w:hAnsi="Book Antiqua"/>
        </w:rPr>
        <w:t>to</w:t>
      </w:r>
      <w:r w:rsidR="00D23A98" w:rsidRPr="00361BCF">
        <w:rPr>
          <w:rFonts w:ascii="Book Antiqua" w:hAnsi="Book Antiqua"/>
        </w:rPr>
        <w:t xml:space="preserve"> test for potential confounding effects</w:t>
      </w:r>
      <w:r w:rsidR="006E5EE1" w:rsidRPr="00361BCF">
        <w:rPr>
          <w:rFonts w:ascii="Book Antiqua" w:hAnsi="Book Antiqua"/>
        </w:rPr>
        <w:t>.</w:t>
      </w:r>
      <w:r w:rsidR="00FA49B7" w:rsidRPr="00361BCF">
        <w:rPr>
          <w:rFonts w:ascii="Book Antiqua" w:hAnsi="Book Antiqua"/>
        </w:rPr>
        <w:t xml:space="preserve"> </w:t>
      </w:r>
      <w:r w:rsidR="006E5EE1" w:rsidRPr="00361BCF">
        <w:rPr>
          <w:rFonts w:ascii="Book Antiqua" w:hAnsi="Book Antiqua"/>
        </w:rPr>
        <w:t>All</w:t>
      </w:r>
      <w:r w:rsidR="00363D29" w:rsidRPr="00361BCF">
        <w:rPr>
          <w:rFonts w:ascii="Book Antiqua" w:hAnsi="Book Antiqua"/>
        </w:rPr>
        <w:t xml:space="preserve"> </w:t>
      </w:r>
      <w:r w:rsidR="006E5EE1" w:rsidRPr="00361BCF">
        <w:rPr>
          <w:rFonts w:ascii="Book Antiqua" w:hAnsi="Book Antiqua"/>
        </w:rPr>
        <w:t>are</w:t>
      </w:r>
      <w:r w:rsidR="00363D29" w:rsidRPr="00361BCF">
        <w:rPr>
          <w:rFonts w:ascii="Book Antiqua" w:hAnsi="Book Antiqua"/>
        </w:rPr>
        <w:t xml:space="preserve"> coded as 1 if the particular characteristic was present and coded as 0 if it was absent. </w:t>
      </w:r>
      <w:r w:rsidR="00D23A98" w:rsidRPr="00361BCF">
        <w:rPr>
          <w:rFonts w:ascii="Book Antiqua" w:hAnsi="Book Antiqua"/>
        </w:rPr>
        <w:t>These c</w:t>
      </w:r>
      <w:r w:rsidR="004A21B1" w:rsidRPr="00361BCF">
        <w:rPr>
          <w:rFonts w:ascii="Book Antiqua" w:hAnsi="Book Antiqua"/>
        </w:rPr>
        <w:t xml:space="preserve">ontrol variables </w:t>
      </w:r>
      <w:r w:rsidRPr="00361BCF">
        <w:rPr>
          <w:rFonts w:ascii="Book Antiqua" w:hAnsi="Book Antiqua"/>
        </w:rPr>
        <w:t>were</w:t>
      </w:r>
      <w:r w:rsidR="004A21B1" w:rsidRPr="00361BCF">
        <w:rPr>
          <w:rFonts w:ascii="Book Antiqua" w:hAnsi="Book Antiqua"/>
        </w:rPr>
        <w:t xml:space="preserve"> </w:t>
      </w:r>
      <w:r w:rsidR="006E5EE1" w:rsidRPr="00361BCF">
        <w:rPr>
          <w:rFonts w:ascii="Book Antiqua" w:hAnsi="Book Antiqua"/>
        </w:rPr>
        <w:t>considered</w:t>
      </w:r>
      <w:r w:rsidR="004A21B1" w:rsidRPr="00361BCF">
        <w:rPr>
          <w:rFonts w:ascii="Book Antiqua" w:hAnsi="Book Antiqua"/>
        </w:rPr>
        <w:t xml:space="preserve"> one at </w:t>
      </w:r>
      <w:r w:rsidR="00BE4EAF">
        <w:rPr>
          <w:rFonts w:ascii="Book Antiqua" w:hAnsi="Book Antiqua"/>
        </w:rPr>
        <w:t>a</w:t>
      </w:r>
      <w:r w:rsidR="00BE4EAF" w:rsidRPr="00361BCF">
        <w:rPr>
          <w:rFonts w:ascii="Book Antiqua" w:hAnsi="Book Antiqua"/>
        </w:rPr>
        <w:t xml:space="preserve"> </w:t>
      </w:r>
      <w:r w:rsidR="004A21B1" w:rsidRPr="00361BCF">
        <w:rPr>
          <w:rFonts w:ascii="Book Antiqua" w:hAnsi="Book Antiqua"/>
        </w:rPr>
        <w:t>time</w:t>
      </w:r>
      <w:r w:rsidRPr="00361BCF">
        <w:rPr>
          <w:rFonts w:ascii="Book Antiqua" w:hAnsi="Book Antiqua"/>
        </w:rPr>
        <w:t>. In the small number of instances where controlling for a second variable or including an interaction effect altered the statistical significance of the effect of inconsistencies on any of the attrition</w:t>
      </w:r>
      <w:r w:rsidR="006E5EE1" w:rsidRPr="00361BCF">
        <w:rPr>
          <w:rFonts w:ascii="Book Antiqua" w:hAnsi="Book Antiqua"/>
        </w:rPr>
        <w:t xml:space="preserve"> points or victim withdrawal</w:t>
      </w:r>
      <w:r w:rsidR="00601E77" w:rsidRPr="00361BCF">
        <w:rPr>
          <w:rFonts w:ascii="Book Antiqua" w:hAnsi="Book Antiqua"/>
        </w:rPr>
        <w:t>,</w:t>
      </w:r>
      <w:r w:rsidRPr="00361BCF">
        <w:rPr>
          <w:rFonts w:ascii="Book Antiqua" w:hAnsi="Book Antiqua"/>
        </w:rPr>
        <w:t xml:space="preserve"> </w:t>
      </w:r>
      <w:r w:rsidR="00601E77" w:rsidRPr="00361BCF">
        <w:rPr>
          <w:rFonts w:ascii="Book Antiqua" w:hAnsi="Book Antiqua"/>
        </w:rPr>
        <w:t>and where</w:t>
      </w:r>
      <w:r w:rsidR="00BE4EAF">
        <w:rPr>
          <w:rFonts w:ascii="Book Antiqua" w:hAnsi="Book Antiqua"/>
        </w:rPr>
        <w:t>,</w:t>
      </w:r>
      <w:r w:rsidR="006E5EE1" w:rsidRPr="00361BCF">
        <w:rPr>
          <w:rFonts w:ascii="Book Antiqua" w:hAnsi="Book Antiqua"/>
        </w:rPr>
        <w:t xml:space="preserve"> upon careful inspection of</w:t>
      </w:r>
      <w:r w:rsidRPr="00361BCF">
        <w:rPr>
          <w:rFonts w:ascii="Book Antiqua" w:hAnsi="Book Antiqua"/>
        </w:rPr>
        <w:t xml:space="preserve"> standard errors, estimates and sub-sample sizes a </w:t>
      </w:r>
      <w:r w:rsidR="006E5EE1" w:rsidRPr="00361BCF">
        <w:rPr>
          <w:rFonts w:ascii="Book Antiqua" w:hAnsi="Book Antiqua"/>
        </w:rPr>
        <w:t>conclusion was reached that the</w:t>
      </w:r>
      <w:r w:rsidRPr="00361BCF">
        <w:rPr>
          <w:rFonts w:ascii="Book Antiqua" w:hAnsi="Book Antiqua"/>
        </w:rPr>
        <w:t xml:space="preserve"> result is </w:t>
      </w:r>
      <w:r w:rsidR="00452045" w:rsidRPr="00361BCF">
        <w:rPr>
          <w:rFonts w:ascii="Book Antiqua" w:hAnsi="Book Antiqua"/>
        </w:rPr>
        <w:t xml:space="preserve">probably </w:t>
      </w:r>
      <w:r w:rsidRPr="00361BCF">
        <w:rPr>
          <w:rFonts w:ascii="Book Antiqua" w:hAnsi="Book Antiqua"/>
        </w:rPr>
        <w:t>reliable</w:t>
      </w:r>
      <w:r w:rsidR="00BE4EAF">
        <w:rPr>
          <w:rFonts w:ascii="Book Antiqua" w:hAnsi="Book Antiqua"/>
        </w:rPr>
        <w:t>,</w:t>
      </w:r>
      <w:r w:rsidRPr="00361BCF">
        <w:rPr>
          <w:rFonts w:ascii="Book Antiqua" w:hAnsi="Book Antiqua"/>
        </w:rPr>
        <w:t xml:space="preserve"> we report this in the text. </w:t>
      </w:r>
    </w:p>
    <w:p w14:paraId="3D00A4EC" w14:textId="77777777" w:rsidR="002D1FB9" w:rsidRPr="00361BCF" w:rsidRDefault="002D1FB9" w:rsidP="004A4CBA">
      <w:pPr>
        <w:autoSpaceDE w:val="0"/>
        <w:autoSpaceDN w:val="0"/>
        <w:adjustRightInd w:val="0"/>
        <w:spacing w:line="360" w:lineRule="auto"/>
        <w:ind w:firstLine="567"/>
        <w:jc w:val="both"/>
        <w:rPr>
          <w:rFonts w:ascii="Book Antiqua" w:hAnsi="Book Antiqua"/>
        </w:rPr>
      </w:pPr>
    </w:p>
    <w:p w14:paraId="42A87613" w14:textId="77777777" w:rsidR="006B55FB" w:rsidRPr="00361BCF" w:rsidRDefault="006B55FB" w:rsidP="004A4CBA">
      <w:pPr>
        <w:spacing w:line="360" w:lineRule="auto"/>
        <w:jc w:val="both"/>
        <w:rPr>
          <w:rFonts w:ascii="Book Antiqua" w:hAnsi="Book Antiqua"/>
          <w:b/>
        </w:rPr>
      </w:pPr>
      <w:r w:rsidRPr="00361BCF">
        <w:rPr>
          <w:rFonts w:ascii="Book Antiqua" w:hAnsi="Book Antiqua"/>
          <w:b/>
        </w:rPr>
        <w:t>Findings</w:t>
      </w:r>
    </w:p>
    <w:p w14:paraId="53C691DD" w14:textId="1BFE0203" w:rsidR="000B3A84" w:rsidRPr="00361BCF" w:rsidRDefault="00397700" w:rsidP="004A4CBA">
      <w:pPr>
        <w:spacing w:line="360" w:lineRule="auto"/>
        <w:ind w:firstLine="567"/>
        <w:jc w:val="both"/>
        <w:rPr>
          <w:rFonts w:ascii="Book Antiqua" w:hAnsi="Book Antiqua"/>
        </w:rPr>
      </w:pPr>
      <w:r w:rsidRPr="00361BCF">
        <w:rPr>
          <w:rFonts w:ascii="Book Antiqua" w:hAnsi="Book Antiqua"/>
        </w:rPr>
        <w:t xml:space="preserve">In the sample, police </w:t>
      </w:r>
      <w:r w:rsidR="002427A3" w:rsidRPr="00361BCF">
        <w:rPr>
          <w:rFonts w:ascii="Book Antiqua" w:hAnsi="Book Antiqua"/>
        </w:rPr>
        <w:t xml:space="preserve">officers </w:t>
      </w:r>
      <w:r w:rsidRPr="00361BCF">
        <w:rPr>
          <w:rFonts w:ascii="Book Antiqua" w:hAnsi="Book Antiqua"/>
        </w:rPr>
        <w:t>explicitly noted inconsistencies in the victim accou</w:t>
      </w:r>
      <w:r w:rsidR="002427A3" w:rsidRPr="00361BCF">
        <w:rPr>
          <w:rFonts w:ascii="Book Antiqua" w:hAnsi="Book Antiqua"/>
        </w:rPr>
        <w:t xml:space="preserve">nt in 11 </w:t>
      </w:r>
      <w:r w:rsidR="003276DB" w:rsidRPr="00361BCF">
        <w:rPr>
          <w:rFonts w:ascii="Book Antiqua" w:hAnsi="Book Antiqua"/>
        </w:rPr>
        <w:t>per cent</w:t>
      </w:r>
      <w:r w:rsidR="002427A3" w:rsidRPr="00361BCF">
        <w:rPr>
          <w:rFonts w:ascii="Book Antiqua" w:hAnsi="Book Antiqua"/>
        </w:rPr>
        <w:t xml:space="preserve"> of cases. This </w:t>
      </w:r>
      <w:r w:rsidRPr="00361BCF">
        <w:rPr>
          <w:rFonts w:ascii="Book Antiqua" w:hAnsi="Book Antiqua"/>
        </w:rPr>
        <w:t xml:space="preserve">is </w:t>
      </w:r>
      <w:r w:rsidR="002427A3" w:rsidRPr="00361BCF">
        <w:rPr>
          <w:rFonts w:ascii="Book Antiqua" w:hAnsi="Book Antiqua"/>
        </w:rPr>
        <w:t>a lower percentage</w:t>
      </w:r>
      <w:r w:rsidRPr="00361BCF">
        <w:rPr>
          <w:rFonts w:ascii="Book Antiqua" w:hAnsi="Book Antiqua"/>
        </w:rPr>
        <w:t xml:space="preserve"> than one </w:t>
      </w:r>
      <w:r w:rsidR="002427A3" w:rsidRPr="00361BCF">
        <w:rPr>
          <w:rFonts w:ascii="Book Antiqua" w:hAnsi="Book Antiqua"/>
        </w:rPr>
        <w:t>might</w:t>
      </w:r>
      <w:r w:rsidRPr="00361BCF">
        <w:rPr>
          <w:rFonts w:ascii="Book Antiqua" w:hAnsi="Book Antiqua"/>
        </w:rPr>
        <w:t xml:space="preserve"> expect based on the </w:t>
      </w:r>
      <w:r w:rsidR="002427A3" w:rsidRPr="00361BCF">
        <w:rPr>
          <w:rFonts w:ascii="Book Antiqua" w:hAnsi="Book Antiqua"/>
        </w:rPr>
        <w:t xml:space="preserve">above reviewed </w:t>
      </w:r>
      <w:r w:rsidRPr="00361BCF">
        <w:rPr>
          <w:rFonts w:ascii="Book Antiqua" w:hAnsi="Book Antiqua"/>
        </w:rPr>
        <w:t>memory re</w:t>
      </w:r>
      <w:r w:rsidR="00693329" w:rsidRPr="00361BCF">
        <w:rPr>
          <w:rFonts w:ascii="Book Antiqua" w:hAnsi="Book Antiqua"/>
        </w:rPr>
        <w:t xml:space="preserve">search </w:t>
      </w:r>
      <w:r w:rsidR="002427A3" w:rsidRPr="00361BCF">
        <w:rPr>
          <w:rFonts w:ascii="Book Antiqua" w:hAnsi="Book Antiqua"/>
        </w:rPr>
        <w:t xml:space="preserve">which </w:t>
      </w:r>
      <w:r w:rsidR="00693329" w:rsidRPr="00361BCF">
        <w:rPr>
          <w:rFonts w:ascii="Book Antiqua" w:hAnsi="Book Antiqua"/>
        </w:rPr>
        <w:t>sugge</w:t>
      </w:r>
      <w:r w:rsidR="002427A3" w:rsidRPr="00361BCF">
        <w:rPr>
          <w:rFonts w:ascii="Book Antiqua" w:hAnsi="Book Antiqua"/>
        </w:rPr>
        <w:t xml:space="preserve">sts inconsistencies are a common feature of memories. It might be speculated that whilst inconsistencies </w:t>
      </w:r>
      <w:r w:rsidR="00A47B10" w:rsidRPr="00361BCF">
        <w:rPr>
          <w:rFonts w:ascii="Book Antiqua" w:hAnsi="Book Antiqua"/>
        </w:rPr>
        <w:t>may be present</w:t>
      </w:r>
      <w:r w:rsidR="002427A3" w:rsidRPr="00361BCF">
        <w:rPr>
          <w:rFonts w:ascii="Book Antiqua" w:hAnsi="Book Antiqua"/>
        </w:rPr>
        <w:t xml:space="preserve"> in a much higher percentage of cases, police offi</w:t>
      </w:r>
      <w:r w:rsidR="000B3A84" w:rsidRPr="00361BCF">
        <w:rPr>
          <w:rFonts w:ascii="Book Antiqua" w:hAnsi="Book Antiqua"/>
        </w:rPr>
        <w:t xml:space="preserve">cers </w:t>
      </w:r>
      <w:r w:rsidR="00A47B10" w:rsidRPr="00361BCF">
        <w:rPr>
          <w:rFonts w:ascii="Book Antiqua" w:hAnsi="Book Antiqua"/>
        </w:rPr>
        <w:t xml:space="preserve">expect and tolerate these to some degree </w:t>
      </w:r>
      <w:r w:rsidR="00CB49FA" w:rsidRPr="00361BCF">
        <w:rPr>
          <w:rFonts w:ascii="Book Antiqua" w:hAnsi="Book Antiqua"/>
        </w:rPr>
        <w:t>(</w:t>
      </w:r>
      <w:r w:rsidR="00B33F7D">
        <w:rPr>
          <w:rFonts w:ascii="Book Antiqua" w:hAnsi="Book Antiqua"/>
        </w:rPr>
        <w:t xml:space="preserve">see </w:t>
      </w:r>
      <w:r w:rsidR="00CB49FA" w:rsidRPr="00361BCF">
        <w:rPr>
          <w:rFonts w:ascii="Book Antiqua" w:hAnsi="Book Antiqua"/>
        </w:rPr>
        <w:t>Saunders</w:t>
      </w:r>
      <w:r w:rsidR="00327C15" w:rsidRPr="00361BCF">
        <w:rPr>
          <w:rFonts w:ascii="Book Antiqua" w:hAnsi="Book Antiqua"/>
        </w:rPr>
        <w:t>,</w:t>
      </w:r>
      <w:r w:rsidR="00CB49FA" w:rsidRPr="00361BCF">
        <w:rPr>
          <w:rFonts w:ascii="Book Antiqua" w:hAnsi="Book Antiqua"/>
        </w:rPr>
        <w:t xml:space="preserve"> 2012</w:t>
      </w:r>
      <w:r w:rsidR="003276DB" w:rsidRPr="00361BCF">
        <w:rPr>
          <w:rFonts w:ascii="Book Antiqua" w:hAnsi="Book Antiqua"/>
        </w:rPr>
        <w:t>;</w:t>
      </w:r>
      <w:r w:rsidR="00CB49FA" w:rsidRPr="00361BCF">
        <w:rPr>
          <w:rFonts w:ascii="Book Antiqua" w:hAnsi="Book Antiqua"/>
        </w:rPr>
        <w:t xml:space="preserve"> McMillan and Thomas</w:t>
      </w:r>
      <w:r w:rsidR="00327C15" w:rsidRPr="00361BCF">
        <w:rPr>
          <w:rFonts w:ascii="Book Antiqua" w:hAnsi="Book Antiqua"/>
        </w:rPr>
        <w:t>,</w:t>
      </w:r>
      <w:r w:rsidR="00CB49FA" w:rsidRPr="00361BCF">
        <w:rPr>
          <w:rFonts w:ascii="Book Antiqua" w:hAnsi="Book Antiqua"/>
        </w:rPr>
        <w:t xml:space="preserve"> 2009) and may </w:t>
      </w:r>
      <w:r w:rsidR="000B3A84" w:rsidRPr="00361BCF">
        <w:rPr>
          <w:rFonts w:ascii="Book Antiqua" w:hAnsi="Book Antiqua"/>
        </w:rPr>
        <w:t xml:space="preserve">only explicitly make a note of these in the case file </w:t>
      </w:r>
      <w:r w:rsidR="002427A3" w:rsidRPr="00361BCF">
        <w:rPr>
          <w:rFonts w:ascii="Book Antiqua" w:hAnsi="Book Antiqua"/>
        </w:rPr>
        <w:t xml:space="preserve">if </w:t>
      </w:r>
      <w:r w:rsidR="00B33F7D">
        <w:rPr>
          <w:rFonts w:ascii="Book Antiqua" w:hAnsi="Book Antiqua"/>
        </w:rPr>
        <w:t>they are deemed</w:t>
      </w:r>
      <w:r w:rsidR="00CB49FA" w:rsidRPr="00361BCF">
        <w:rPr>
          <w:rFonts w:ascii="Book Antiqua" w:hAnsi="Book Antiqua"/>
        </w:rPr>
        <w:t xml:space="preserve"> </w:t>
      </w:r>
      <w:r w:rsidR="00B33F7D">
        <w:rPr>
          <w:rFonts w:ascii="Book Antiqua" w:hAnsi="Book Antiqua"/>
        </w:rPr>
        <w:t>substantial</w:t>
      </w:r>
      <w:r w:rsidR="00821699" w:rsidRPr="00361BCF">
        <w:rPr>
          <w:rFonts w:ascii="Book Antiqua" w:hAnsi="Book Antiqua"/>
        </w:rPr>
        <w:t xml:space="preserve">. </w:t>
      </w:r>
      <w:r w:rsidR="00F27C4D">
        <w:rPr>
          <w:rFonts w:ascii="Book Antiqua" w:hAnsi="Book Antiqua"/>
        </w:rPr>
        <w:t>This</w:t>
      </w:r>
      <w:r w:rsidR="00DD616C" w:rsidRPr="00361BCF">
        <w:rPr>
          <w:rFonts w:ascii="Book Antiqua" w:hAnsi="Book Antiqua"/>
        </w:rPr>
        <w:t xml:space="preserve"> finding brings us back to</w:t>
      </w:r>
      <w:r w:rsidR="00A47B10" w:rsidRPr="00361BCF">
        <w:rPr>
          <w:rFonts w:ascii="Book Antiqua" w:hAnsi="Book Antiqua"/>
        </w:rPr>
        <w:t xml:space="preserve"> the</w:t>
      </w:r>
      <w:r w:rsidR="00DD616C" w:rsidRPr="00361BCF">
        <w:rPr>
          <w:rFonts w:ascii="Book Antiqua" w:hAnsi="Book Antiqua"/>
        </w:rPr>
        <w:t xml:space="preserve"> open</w:t>
      </w:r>
      <w:r w:rsidR="00A47B10" w:rsidRPr="00361BCF">
        <w:rPr>
          <w:rFonts w:ascii="Book Antiqua" w:hAnsi="Book Antiqua"/>
        </w:rPr>
        <w:t xml:space="preserve"> question of the quantity and quality</w:t>
      </w:r>
      <w:r w:rsidR="00CB49FA" w:rsidRPr="00361BCF">
        <w:rPr>
          <w:rFonts w:ascii="Book Antiqua" w:hAnsi="Book Antiqua"/>
        </w:rPr>
        <w:t xml:space="preserve"> ‘threshold</w:t>
      </w:r>
      <w:r w:rsidR="00A47B10" w:rsidRPr="00361BCF">
        <w:rPr>
          <w:rFonts w:ascii="Book Antiqua" w:hAnsi="Book Antiqua"/>
        </w:rPr>
        <w:t>s</w:t>
      </w:r>
      <w:r w:rsidR="00CB49FA" w:rsidRPr="00361BCF">
        <w:rPr>
          <w:rFonts w:ascii="Book Antiqua" w:hAnsi="Book Antiqua"/>
        </w:rPr>
        <w:t xml:space="preserve">’ </w:t>
      </w:r>
      <w:r w:rsidR="00A47B10" w:rsidRPr="00361BCF">
        <w:rPr>
          <w:rFonts w:ascii="Book Antiqua" w:hAnsi="Book Antiqua"/>
        </w:rPr>
        <w:t xml:space="preserve">police </w:t>
      </w:r>
      <w:r w:rsidR="00CB49FA" w:rsidRPr="00361BCF">
        <w:rPr>
          <w:rFonts w:ascii="Book Antiqua" w:hAnsi="Book Antiqua"/>
        </w:rPr>
        <w:t xml:space="preserve">officers and prosecutors </w:t>
      </w:r>
      <w:r w:rsidR="00FE57A3" w:rsidRPr="00361BCF">
        <w:rPr>
          <w:rFonts w:ascii="Book Antiqua" w:hAnsi="Book Antiqua"/>
        </w:rPr>
        <w:t xml:space="preserve">may </w:t>
      </w:r>
      <w:r w:rsidR="00CB49FA" w:rsidRPr="00361BCF">
        <w:rPr>
          <w:rFonts w:ascii="Book Antiqua" w:hAnsi="Book Antiqua"/>
        </w:rPr>
        <w:t>place on</w:t>
      </w:r>
      <w:r w:rsidR="00FE57A3" w:rsidRPr="00361BCF">
        <w:rPr>
          <w:rFonts w:ascii="Book Antiqua" w:hAnsi="Book Antiqua"/>
        </w:rPr>
        <w:t xml:space="preserve"> </w:t>
      </w:r>
      <w:r w:rsidR="00A47B10" w:rsidRPr="00361BCF">
        <w:rPr>
          <w:rFonts w:ascii="Book Antiqua" w:hAnsi="Book Antiqua"/>
        </w:rPr>
        <w:t>inconsistencies in</w:t>
      </w:r>
      <w:r w:rsidR="00CB49FA" w:rsidRPr="00361BCF">
        <w:rPr>
          <w:rFonts w:ascii="Book Antiqua" w:hAnsi="Book Antiqua"/>
        </w:rPr>
        <w:t xml:space="preserve"> victim accounts.</w:t>
      </w:r>
    </w:p>
    <w:p w14:paraId="03D6B8C2" w14:textId="77777777" w:rsidR="00FE57A3" w:rsidRPr="00361BCF" w:rsidRDefault="00FE57A3" w:rsidP="004A4CBA">
      <w:pPr>
        <w:spacing w:line="360" w:lineRule="auto"/>
        <w:ind w:firstLine="567"/>
        <w:jc w:val="both"/>
        <w:rPr>
          <w:rFonts w:ascii="Book Antiqua" w:hAnsi="Book Antiqua"/>
        </w:rPr>
      </w:pPr>
    </w:p>
    <w:p w14:paraId="5F7AAC69" w14:textId="61404A22" w:rsidR="00A47B10" w:rsidRPr="00361BCF" w:rsidRDefault="004425AD" w:rsidP="004A4CBA">
      <w:pPr>
        <w:spacing w:line="360" w:lineRule="auto"/>
        <w:ind w:firstLine="567"/>
        <w:jc w:val="both"/>
        <w:rPr>
          <w:rFonts w:ascii="Book Antiqua" w:hAnsi="Book Antiqua"/>
          <w:b/>
        </w:rPr>
      </w:pPr>
      <w:r w:rsidRPr="00361BCF">
        <w:rPr>
          <w:rFonts w:ascii="Book Antiqua" w:hAnsi="Book Antiqua"/>
          <w:b/>
        </w:rPr>
        <w:t>- TABLE 2</w:t>
      </w:r>
      <w:r w:rsidR="003276DB" w:rsidRPr="00361BCF">
        <w:rPr>
          <w:rFonts w:ascii="Book Antiqua" w:hAnsi="Book Antiqua"/>
          <w:b/>
        </w:rPr>
        <w:t xml:space="preserve"> about here -</w:t>
      </w:r>
    </w:p>
    <w:p w14:paraId="0035325B" w14:textId="77777777" w:rsidR="00A47B10" w:rsidRPr="00361BCF" w:rsidRDefault="00A47B10" w:rsidP="004A4CBA">
      <w:pPr>
        <w:spacing w:line="360" w:lineRule="auto"/>
        <w:ind w:firstLine="567"/>
        <w:jc w:val="both"/>
        <w:rPr>
          <w:rFonts w:ascii="Book Antiqua" w:hAnsi="Book Antiqua"/>
        </w:rPr>
      </w:pPr>
    </w:p>
    <w:p w14:paraId="6F09EB1C" w14:textId="3A377F4B" w:rsidR="00FF54E1" w:rsidRPr="00361BCF" w:rsidRDefault="00A47B10" w:rsidP="004A4CBA">
      <w:pPr>
        <w:spacing w:line="360" w:lineRule="auto"/>
        <w:ind w:firstLine="567"/>
        <w:jc w:val="both"/>
        <w:rPr>
          <w:rFonts w:ascii="Book Antiqua" w:hAnsi="Book Antiqua"/>
        </w:rPr>
      </w:pPr>
      <w:r w:rsidRPr="00361BCF">
        <w:rPr>
          <w:rFonts w:ascii="Book Antiqua" w:hAnsi="Book Antiqua"/>
        </w:rPr>
        <w:t xml:space="preserve">Turning to the hypothesised association between inconsistencies in the victim account and attrition, </w:t>
      </w:r>
      <w:r w:rsidR="00D23A98" w:rsidRPr="00361BCF">
        <w:rPr>
          <w:rFonts w:ascii="Book Antiqua" w:hAnsi="Book Antiqua"/>
        </w:rPr>
        <w:t>Table 2</w:t>
      </w:r>
      <w:r w:rsidR="001756ED" w:rsidRPr="00361BCF">
        <w:rPr>
          <w:rFonts w:ascii="Book Antiqua" w:hAnsi="Book Antiqua"/>
        </w:rPr>
        <w:t xml:space="preserve"> shows differences in </w:t>
      </w:r>
      <w:r w:rsidRPr="00361BCF">
        <w:rPr>
          <w:rFonts w:ascii="Book Antiqua" w:hAnsi="Book Antiqua"/>
        </w:rPr>
        <w:t>case outcomes</w:t>
      </w:r>
      <w:r w:rsidR="001756ED" w:rsidRPr="00361BCF">
        <w:rPr>
          <w:rFonts w:ascii="Book Antiqua" w:hAnsi="Book Antiqua"/>
        </w:rPr>
        <w:t xml:space="preserve"> </w:t>
      </w:r>
      <w:r w:rsidR="00397700" w:rsidRPr="00361BCF">
        <w:rPr>
          <w:rFonts w:ascii="Book Antiqua" w:hAnsi="Book Antiqua"/>
        </w:rPr>
        <w:t>between</w:t>
      </w:r>
      <w:r w:rsidR="001756ED" w:rsidRPr="00361BCF">
        <w:rPr>
          <w:rFonts w:ascii="Book Antiqua" w:hAnsi="Book Antiqua"/>
        </w:rPr>
        <w:t xml:space="preserve"> </w:t>
      </w:r>
      <w:r w:rsidR="00397700" w:rsidRPr="00361BCF">
        <w:rPr>
          <w:rFonts w:ascii="Book Antiqua" w:hAnsi="Book Antiqua"/>
        </w:rPr>
        <w:t xml:space="preserve">the </w:t>
      </w:r>
      <w:r w:rsidR="001756ED" w:rsidRPr="00361BCF">
        <w:rPr>
          <w:rFonts w:ascii="Book Antiqua" w:hAnsi="Book Antiqua"/>
        </w:rPr>
        <w:t>cases in which inconsistencies in the victim account were noted and</w:t>
      </w:r>
      <w:r w:rsidR="00397700" w:rsidRPr="00361BCF">
        <w:rPr>
          <w:rFonts w:ascii="Book Antiqua" w:hAnsi="Book Antiqua"/>
        </w:rPr>
        <w:t xml:space="preserve"> those in which no inconsistencies w</w:t>
      </w:r>
      <w:r w:rsidR="00FE57A3" w:rsidRPr="00361BCF">
        <w:rPr>
          <w:rFonts w:ascii="Book Antiqua" w:hAnsi="Book Antiqua"/>
        </w:rPr>
        <w:t xml:space="preserve">ere noted in the police </w:t>
      </w:r>
      <w:r w:rsidR="003276DB" w:rsidRPr="00361BCF">
        <w:rPr>
          <w:rFonts w:ascii="Book Antiqua" w:hAnsi="Book Antiqua"/>
        </w:rPr>
        <w:t>case file</w:t>
      </w:r>
      <w:r w:rsidR="00FE57A3" w:rsidRPr="00361BCF">
        <w:rPr>
          <w:rFonts w:ascii="Book Antiqua" w:hAnsi="Book Antiqua"/>
        </w:rPr>
        <w:t xml:space="preserve">. </w:t>
      </w:r>
      <w:r w:rsidR="00E26FC7" w:rsidRPr="00361BCF">
        <w:rPr>
          <w:rFonts w:ascii="Book Antiqua" w:hAnsi="Book Antiqua"/>
        </w:rPr>
        <w:t xml:space="preserve">The results suggest that attrition through police and CPS decisions to drop the case is significantly higher when </w:t>
      </w:r>
      <w:r w:rsidR="00E26FC7" w:rsidRPr="00361BCF">
        <w:rPr>
          <w:rFonts w:ascii="Book Antiqua" w:hAnsi="Book Antiqua"/>
        </w:rPr>
        <w:lastRenderedPageBreak/>
        <w:t>inconsistencies are noted in the case file</w:t>
      </w:r>
      <w:r w:rsidR="00452045" w:rsidRPr="00361BCF">
        <w:rPr>
          <w:rFonts w:ascii="Book Antiqua" w:hAnsi="Book Antiqua"/>
        </w:rPr>
        <w:t>. In particular, whilst 16</w:t>
      </w:r>
      <w:r w:rsidR="00E51016" w:rsidRPr="00361BCF">
        <w:rPr>
          <w:rFonts w:ascii="Book Antiqua" w:hAnsi="Book Antiqua"/>
        </w:rPr>
        <w:t>% of cases with inconsistencies noted in the victim account are ‘no crime</w:t>
      </w:r>
      <w:r w:rsidR="009C6B03" w:rsidRPr="00361BCF">
        <w:rPr>
          <w:rFonts w:ascii="Book Antiqua" w:hAnsi="Book Antiqua"/>
        </w:rPr>
        <w:t>d</w:t>
      </w:r>
      <w:r w:rsidR="00452045" w:rsidRPr="00361BCF">
        <w:rPr>
          <w:rFonts w:ascii="Book Antiqua" w:hAnsi="Book Antiqua"/>
        </w:rPr>
        <w:t>’, only 6</w:t>
      </w:r>
      <w:r w:rsidR="00E51016" w:rsidRPr="00361BCF">
        <w:rPr>
          <w:rFonts w:ascii="Book Antiqua" w:hAnsi="Book Antiqua"/>
        </w:rPr>
        <w:t>% cases with no explicit note of inconsistencies are dropp</w:t>
      </w:r>
      <w:r w:rsidR="00452045" w:rsidRPr="00361BCF">
        <w:rPr>
          <w:rFonts w:ascii="Book Antiqua" w:hAnsi="Book Antiqua"/>
        </w:rPr>
        <w:t xml:space="preserve">ed at this early stage. </w:t>
      </w:r>
      <w:r w:rsidR="00FF54E1" w:rsidRPr="00361BCF">
        <w:rPr>
          <w:rFonts w:ascii="Book Antiqua" w:hAnsi="Book Antiqua"/>
        </w:rPr>
        <w:t xml:space="preserve"> Multivariate logistic regression suggests </w:t>
      </w:r>
      <w:r w:rsidR="00B35B16" w:rsidRPr="00361BCF">
        <w:rPr>
          <w:rFonts w:ascii="Book Antiqua" w:hAnsi="Book Antiqua"/>
        </w:rPr>
        <w:t xml:space="preserve">an interaction effect between the victim having consumed alcohol prior to the attack and inconsistencies in the </w:t>
      </w:r>
      <w:r w:rsidR="004A346C">
        <w:rPr>
          <w:rFonts w:ascii="Book Antiqua" w:hAnsi="Book Antiqua"/>
        </w:rPr>
        <w:t>victim account</w:t>
      </w:r>
      <w:r w:rsidR="006B3C97" w:rsidRPr="00361BCF">
        <w:rPr>
          <w:rFonts w:ascii="Book Antiqua" w:hAnsi="Book Antiqua"/>
        </w:rPr>
        <w:t>: the odds of the case being no-</w:t>
      </w:r>
      <w:r w:rsidR="00B35B16" w:rsidRPr="00361BCF">
        <w:rPr>
          <w:rFonts w:ascii="Book Antiqua" w:hAnsi="Book Antiqua"/>
        </w:rPr>
        <w:t>crime</w:t>
      </w:r>
      <w:r w:rsidR="006B3C97" w:rsidRPr="00361BCF">
        <w:rPr>
          <w:rFonts w:ascii="Book Antiqua" w:hAnsi="Book Antiqua"/>
        </w:rPr>
        <w:t>d</w:t>
      </w:r>
      <w:r w:rsidR="00B35B16" w:rsidRPr="00361BCF">
        <w:rPr>
          <w:rFonts w:ascii="Book Antiqua" w:hAnsi="Book Antiqua"/>
        </w:rPr>
        <w:t xml:space="preserve"> increase from 2.5</w:t>
      </w:r>
      <w:r w:rsidR="006B3C97" w:rsidRPr="00361BCF">
        <w:rPr>
          <w:rFonts w:ascii="Book Antiqua" w:hAnsi="Book Antiqua"/>
        </w:rPr>
        <w:t xml:space="preserve"> if the victim is not intoxicated</w:t>
      </w:r>
      <w:r w:rsidR="00B35B16" w:rsidRPr="00361BCF">
        <w:rPr>
          <w:rFonts w:ascii="Book Antiqua" w:hAnsi="Book Antiqua"/>
        </w:rPr>
        <w:t xml:space="preserve"> to 13</w:t>
      </w:r>
      <w:r w:rsidR="006B3C97" w:rsidRPr="00361BCF">
        <w:rPr>
          <w:rFonts w:ascii="Book Antiqua" w:hAnsi="Book Antiqua"/>
        </w:rPr>
        <w:t>.9 if the victim had consumed alcohol prior to the attack</w:t>
      </w:r>
      <w:r w:rsidR="00B35B16" w:rsidRPr="00361BCF">
        <w:rPr>
          <w:rFonts w:ascii="Book Antiqua" w:hAnsi="Book Antiqua"/>
        </w:rPr>
        <w:t xml:space="preserve">. This finding suggests that inconsistencies may harm the credibility of the case </w:t>
      </w:r>
      <w:r w:rsidR="0089763E" w:rsidRPr="00361BCF">
        <w:rPr>
          <w:rFonts w:ascii="Book Antiqua" w:hAnsi="Book Antiqua"/>
        </w:rPr>
        <w:t>more</w:t>
      </w:r>
      <w:r w:rsidR="00B35B16" w:rsidRPr="00361BCF">
        <w:rPr>
          <w:rFonts w:ascii="Book Antiqua" w:hAnsi="Book Antiqua"/>
        </w:rPr>
        <w:t xml:space="preserve"> if the victim was intoxicated at the time of the attack. Furthermore, the effect of inconsistencies on the odds of no-criming ceases to be statistically significant once controlling for officers noting general doubts as to the credibility of the case. </w:t>
      </w:r>
    </w:p>
    <w:p w14:paraId="32C8C5DA" w14:textId="740C211F" w:rsidR="006B3C97" w:rsidRPr="00361BCF" w:rsidRDefault="00452045" w:rsidP="004A4CBA">
      <w:pPr>
        <w:spacing w:line="360" w:lineRule="auto"/>
        <w:ind w:firstLine="567"/>
        <w:jc w:val="both"/>
        <w:rPr>
          <w:rFonts w:ascii="Book Antiqua" w:hAnsi="Book Antiqua"/>
        </w:rPr>
      </w:pPr>
      <w:r w:rsidRPr="00361BCF">
        <w:rPr>
          <w:rFonts w:ascii="Book Antiqua" w:hAnsi="Book Antiqua"/>
        </w:rPr>
        <w:t xml:space="preserve">Only half as many cases with </w:t>
      </w:r>
      <w:r w:rsidR="00E51016" w:rsidRPr="00361BCF">
        <w:rPr>
          <w:rFonts w:ascii="Book Antiqua" w:hAnsi="Book Antiqua"/>
        </w:rPr>
        <w:t>inconsistencies are referred to the CPS for charge</w:t>
      </w:r>
      <w:r w:rsidRPr="00361BCF">
        <w:rPr>
          <w:rFonts w:ascii="Book Antiqua" w:hAnsi="Book Antiqua"/>
        </w:rPr>
        <w:t xml:space="preserve"> (10%, compared to 19% without inconsistencies</w:t>
      </w:r>
      <w:r w:rsidR="00F27C4D">
        <w:rPr>
          <w:rFonts w:ascii="Book Antiqua" w:hAnsi="Book Antiqua"/>
        </w:rPr>
        <w:t xml:space="preserve"> noted</w:t>
      </w:r>
      <w:r w:rsidRPr="00361BCF">
        <w:rPr>
          <w:rFonts w:ascii="Book Antiqua" w:hAnsi="Book Antiqua"/>
        </w:rPr>
        <w:t>)</w:t>
      </w:r>
      <w:r w:rsidR="00E51016" w:rsidRPr="00361BCF">
        <w:rPr>
          <w:rFonts w:ascii="Book Antiqua" w:hAnsi="Book Antiqua"/>
        </w:rPr>
        <w:t xml:space="preserve">. </w:t>
      </w:r>
      <w:r w:rsidR="006B3C97" w:rsidRPr="00361BCF">
        <w:rPr>
          <w:rFonts w:ascii="Book Antiqua" w:hAnsi="Book Antiqua"/>
        </w:rPr>
        <w:t xml:space="preserve">Multivariate logistic regression suggests that inconsistencies in the </w:t>
      </w:r>
      <w:r w:rsidR="004A346C">
        <w:rPr>
          <w:rFonts w:ascii="Book Antiqua" w:hAnsi="Book Antiqua"/>
        </w:rPr>
        <w:t>victim account</w:t>
      </w:r>
      <w:r w:rsidR="006B3C97" w:rsidRPr="00361BCF">
        <w:rPr>
          <w:rFonts w:ascii="Book Antiqua" w:hAnsi="Book Antiqua"/>
        </w:rPr>
        <w:t xml:space="preserve"> cease to have statistically significant effect if the independent evidence casts doubt on the case (5%</w:t>
      </w:r>
      <w:r w:rsidR="0089763E" w:rsidRPr="00361BCF">
        <w:rPr>
          <w:rFonts w:ascii="Book Antiqua" w:hAnsi="Book Antiqua"/>
        </w:rPr>
        <w:t xml:space="preserve"> of cases</w:t>
      </w:r>
      <w:r w:rsidR="006B3C97" w:rsidRPr="00361BCF">
        <w:rPr>
          <w:rFonts w:ascii="Book Antiqua" w:hAnsi="Book Antiqua"/>
        </w:rPr>
        <w:t>), if the allegation is confirmed as false (4% of cases) and if no suspect could be identified (33% of cases). Apart from one case in which independent evidence cast doubt, none of the cases with any one of these characteristics was present was</w:t>
      </w:r>
      <w:r w:rsidR="0089763E" w:rsidRPr="00361BCF">
        <w:rPr>
          <w:rFonts w:ascii="Book Antiqua" w:hAnsi="Book Antiqua"/>
        </w:rPr>
        <w:t xml:space="preserve"> referred to the CPS for charge.</w:t>
      </w:r>
      <w:r w:rsidR="006B3C97" w:rsidRPr="00361BCF">
        <w:rPr>
          <w:rFonts w:ascii="Book Antiqua" w:hAnsi="Book Antiqua"/>
        </w:rPr>
        <w:t xml:space="preserve"> </w:t>
      </w:r>
    </w:p>
    <w:p w14:paraId="51C43D1A" w14:textId="10B0A132" w:rsidR="00064717" w:rsidRPr="00361BCF" w:rsidRDefault="00D43241" w:rsidP="004A4CBA">
      <w:pPr>
        <w:spacing w:line="360" w:lineRule="auto"/>
        <w:ind w:firstLine="567"/>
        <w:jc w:val="both"/>
        <w:rPr>
          <w:rFonts w:ascii="Book Antiqua" w:hAnsi="Book Antiqua"/>
        </w:rPr>
      </w:pPr>
      <w:r w:rsidRPr="00361BCF">
        <w:rPr>
          <w:rFonts w:ascii="Book Antiqua" w:hAnsi="Book Antiqua"/>
        </w:rPr>
        <w:t>Of the cases referred to the CPS for charge</w:t>
      </w:r>
      <w:r w:rsidR="00531EF4" w:rsidRPr="00361BCF">
        <w:rPr>
          <w:rFonts w:ascii="Book Antiqua" w:hAnsi="Book Antiqua"/>
        </w:rPr>
        <w:t xml:space="preserve"> </w:t>
      </w:r>
      <w:r w:rsidR="00C6543C" w:rsidRPr="00361BCF">
        <w:rPr>
          <w:rFonts w:ascii="Book Antiqua" w:hAnsi="Book Antiqua"/>
        </w:rPr>
        <w:t xml:space="preserve">in our representative </w:t>
      </w:r>
      <w:r w:rsidRPr="00361BCF">
        <w:rPr>
          <w:rFonts w:ascii="Book Antiqua" w:hAnsi="Book Antiqua"/>
        </w:rPr>
        <w:t>sample of 679 cases</w:t>
      </w:r>
      <w:r w:rsidR="0099734F" w:rsidRPr="00361BCF">
        <w:rPr>
          <w:rFonts w:ascii="Book Antiqua" w:hAnsi="Book Antiqua"/>
        </w:rPr>
        <w:t xml:space="preserve"> </w:t>
      </w:r>
      <w:r w:rsidR="0099734F" w:rsidRPr="00361BCF">
        <w:rPr>
          <w:rFonts w:ascii="Book Antiqua" w:hAnsi="Book Antiqua"/>
          <w:i/>
        </w:rPr>
        <w:t>no complaint with an inconsistent victim account resulted in a prosecution</w:t>
      </w:r>
      <w:r w:rsidR="0099734F" w:rsidRPr="00361BCF">
        <w:rPr>
          <w:rFonts w:ascii="Book Antiqua" w:hAnsi="Book Antiqua"/>
        </w:rPr>
        <w:t xml:space="preserve">. </w:t>
      </w:r>
      <w:r w:rsidR="00E51016" w:rsidRPr="00361BCF">
        <w:rPr>
          <w:rFonts w:ascii="Book Antiqua" w:hAnsi="Book Antiqua"/>
        </w:rPr>
        <w:t xml:space="preserve">In contrast, </w:t>
      </w:r>
      <w:r w:rsidR="00064717" w:rsidRPr="00361BCF">
        <w:rPr>
          <w:rFonts w:ascii="Book Antiqua" w:hAnsi="Book Antiqua"/>
        </w:rPr>
        <w:t xml:space="preserve">over </w:t>
      </w:r>
      <w:r w:rsidR="00303B88" w:rsidRPr="00361BCF">
        <w:rPr>
          <w:rFonts w:ascii="Book Antiqua" w:hAnsi="Book Antiqua"/>
        </w:rPr>
        <w:t xml:space="preserve">50% </w:t>
      </w:r>
      <w:r w:rsidR="009C6B03" w:rsidRPr="00361BCF">
        <w:rPr>
          <w:rFonts w:ascii="Book Antiqua" w:hAnsi="Book Antiqua"/>
        </w:rPr>
        <w:t xml:space="preserve">of </w:t>
      </w:r>
      <w:r w:rsidR="00064717" w:rsidRPr="00361BCF">
        <w:rPr>
          <w:rFonts w:ascii="Book Antiqua" w:hAnsi="Book Antiqua"/>
        </w:rPr>
        <w:t>cases referred to the CPS for charged</w:t>
      </w:r>
      <w:r w:rsidR="009C6B03" w:rsidRPr="00361BCF">
        <w:rPr>
          <w:rFonts w:ascii="Book Antiqua" w:hAnsi="Book Antiqua"/>
        </w:rPr>
        <w:t xml:space="preserve"> result</w:t>
      </w:r>
      <w:r w:rsidR="002E5982" w:rsidRPr="00361BCF">
        <w:rPr>
          <w:rFonts w:ascii="Book Antiqua" w:hAnsi="Book Antiqua"/>
        </w:rPr>
        <w:t>ed</w:t>
      </w:r>
      <w:r w:rsidR="009C6B03" w:rsidRPr="00361BCF">
        <w:rPr>
          <w:rFonts w:ascii="Book Antiqua" w:hAnsi="Book Antiqua"/>
        </w:rPr>
        <w:t xml:space="preserve"> in a prosecution</w:t>
      </w:r>
      <w:r w:rsidR="00064717" w:rsidRPr="00361BCF">
        <w:rPr>
          <w:rFonts w:ascii="Book Antiqua" w:hAnsi="Book Antiqua"/>
        </w:rPr>
        <w:t xml:space="preserve"> if there were no inconsistencies noted (corresponding to 9</w:t>
      </w:r>
      <w:r w:rsidR="00FC704C" w:rsidRPr="00361BCF">
        <w:rPr>
          <w:rFonts w:ascii="Book Antiqua" w:hAnsi="Book Antiqua"/>
        </w:rPr>
        <w:t>% of the total number cases with no inconsistencies</w:t>
      </w:r>
      <w:r w:rsidR="00064717" w:rsidRPr="00361BCF">
        <w:rPr>
          <w:rFonts w:ascii="Book Antiqua" w:hAnsi="Book Antiqua"/>
        </w:rPr>
        <w:t xml:space="preserve"> noted</w:t>
      </w:r>
      <w:r w:rsidR="00FC704C" w:rsidRPr="00361BCF">
        <w:rPr>
          <w:rFonts w:ascii="Book Antiqua" w:hAnsi="Book Antiqua"/>
        </w:rPr>
        <w:t>)</w:t>
      </w:r>
      <w:r w:rsidR="0089763E" w:rsidRPr="00361BCF">
        <w:rPr>
          <w:rFonts w:ascii="Book Antiqua" w:hAnsi="Book Antiqua"/>
        </w:rPr>
        <w:t xml:space="preserve">. </w:t>
      </w:r>
      <w:r w:rsidR="009C6B03" w:rsidRPr="00361BCF">
        <w:rPr>
          <w:rFonts w:ascii="Book Antiqua" w:hAnsi="Book Antiqua"/>
        </w:rPr>
        <w:t>These results provide evidence in support of the hypothesised effect of inconsistencies in the victim account on attrition via criminal justice agents’ decisions to drop the case.</w:t>
      </w:r>
      <w:r w:rsidR="002177D7" w:rsidRPr="00361BCF">
        <w:rPr>
          <w:rFonts w:ascii="Book Antiqua" w:hAnsi="Book Antiqua"/>
        </w:rPr>
        <w:t xml:space="preserve"> </w:t>
      </w:r>
    </w:p>
    <w:p w14:paraId="05E2F055" w14:textId="77777777" w:rsidR="00064717" w:rsidRPr="00361BCF" w:rsidRDefault="00064717" w:rsidP="004A4CBA">
      <w:pPr>
        <w:spacing w:line="360" w:lineRule="auto"/>
        <w:ind w:firstLine="567"/>
        <w:jc w:val="both"/>
        <w:rPr>
          <w:rFonts w:ascii="Book Antiqua" w:hAnsi="Book Antiqua"/>
        </w:rPr>
      </w:pPr>
    </w:p>
    <w:p w14:paraId="1CD0DB11" w14:textId="70E01476" w:rsidR="004D5711" w:rsidRPr="00361BCF" w:rsidRDefault="00F27C4D" w:rsidP="004A4CBA">
      <w:pPr>
        <w:spacing w:line="360" w:lineRule="auto"/>
        <w:ind w:firstLine="567"/>
        <w:jc w:val="both"/>
        <w:rPr>
          <w:rFonts w:ascii="Book Antiqua" w:hAnsi="Book Antiqua"/>
        </w:rPr>
      </w:pPr>
      <w:r w:rsidRPr="00013D53">
        <w:rPr>
          <w:rFonts w:ascii="Book Antiqua" w:hAnsi="Book Antiqua"/>
        </w:rPr>
        <w:t>There is no statistically significant differ</w:t>
      </w:r>
      <w:r>
        <w:rPr>
          <w:rFonts w:ascii="Book Antiqua" w:hAnsi="Book Antiqua"/>
        </w:rPr>
        <w:t xml:space="preserve">ence in attrition through </w:t>
      </w:r>
      <w:r w:rsidRPr="00013D53">
        <w:rPr>
          <w:rFonts w:ascii="Book Antiqua" w:hAnsi="Book Antiqua"/>
        </w:rPr>
        <w:t xml:space="preserve">informal or formal (written) </w:t>
      </w:r>
      <w:r>
        <w:rPr>
          <w:rFonts w:ascii="Book Antiqua" w:hAnsi="Book Antiqua"/>
        </w:rPr>
        <w:t>victim withdrawal between cases with and without inconsistencies</w:t>
      </w:r>
      <w:r w:rsidR="004E05D1" w:rsidRPr="00361BCF">
        <w:rPr>
          <w:rFonts w:ascii="Book Antiqua" w:hAnsi="Book Antiqua"/>
        </w:rPr>
        <w:t>.</w:t>
      </w:r>
      <w:r w:rsidR="00064717" w:rsidRPr="00361BCF">
        <w:rPr>
          <w:rFonts w:ascii="Book Antiqua" w:hAnsi="Book Antiqua"/>
        </w:rPr>
        <w:t xml:space="preserve"> </w:t>
      </w:r>
      <w:r w:rsidR="00017B27" w:rsidRPr="00361BCF">
        <w:rPr>
          <w:rFonts w:ascii="Book Antiqua" w:hAnsi="Book Antiqua"/>
        </w:rPr>
        <w:t xml:space="preserve">However, in cases with inconsistencies noted </w:t>
      </w:r>
      <w:r w:rsidR="003A68F6" w:rsidRPr="00361BCF">
        <w:rPr>
          <w:rFonts w:ascii="Book Antiqua" w:hAnsi="Book Antiqua"/>
        </w:rPr>
        <w:t xml:space="preserve">in the case file </w:t>
      </w:r>
      <w:r w:rsidR="00017B27" w:rsidRPr="00361BCF">
        <w:rPr>
          <w:rFonts w:ascii="Book Antiqua" w:hAnsi="Book Antiqua"/>
        </w:rPr>
        <w:t>more than twice as many victims retract the complaint stat</w:t>
      </w:r>
      <w:r w:rsidR="002C765F">
        <w:rPr>
          <w:rFonts w:ascii="Book Antiqua" w:hAnsi="Book Antiqua"/>
        </w:rPr>
        <w:t>ing their allegation was false (corresponding</w:t>
      </w:r>
      <w:r w:rsidR="00017B27" w:rsidRPr="00361BCF">
        <w:rPr>
          <w:rFonts w:ascii="Book Antiqua" w:hAnsi="Book Antiqua"/>
        </w:rPr>
        <w:t xml:space="preserve"> to 7 out of </w:t>
      </w:r>
      <w:r w:rsidR="00017B27" w:rsidRPr="00361BCF">
        <w:rPr>
          <w:rFonts w:ascii="Book Antiqua" w:hAnsi="Book Antiqua"/>
        </w:rPr>
        <w:lastRenderedPageBreak/>
        <w:t xml:space="preserve">28 retracted complaints in the overall sample of 679 cases). </w:t>
      </w:r>
      <w:r w:rsidR="00DB7FC9" w:rsidRPr="00361BCF">
        <w:rPr>
          <w:rFonts w:ascii="Book Antiqua" w:hAnsi="Book Antiqua"/>
        </w:rPr>
        <w:t xml:space="preserve">Multivariate logistic regression analyses did </w:t>
      </w:r>
      <w:r w:rsidR="004B3F9F">
        <w:rPr>
          <w:rFonts w:ascii="Book Antiqua" w:hAnsi="Book Antiqua"/>
        </w:rPr>
        <w:t xml:space="preserve">not </w:t>
      </w:r>
      <w:r w:rsidR="00DB7FC9" w:rsidRPr="00361BCF">
        <w:rPr>
          <w:rFonts w:ascii="Book Antiqua" w:hAnsi="Book Antiqua"/>
        </w:rPr>
        <w:t>yield statistically significant changes once the control variables and interaction effects were taken into account.</w:t>
      </w:r>
      <w:r w:rsidR="00017B27" w:rsidRPr="00361BCF">
        <w:rPr>
          <w:rFonts w:ascii="Book Antiqua" w:hAnsi="Book Antiqua"/>
        </w:rPr>
        <w:t xml:space="preserve"> </w:t>
      </w:r>
      <w:r w:rsidR="003A68F6" w:rsidRPr="00361BCF">
        <w:rPr>
          <w:rFonts w:ascii="Book Antiqua" w:hAnsi="Book Antiqua"/>
        </w:rPr>
        <w:t>Overall, t</w:t>
      </w:r>
      <w:r w:rsidR="00017B27" w:rsidRPr="00361BCF">
        <w:rPr>
          <w:rFonts w:ascii="Book Antiqua" w:hAnsi="Book Antiqua"/>
        </w:rPr>
        <w:t>hese</w:t>
      </w:r>
      <w:r w:rsidR="004E05D1" w:rsidRPr="00361BCF">
        <w:rPr>
          <w:rFonts w:ascii="Book Antiqua" w:hAnsi="Book Antiqua"/>
        </w:rPr>
        <w:t xml:space="preserve"> finding</w:t>
      </w:r>
      <w:r w:rsidR="00017B27" w:rsidRPr="00361BCF">
        <w:rPr>
          <w:rFonts w:ascii="Book Antiqua" w:hAnsi="Book Antiqua"/>
        </w:rPr>
        <w:t>s</w:t>
      </w:r>
      <w:r w:rsidR="003A68F6" w:rsidRPr="00361BCF">
        <w:rPr>
          <w:rFonts w:ascii="Book Antiqua" w:hAnsi="Book Antiqua"/>
        </w:rPr>
        <w:t xml:space="preserve"> suggest</w:t>
      </w:r>
      <w:r w:rsidR="004E05D1" w:rsidRPr="00361BCF">
        <w:rPr>
          <w:rFonts w:ascii="Book Antiqua" w:hAnsi="Book Antiqua"/>
        </w:rPr>
        <w:t xml:space="preserve"> that the presence of inconsistencies </w:t>
      </w:r>
      <w:r w:rsidR="00112A0A" w:rsidRPr="00361BCF">
        <w:rPr>
          <w:rFonts w:ascii="Book Antiqua" w:hAnsi="Book Antiqua"/>
        </w:rPr>
        <w:t>in itself</w:t>
      </w:r>
      <w:r w:rsidR="004E05D1" w:rsidRPr="00361BCF">
        <w:rPr>
          <w:rFonts w:ascii="Book Antiqua" w:hAnsi="Book Antiqua"/>
        </w:rPr>
        <w:t xml:space="preserve"> </w:t>
      </w:r>
      <w:r w:rsidR="00303B88" w:rsidRPr="00361BCF">
        <w:rPr>
          <w:rFonts w:ascii="Book Antiqua" w:hAnsi="Book Antiqua"/>
        </w:rPr>
        <w:t xml:space="preserve">does </w:t>
      </w:r>
      <w:r w:rsidR="004E05D1" w:rsidRPr="00361BCF">
        <w:rPr>
          <w:rFonts w:ascii="Book Antiqua" w:hAnsi="Book Antiqua"/>
        </w:rPr>
        <w:t xml:space="preserve">not lead to </w:t>
      </w:r>
      <w:r w:rsidR="0099734F" w:rsidRPr="00361BCF">
        <w:rPr>
          <w:rFonts w:ascii="Book Antiqua" w:hAnsi="Book Antiqua"/>
        </w:rPr>
        <w:t>victim withdrawal</w:t>
      </w:r>
      <w:r w:rsidR="00017B27" w:rsidRPr="00361BCF">
        <w:rPr>
          <w:rFonts w:ascii="Book Antiqua" w:hAnsi="Book Antiqua"/>
        </w:rPr>
        <w:t xml:space="preserve"> of </w:t>
      </w:r>
      <w:r w:rsidR="003A68F6" w:rsidRPr="00361BCF">
        <w:rPr>
          <w:rFonts w:ascii="Book Antiqua" w:hAnsi="Book Antiqua"/>
        </w:rPr>
        <w:t xml:space="preserve">cooperation (formal or informal), and that the association between inconsistencies in the </w:t>
      </w:r>
      <w:r w:rsidR="004A346C">
        <w:rPr>
          <w:rFonts w:ascii="Book Antiqua" w:hAnsi="Book Antiqua"/>
        </w:rPr>
        <w:t>victim account</w:t>
      </w:r>
      <w:r w:rsidR="003A68F6" w:rsidRPr="00361BCF">
        <w:rPr>
          <w:rFonts w:ascii="Book Antiqua" w:hAnsi="Book Antiqua"/>
        </w:rPr>
        <w:t xml:space="preserve"> and attrition is largely mediated through police rather than victim decision</w:t>
      </w:r>
      <w:r w:rsidR="00237516">
        <w:rPr>
          <w:rFonts w:ascii="Book Antiqua" w:hAnsi="Book Antiqua"/>
        </w:rPr>
        <w:t>-</w:t>
      </w:r>
      <w:r w:rsidR="003A68F6" w:rsidRPr="00361BCF">
        <w:rPr>
          <w:rFonts w:ascii="Book Antiqua" w:hAnsi="Book Antiqua"/>
        </w:rPr>
        <w:t xml:space="preserve">making to discontinue the process. </w:t>
      </w:r>
    </w:p>
    <w:p w14:paraId="2763D555" w14:textId="77777777" w:rsidR="003A68F6" w:rsidRPr="00361BCF" w:rsidRDefault="003A68F6" w:rsidP="004A4CBA">
      <w:pPr>
        <w:spacing w:line="360" w:lineRule="auto"/>
        <w:jc w:val="both"/>
        <w:rPr>
          <w:rFonts w:ascii="Book Antiqua" w:hAnsi="Book Antiqua"/>
        </w:rPr>
      </w:pPr>
    </w:p>
    <w:p w14:paraId="6D0BD7DD" w14:textId="77777777" w:rsidR="00367B36" w:rsidRPr="00361BCF" w:rsidRDefault="00367B36" w:rsidP="004A4CBA">
      <w:pPr>
        <w:spacing w:line="360" w:lineRule="auto"/>
        <w:jc w:val="both"/>
        <w:rPr>
          <w:rFonts w:ascii="Book Antiqua" w:hAnsi="Book Antiqua"/>
          <w:b/>
        </w:rPr>
      </w:pPr>
      <w:r w:rsidRPr="00361BCF">
        <w:rPr>
          <w:rFonts w:ascii="Book Antiqua" w:hAnsi="Book Antiqua"/>
          <w:b/>
        </w:rPr>
        <w:t>Limitations</w:t>
      </w:r>
    </w:p>
    <w:p w14:paraId="01FF71C1" w14:textId="5C6E5990" w:rsidR="00E779F8" w:rsidRPr="00361BCF" w:rsidRDefault="00367B36" w:rsidP="004A4CBA">
      <w:pPr>
        <w:spacing w:line="360" w:lineRule="auto"/>
        <w:ind w:firstLine="567"/>
        <w:jc w:val="both"/>
        <w:rPr>
          <w:rFonts w:ascii="Book Antiqua" w:hAnsi="Book Antiqua"/>
        </w:rPr>
      </w:pPr>
      <w:r w:rsidRPr="00361BCF">
        <w:rPr>
          <w:rFonts w:ascii="Book Antiqua" w:hAnsi="Book Antiqua"/>
        </w:rPr>
        <w:t>This initial empirical study only tested the association between inconsistencies in the victim account and attrition. Whilst this association is central to the pathway model, and evidence of its presence an important first step in the validation of the model, it leaves much of the conceptual pathway model untested.</w:t>
      </w:r>
      <w:r w:rsidR="00F66060" w:rsidRPr="00361BCF">
        <w:rPr>
          <w:rFonts w:ascii="Book Antiqua" w:hAnsi="Book Antiqua"/>
        </w:rPr>
        <w:t xml:space="preserve"> </w:t>
      </w:r>
      <w:r w:rsidRPr="00361BCF">
        <w:rPr>
          <w:rFonts w:ascii="Book Antiqua" w:hAnsi="Book Antiqua"/>
        </w:rPr>
        <w:t>Empirically testing the full pathway model requires interviews or surveys of police officers, prosecutors, complainants and (mock-</w:t>
      </w:r>
      <w:proofErr w:type="gramStart"/>
      <w:r w:rsidRPr="00361BCF">
        <w:rPr>
          <w:rFonts w:ascii="Book Antiqua" w:hAnsi="Book Antiqua"/>
        </w:rPr>
        <w:t>)juries</w:t>
      </w:r>
      <w:proofErr w:type="gramEnd"/>
      <w:r w:rsidR="0079066D" w:rsidRPr="00361BCF">
        <w:rPr>
          <w:rFonts w:ascii="Book Antiqua" w:hAnsi="Book Antiqua"/>
        </w:rPr>
        <w:t xml:space="preserve"> about their memory beliefs</w:t>
      </w:r>
      <w:r w:rsidRPr="00361BCF">
        <w:rPr>
          <w:rFonts w:ascii="Book Antiqua" w:hAnsi="Book Antiqua"/>
        </w:rPr>
        <w:t xml:space="preserve"> in addition to an analysis of the case files.</w:t>
      </w:r>
      <w:r w:rsidR="002125E0" w:rsidRPr="00361BCF">
        <w:rPr>
          <w:rFonts w:ascii="Book Antiqua" w:hAnsi="Book Antiqua"/>
        </w:rPr>
        <w:t xml:space="preserve"> A</w:t>
      </w:r>
      <w:r w:rsidRPr="00361BCF">
        <w:rPr>
          <w:rFonts w:ascii="Book Antiqua" w:hAnsi="Book Antiqua"/>
        </w:rPr>
        <w:t xml:space="preserve"> more in-depth analysis of recordings of police interview</w:t>
      </w:r>
      <w:r w:rsidR="001D1375" w:rsidRPr="00361BCF">
        <w:rPr>
          <w:rFonts w:ascii="Book Antiqua" w:hAnsi="Book Antiqua"/>
        </w:rPr>
        <w:t>s</w:t>
      </w:r>
      <w:r w:rsidRPr="00361BCF">
        <w:rPr>
          <w:rFonts w:ascii="Book Antiqua" w:hAnsi="Book Antiqua"/>
        </w:rPr>
        <w:t xml:space="preserve"> with the victim would enable a more accurate and fine-grained identification of inconsistencies, gaps and availability of details in the victim’s retelling of the rape which, as part of a prospective case tracking, would allow for a more robust test of the pathway model. </w:t>
      </w:r>
      <w:r w:rsidR="00636CF5" w:rsidRPr="00361BCF">
        <w:rPr>
          <w:rFonts w:ascii="Book Antiqua" w:hAnsi="Book Antiqua"/>
        </w:rPr>
        <w:t xml:space="preserve">Furthermore, inconsistencies in the victim account are an imperfect measure of victim memory. The dataset does not allow </w:t>
      </w:r>
      <w:r w:rsidR="00190E62" w:rsidRPr="00361BCF">
        <w:rPr>
          <w:rFonts w:ascii="Book Antiqua" w:hAnsi="Book Antiqua"/>
        </w:rPr>
        <w:t>distinguishing</w:t>
      </w:r>
      <w:r w:rsidR="00636CF5" w:rsidRPr="00361BCF">
        <w:rPr>
          <w:rFonts w:ascii="Book Antiqua" w:hAnsi="Book Antiqua"/>
        </w:rPr>
        <w:t xml:space="preserve"> betwe</w:t>
      </w:r>
      <w:r w:rsidR="00C8768C" w:rsidRPr="00361BCF">
        <w:rPr>
          <w:rFonts w:ascii="Book Antiqua" w:hAnsi="Book Antiqua"/>
        </w:rPr>
        <w:t>en inconsistencies that result</w:t>
      </w:r>
      <w:r w:rsidR="00636CF5" w:rsidRPr="00361BCF">
        <w:rPr>
          <w:rFonts w:ascii="Book Antiqua" w:hAnsi="Book Antiqua"/>
        </w:rPr>
        <w:t xml:space="preserve"> from memory errors of omission and </w:t>
      </w:r>
      <w:r w:rsidR="00C8768C" w:rsidRPr="00361BCF">
        <w:rPr>
          <w:rFonts w:ascii="Book Antiqua" w:hAnsi="Book Antiqua"/>
        </w:rPr>
        <w:t>commission</w:t>
      </w:r>
      <w:r w:rsidR="00636CF5" w:rsidRPr="00361BCF">
        <w:rPr>
          <w:rFonts w:ascii="Book Antiqua" w:hAnsi="Book Antiqua"/>
        </w:rPr>
        <w:t xml:space="preserve"> and </w:t>
      </w:r>
      <w:r w:rsidR="00C8768C" w:rsidRPr="00361BCF">
        <w:rPr>
          <w:rFonts w:ascii="Book Antiqua" w:hAnsi="Book Antiqua"/>
        </w:rPr>
        <w:t xml:space="preserve">those resulting from </w:t>
      </w:r>
      <w:r w:rsidR="00E8728C" w:rsidRPr="00361BCF">
        <w:rPr>
          <w:rFonts w:ascii="Book Antiqua" w:hAnsi="Book Antiqua"/>
        </w:rPr>
        <w:t xml:space="preserve">deliberate omissions and inaccuracies. </w:t>
      </w:r>
      <w:r w:rsidR="00190E62" w:rsidRPr="00361BCF">
        <w:rPr>
          <w:rFonts w:ascii="Book Antiqua" w:hAnsi="Book Antiqua"/>
        </w:rPr>
        <w:t>P</w:t>
      </w:r>
      <w:r w:rsidR="00C8768C" w:rsidRPr="00361BCF">
        <w:rPr>
          <w:rFonts w:ascii="Book Antiqua" w:hAnsi="Book Antiqua"/>
        </w:rPr>
        <w:t xml:space="preserve">oor rapport between the interviewing officer and the complainant, a lack of trust in the police or courts, </w:t>
      </w:r>
      <w:r w:rsidR="00D0554F" w:rsidRPr="00361BCF">
        <w:rPr>
          <w:rFonts w:ascii="Book Antiqua" w:hAnsi="Book Antiqua"/>
        </w:rPr>
        <w:t xml:space="preserve">feelings of guilt or shame, </w:t>
      </w:r>
      <w:r w:rsidR="00C8768C" w:rsidRPr="00361BCF">
        <w:rPr>
          <w:rFonts w:ascii="Book Antiqua" w:hAnsi="Book Antiqua"/>
        </w:rPr>
        <w:t xml:space="preserve">and fear of negative consequences may lead a complainant to feel unable or unwilling to give a full and accurate account. </w:t>
      </w:r>
      <w:r w:rsidR="00190E62" w:rsidRPr="00361BCF">
        <w:rPr>
          <w:rFonts w:ascii="Book Antiqua" w:hAnsi="Book Antiqua"/>
        </w:rPr>
        <w:t xml:space="preserve">Furthermore, inconsistencies may originate from poor interviewing technique rather than memory errors.  </w:t>
      </w:r>
      <w:r w:rsidR="00E8728C" w:rsidRPr="00361BCF">
        <w:rPr>
          <w:rFonts w:ascii="Book Antiqua" w:hAnsi="Book Antiqua"/>
        </w:rPr>
        <w:t>Qualitative analysis of</w:t>
      </w:r>
      <w:r w:rsidR="00190E62" w:rsidRPr="00361BCF">
        <w:rPr>
          <w:rFonts w:ascii="Book Antiqua" w:hAnsi="Book Antiqua"/>
        </w:rPr>
        <w:t xml:space="preserve"> interviewing technique and</w:t>
      </w:r>
      <w:r w:rsidR="00E8728C" w:rsidRPr="00361BCF">
        <w:rPr>
          <w:rFonts w:ascii="Book Antiqua" w:hAnsi="Book Antiqua"/>
        </w:rPr>
        <w:t xml:space="preserve"> follow-up interviews with the victim would be required to </w:t>
      </w:r>
      <w:r w:rsidR="00190E62" w:rsidRPr="00361BCF">
        <w:rPr>
          <w:rFonts w:ascii="Book Antiqua" w:hAnsi="Book Antiqua"/>
        </w:rPr>
        <w:t>better understand the origins of inconsistencies in the victim account</w:t>
      </w:r>
      <w:r w:rsidR="00E8728C" w:rsidRPr="00361BCF">
        <w:rPr>
          <w:rFonts w:ascii="Book Antiqua" w:hAnsi="Book Antiqua"/>
        </w:rPr>
        <w:t xml:space="preserve">. </w:t>
      </w:r>
    </w:p>
    <w:p w14:paraId="0FB909B1" w14:textId="77777777" w:rsidR="00E779F8" w:rsidRPr="00361BCF" w:rsidRDefault="00E779F8" w:rsidP="004A4CBA">
      <w:pPr>
        <w:spacing w:line="360" w:lineRule="auto"/>
        <w:ind w:firstLine="567"/>
        <w:jc w:val="both"/>
        <w:rPr>
          <w:rFonts w:ascii="Book Antiqua" w:hAnsi="Book Antiqua"/>
        </w:rPr>
      </w:pPr>
    </w:p>
    <w:p w14:paraId="5A4736BB" w14:textId="343536CF" w:rsidR="00B34344" w:rsidRPr="00361BCF" w:rsidRDefault="00E779F8" w:rsidP="004A4CBA">
      <w:pPr>
        <w:spacing w:line="360" w:lineRule="auto"/>
        <w:ind w:firstLine="567"/>
        <w:jc w:val="both"/>
        <w:rPr>
          <w:rFonts w:ascii="Book Antiqua" w:hAnsi="Book Antiqua"/>
        </w:rPr>
      </w:pPr>
      <w:r w:rsidRPr="00361BCF">
        <w:rPr>
          <w:rFonts w:ascii="Book Antiqua" w:hAnsi="Book Antiqua"/>
        </w:rPr>
        <w:lastRenderedPageBreak/>
        <w:t>Finally, w</w:t>
      </w:r>
      <w:r w:rsidR="00367B36" w:rsidRPr="00361BCF">
        <w:rPr>
          <w:rFonts w:ascii="Book Antiqua" w:hAnsi="Book Antiqua"/>
        </w:rPr>
        <w:t>e found inconsistencies were noted in only 11 per cent of complaints in the sample. The low percentage may indicate that police officers only explicitly note inconsistencies if they are severe. To our knowledge there currently exists no research on the amount and nature of inconsistencies in the victim account that is likely to put the complaint below the credibility threshold and into danger of attrition. A qualitative study of these thresholds is essential to furthering our understanding of police officer and prosecutor decision making ove</w:t>
      </w:r>
      <w:r w:rsidR="00C87F99" w:rsidRPr="00361BCF">
        <w:rPr>
          <w:rFonts w:ascii="Book Antiqua" w:hAnsi="Book Antiqua"/>
        </w:rPr>
        <w:t xml:space="preserve">r inconsistent victim accounts. </w:t>
      </w:r>
    </w:p>
    <w:p w14:paraId="7857899C" w14:textId="77777777" w:rsidR="002D141E" w:rsidRDefault="002D141E" w:rsidP="004A4CBA">
      <w:pPr>
        <w:spacing w:line="360" w:lineRule="auto"/>
        <w:jc w:val="both"/>
        <w:rPr>
          <w:rFonts w:ascii="Book Antiqua" w:hAnsi="Book Antiqua"/>
          <w:b/>
        </w:rPr>
      </w:pPr>
    </w:p>
    <w:p w14:paraId="2A97EC09" w14:textId="77777777" w:rsidR="009C6AC1" w:rsidRPr="00361BCF" w:rsidRDefault="00B127E2" w:rsidP="004A4CBA">
      <w:pPr>
        <w:spacing w:line="360" w:lineRule="auto"/>
        <w:jc w:val="both"/>
        <w:rPr>
          <w:rFonts w:ascii="Book Antiqua" w:hAnsi="Book Antiqua"/>
          <w:b/>
        </w:rPr>
      </w:pPr>
      <w:r w:rsidRPr="00361BCF">
        <w:rPr>
          <w:rFonts w:ascii="Book Antiqua" w:hAnsi="Book Antiqua"/>
          <w:b/>
        </w:rPr>
        <w:t>Conclusion</w:t>
      </w:r>
    </w:p>
    <w:p w14:paraId="2146E6CB" w14:textId="4BDACF6B" w:rsidR="0008761C" w:rsidRPr="00361BCF" w:rsidRDefault="008F6F14"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This article reviewed the evidence on criminal justice </w:t>
      </w:r>
      <w:r w:rsidR="003E5DE0" w:rsidRPr="00361BCF">
        <w:rPr>
          <w:rFonts w:ascii="Book Antiqua" w:hAnsi="Book Antiqua"/>
        </w:rPr>
        <w:t>use</w:t>
      </w:r>
      <w:r w:rsidRPr="00361BCF">
        <w:rPr>
          <w:rFonts w:ascii="Book Antiqua" w:hAnsi="Book Antiqua"/>
        </w:rPr>
        <w:t xml:space="preserve"> of memory evidence a</w:t>
      </w:r>
      <w:r w:rsidR="002F0FBD" w:rsidRPr="00361BCF">
        <w:rPr>
          <w:rFonts w:ascii="Book Antiqua" w:hAnsi="Book Antiqua"/>
        </w:rPr>
        <w:t>nd juxtaposed these</w:t>
      </w:r>
      <w:r w:rsidR="00A64F86" w:rsidRPr="00361BCF">
        <w:rPr>
          <w:rFonts w:ascii="Book Antiqua" w:hAnsi="Book Antiqua"/>
        </w:rPr>
        <w:t xml:space="preserve"> with </w:t>
      </w:r>
      <w:r w:rsidR="009C4F95">
        <w:rPr>
          <w:rFonts w:ascii="Book Antiqua" w:hAnsi="Book Antiqua"/>
        </w:rPr>
        <w:t>the current scientific understanding of memory</w:t>
      </w:r>
      <w:r w:rsidRPr="00361BCF">
        <w:rPr>
          <w:rFonts w:ascii="Book Antiqua" w:hAnsi="Book Antiqua"/>
        </w:rPr>
        <w:t>.</w:t>
      </w:r>
      <w:r w:rsidR="0008761C" w:rsidRPr="00361BCF">
        <w:rPr>
          <w:rFonts w:ascii="Book Antiqua" w:hAnsi="Book Antiqua"/>
        </w:rPr>
        <w:t xml:space="preserve"> The consistent, detailed narratives that are considered ‘good’ evidence within criminal justice are at odds with the nature of human memor</w:t>
      </w:r>
      <w:r w:rsidR="001D7132" w:rsidRPr="00361BCF">
        <w:rPr>
          <w:rFonts w:ascii="Book Antiqua" w:hAnsi="Book Antiqua"/>
        </w:rPr>
        <w:t>y -</w:t>
      </w:r>
      <w:r w:rsidR="0008761C" w:rsidRPr="00361BCF">
        <w:rPr>
          <w:rFonts w:ascii="Book Antiqua" w:hAnsi="Book Antiqua"/>
        </w:rPr>
        <w:t xml:space="preserve"> memories are always fragmentary, time-compressed and prone to errors of omission and commission. </w:t>
      </w:r>
      <w:r w:rsidR="001D7132" w:rsidRPr="00361BCF">
        <w:rPr>
          <w:rFonts w:ascii="Book Antiqua" w:hAnsi="Book Antiqua"/>
        </w:rPr>
        <w:t>Whilst inconsistencies, lack of detail, errors and omissions in the victim</w:t>
      </w:r>
      <w:r w:rsidR="00B16189" w:rsidRPr="00361BCF">
        <w:rPr>
          <w:rFonts w:ascii="Book Antiqua" w:hAnsi="Book Antiqua"/>
        </w:rPr>
        <w:t xml:space="preserve"> account undermine</w:t>
      </w:r>
      <w:r w:rsidR="001D7132" w:rsidRPr="00361BCF">
        <w:rPr>
          <w:rFonts w:ascii="Book Antiqua" w:hAnsi="Book Antiqua"/>
        </w:rPr>
        <w:t xml:space="preserve"> its credibility in t</w:t>
      </w:r>
      <w:r w:rsidR="00647FC8" w:rsidRPr="00361BCF">
        <w:rPr>
          <w:rFonts w:ascii="Book Antiqua" w:hAnsi="Book Antiqua"/>
        </w:rPr>
        <w:t>he eyes of legal agents and put</w:t>
      </w:r>
      <w:r w:rsidR="001D7132" w:rsidRPr="00361BCF">
        <w:rPr>
          <w:rFonts w:ascii="Book Antiqua" w:hAnsi="Book Antiqua"/>
        </w:rPr>
        <w:t xml:space="preserve"> the complaint at risk of attrition, </w:t>
      </w:r>
      <w:r w:rsidR="001D7132" w:rsidRPr="002B7EDE">
        <w:rPr>
          <w:rFonts w:ascii="Book Antiqua" w:hAnsi="Book Antiqua"/>
          <w:i/>
        </w:rPr>
        <w:t>the modern view of human memory</w:t>
      </w:r>
      <w:r w:rsidR="001D7132" w:rsidRPr="00361BCF">
        <w:rPr>
          <w:rFonts w:ascii="Book Antiqua" w:hAnsi="Book Antiqua"/>
        </w:rPr>
        <w:t xml:space="preserve"> considers all of these typical features of a normal memory. </w:t>
      </w:r>
    </w:p>
    <w:p w14:paraId="3810C533" w14:textId="77777777" w:rsidR="001D7132" w:rsidRPr="00361BCF" w:rsidRDefault="001D7132" w:rsidP="004A4CBA">
      <w:pPr>
        <w:autoSpaceDE w:val="0"/>
        <w:autoSpaceDN w:val="0"/>
        <w:adjustRightInd w:val="0"/>
        <w:spacing w:line="360" w:lineRule="auto"/>
        <w:ind w:firstLine="567"/>
        <w:jc w:val="both"/>
        <w:rPr>
          <w:rFonts w:ascii="Book Antiqua" w:hAnsi="Book Antiqua"/>
        </w:rPr>
      </w:pPr>
    </w:p>
    <w:p w14:paraId="5D5B00A3" w14:textId="5C0CE599" w:rsidR="00B3107A" w:rsidRPr="00361BCF" w:rsidRDefault="008F6F14" w:rsidP="004A4CBA">
      <w:pPr>
        <w:autoSpaceDE w:val="0"/>
        <w:autoSpaceDN w:val="0"/>
        <w:adjustRightInd w:val="0"/>
        <w:spacing w:line="360" w:lineRule="auto"/>
        <w:ind w:firstLine="567"/>
        <w:jc w:val="both"/>
        <w:rPr>
          <w:rFonts w:ascii="Book Antiqua" w:hAnsi="Book Antiqua"/>
        </w:rPr>
      </w:pPr>
      <w:r w:rsidRPr="00361BCF">
        <w:rPr>
          <w:rFonts w:ascii="Book Antiqua" w:hAnsi="Book Antiqua"/>
        </w:rPr>
        <w:t xml:space="preserve">We proposed a </w:t>
      </w:r>
      <w:r w:rsidR="00A64F86" w:rsidRPr="00361BCF">
        <w:rPr>
          <w:rFonts w:ascii="Book Antiqua" w:hAnsi="Book Antiqua"/>
        </w:rPr>
        <w:t>conceptual pathway</w:t>
      </w:r>
      <w:r w:rsidRPr="00361BCF">
        <w:rPr>
          <w:rFonts w:ascii="Book Antiqua" w:hAnsi="Book Antiqua"/>
        </w:rPr>
        <w:t xml:space="preserve"> model that describes the processes through which</w:t>
      </w:r>
      <w:r w:rsidR="001D7132" w:rsidRPr="00361BCF">
        <w:rPr>
          <w:rFonts w:ascii="Book Antiqua" w:hAnsi="Book Antiqua"/>
        </w:rPr>
        <w:t xml:space="preserve"> </w:t>
      </w:r>
      <w:r w:rsidR="00046279" w:rsidRPr="00361BCF">
        <w:rPr>
          <w:rFonts w:ascii="Book Antiqua" w:hAnsi="Book Antiqua"/>
        </w:rPr>
        <w:t xml:space="preserve">normal features </w:t>
      </w:r>
      <w:r w:rsidRPr="00361BCF">
        <w:rPr>
          <w:rFonts w:ascii="Book Antiqua" w:hAnsi="Book Antiqua"/>
        </w:rPr>
        <w:t>of</w:t>
      </w:r>
      <w:r w:rsidR="00A64F86" w:rsidRPr="00361BCF">
        <w:rPr>
          <w:rFonts w:ascii="Book Antiqua" w:hAnsi="Book Antiqua"/>
        </w:rPr>
        <w:t xml:space="preserve"> human memory</w:t>
      </w:r>
      <w:r w:rsidR="00D3559E" w:rsidRPr="00361BCF">
        <w:rPr>
          <w:rFonts w:ascii="Book Antiqua" w:hAnsi="Book Antiqua"/>
        </w:rPr>
        <w:t xml:space="preserve"> may</w:t>
      </w:r>
      <w:r w:rsidR="00A64F86" w:rsidRPr="00361BCF">
        <w:rPr>
          <w:rFonts w:ascii="Book Antiqua" w:hAnsi="Book Antiqua"/>
        </w:rPr>
        <w:t xml:space="preserve"> lead to attrition</w:t>
      </w:r>
      <w:r w:rsidR="00296188" w:rsidRPr="00361BCF">
        <w:rPr>
          <w:rFonts w:ascii="Book Antiqua" w:hAnsi="Book Antiqua"/>
        </w:rPr>
        <w:t xml:space="preserve">. </w:t>
      </w:r>
      <w:r w:rsidR="001D7132" w:rsidRPr="00361BCF">
        <w:rPr>
          <w:rFonts w:ascii="Book Antiqua" w:hAnsi="Book Antiqua"/>
        </w:rPr>
        <w:t xml:space="preserve">The first pathway </w:t>
      </w:r>
      <w:r w:rsidR="00FE4D7A" w:rsidRPr="00361BCF">
        <w:rPr>
          <w:rFonts w:ascii="Book Antiqua" w:hAnsi="Book Antiqua"/>
        </w:rPr>
        <w:t>considers</w:t>
      </w:r>
      <w:r w:rsidR="001D7132" w:rsidRPr="00361BCF">
        <w:rPr>
          <w:rFonts w:ascii="Book Antiqua" w:hAnsi="Book Antiqua"/>
        </w:rPr>
        <w:t xml:space="preserve"> the </w:t>
      </w:r>
      <w:r w:rsidR="00692E08" w:rsidRPr="00361BCF">
        <w:rPr>
          <w:rFonts w:ascii="Book Antiqua" w:hAnsi="Book Antiqua"/>
        </w:rPr>
        <w:t xml:space="preserve">negative </w:t>
      </w:r>
      <w:r w:rsidR="001D7132" w:rsidRPr="00361BCF">
        <w:rPr>
          <w:rFonts w:ascii="Book Antiqua" w:hAnsi="Book Antiqua"/>
        </w:rPr>
        <w:t xml:space="preserve">effect police interviewing techniques aimed at resolving inconsistencies and eliciting </w:t>
      </w:r>
      <w:r w:rsidR="005A0256" w:rsidRPr="00361BCF">
        <w:rPr>
          <w:rFonts w:ascii="Book Antiqua" w:hAnsi="Book Antiqua"/>
        </w:rPr>
        <w:t xml:space="preserve">more and specific memory </w:t>
      </w:r>
      <w:r w:rsidR="001D7132" w:rsidRPr="00361BCF">
        <w:rPr>
          <w:rFonts w:ascii="Book Antiqua" w:hAnsi="Book Antiqua"/>
        </w:rPr>
        <w:t>detail</w:t>
      </w:r>
      <w:r w:rsidR="005A0256" w:rsidRPr="00361BCF">
        <w:rPr>
          <w:rFonts w:ascii="Book Antiqua" w:hAnsi="Book Antiqua"/>
        </w:rPr>
        <w:t>s</w:t>
      </w:r>
      <w:r w:rsidR="00692E08" w:rsidRPr="00361BCF">
        <w:rPr>
          <w:rFonts w:ascii="Book Antiqua" w:hAnsi="Book Antiqua"/>
        </w:rPr>
        <w:t xml:space="preserve">, which </w:t>
      </w:r>
      <w:r w:rsidR="001D1375" w:rsidRPr="00361BCF">
        <w:rPr>
          <w:rFonts w:ascii="Book Antiqua" w:hAnsi="Book Antiqua"/>
        </w:rPr>
        <w:t>may</w:t>
      </w:r>
      <w:r w:rsidR="00692E08" w:rsidRPr="00361BCF">
        <w:rPr>
          <w:rFonts w:ascii="Book Antiqua" w:hAnsi="Book Antiqua"/>
        </w:rPr>
        <w:t xml:space="preserve"> result in </w:t>
      </w:r>
      <w:r w:rsidR="00067BE2" w:rsidRPr="00361BCF">
        <w:rPr>
          <w:rFonts w:ascii="Book Antiqua" w:hAnsi="Book Antiqua"/>
        </w:rPr>
        <w:t>formal or informal victim withdrawal</w:t>
      </w:r>
      <w:r w:rsidR="00692E08" w:rsidRPr="00361BCF">
        <w:rPr>
          <w:rFonts w:ascii="Book Antiqua" w:hAnsi="Book Antiqua"/>
        </w:rPr>
        <w:t xml:space="preserve"> and subsequent discontinuation of the case. The second pathway describes how </w:t>
      </w:r>
      <w:r w:rsidR="00046279" w:rsidRPr="00361BCF">
        <w:rPr>
          <w:rFonts w:ascii="Book Antiqua" w:hAnsi="Book Antiqua"/>
        </w:rPr>
        <w:t>normal memory features</w:t>
      </w:r>
      <w:r w:rsidR="00692E08" w:rsidRPr="00361BCF">
        <w:rPr>
          <w:rFonts w:ascii="Book Antiqua" w:hAnsi="Book Antiqua"/>
        </w:rPr>
        <w:t xml:space="preserve"> discredit the complain</w:t>
      </w:r>
      <w:r w:rsidR="00067BE2" w:rsidRPr="00361BCF">
        <w:rPr>
          <w:rFonts w:ascii="Book Antiqua" w:hAnsi="Book Antiqua"/>
        </w:rPr>
        <w:t>t</w:t>
      </w:r>
      <w:r w:rsidR="00692E08" w:rsidRPr="00361BCF">
        <w:rPr>
          <w:rFonts w:ascii="Book Antiqua" w:hAnsi="Book Antiqua"/>
        </w:rPr>
        <w:t xml:space="preserve"> in the eyes of criminal justice agents </w:t>
      </w:r>
      <w:r w:rsidR="005A0256" w:rsidRPr="00361BCF">
        <w:rPr>
          <w:rFonts w:ascii="Book Antiqua" w:hAnsi="Book Antiqua"/>
        </w:rPr>
        <w:t xml:space="preserve">that </w:t>
      </w:r>
      <w:r w:rsidR="00692E08" w:rsidRPr="00361BCF">
        <w:rPr>
          <w:rFonts w:ascii="Book Antiqua" w:hAnsi="Book Antiqua"/>
        </w:rPr>
        <w:t xml:space="preserve">either directly, or indirectly via </w:t>
      </w:r>
      <w:r w:rsidR="009C4F95">
        <w:rPr>
          <w:rFonts w:ascii="Book Antiqua" w:hAnsi="Book Antiqua"/>
        </w:rPr>
        <w:t>the</w:t>
      </w:r>
      <w:r w:rsidR="00692E08" w:rsidRPr="00361BCF">
        <w:rPr>
          <w:rFonts w:ascii="Book Antiqua" w:hAnsi="Book Antiqua"/>
        </w:rPr>
        <w:t xml:space="preserve"> </w:t>
      </w:r>
      <w:r w:rsidR="009C4F95">
        <w:rPr>
          <w:rFonts w:ascii="Book Antiqua" w:hAnsi="Book Antiqua"/>
        </w:rPr>
        <w:t>‘vicious cycle’</w:t>
      </w:r>
      <w:r w:rsidR="00692E08" w:rsidRPr="00361BCF">
        <w:rPr>
          <w:rFonts w:ascii="Book Antiqua" w:hAnsi="Book Antiqua"/>
        </w:rPr>
        <w:t xml:space="preserve"> of attrition, results in the case being dropped. </w:t>
      </w:r>
      <w:r w:rsidR="00A64F86" w:rsidRPr="00361BCF">
        <w:rPr>
          <w:rFonts w:ascii="Book Antiqua" w:hAnsi="Book Antiqua"/>
        </w:rPr>
        <w:t xml:space="preserve"> </w:t>
      </w:r>
      <w:r w:rsidR="00703E8B" w:rsidRPr="00361BCF">
        <w:rPr>
          <w:rFonts w:ascii="Book Antiqua" w:hAnsi="Book Antiqua"/>
        </w:rPr>
        <w:t>The</w:t>
      </w:r>
      <w:r w:rsidR="00B3107A" w:rsidRPr="00361BCF">
        <w:rPr>
          <w:rFonts w:ascii="Book Antiqua" w:hAnsi="Book Antiqua"/>
        </w:rPr>
        <w:t xml:space="preserve"> </w:t>
      </w:r>
      <w:r w:rsidR="00692E08" w:rsidRPr="00361BCF">
        <w:rPr>
          <w:rFonts w:ascii="Book Antiqua" w:hAnsi="Book Antiqua"/>
        </w:rPr>
        <w:t>findings</w:t>
      </w:r>
      <w:r w:rsidR="00703E8B" w:rsidRPr="00361BCF">
        <w:rPr>
          <w:rFonts w:ascii="Book Antiqua" w:hAnsi="Book Antiqua"/>
        </w:rPr>
        <w:t xml:space="preserve"> of the study</w:t>
      </w:r>
      <w:r w:rsidR="00B3107A" w:rsidRPr="00361BCF">
        <w:rPr>
          <w:rFonts w:ascii="Book Antiqua" w:hAnsi="Book Antiqua"/>
        </w:rPr>
        <w:t xml:space="preserve"> provide </w:t>
      </w:r>
      <w:r w:rsidR="00614F7F" w:rsidRPr="00361BCF">
        <w:rPr>
          <w:rFonts w:ascii="Book Antiqua" w:hAnsi="Book Antiqua"/>
        </w:rPr>
        <w:t xml:space="preserve">tentative, initial </w:t>
      </w:r>
      <w:r w:rsidR="00B3107A" w:rsidRPr="00361BCF">
        <w:rPr>
          <w:rFonts w:ascii="Book Antiqua" w:hAnsi="Book Antiqua"/>
        </w:rPr>
        <w:t xml:space="preserve">empirical support for an association between police case files explicitly noting the presence of inconsistencies in the victim account and significantly higher attrition through police officer and prosecutor decisions </w:t>
      </w:r>
      <w:r w:rsidR="003005B7" w:rsidRPr="00361BCF">
        <w:rPr>
          <w:rFonts w:ascii="Book Antiqua" w:hAnsi="Book Antiqua"/>
        </w:rPr>
        <w:t>to discontinue the case</w:t>
      </w:r>
      <w:r w:rsidR="00B3107A" w:rsidRPr="00361BCF">
        <w:rPr>
          <w:rFonts w:ascii="Book Antiqua" w:hAnsi="Book Antiqua"/>
        </w:rPr>
        <w:t xml:space="preserve">. This finding validates a key hypothesis </w:t>
      </w:r>
      <w:r w:rsidR="00E50775" w:rsidRPr="00361BCF">
        <w:rPr>
          <w:rFonts w:ascii="Book Antiqua" w:hAnsi="Book Antiqua"/>
        </w:rPr>
        <w:t>of</w:t>
      </w:r>
      <w:r w:rsidR="00B3107A" w:rsidRPr="00361BCF">
        <w:rPr>
          <w:rFonts w:ascii="Book Antiqua" w:hAnsi="Book Antiqua"/>
        </w:rPr>
        <w:t xml:space="preserve"> the pathway model</w:t>
      </w:r>
      <w:r w:rsidR="00744D97" w:rsidRPr="00361BCF">
        <w:rPr>
          <w:rFonts w:ascii="Book Antiqua" w:hAnsi="Book Antiqua"/>
        </w:rPr>
        <w:t xml:space="preserve"> within the English criminal justice </w:t>
      </w:r>
      <w:r w:rsidR="00744D97" w:rsidRPr="00361BCF">
        <w:rPr>
          <w:rFonts w:ascii="Book Antiqua" w:hAnsi="Book Antiqua"/>
        </w:rPr>
        <w:lastRenderedPageBreak/>
        <w:t>system</w:t>
      </w:r>
      <w:r w:rsidR="00B3107A" w:rsidRPr="00361BCF">
        <w:rPr>
          <w:rFonts w:ascii="Book Antiqua" w:hAnsi="Book Antiqua"/>
        </w:rPr>
        <w:t xml:space="preserve">. </w:t>
      </w:r>
      <w:r w:rsidR="00744D97" w:rsidRPr="00361BCF">
        <w:rPr>
          <w:rFonts w:ascii="Book Antiqua" w:hAnsi="Book Antiqua"/>
        </w:rPr>
        <w:t>Further studies ar</w:t>
      </w:r>
      <w:r w:rsidR="007D7B44">
        <w:rPr>
          <w:rFonts w:ascii="Book Antiqua" w:hAnsi="Book Antiqua"/>
        </w:rPr>
        <w:t xml:space="preserve">e required to test the </w:t>
      </w:r>
      <w:proofErr w:type="spellStart"/>
      <w:r w:rsidR="007D7B44">
        <w:rPr>
          <w:rFonts w:ascii="Book Antiqua" w:hAnsi="Book Antiqua"/>
        </w:rPr>
        <w:t>generalis</w:t>
      </w:r>
      <w:r w:rsidR="00744D97" w:rsidRPr="00361BCF">
        <w:rPr>
          <w:rFonts w:ascii="Book Antiqua" w:hAnsi="Book Antiqua"/>
        </w:rPr>
        <w:t>ability</w:t>
      </w:r>
      <w:proofErr w:type="spellEnd"/>
      <w:r w:rsidR="00744D97" w:rsidRPr="00361BCF">
        <w:rPr>
          <w:rFonts w:ascii="Book Antiqua" w:hAnsi="Book Antiqua"/>
        </w:rPr>
        <w:t xml:space="preserve"> of the findings to other jurisdictions, in particular those without juries. </w:t>
      </w:r>
    </w:p>
    <w:p w14:paraId="0FF61C02" w14:textId="4AEA0C64" w:rsidR="00B52039" w:rsidRPr="00361BCF" w:rsidRDefault="00D3559E" w:rsidP="004A4CBA">
      <w:pPr>
        <w:tabs>
          <w:tab w:val="left" w:pos="4160"/>
        </w:tabs>
        <w:autoSpaceDE w:val="0"/>
        <w:autoSpaceDN w:val="0"/>
        <w:adjustRightInd w:val="0"/>
        <w:spacing w:line="360" w:lineRule="auto"/>
        <w:ind w:firstLine="567"/>
        <w:jc w:val="both"/>
        <w:rPr>
          <w:rFonts w:ascii="Book Antiqua" w:hAnsi="Book Antiqua"/>
        </w:rPr>
      </w:pPr>
      <w:r w:rsidRPr="00361BCF">
        <w:rPr>
          <w:rFonts w:ascii="Book Antiqua" w:hAnsi="Book Antiqua"/>
        </w:rPr>
        <w:tab/>
      </w:r>
    </w:p>
    <w:p w14:paraId="073466AD" w14:textId="5A51D731" w:rsidR="00DE42F3" w:rsidRPr="00361BCF" w:rsidRDefault="001472DE" w:rsidP="004A4CBA">
      <w:pPr>
        <w:spacing w:line="360" w:lineRule="auto"/>
        <w:ind w:firstLine="567"/>
        <w:jc w:val="both"/>
        <w:rPr>
          <w:rFonts w:ascii="Book Antiqua" w:hAnsi="Book Antiqua"/>
        </w:rPr>
      </w:pPr>
      <w:r w:rsidRPr="00361BCF">
        <w:rPr>
          <w:rFonts w:ascii="Book Antiqua" w:hAnsi="Book Antiqua"/>
        </w:rPr>
        <w:t>Overall t</w:t>
      </w:r>
      <w:r w:rsidR="00692E08" w:rsidRPr="00361BCF">
        <w:rPr>
          <w:rFonts w:ascii="Book Antiqua" w:hAnsi="Book Antiqua"/>
        </w:rPr>
        <w:t>he findings suggest that c</w:t>
      </w:r>
      <w:r w:rsidR="004207DD" w:rsidRPr="00361BCF">
        <w:rPr>
          <w:rFonts w:ascii="Book Antiqua" w:hAnsi="Book Antiqua"/>
        </w:rPr>
        <w:t>riminal justice agents need to take m</w:t>
      </w:r>
      <w:r w:rsidR="00376DBA" w:rsidRPr="00361BCF">
        <w:rPr>
          <w:rFonts w:ascii="Book Antiqua" w:hAnsi="Book Antiqua"/>
        </w:rPr>
        <w:t>emory research</w:t>
      </w:r>
      <w:r w:rsidR="004207DD" w:rsidRPr="00361BCF">
        <w:rPr>
          <w:rFonts w:ascii="Book Antiqua" w:hAnsi="Book Antiqua"/>
        </w:rPr>
        <w:t xml:space="preserve"> findings</w:t>
      </w:r>
      <w:r w:rsidR="00376DBA" w:rsidRPr="00361BCF">
        <w:rPr>
          <w:rFonts w:ascii="Book Antiqua" w:hAnsi="Book Antiqua"/>
        </w:rPr>
        <w:t xml:space="preserve"> into consideration when assessing the veracity of a complaint of rape</w:t>
      </w:r>
      <w:r w:rsidR="004207DD" w:rsidRPr="00361BCF">
        <w:rPr>
          <w:rFonts w:ascii="Book Antiqua" w:hAnsi="Book Antiqua"/>
        </w:rPr>
        <w:t>, whether</w:t>
      </w:r>
      <w:r w:rsidR="00376DBA" w:rsidRPr="00361BCF">
        <w:rPr>
          <w:rFonts w:ascii="Book Antiqua" w:hAnsi="Book Antiqua"/>
        </w:rPr>
        <w:t xml:space="preserve"> during the police investigation, case co</w:t>
      </w:r>
      <w:r w:rsidR="004207DD" w:rsidRPr="00361BCF">
        <w:rPr>
          <w:rFonts w:ascii="Book Antiqua" w:hAnsi="Book Antiqua"/>
        </w:rPr>
        <w:t xml:space="preserve">nstruction </w:t>
      </w:r>
      <w:r w:rsidRPr="00361BCF">
        <w:rPr>
          <w:rFonts w:ascii="Book Antiqua" w:hAnsi="Book Antiqua"/>
        </w:rPr>
        <w:t xml:space="preserve">or </w:t>
      </w:r>
      <w:r w:rsidR="004207DD" w:rsidRPr="00361BCF">
        <w:rPr>
          <w:rFonts w:ascii="Book Antiqua" w:hAnsi="Book Antiqua"/>
        </w:rPr>
        <w:t>in court</w:t>
      </w:r>
      <w:r w:rsidR="003005B7" w:rsidRPr="00361BCF">
        <w:rPr>
          <w:rFonts w:ascii="Book Antiqua" w:hAnsi="Book Antiqua"/>
        </w:rPr>
        <w:t>.</w:t>
      </w:r>
      <w:r w:rsidR="004207DD" w:rsidRPr="00361BCF">
        <w:rPr>
          <w:rFonts w:ascii="Book Antiqua" w:hAnsi="Book Antiqua"/>
        </w:rPr>
        <w:t xml:space="preserve"> </w:t>
      </w:r>
      <w:r w:rsidR="009F3BE0" w:rsidRPr="00361BCF">
        <w:rPr>
          <w:rFonts w:ascii="Book Antiqua" w:hAnsi="Book Antiqua"/>
        </w:rPr>
        <w:t>It may be that police, when operating with a science based model of memory, are able to adapt their interview techniques to make them more compatible with human memory</w:t>
      </w:r>
      <w:r w:rsidR="00DE42F3" w:rsidRPr="00361BCF">
        <w:rPr>
          <w:rFonts w:ascii="Book Antiqua" w:hAnsi="Book Antiqua"/>
        </w:rPr>
        <w:t xml:space="preserve">. </w:t>
      </w:r>
      <w:r w:rsidR="00EA7093" w:rsidRPr="00361BCF">
        <w:rPr>
          <w:rFonts w:ascii="Book Antiqua" w:hAnsi="Book Antiqua"/>
        </w:rPr>
        <w:t>McMillan and Thomas (2009)</w:t>
      </w:r>
      <w:r w:rsidR="00DE42F3" w:rsidRPr="00361BCF">
        <w:rPr>
          <w:rFonts w:ascii="Book Antiqua" w:hAnsi="Book Antiqua"/>
        </w:rPr>
        <w:t xml:space="preserve"> found that </w:t>
      </w:r>
      <w:r w:rsidR="00EA7093" w:rsidRPr="00361BCF">
        <w:rPr>
          <w:rFonts w:ascii="Book Antiqua" w:hAnsi="Book Antiqua"/>
        </w:rPr>
        <w:t xml:space="preserve">victims prefer free recall. </w:t>
      </w:r>
      <w:r w:rsidR="00DE42F3" w:rsidRPr="00361BCF">
        <w:rPr>
          <w:rFonts w:ascii="Book Antiqua" w:hAnsi="Book Antiqua"/>
        </w:rPr>
        <w:t xml:space="preserve">In particular </w:t>
      </w:r>
      <w:r w:rsidR="00461A06" w:rsidRPr="00361BCF">
        <w:rPr>
          <w:rFonts w:ascii="Book Antiqua" w:hAnsi="Book Antiqua"/>
        </w:rPr>
        <w:t xml:space="preserve">victims </w:t>
      </w:r>
      <w:r w:rsidR="00DE42F3" w:rsidRPr="00361BCF">
        <w:rPr>
          <w:rFonts w:ascii="Book Antiqua" w:hAnsi="Book Antiqua"/>
        </w:rPr>
        <w:t xml:space="preserve">do not respond positively to </w:t>
      </w:r>
      <w:r w:rsidR="00B6317F" w:rsidRPr="00361BCF">
        <w:rPr>
          <w:rFonts w:ascii="Book Antiqua" w:hAnsi="Book Antiqua"/>
        </w:rPr>
        <w:t>demands of</w:t>
      </w:r>
      <w:r w:rsidR="00DE42F3" w:rsidRPr="00361BCF">
        <w:rPr>
          <w:rFonts w:ascii="Book Antiqua" w:hAnsi="Book Antiqua"/>
        </w:rPr>
        <w:t xml:space="preserve"> repeated recall of, in fact impossible</w:t>
      </w:r>
      <w:r w:rsidRPr="00361BCF">
        <w:rPr>
          <w:rFonts w:ascii="Book Antiqua" w:hAnsi="Book Antiqua"/>
        </w:rPr>
        <w:t>-</w:t>
      </w:r>
      <w:r w:rsidR="00DE42F3" w:rsidRPr="00361BCF">
        <w:rPr>
          <w:rFonts w:ascii="Book Antiqua" w:hAnsi="Book Antiqua"/>
        </w:rPr>
        <w:t>to</w:t>
      </w:r>
      <w:r w:rsidRPr="00361BCF">
        <w:rPr>
          <w:rFonts w:ascii="Book Antiqua" w:hAnsi="Book Antiqua"/>
        </w:rPr>
        <w:t>-</w:t>
      </w:r>
      <w:r w:rsidR="00DE42F3" w:rsidRPr="00361BCF">
        <w:rPr>
          <w:rFonts w:ascii="Book Antiqua" w:hAnsi="Book Antiqua"/>
        </w:rPr>
        <w:t>recall, minutiae. Such practises almost certainly undermine victim confidence. Free recall</w:t>
      </w:r>
      <w:r w:rsidR="00EA7093" w:rsidRPr="00361BCF">
        <w:rPr>
          <w:rFonts w:ascii="Book Antiqua" w:hAnsi="Book Antiqua"/>
        </w:rPr>
        <w:t xml:space="preserve"> is </w:t>
      </w:r>
      <w:r w:rsidR="001A4596" w:rsidRPr="00361BCF">
        <w:rPr>
          <w:rFonts w:ascii="Book Antiqua" w:hAnsi="Book Antiqua"/>
        </w:rPr>
        <w:t xml:space="preserve">thus </w:t>
      </w:r>
      <w:r w:rsidR="00EA7093" w:rsidRPr="00361BCF">
        <w:rPr>
          <w:rFonts w:ascii="Book Antiqua" w:hAnsi="Book Antiqua"/>
        </w:rPr>
        <w:t>not only likely to produce m</w:t>
      </w:r>
      <w:r w:rsidR="003C3CE7" w:rsidRPr="00361BCF">
        <w:rPr>
          <w:rFonts w:ascii="Book Antiqua" w:hAnsi="Book Antiqua"/>
        </w:rPr>
        <w:t>ore reliable memory evidence</w:t>
      </w:r>
      <w:r w:rsidR="00DE42F3" w:rsidRPr="00361BCF">
        <w:rPr>
          <w:rFonts w:ascii="Book Antiqua" w:hAnsi="Book Antiqua"/>
        </w:rPr>
        <w:t>, because rememb</w:t>
      </w:r>
      <w:r w:rsidR="00EC04E9">
        <w:rPr>
          <w:rFonts w:ascii="Book Antiqua" w:hAnsi="Book Antiqua"/>
        </w:rPr>
        <w:t>er</w:t>
      </w:r>
      <w:r w:rsidR="002B7EDE">
        <w:rPr>
          <w:rFonts w:ascii="Book Antiqua" w:hAnsi="Book Antiqua"/>
        </w:rPr>
        <w:t>er</w:t>
      </w:r>
      <w:r w:rsidR="00DE42F3" w:rsidRPr="00361BCF">
        <w:rPr>
          <w:rFonts w:ascii="Book Antiqua" w:hAnsi="Book Antiqua"/>
        </w:rPr>
        <w:t xml:space="preserve">s automatically recall at </w:t>
      </w:r>
      <w:r w:rsidR="00461A06" w:rsidRPr="00361BCF">
        <w:rPr>
          <w:rFonts w:ascii="Book Antiqua" w:hAnsi="Book Antiqua"/>
        </w:rPr>
        <w:t>t</w:t>
      </w:r>
      <w:r w:rsidR="00DE42F3" w:rsidRPr="00361BCF">
        <w:rPr>
          <w:rFonts w:ascii="Book Antiqua" w:hAnsi="Book Antiqua"/>
        </w:rPr>
        <w:t>he optimum level for their own memory (</w:t>
      </w:r>
      <w:r w:rsidR="00461A06" w:rsidRPr="00361BCF">
        <w:rPr>
          <w:rFonts w:ascii="Book Antiqua" w:hAnsi="Book Antiqua"/>
        </w:rPr>
        <w:t>British Psychological Society</w:t>
      </w:r>
      <w:r w:rsidR="007204CB" w:rsidRPr="00361BCF">
        <w:rPr>
          <w:rFonts w:ascii="Book Antiqua" w:hAnsi="Book Antiqua"/>
        </w:rPr>
        <w:t>,</w:t>
      </w:r>
      <w:r w:rsidR="00DE42F3" w:rsidRPr="00361BCF">
        <w:rPr>
          <w:rFonts w:ascii="Book Antiqua" w:hAnsi="Book Antiqua"/>
        </w:rPr>
        <w:t xml:space="preserve"> 2008</w:t>
      </w:r>
      <w:r w:rsidR="00753223" w:rsidRPr="00361BCF">
        <w:rPr>
          <w:rFonts w:ascii="Book Antiqua" w:hAnsi="Book Antiqua"/>
        </w:rPr>
        <w:t>; 20</w:t>
      </w:r>
      <w:r w:rsidR="00DE42F3" w:rsidRPr="00361BCF">
        <w:rPr>
          <w:rFonts w:ascii="Book Antiqua" w:hAnsi="Book Antiqua"/>
        </w:rPr>
        <w:t xml:space="preserve">10), </w:t>
      </w:r>
      <w:r w:rsidR="004207DD" w:rsidRPr="00361BCF">
        <w:rPr>
          <w:rFonts w:ascii="Book Antiqua" w:hAnsi="Book Antiqua"/>
        </w:rPr>
        <w:t xml:space="preserve">but </w:t>
      </w:r>
      <w:r w:rsidR="003C3CE7" w:rsidRPr="00361BCF">
        <w:rPr>
          <w:rFonts w:ascii="Book Antiqua" w:hAnsi="Book Antiqua"/>
        </w:rPr>
        <w:t>may</w:t>
      </w:r>
      <w:r w:rsidR="00EA7093" w:rsidRPr="00361BCF">
        <w:rPr>
          <w:rFonts w:ascii="Book Antiqua" w:hAnsi="Book Antiqua"/>
        </w:rPr>
        <w:t xml:space="preserve"> also reduce attrition </w:t>
      </w:r>
      <w:r w:rsidR="003C3CE7" w:rsidRPr="00361BCF">
        <w:rPr>
          <w:rFonts w:ascii="Book Antiqua" w:hAnsi="Book Antiqua"/>
        </w:rPr>
        <w:t>by reducing</w:t>
      </w:r>
      <w:r w:rsidR="00EA7093" w:rsidRPr="00361BCF">
        <w:rPr>
          <w:rFonts w:ascii="Book Antiqua" w:hAnsi="Book Antiqua"/>
        </w:rPr>
        <w:t xml:space="preserve"> victim withdrawal. </w:t>
      </w:r>
    </w:p>
    <w:p w14:paraId="7BF66876" w14:textId="77777777" w:rsidR="00363D29" w:rsidRPr="00361BCF" w:rsidRDefault="00363D29" w:rsidP="004A4CBA">
      <w:pPr>
        <w:spacing w:line="360" w:lineRule="auto"/>
        <w:ind w:firstLine="567"/>
        <w:jc w:val="both"/>
        <w:rPr>
          <w:rFonts w:ascii="Book Antiqua" w:hAnsi="Book Antiqua"/>
        </w:rPr>
      </w:pPr>
    </w:p>
    <w:p w14:paraId="53648456" w14:textId="01D6C43A" w:rsidR="00945C66" w:rsidRPr="00361BCF" w:rsidRDefault="003005B7" w:rsidP="004A4CBA">
      <w:pPr>
        <w:spacing w:line="360" w:lineRule="auto"/>
        <w:ind w:firstLine="567"/>
        <w:jc w:val="both"/>
        <w:rPr>
          <w:rFonts w:ascii="Book Antiqua" w:hAnsi="Book Antiqua"/>
        </w:rPr>
      </w:pPr>
      <w:r w:rsidRPr="00361BCF">
        <w:rPr>
          <w:rFonts w:ascii="Book Antiqua" w:hAnsi="Book Antiqua"/>
        </w:rPr>
        <w:t>Finally, t</w:t>
      </w:r>
      <w:r w:rsidR="003E5DE0" w:rsidRPr="00361BCF">
        <w:rPr>
          <w:rFonts w:ascii="Book Antiqua" w:hAnsi="Book Antiqua"/>
        </w:rPr>
        <w:t xml:space="preserve">his article focussed on empirically establishing </w:t>
      </w:r>
      <w:r w:rsidR="003E5DE0" w:rsidRPr="00361BCF">
        <w:rPr>
          <w:rFonts w:ascii="Book Antiqua" w:hAnsi="Book Antiqua"/>
          <w:i/>
        </w:rPr>
        <w:t>whether</w:t>
      </w:r>
      <w:r w:rsidR="003E5DE0" w:rsidRPr="00361BCF">
        <w:rPr>
          <w:rFonts w:ascii="Book Antiqua" w:hAnsi="Book Antiqua"/>
        </w:rPr>
        <w:t xml:space="preserve"> and conceptually developing </w:t>
      </w:r>
      <w:r w:rsidR="003E5DE0" w:rsidRPr="00361BCF">
        <w:rPr>
          <w:rFonts w:ascii="Book Antiqua" w:hAnsi="Book Antiqua"/>
          <w:i/>
        </w:rPr>
        <w:t>how</w:t>
      </w:r>
      <w:r w:rsidR="003E5DE0" w:rsidRPr="00361BCF">
        <w:rPr>
          <w:rFonts w:ascii="Book Antiqua" w:hAnsi="Book Antiqua"/>
        </w:rPr>
        <w:t xml:space="preserve"> normal features of human memory lead to attrition. This of course raises a further question: </w:t>
      </w:r>
      <w:r w:rsidR="003E5DE0" w:rsidRPr="00361BCF">
        <w:rPr>
          <w:rFonts w:ascii="Book Antiqua" w:hAnsi="Book Antiqua"/>
          <w:i/>
        </w:rPr>
        <w:t>why</w:t>
      </w:r>
      <w:r w:rsidR="003E5DE0" w:rsidRPr="00361BCF">
        <w:rPr>
          <w:rFonts w:ascii="Book Antiqua" w:hAnsi="Book Antiqua"/>
        </w:rPr>
        <w:t xml:space="preserve"> do normal features of human memory lead to attrition? </w:t>
      </w:r>
      <w:r w:rsidR="00CB04A7" w:rsidRPr="00361BCF">
        <w:rPr>
          <w:rFonts w:ascii="Book Antiqua" w:hAnsi="Book Antiqua"/>
        </w:rPr>
        <w:t>Why are the criteria criminal justice agents use to judge the credibility of victim memory – such as</w:t>
      </w:r>
      <w:r w:rsidR="00642A7F" w:rsidRPr="00361BCF">
        <w:rPr>
          <w:rFonts w:ascii="Book Antiqua" w:hAnsi="Book Antiqua"/>
        </w:rPr>
        <w:t xml:space="preserve"> consistency and rich detail - </w:t>
      </w:r>
      <w:r w:rsidR="00CB04A7" w:rsidRPr="00361BCF">
        <w:rPr>
          <w:rFonts w:ascii="Book Antiqua" w:hAnsi="Book Antiqua"/>
        </w:rPr>
        <w:t xml:space="preserve">so at odds with </w:t>
      </w:r>
      <w:r w:rsidR="00945C66" w:rsidRPr="00361BCF">
        <w:rPr>
          <w:rFonts w:ascii="Book Antiqua" w:hAnsi="Book Antiqua"/>
        </w:rPr>
        <w:t>the</w:t>
      </w:r>
      <w:r w:rsidR="00642A7F" w:rsidRPr="00361BCF">
        <w:rPr>
          <w:rFonts w:ascii="Book Antiqua" w:hAnsi="Book Antiqua"/>
        </w:rPr>
        <w:t xml:space="preserve"> scientific understanding of human memory? </w:t>
      </w:r>
      <w:r w:rsidR="003E5DE0" w:rsidRPr="00361BCF">
        <w:rPr>
          <w:rFonts w:ascii="Book Antiqua" w:hAnsi="Book Antiqua"/>
        </w:rPr>
        <w:t>The answer may lie</w:t>
      </w:r>
      <w:r w:rsidR="00642A7F" w:rsidRPr="00361BCF">
        <w:rPr>
          <w:rFonts w:ascii="Book Antiqua" w:hAnsi="Book Antiqua"/>
        </w:rPr>
        <w:t xml:space="preserve"> simply</w:t>
      </w:r>
      <w:r w:rsidR="003E5DE0" w:rsidRPr="00361BCF">
        <w:rPr>
          <w:rFonts w:ascii="Book Antiqua" w:hAnsi="Book Antiqua"/>
        </w:rPr>
        <w:t xml:space="preserve"> in </w:t>
      </w:r>
      <w:r w:rsidR="00081245" w:rsidRPr="00361BCF">
        <w:rPr>
          <w:rFonts w:ascii="Book Antiqua" w:hAnsi="Book Antiqua"/>
        </w:rPr>
        <w:t xml:space="preserve">criminal justice agents’ erroneous beliefs and lack of </w:t>
      </w:r>
      <w:r w:rsidR="003E5DE0" w:rsidRPr="00361BCF">
        <w:rPr>
          <w:rFonts w:ascii="Book Antiqua" w:hAnsi="Book Antiqua"/>
        </w:rPr>
        <w:t xml:space="preserve">knowledge about human memory. </w:t>
      </w:r>
      <w:r w:rsidR="00F15BF6" w:rsidRPr="00361BCF">
        <w:rPr>
          <w:rFonts w:ascii="Book Antiqua" w:hAnsi="Book Antiqua"/>
        </w:rPr>
        <w:t xml:space="preserve">The </w:t>
      </w:r>
      <w:r w:rsidR="00DD3C04" w:rsidRPr="00361BCF">
        <w:rPr>
          <w:rFonts w:ascii="Book Antiqua" w:hAnsi="Book Antiqua"/>
        </w:rPr>
        <w:t>literature</w:t>
      </w:r>
      <w:r w:rsidR="00F15BF6" w:rsidRPr="00361BCF">
        <w:rPr>
          <w:rFonts w:ascii="Book Antiqua" w:hAnsi="Book Antiqua"/>
        </w:rPr>
        <w:t xml:space="preserve"> suggests</w:t>
      </w:r>
      <w:r w:rsidR="00642A7F" w:rsidRPr="00361BCF">
        <w:rPr>
          <w:rFonts w:ascii="Book Antiqua" w:hAnsi="Book Antiqua"/>
        </w:rPr>
        <w:t xml:space="preserve"> tha</w:t>
      </w:r>
      <w:r w:rsidR="00081245" w:rsidRPr="00361BCF">
        <w:rPr>
          <w:rFonts w:ascii="Book Antiqua" w:hAnsi="Book Antiqua"/>
        </w:rPr>
        <w:t xml:space="preserve">t police officers, prosecutors and </w:t>
      </w:r>
      <w:r w:rsidR="00642A7F" w:rsidRPr="00361BCF">
        <w:rPr>
          <w:rFonts w:ascii="Book Antiqua" w:hAnsi="Book Antiqua"/>
        </w:rPr>
        <w:t xml:space="preserve">judges </w:t>
      </w:r>
      <w:r w:rsidR="00F15BF6" w:rsidRPr="00361BCF">
        <w:rPr>
          <w:rFonts w:ascii="Book Antiqua" w:hAnsi="Book Antiqua"/>
        </w:rPr>
        <w:t xml:space="preserve">indeed </w:t>
      </w:r>
      <w:r w:rsidR="00642A7F" w:rsidRPr="00361BCF">
        <w:rPr>
          <w:rFonts w:ascii="Book Antiqua" w:hAnsi="Book Antiqua"/>
        </w:rPr>
        <w:t xml:space="preserve">have </w:t>
      </w:r>
      <w:r w:rsidR="00081245" w:rsidRPr="00361BCF">
        <w:rPr>
          <w:rFonts w:ascii="Book Antiqua" w:hAnsi="Book Antiqua"/>
        </w:rPr>
        <w:t xml:space="preserve">a </w:t>
      </w:r>
      <w:r w:rsidR="00642A7F" w:rsidRPr="00361BCF">
        <w:rPr>
          <w:rFonts w:ascii="Book Antiqua" w:hAnsi="Book Antiqua"/>
        </w:rPr>
        <w:t xml:space="preserve">limited knowledge of </w:t>
      </w:r>
      <w:r w:rsidR="00945C66" w:rsidRPr="00361BCF">
        <w:rPr>
          <w:rFonts w:ascii="Book Antiqua" w:hAnsi="Book Antiqua"/>
        </w:rPr>
        <w:t xml:space="preserve">human memory in general and </w:t>
      </w:r>
      <w:r w:rsidR="00642A7F" w:rsidRPr="00361BCF">
        <w:rPr>
          <w:rFonts w:ascii="Book Antiqua" w:hAnsi="Book Antiqua"/>
        </w:rPr>
        <w:t>eyewitness testimony</w:t>
      </w:r>
      <w:r w:rsidR="00081245" w:rsidRPr="00361BCF">
        <w:rPr>
          <w:rFonts w:ascii="Book Antiqua" w:hAnsi="Book Antiqua"/>
        </w:rPr>
        <w:t xml:space="preserve"> </w:t>
      </w:r>
      <w:r w:rsidR="00945C66" w:rsidRPr="00361BCF">
        <w:rPr>
          <w:rFonts w:ascii="Book Antiqua" w:hAnsi="Book Antiqua"/>
        </w:rPr>
        <w:t xml:space="preserve">in particular, </w:t>
      </w:r>
      <w:r w:rsidR="00081245" w:rsidRPr="00361BCF">
        <w:rPr>
          <w:rFonts w:ascii="Book Antiqua" w:hAnsi="Book Antiqua"/>
        </w:rPr>
        <w:t>not significantly differ</w:t>
      </w:r>
      <w:r w:rsidR="00F15BF6" w:rsidRPr="00361BCF">
        <w:rPr>
          <w:rFonts w:ascii="Book Antiqua" w:hAnsi="Book Antiqua"/>
        </w:rPr>
        <w:t>ent fr</w:t>
      </w:r>
      <w:r w:rsidR="00945C66" w:rsidRPr="00361BCF">
        <w:rPr>
          <w:rFonts w:ascii="Book Antiqua" w:hAnsi="Book Antiqua"/>
        </w:rPr>
        <w:t xml:space="preserve">om the knowledge and beliefs </w:t>
      </w:r>
      <w:r w:rsidR="00F15BF6" w:rsidRPr="00361BCF">
        <w:rPr>
          <w:rFonts w:ascii="Book Antiqua" w:hAnsi="Book Antiqua"/>
        </w:rPr>
        <w:t>held by</w:t>
      </w:r>
      <w:r w:rsidR="00081245" w:rsidRPr="00361BCF">
        <w:rPr>
          <w:rFonts w:ascii="Book Antiqua" w:hAnsi="Book Antiqua"/>
        </w:rPr>
        <w:t xml:space="preserve"> the general public, including jurors </w:t>
      </w:r>
      <w:r w:rsidR="00F634D7" w:rsidRPr="00361BCF">
        <w:rPr>
          <w:rFonts w:ascii="Book Antiqua" w:hAnsi="Book Antiqua"/>
        </w:rPr>
        <w:t>(</w:t>
      </w:r>
      <w:proofErr w:type="spellStart"/>
      <w:r w:rsidR="00A85CD4">
        <w:rPr>
          <w:rFonts w:ascii="Book Antiqua" w:hAnsi="Book Antiqua"/>
        </w:rPr>
        <w:t>Magnussen</w:t>
      </w:r>
      <w:proofErr w:type="spellEnd"/>
      <w:r w:rsidR="00A85CD4">
        <w:rPr>
          <w:rFonts w:ascii="Book Antiqua" w:hAnsi="Book Antiqua"/>
        </w:rPr>
        <w:t xml:space="preserve"> et al., 2006; </w:t>
      </w:r>
      <w:r w:rsidR="00081245" w:rsidRPr="00361BCF">
        <w:rPr>
          <w:rFonts w:ascii="Book Antiqua" w:hAnsi="Book Antiqua"/>
        </w:rPr>
        <w:t>Benton et al.</w:t>
      </w:r>
      <w:r w:rsidR="007204CB" w:rsidRPr="00361BCF">
        <w:rPr>
          <w:rFonts w:ascii="Book Antiqua" w:hAnsi="Book Antiqua"/>
        </w:rPr>
        <w:t>,</w:t>
      </w:r>
      <w:r w:rsidR="00081245" w:rsidRPr="00361BCF">
        <w:rPr>
          <w:rFonts w:ascii="Book Antiqua" w:hAnsi="Book Antiqua"/>
        </w:rPr>
        <w:t xml:space="preserve"> 2003;</w:t>
      </w:r>
      <w:r w:rsidR="00F634D7" w:rsidRPr="00361BCF">
        <w:rPr>
          <w:rFonts w:ascii="Book Antiqua" w:hAnsi="Book Antiqua"/>
        </w:rPr>
        <w:t xml:space="preserve"> </w:t>
      </w:r>
      <w:proofErr w:type="spellStart"/>
      <w:r w:rsidR="002603BD" w:rsidRPr="00361BCF">
        <w:rPr>
          <w:rFonts w:ascii="Book Antiqua" w:hAnsi="Book Antiqua"/>
        </w:rPr>
        <w:t>Schmechel</w:t>
      </w:r>
      <w:proofErr w:type="spellEnd"/>
      <w:r w:rsidR="002603BD" w:rsidRPr="00361BCF">
        <w:rPr>
          <w:rFonts w:ascii="Book Antiqua" w:hAnsi="Book Antiqua"/>
        </w:rPr>
        <w:t xml:space="preserve"> et al.</w:t>
      </w:r>
      <w:r w:rsidR="007204CB" w:rsidRPr="00361BCF">
        <w:rPr>
          <w:rFonts w:ascii="Book Antiqua" w:hAnsi="Book Antiqua"/>
        </w:rPr>
        <w:t>,</w:t>
      </w:r>
      <w:r w:rsidR="002603BD" w:rsidRPr="00361BCF">
        <w:rPr>
          <w:rFonts w:ascii="Book Antiqua" w:hAnsi="Book Antiqua"/>
        </w:rPr>
        <w:t xml:space="preserve"> 2006)</w:t>
      </w:r>
      <w:r w:rsidR="00945C66" w:rsidRPr="00361BCF">
        <w:rPr>
          <w:rFonts w:ascii="Book Antiqua" w:hAnsi="Book Antiqua"/>
        </w:rPr>
        <w:t xml:space="preserve">.  This may explain part of the problem. </w:t>
      </w:r>
    </w:p>
    <w:p w14:paraId="72B72174" w14:textId="7B659BC7" w:rsidR="00797287" w:rsidRPr="00361BCF" w:rsidRDefault="00A21772" w:rsidP="004A4CBA">
      <w:pPr>
        <w:spacing w:line="360" w:lineRule="auto"/>
        <w:ind w:firstLine="567"/>
        <w:jc w:val="both"/>
        <w:rPr>
          <w:rFonts w:ascii="Book Antiqua" w:hAnsi="Book Antiqua"/>
        </w:rPr>
      </w:pPr>
      <w:r w:rsidRPr="00361BCF">
        <w:rPr>
          <w:rFonts w:ascii="Book Antiqua" w:hAnsi="Book Antiqua"/>
        </w:rPr>
        <w:t>Perhaps</w:t>
      </w:r>
      <w:r w:rsidR="00945C66" w:rsidRPr="00361BCF">
        <w:rPr>
          <w:rFonts w:ascii="Book Antiqua" w:hAnsi="Book Antiqua"/>
        </w:rPr>
        <w:t>,</w:t>
      </w:r>
      <w:r w:rsidRPr="00361BCF">
        <w:rPr>
          <w:rFonts w:ascii="Book Antiqua" w:hAnsi="Book Antiqua"/>
        </w:rPr>
        <w:t xml:space="preserve"> </w:t>
      </w:r>
      <w:r w:rsidR="00945C66" w:rsidRPr="00361BCF">
        <w:rPr>
          <w:rFonts w:ascii="Book Antiqua" w:hAnsi="Book Antiqua"/>
        </w:rPr>
        <w:t xml:space="preserve">however, </w:t>
      </w:r>
      <w:r w:rsidRPr="00361BCF">
        <w:rPr>
          <w:rFonts w:ascii="Book Antiqua" w:hAnsi="Book Antiqua"/>
        </w:rPr>
        <w:t xml:space="preserve">it is not </w:t>
      </w:r>
      <w:r w:rsidR="00B6317F" w:rsidRPr="00361BCF">
        <w:rPr>
          <w:rFonts w:ascii="Book Antiqua" w:hAnsi="Book Antiqua"/>
        </w:rPr>
        <w:t xml:space="preserve">only </w:t>
      </w:r>
      <w:r w:rsidRPr="00361BCF">
        <w:rPr>
          <w:rFonts w:ascii="Book Antiqua" w:hAnsi="Book Antiqua"/>
        </w:rPr>
        <w:t>misconception</w:t>
      </w:r>
      <w:r w:rsidR="00344C20" w:rsidRPr="00361BCF">
        <w:rPr>
          <w:rFonts w:ascii="Book Antiqua" w:hAnsi="Book Antiqua"/>
        </w:rPr>
        <w:t>s of human memory that motivate</w:t>
      </w:r>
      <w:r w:rsidRPr="00361BCF">
        <w:rPr>
          <w:rFonts w:ascii="Book Antiqua" w:hAnsi="Book Antiqua"/>
        </w:rPr>
        <w:t xml:space="preserve"> police officers, prosecutors and juries to seek highly consistent, </w:t>
      </w:r>
      <w:r w:rsidR="00344C20" w:rsidRPr="00361BCF">
        <w:rPr>
          <w:rFonts w:ascii="Book Antiqua" w:hAnsi="Book Antiqua"/>
        </w:rPr>
        <w:t xml:space="preserve">highly </w:t>
      </w:r>
      <w:r w:rsidRPr="00361BCF">
        <w:rPr>
          <w:rFonts w:ascii="Book Antiqua" w:hAnsi="Book Antiqua"/>
        </w:rPr>
        <w:t xml:space="preserve">detailed and error-free witness testimony from the complainant. </w:t>
      </w:r>
      <w:r w:rsidR="00945C66" w:rsidRPr="00361BCF">
        <w:rPr>
          <w:rFonts w:ascii="Book Antiqua" w:hAnsi="Book Antiqua"/>
        </w:rPr>
        <w:t xml:space="preserve">Might the nature of human memory </w:t>
      </w:r>
      <w:r w:rsidR="00945C66" w:rsidRPr="00361BCF">
        <w:rPr>
          <w:rFonts w:ascii="Book Antiqua" w:hAnsi="Book Antiqua"/>
        </w:rPr>
        <w:lastRenderedPageBreak/>
        <w:t xml:space="preserve">evidence be fundamentally incompatible with the evidentiary demands of the criminal justice system? </w:t>
      </w:r>
      <w:r w:rsidRPr="00361BCF">
        <w:rPr>
          <w:rFonts w:ascii="Book Antiqua" w:hAnsi="Book Antiqua"/>
        </w:rPr>
        <w:t xml:space="preserve">The criminal standard of proof, certainty beyond reasonable doubt, </w:t>
      </w:r>
      <w:r w:rsidR="001D1375" w:rsidRPr="00361BCF">
        <w:rPr>
          <w:rFonts w:ascii="Book Antiqua" w:hAnsi="Book Antiqua"/>
        </w:rPr>
        <w:t>is likely to</w:t>
      </w:r>
      <w:r w:rsidR="00344C20" w:rsidRPr="00361BCF">
        <w:rPr>
          <w:rFonts w:ascii="Book Antiqua" w:hAnsi="Book Antiqua"/>
        </w:rPr>
        <w:t xml:space="preserve"> play </w:t>
      </w:r>
      <w:r w:rsidR="001A58CF" w:rsidRPr="00361BCF">
        <w:rPr>
          <w:rFonts w:ascii="Book Antiqua" w:hAnsi="Book Antiqua"/>
        </w:rPr>
        <w:t xml:space="preserve">a </w:t>
      </w:r>
      <w:r w:rsidR="00344C20" w:rsidRPr="00361BCF">
        <w:rPr>
          <w:rFonts w:ascii="Book Antiqua" w:hAnsi="Book Antiqua"/>
        </w:rPr>
        <w:t xml:space="preserve">fundamental part in criminal justice conceptions of what constitutes a </w:t>
      </w:r>
      <w:r w:rsidR="00067BE2" w:rsidRPr="00361BCF">
        <w:rPr>
          <w:rFonts w:ascii="Book Antiqua" w:hAnsi="Book Antiqua"/>
        </w:rPr>
        <w:t>‘</w:t>
      </w:r>
      <w:r w:rsidR="00344C20" w:rsidRPr="00361BCF">
        <w:rPr>
          <w:rFonts w:ascii="Book Antiqua" w:hAnsi="Book Antiqua"/>
        </w:rPr>
        <w:t xml:space="preserve">good’ victim account. </w:t>
      </w:r>
      <w:r w:rsidR="00B127E2" w:rsidRPr="00361BCF">
        <w:rPr>
          <w:rFonts w:ascii="Book Antiqua" w:hAnsi="Book Antiqua"/>
        </w:rPr>
        <w:t xml:space="preserve">More research is required to understand </w:t>
      </w:r>
      <w:r w:rsidR="00344C20" w:rsidRPr="00361BCF">
        <w:rPr>
          <w:rFonts w:ascii="Book Antiqua" w:hAnsi="Book Antiqua"/>
        </w:rPr>
        <w:t xml:space="preserve">the origins of criminal justice conceptions of good memory evidence, and to explore ways in which scientific knowledge of the nature of human memory may inform the production and evaluation of memory evidence in criminal proceedings, particularly in those where memory is </w:t>
      </w:r>
      <w:r w:rsidR="00AD0415">
        <w:rPr>
          <w:rFonts w:ascii="Book Antiqua" w:hAnsi="Book Antiqua"/>
        </w:rPr>
        <w:t>key</w:t>
      </w:r>
      <w:r w:rsidR="00344C20" w:rsidRPr="00361BCF">
        <w:rPr>
          <w:rFonts w:ascii="Book Antiqua" w:hAnsi="Book Antiqua"/>
        </w:rPr>
        <w:t xml:space="preserve"> </w:t>
      </w:r>
      <w:r w:rsidR="00F04940" w:rsidRPr="00361BCF">
        <w:rPr>
          <w:rFonts w:ascii="Book Antiqua" w:hAnsi="Book Antiqua"/>
        </w:rPr>
        <w:t>evidence</w:t>
      </w:r>
      <w:r w:rsidR="00067BE2" w:rsidRPr="00361BCF">
        <w:rPr>
          <w:rFonts w:ascii="Book Antiqua" w:hAnsi="Book Antiqua"/>
        </w:rPr>
        <w:t>,</w:t>
      </w:r>
      <w:r w:rsidR="00F04940" w:rsidRPr="00361BCF">
        <w:rPr>
          <w:rFonts w:ascii="Book Antiqua" w:hAnsi="Book Antiqua"/>
        </w:rPr>
        <w:t xml:space="preserve"> such as complaints of rape.</w:t>
      </w:r>
    </w:p>
    <w:p w14:paraId="59B07D57" w14:textId="77777777" w:rsidR="00797287" w:rsidRDefault="00797287" w:rsidP="004A4CBA">
      <w:pPr>
        <w:spacing w:line="360" w:lineRule="auto"/>
        <w:ind w:firstLine="567"/>
        <w:jc w:val="both"/>
        <w:rPr>
          <w:rFonts w:ascii="Book Antiqua" w:hAnsi="Book Antiqua"/>
          <w:u w:val="single"/>
        </w:rPr>
      </w:pPr>
    </w:p>
    <w:p w14:paraId="6046820D" w14:textId="77777777" w:rsidR="004B6AC4" w:rsidRDefault="004B6AC4" w:rsidP="004B6AC4">
      <w:pPr>
        <w:spacing w:line="360" w:lineRule="auto"/>
        <w:jc w:val="both"/>
        <w:rPr>
          <w:rFonts w:ascii="Book Antiqua" w:hAnsi="Book Antiqua"/>
          <w:b/>
        </w:rPr>
      </w:pPr>
      <w:r>
        <w:rPr>
          <w:rFonts w:ascii="Book Antiqua" w:hAnsi="Book Antiqua"/>
          <w:b/>
        </w:rPr>
        <w:t>Acknowledgements</w:t>
      </w:r>
    </w:p>
    <w:p w14:paraId="428D3A5A" w14:textId="77777777" w:rsidR="00437B3A" w:rsidRDefault="004B6AC4" w:rsidP="004B6AC4">
      <w:pPr>
        <w:spacing w:line="360" w:lineRule="auto"/>
        <w:jc w:val="both"/>
        <w:rPr>
          <w:rFonts w:ascii="Book Antiqua" w:hAnsi="Book Antiqua"/>
        </w:rPr>
      </w:pPr>
      <w:r>
        <w:rPr>
          <w:rFonts w:ascii="Book Antiqua" w:hAnsi="Book Antiqua"/>
        </w:rPr>
        <w:t>The authors would like to thank the M</w:t>
      </w:r>
      <w:r w:rsidR="006B29FB">
        <w:rPr>
          <w:rFonts w:ascii="Book Antiqua" w:hAnsi="Book Antiqua"/>
        </w:rPr>
        <w:t xml:space="preserve">etropolitan Police Service </w:t>
      </w:r>
      <w:r>
        <w:rPr>
          <w:rFonts w:ascii="Book Antiqua" w:hAnsi="Book Antiqua"/>
        </w:rPr>
        <w:t xml:space="preserve">for data access and the Police Knowledge Fund for </w:t>
      </w:r>
      <w:r w:rsidR="00CB3A3C">
        <w:rPr>
          <w:rFonts w:ascii="Book Antiqua" w:hAnsi="Book Antiqua"/>
        </w:rPr>
        <w:t xml:space="preserve">supporting </w:t>
      </w:r>
      <w:r w:rsidR="00B35BD9">
        <w:rPr>
          <w:rFonts w:ascii="Book Antiqua" w:hAnsi="Book Antiqua"/>
        </w:rPr>
        <w:t>the</w:t>
      </w:r>
      <w:r w:rsidR="00CB3A3C">
        <w:rPr>
          <w:rFonts w:ascii="Book Antiqua" w:hAnsi="Book Antiqua"/>
        </w:rPr>
        <w:t xml:space="preserve"> research.</w:t>
      </w:r>
    </w:p>
    <w:p w14:paraId="4AD2C0E0" w14:textId="2872137F" w:rsidR="004B6AC4" w:rsidRPr="0022152D" w:rsidRDefault="004B6AC4" w:rsidP="0022152D">
      <w:pPr>
        <w:spacing w:line="360" w:lineRule="auto"/>
        <w:jc w:val="both"/>
        <w:rPr>
          <w:rFonts w:ascii="Book Antiqua" w:hAnsi="Book Antiqua"/>
          <w:b/>
        </w:rPr>
      </w:pPr>
    </w:p>
    <w:p w14:paraId="1CCDE9F7" w14:textId="4E38C3AA" w:rsidR="00753223" w:rsidRPr="00361BCF" w:rsidRDefault="00753223" w:rsidP="004A4CBA">
      <w:pPr>
        <w:spacing w:line="360" w:lineRule="auto"/>
        <w:jc w:val="both"/>
        <w:rPr>
          <w:rFonts w:ascii="Book Antiqua" w:hAnsi="Book Antiqua"/>
          <w:b/>
          <w:i/>
        </w:rPr>
      </w:pPr>
      <w:r w:rsidRPr="00361BCF">
        <w:rPr>
          <w:rFonts w:ascii="Book Antiqua" w:hAnsi="Book Antiqua"/>
          <w:b/>
        </w:rPr>
        <w:t>References</w:t>
      </w:r>
    </w:p>
    <w:p w14:paraId="22956CB1" w14:textId="77777777" w:rsidR="00062AA8" w:rsidRPr="00361BCF" w:rsidRDefault="00062AA8" w:rsidP="004A4CBA">
      <w:pPr>
        <w:spacing w:line="360" w:lineRule="auto"/>
        <w:ind w:left="567" w:hanging="567"/>
        <w:jc w:val="both"/>
        <w:rPr>
          <w:rFonts w:ascii="Book Antiqua" w:hAnsi="Book Antiqua"/>
          <w:lang w:val="en-US" w:eastAsia="en-GB"/>
        </w:rPr>
      </w:pPr>
      <w:proofErr w:type="spellStart"/>
      <w:r w:rsidRPr="00361BCF">
        <w:rPr>
          <w:rFonts w:ascii="Book Antiqua" w:hAnsi="Book Antiqua"/>
        </w:rPr>
        <w:t>Baddeley</w:t>
      </w:r>
      <w:proofErr w:type="spellEnd"/>
      <w:r w:rsidRPr="00361BCF">
        <w:rPr>
          <w:rFonts w:ascii="Book Antiqua" w:hAnsi="Book Antiqua"/>
        </w:rPr>
        <w:t xml:space="preserve">, A.D., Eysenck, M.W., </w:t>
      </w:r>
      <w:r w:rsidR="000D7FCA" w:rsidRPr="00361BCF">
        <w:rPr>
          <w:rFonts w:ascii="Book Antiqua" w:hAnsi="Book Antiqua"/>
        </w:rPr>
        <w:t>and</w:t>
      </w:r>
      <w:r w:rsidRPr="00361BCF">
        <w:rPr>
          <w:rFonts w:ascii="Book Antiqua" w:hAnsi="Book Antiqua"/>
        </w:rPr>
        <w:t xml:space="preserve"> Anderson, M.C. (2009)</w:t>
      </w:r>
      <w:r w:rsidR="000D7FCA" w:rsidRPr="00361BCF">
        <w:rPr>
          <w:rFonts w:ascii="Book Antiqua" w:hAnsi="Book Antiqua"/>
        </w:rPr>
        <w:t xml:space="preserve">, </w:t>
      </w:r>
      <w:r w:rsidRPr="00361BCF">
        <w:rPr>
          <w:rFonts w:ascii="Book Antiqua" w:hAnsi="Book Antiqua"/>
          <w:i/>
        </w:rPr>
        <w:t>Memory</w:t>
      </w:r>
      <w:r w:rsidRPr="00361BCF">
        <w:rPr>
          <w:rFonts w:ascii="Book Antiqua" w:hAnsi="Book Antiqua"/>
        </w:rPr>
        <w:t>. Hove, Sussex: Psychology Press.</w:t>
      </w:r>
    </w:p>
    <w:p w14:paraId="59779279" w14:textId="3CA146AD" w:rsidR="00753223" w:rsidRPr="00361BCF" w:rsidRDefault="00753223" w:rsidP="004A4CBA">
      <w:pPr>
        <w:spacing w:line="360" w:lineRule="auto"/>
        <w:ind w:left="567" w:hanging="567"/>
        <w:jc w:val="both"/>
        <w:rPr>
          <w:rFonts w:ascii="Book Antiqua" w:hAnsi="Book Antiqua"/>
          <w:lang w:val="en-US" w:eastAsia="en-GB"/>
        </w:rPr>
      </w:pPr>
      <w:r w:rsidRPr="00361BCF">
        <w:rPr>
          <w:rFonts w:ascii="Book Antiqua" w:hAnsi="Book Antiqua"/>
          <w:lang w:val="en-US" w:eastAsia="en-GB"/>
        </w:rPr>
        <w:t>Bell, B. and Loftus, E. (1989), 'Trivial Persuasion in the</w:t>
      </w:r>
      <w:r w:rsidR="00C431BB">
        <w:rPr>
          <w:rFonts w:ascii="Book Antiqua" w:hAnsi="Book Antiqua"/>
          <w:lang w:val="en-US" w:eastAsia="en-GB"/>
        </w:rPr>
        <w:t xml:space="preserve"> Courtroom: The Power of (a Few)</w:t>
      </w:r>
      <w:r w:rsidRPr="00361BCF">
        <w:rPr>
          <w:rFonts w:ascii="Book Antiqua" w:hAnsi="Book Antiqua"/>
          <w:lang w:val="en-US" w:eastAsia="en-GB"/>
        </w:rPr>
        <w:t xml:space="preserve"> Minor Details', </w:t>
      </w:r>
      <w:r w:rsidRPr="00361BCF">
        <w:rPr>
          <w:rFonts w:ascii="Book Antiqua" w:hAnsi="Book Antiqua"/>
          <w:i/>
          <w:lang w:val="en-US" w:eastAsia="en-GB"/>
        </w:rPr>
        <w:t>Journal of Personality and Social Psychology</w:t>
      </w:r>
      <w:r w:rsidRPr="00361BCF">
        <w:rPr>
          <w:rFonts w:ascii="Book Antiqua" w:hAnsi="Book Antiqua"/>
          <w:lang w:val="en-US" w:eastAsia="en-GB"/>
        </w:rPr>
        <w:t xml:space="preserve">, </w:t>
      </w:r>
      <w:r w:rsidRPr="00361BCF">
        <w:rPr>
          <w:rFonts w:ascii="Book Antiqua" w:hAnsi="Book Antiqua"/>
        </w:rPr>
        <w:t>56(5): 669-679.</w:t>
      </w:r>
    </w:p>
    <w:p w14:paraId="337B04DD" w14:textId="0E36FDCC" w:rsidR="00185D4F" w:rsidRPr="00361BCF" w:rsidRDefault="00185D4F" w:rsidP="004A4CBA">
      <w:pPr>
        <w:widowControl w:val="0"/>
        <w:autoSpaceDE w:val="0"/>
        <w:autoSpaceDN w:val="0"/>
        <w:adjustRightInd w:val="0"/>
        <w:spacing w:line="360" w:lineRule="auto"/>
        <w:ind w:left="567" w:hanging="567"/>
        <w:jc w:val="both"/>
        <w:rPr>
          <w:rFonts w:ascii="Book Antiqua" w:hAnsi="Book Antiqua"/>
          <w:lang w:val="en-US" w:eastAsia="en-GB"/>
        </w:rPr>
      </w:pPr>
      <w:r w:rsidRPr="00361BCF">
        <w:rPr>
          <w:rFonts w:ascii="Book Antiqua" w:hAnsi="Book Antiqua"/>
          <w:lang w:val="en-US" w:eastAsia="en-GB"/>
        </w:rPr>
        <w:t>Benton, R.B., Ross, D</w:t>
      </w:r>
      <w:r w:rsidR="00932C87" w:rsidRPr="00361BCF">
        <w:rPr>
          <w:rFonts w:ascii="Book Antiqua" w:hAnsi="Book Antiqua"/>
          <w:lang w:val="en-US" w:eastAsia="en-GB"/>
        </w:rPr>
        <w:t>.F., Bradshaw, E., Thomas, W.N.</w:t>
      </w:r>
      <w:r w:rsidRPr="00361BCF">
        <w:rPr>
          <w:rFonts w:ascii="Book Antiqua" w:hAnsi="Book Antiqua"/>
          <w:lang w:val="en-US" w:eastAsia="en-GB"/>
        </w:rPr>
        <w:t xml:space="preserve"> </w:t>
      </w:r>
      <w:r w:rsidR="00327C15" w:rsidRPr="00361BCF">
        <w:rPr>
          <w:rFonts w:ascii="Book Antiqua" w:hAnsi="Book Antiqua"/>
          <w:lang w:val="en-US" w:eastAsia="en-GB"/>
        </w:rPr>
        <w:t>and</w:t>
      </w:r>
      <w:r w:rsidRPr="00361BCF">
        <w:rPr>
          <w:rFonts w:ascii="Book Antiqua" w:hAnsi="Book Antiqua"/>
          <w:lang w:val="en-US" w:eastAsia="en-GB"/>
        </w:rPr>
        <w:t xml:space="preserve"> Br</w:t>
      </w:r>
      <w:r w:rsidR="00932C87" w:rsidRPr="00361BCF">
        <w:rPr>
          <w:rFonts w:ascii="Book Antiqua" w:hAnsi="Book Antiqua"/>
          <w:lang w:val="en-US" w:eastAsia="en-GB"/>
        </w:rPr>
        <w:t>adshaw, G.S. (2005),</w:t>
      </w:r>
      <w:r w:rsidR="00C93AB4" w:rsidRPr="00361BCF">
        <w:rPr>
          <w:rFonts w:ascii="Book Antiqua" w:hAnsi="Book Antiqua"/>
          <w:lang w:val="en-US" w:eastAsia="en-GB"/>
        </w:rPr>
        <w:t xml:space="preserve"> </w:t>
      </w:r>
      <w:r w:rsidR="00932C87" w:rsidRPr="00361BCF">
        <w:rPr>
          <w:rFonts w:ascii="Book Antiqua" w:hAnsi="Book Antiqua"/>
          <w:lang w:val="en-US" w:eastAsia="en-GB"/>
        </w:rPr>
        <w:t>‘</w:t>
      </w:r>
      <w:r w:rsidR="00C93AB4" w:rsidRPr="00361BCF">
        <w:rPr>
          <w:rFonts w:ascii="Book Antiqua" w:hAnsi="Book Antiqua"/>
          <w:lang w:val="en-US" w:eastAsia="en-GB"/>
        </w:rPr>
        <w:t xml:space="preserve">Eyewitness </w:t>
      </w:r>
      <w:r w:rsidRPr="00361BCF">
        <w:rPr>
          <w:rFonts w:ascii="Book Antiqua" w:hAnsi="Book Antiqua"/>
          <w:lang w:val="en-US" w:eastAsia="en-GB"/>
        </w:rPr>
        <w:t>memory is still not common sense: Comparing jurors, judges, and law enforcement to eyewitness</w:t>
      </w:r>
      <w:r w:rsidR="00C93AB4" w:rsidRPr="00361BCF">
        <w:rPr>
          <w:rFonts w:ascii="Book Antiqua" w:hAnsi="Book Antiqua"/>
          <w:lang w:val="en-US" w:eastAsia="en-GB"/>
        </w:rPr>
        <w:t xml:space="preserve"> </w:t>
      </w:r>
      <w:r w:rsidR="00932C87" w:rsidRPr="00361BCF">
        <w:rPr>
          <w:rFonts w:ascii="Book Antiqua" w:hAnsi="Book Antiqua"/>
          <w:lang w:val="en-US" w:eastAsia="en-GB"/>
        </w:rPr>
        <w:t xml:space="preserve">experts’, </w:t>
      </w:r>
      <w:r w:rsidRPr="00361BCF">
        <w:rPr>
          <w:rFonts w:ascii="Book Antiqua" w:hAnsi="Book Antiqua"/>
          <w:i/>
          <w:lang w:val="en-US" w:eastAsia="en-GB"/>
        </w:rPr>
        <w:t>A</w:t>
      </w:r>
      <w:r w:rsidR="00C93AB4" w:rsidRPr="00361BCF">
        <w:rPr>
          <w:rFonts w:ascii="Book Antiqua" w:hAnsi="Book Antiqua"/>
          <w:i/>
          <w:lang w:val="en-US" w:eastAsia="en-GB"/>
        </w:rPr>
        <w:t>pplied Cognitive Psychology</w:t>
      </w:r>
      <w:r w:rsidR="00C93AB4" w:rsidRPr="00361BCF">
        <w:rPr>
          <w:rFonts w:ascii="Book Antiqua" w:hAnsi="Book Antiqua"/>
          <w:lang w:val="en-US" w:eastAsia="en-GB"/>
        </w:rPr>
        <w:t>, 20(1): 115-</w:t>
      </w:r>
      <w:r w:rsidRPr="00361BCF">
        <w:rPr>
          <w:rFonts w:ascii="Book Antiqua" w:hAnsi="Book Antiqua"/>
          <w:lang w:val="en-US" w:eastAsia="en-GB"/>
        </w:rPr>
        <w:t>129.</w:t>
      </w:r>
    </w:p>
    <w:p w14:paraId="6A40BD7C"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Brewer, N. and Burke, A. (2002), ‘Effects of testimonial inconsistencies and eyewitness confidence on mock - juror judgments’, </w:t>
      </w:r>
      <w:r w:rsidRPr="00361BCF">
        <w:rPr>
          <w:rFonts w:ascii="Book Antiqua" w:hAnsi="Book Antiqua"/>
          <w:i/>
          <w:iCs/>
        </w:rPr>
        <w:t xml:space="preserve">Law and Human </w:t>
      </w:r>
      <w:proofErr w:type="spellStart"/>
      <w:r w:rsidRPr="00361BCF">
        <w:rPr>
          <w:rFonts w:ascii="Book Antiqua" w:hAnsi="Book Antiqua"/>
          <w:i/>
          <w:iCs/>
        </w:rPr>
        <w:t>Behavior</w:t>
      </w:r>
      <w:proofErr w:type="spellEnd"/>
      <w:r w:rsidRPr="00361BCF">
        <w:rPr>
          <w:rFonts w:ascii="Book Antiqua" w:hAnsi="Book Antiqua"/>
          <w:i/>
          <w:iCs/>
        </w:rPr>
        <w:t>,</w:t>
      </w:r>
      <w:r w:rsidRPr="00361BCF">
        <w:rPr>
          <w:rFonts w:ascii="Book Antiqua" w:hAnsi="Book Antiqua"/>
        </w:rPr>
        <w:t xml:space="preserve"> </w:t>
      </w:r>
      <w:r w:rsidRPr="00361BCF">
        <w:rPr>
          <w:rFonts w:ascii="Book Antiqua" w:hAnsi="Book Antiqua"/>
          <w:i/>
          <w:iCs/>
        </w:rPr>
        <w:t>26(3):</w:t>
      </w:r>
      <w:r w:rsidRPr="00361BCF">
        <w:rPr>
          <w:rFonts w:ascii="Book Antiqua" w:hAnsi="Book Antiqua"/>
        </w:rPr>
        <w:t xml:space="preserve"> 353 –364.</w:t>
      </w:r>
    </w:p>
    <w:p w14:paraId="609DB3D6" w14:textId="77777777" w:rsidR="00753223" w:rsidRPr="00361BCF" w:rsidRDefault="00753223" w:rsidP="004A4CBA">
      <w:pPr>
        <w:spacing w:line="360" w:lineRule="auto"/>
        <w:ind w:left="567" w:hanging="567"/>
        <w:jc w:val="both"/>
        <w:rPr>
          <w:rFonts w:ascii="Book Antiqua" w:hAnsi="Book Antiqua"/>
        </w:rPr>
      </w:pPr>
      <w:proofErr w:type="gramStart"/>
      <w:r w:rsidRPr="00361BCF">
        <w:rPr>
          <w:rFonts w:ascii="Book Antiqua" w:hAnsi="Book Antiqua"/>
        </w:rPr>
        <w:t xml:space="preserve">Brewer, N., Potter, R., Fisher, R., Bond, N. and </w:t>
      </w:r>
      <w:proofErr w:type="spellStart"/>
      <w:r w:rsidRPr="00361BCF">
        <w:rPr>
          <w:rFonts w:ascii="Book Antiqua" w:hAnsi="Book Antiqua"/>
        </w:rPr>
        <w:t>Luszcz</w:t>
      </w:r>
      <w:proofErr w:type="spellEnd"/>
      <w:r w:rsidRPr="00361BCF">
        <w:rPr>
          <w:rFonts w:ascii="Book Antiqua" w:hAnsi="Book Antiqua"/>
        </w:rPr>
        <w:t xml:space="preserve">, M. (1999), ‘Beliefs and data on the relationship between consistency and accuracy of eyewitness testimony’, </w:t>
      </w:r>
      <w:r w:rsidRPr="00361BCF">
        <w:rPr>
          <w:rFonts w:ascii="Book Antiqua" w:hAnsi="Book Antiqua"/>
          <w:i/>
          <w:iCs/>
        </w:rPr>
        <w:t>Applied Cognitive Psychology,</w:t>
      </w:r>
      <w:r w:rsidRPr="00361BCF">
        <w:rPr>
          <w:rFonts w:ascii="Book Antiqua" w:hAnsi="Book Antiqua"/>
        </w:rPr>
        <w:t xml:space="preserve"> </w:t>
      </w:r>
      <w:r w:rsidRPr="00361BCF">
        <w:rPr>
          <w:rFonts w:ascii="Book Antiqua" w:hAnsi="Book Antiqua"/>
          <w:i/>
          <w:iCs/>
        </w:rPr>
        <w:t>13(4):</w:t>
      </w:r>
      <w:r w:rsidRPr="00361BCF">
        <w:rPr>
          <w:rFonts w:ascii="Book Antiqua" w:hAnsi="Book Antiqua"/>
        </w:rPr>
        <w:t xml:space="preserve"> 297 – 313.</w:t>
      </w:r>
      <w:proofErr w:type="gramEnd"/>
    </w:p>
    <w:p w14:paraId="6B578859" w14:textId="1B3D3AB4" w:rsidR="00A037F4" w:rsidRPr="00361BCF" w:rsidRDefault="00A037F4" w:rsidP="004A4CBA">
      <w:pPr>
        <w:spacing w:line="360" w:lineRule="auto"/>
        <w:ind w:left="567" w:hanging="567"/>
        <w:jc w:val="both"/>
        <w:rPr>
          <w:rFonts w:ascii="Book Antiqua" w:hAnsi="Book Antiqua"/>
          <w:lang w:val="en-US"/>
        </w:rPr>
      </w:pPr>
      <w:r w:rsidRPr="00361BCF">
        <w:rPr>
          <w:rFonts w:ascii="Book Antiqua" w:hAnsi="Book Antiqua"/>
          <w:lang w:val="en-US"/>
        </w:rPr>
        <w:t>British Psychological So</w:t>
      </w:r>
      <w:r w:rsidR="00B63321" w:rsidRPr="00361BCF">
        <w:rPr>
          <w:rFonts w:ascii="Book Antiqua" w:hAnsi="Book Antiqua"/>
          <w:lang w:val="en-US"/>
        </w:rPr>
        <w:t>ciety, Research Board (2008/10),</w:t>
      </w:r>
      <w:r w:rsidRPr="00361BCF">
        <w:rPr>
          <w:rFonts w:ascii="Book Antiqua" w:hAnsi="Book Antiqua"/>
          <w:lang w:val="en-US"/>
        </w:rPr>
        <w:t xml:space="preserve"> </w:t>
      </w:r>
      <w:r w:rsidRPr="00361BCF">
        <w:rPr>
          <w:rFonts w:ascii="Book Antiqua" w:hAnsi="Book Antiqua"/>
          <w:i/>
          <w:lang w:val="en-US"/>
        </w:rPr>
        <w:t>Guidelines on Memory and the Law: Recommendations from the Scientific Study of Human Memory</w:t>
      </w:r>
      <w:r w:rsidRPr="00361BCF">
        <w:rPr>
          <w:rFonts w:ascii="Book Antiqua" w:hAnsi="Book Antiqua"/>
          <w:lang w:val="en-US"/>
        </w:rPr>
        <w:t xml:space="preserve">. Leicester: The British Psychological Society. </w:t>
      </w:r>
    </w:p>
    <w:p w14:paraId="1D08F548" w14:textId="77777777" w:rsidR="00753223" w:rsidRPr="00361BCF" w:rsidRDefault="00753223" w:rsidP="004A4CBA">
      <w:pPr>
        <w:spacing w:line="360" w:lineRule="auto"/>
        <w:ind w:left="567" w:hanging="567"/>
        <w:jc w:val="both"/>
        <w:rPr>
          <w:rFonts w:ascii="Book Antiqua" w:hAnsi="Book Antiqua"/>
          <w:lang w:val="en-US" w:eastAsia="en-GB"/>
        </w:rPr>
      </w:pPr>
      <w:proofErr w:type="spellStart"/>
      <w:r w:rsidRPr="00361BCF">
        <w:rPr>
          <w:rFonts w:ascii="Book Antiqua" w:hAnsi="Book Antiqua"/>
        </w:rPr>
        <w:lastRenderedPageBreak/>
        <w:t>Brockhardt</w:t>
      </w:r>
      <w:proofErr w:type="spellEnd"/>
      <w:r w:rsidRPr="00361BCF">
        <w:rPr>
          <w:rFonts w:ascii="Book Antiqua" w:hAnsi="Book Antiqua"/>
        </w:rPr>
        <w:t xml:space="preserve">, J., </w:t>
      </w:r>
      <w:proofErr w:type="spellStart"/>
      <w:r w:rsidRPr="00361BCF">
        <w:rPr>
          <w:rFonts w:ascii="Book Antiqua" w:hAnsi="Book Antiqua"/>
        </w:rPr>
        <w:t>Sprohge</w:t>
      </w:r>
      <w:proofErr w:type="spellEnd"/>
      <w:r w:rsidRPr="00361BCF">
        <w:rPr>
          <w:rFonts w:ascii="Book Antiqua" w:hAnsi="Book Antiqua"/>
        </w:rPr>
        <w:t>, E. and Ash, M. (2003), ‘</w:t>
      </w:r>
      <w:r w:rsidRPr="00361BCF">
        <w:rPr>
          <w:rFonts w:ascii="Book Antiqua" w:hAnsi="Book Antiqua"/>
          <w:lang w:val="en-US" w:eastAsia="en-GB"/>
        </w:rPr>
        <w:t xml:space="preserve">Effects of the Inclusion and Refutation of Peripheral Details on Eyewitness Credibility’, </w:t>
      </w:r>
      <w:r w:rsidRPr="00361BCF">
        <w:rPr>
          <w:rFonts w:ascii="Book Antiqua" w:hAnsi="Book Antiqua"/>
          <w:i/>
          <w:lang w:val="en-US" w:eastAsia="en-GB"/>
        </w:rPr>
        <w:t xml:space="preserve">Journal of Applied Social </w:t>
      </w:r>
      <w:proofErr w:type="spellStart"/>
      <w:r w:rsidRPr="00361BCF">
        <w:rPr>
          <w:rFonts w:ascii="Book Antiqua" w:hAnsi="Book Antiqua"/>
          <w:i/>
          <w:lang w:val="en-US" w:eastAsia="en-GB"/>
        </w:rPr>
        <w:t>Psyochology</w:t>
      </w:r>
      <w:proofErr w:type="spellEnd"/>
      <w:r w:rsidRPr="00361BCF">
        <w:rPr>
          <w:rFonts w:ascii="Book Antiqua" w:hAnsi="Book Antiqua"/>
          <w:i/>
          <w:lang w:val="en-US" w:eastAsia="en-GB"/>
        </w:rPr>
        <w:t xml:space="preserve">, </w:t>
      </w:r>
      <w:r w:rsidRPr="00361BCF">
        <w:rPr>
          <w:rFonts w:ascii="Book Antiqua" w:hAnsi="Book Antiqua"/>
          <w:lang w:val="en-US" w:eastAsia="en-GB"/>
        </w:rPr>
        <w:t>33(10): 2187-2197.</w:t>
      </w:r>
      <w:r w:rsidRPr="00361BCF">
        <w:rPr>
          <w:rFonts w:ascii="Book Antiqua" w:hAnsi="Book Antiqua"/>
          <w:i/>
          <w:lang w:val="en-US" w:eastAsia="en-GB"/>
        </w:rPr>
        <w:t xml:space="preserve"> </w:t>
      </w:r>
    </w:p>
    <w:p w14:paraId="7BB68B24"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Brown, J., Hamilton, C. and O’Neill, D. (2007), ‘Characteristics associated with rape attrition and the role played by scepticism or legal rationality by investigators and prosecutors’</w:t>
      </w:r>
      <w:r w:rsidRPr="00361BCF">
        <w:rPr>
          <w:rFonts w:ascii="Book Antiqua" w:hAnsi="Book Antiqua"/>
          <w:i/>
        </w:rPr>
        <w:t xml:space="preserve">, Psychology, Law and Crime, </w:t>
      </w:r>
      <w:r w:rsidRPr="00361BCF">
        <w:rPr>
          <w:rFonts w:ascii="Book Antiqua" w:hAnsi="Book Antiqua"/>
        </w:rPr>
        <w:t>13(4): 355-370.</w:t>
      </w:r>
    </w:p>
    <w:p w14:paraId="2504E8EE" w14:textId="77777777" w:rsidR="001C2993" w:rsidRPr="00361BCF" w:rsidRDefault="001C2993" w:rsidP="00A85CD4">
      <w:pPr>
        <w:tabs>
          <w:tab w:val="left" w:pos="567"/>
          <w:tab w:val="left" w:pos="1588"/>
          <w:tab w:val="left" w:pos="1644"/>
          <w:tab w:val="left" w:pos="1701"/>
        </w:tabs>
        <w:spacing w:line="360" w:lineRule="auto"/>
        <w:ind w:left="567" w:hanging="567"/>
        <w:jc w:val="both"/>
        <w:rPr>
          <w:rFonts w:ascii="Book Antiqua" w:hAnsi="Book Antiqua"/>
          <w:lang w:eastAsia="ja-JP"/>
        </w:rPr>
      </w:pPr>
      <w:proofErr w:type="gramStart"/>
      <w:r w:rsidRPr="00361BCF">
        <w:rPr>
          <w:rFonts w:ascii="Book Antiqua" w:hAnsi="Book Antiqua"/>
          <w:lang w:eastAsia="ja-JP"/>
        </w:rPr>
        <w:t>Conway, M.A. (2005)</w:t>
      </w:r>
      <w:r w:rsidR="000D7FCA" w:rsidRPr="00361BCF">
        <w:rPr>
          <w:rFonts w:ascii="Book Antiqua" w:hAnsi="Book Antiqua"/>
          <w:lang w:eastAsia="ja-JP"/>
        </w:rPr>
        <w:t>,</w:t>
      </w:r>
      <w:r w:rsidRPr="00361BCF">
        <w:rPr>
          <w:rFonts w:ascii="Book Antiqua" w:hAnsi="Book Antiqua"/>
          <w:lang w:eastAsia="ja-JP"/>
        </w:rPr>
        <w:t xml:space="preserve"> </w:t>
      </w:r>
      <w:r w:rsidR="000D7FCA" w:rsidRPr="00361BCF">
        <w:rPr>
          <w:rFonts w:ascii="Book Antiqua" w:hAnsi="Book Antiqua"/>
          <w:lang w:eastAsia="ja-JP"/>
        </w:rPr>
        <w:t>‘</w:t>
      </w:r>
      <w:r w:rsidRPr="00361BCF">
        <w:rPr>
          <w:rFonts w:ascii="Book Antiqua" w:hAnsi="Book Antiqua"/>
          <w:lang w:eastAsia="ja-JP"/>
        </w:rPr>
        <w:t>Memory and the self</w:t>
      </w:r>
      <w:r w:rsidR="000D7FCA" w:rsidRPr="00361BCF">
        <w:rPr>
          <w:rFonts w:ascii="Book Antiqua" w:hAnsi="Book Antiqua"/>
          <w:lang w:eastAsia="ja-JP"/>
        </w:rPr>
        <w:t>’,</w:t>
      </w:r>
      <w:r w:rsidRPr="00361BCF">
        <w:rPr>
          <w:rFonts w:ascii="Book Antiqua" w:hAnsi="Book Antiqua"/>
          <w:lang w:eastAsia="ja-JP"/>
        </w:rPr>
        <w:t xml:space="preserve"> </w:t>
      </w:r>
      <w:r w:rsidRPr="00361BCF">
        <w:rPr>
          <w:rFonts w:ascii="Book Antiqua" w:hAnsi="Book Antiqua"/>
          <w:i/>
          <w:lang w:eastAsia="ja-JP"/>
        </w:rPr>
        <w:t>Journal of Memory and Language, 53(4)</w:t>
      </w:r>
      <w:r w:rsidR="000D7FCA" w:rsidRPr="00361BCF">
        <w:rPr>
          <w:rFonts w:ascii="Book Antiqua" w:hAnsi="Book Antiqua"/>
          <w:i/>
          <w:lang w:eastAsia="ja-JP"/>
        </w:rPr>
        <w:t>:</w:t>
      </w:r>
      <w:r w:rsidRPr="00361BCF">
        <w:rPr>
          <w:rFonts w:ascii="Book Antiqua" w:hAnsi="Book Antiqua"/>
          <w:lang w:eastAsia="ja-JP"/>
        </w:rPr>
        <w:t xml:space="preserve"> 594-628.</w:t>
      </w:r>
      <w:proofErr w:type="gramEnd"/>
    </w:p>
    <w:p w14:paraId="656FC51E" w14:textId="536940F5" w:rsidR="00567FEC" w:rsidRPr="00A85CD4" w:rsidRDefault="00567FEC" w:rsidP="00A85CD4">
      <w:pPr>
        <w:spacing w:line="360" w:lineRule="auto"/>
        <w:jc w:val="both"/>
        <w:rPr>
          <w:rFonts w:ascii="Book Antiqua" w:hAnsi="Book Antiqua"/>
          <w:bCs/>
        </w:rPr>
      </w:pPr>
      <w:r w:rsidRPr="00A85CD4">
        <w:rPr>
          <w:rFonts w:ascii="Book Antiqua" w:hAnsi="Book Antiqua"/>
          <w:bCs/>
        </w:rPr>
        <w:t xml:space="preserve">Conway, M.A. (2009). Episodic Memories. </w:t>
      </w:r>
      <w:proofErr w:type="spellStart"/>
      <w:proofErr w:type="gramStart"/>
      <w:r w:rsidRPr="00A85CD4">
        <w:rPr>
          <w:rFonts w:ascii="Book Antiqua" w:hAnsi="Book Antiqua"/>
          <w:bCs/>
          <w:i/>
        </w:rPr>
        <w:t>Neuropsychologia</w:t>
      </w:r>
      <w:proofErr w:type="spellEnd"/>
      <w:r w:rsidRPr="00A85CD4">
        <w:rPr>
          <w:rFonts w:ascii="Book Antiqua" w:hAnsi="Book Antiqua"/>
          <w:bCs/>
        </w:rPr>
        <w:t xml:space="preserve">, </w:t>
      </w:r>
      <w:r w:rsidRPr="00A85CD4">
        <w:rPr>
          <w:rFonts w:ascii="Book Antiqua" w:hAnsi="Book Antiqua"/>
          <w:bCs/>
          <w:i/>
        </w:rPr>
        <w:t>47</w:t>
      </w:r>
      <w:r w:rsidRPr="00A85CD4">
        <w:rPr>
          <w:rFonts w:ascii="Book Antiqua" w:hAnsi="Book Antiqua"/>
          <w:bCs/>
        </w:rPr>
        <w:t>, 2305-2313.</w:t>
      </w:r>
      <w:proofErr w:type="gramEnd"/>
    </w:p>
    <w:p w14:paraId="4868A7E2" w14:textId="77777777" w:rsidR="001C2993" w:rsidRPr="00361BCF" w:rsidRDefault="001C2993" w:rsidP="00A85CD4">
      <w:pPr>
        <w:widowControl w:val="0"/>
        <w:autoSpaceDE w:val="0"/>
        <w:autoSpaceDN w:val="0"/>
        <w:adjustRightInd w:val="0"/>
        <w:spacing w:line="360" w:lineRule="auto"/>
        <w:ind w:left="567" w:hanging="567"/>
        <w:jc w:val="both"/>
        <w:rPr>
          <w:rFonts w:ascii="Book Antiqua" w:hAnsi="Book Antiqua"/>
        </w:rPr>
      </w:pPr>
      <w:r w:rsidRPr="00361BCF">
        <w:rPr>
          <w:rFonts w:ascii="Book Antiqua" w:hAnsi="Book Antiqua"/>
        </w:rPr>
        <w:t xml:space="preserve">Conway, M.A., Justice, L.V., </w:t>
      </w:r>
      <w:r w:rsidR="000D7FCA" w:rsidRPr="00361BCF">
        <w:rPr>
          <w:rFonts w:ascii="Book Antiqua" w:hAnsi="Book Antiqua"/>
        </w:rPr>
        <w:t>and</w:t>
      </w:r>
      <w:r w:rsidRPr="00361BCF">
        <w:rPr>
          <w:rFonts w:ascii="Book Antiqua" w:hAnsi="Book Antiqua"/>
        </w:rPr>
        <w:t xml:space="preserve"> Morrison, C.M. (2014)</w:t>
      </w:r>
      <w:r w:rsidR="000D7FCA" w:rsidRPr="00361BCF">
        <w:rPr>
          <w:rFonts w:ascii="Book Antiqua" w:hAnsi="Book Antiqua"/>
        </w:rPr>
        <w:t>,</w:t>
      </w:r>
      <w:r w:rsidRPr="00361BCF">
        <w:rPr>
          <w:rFonts w:ascii="Book Antiqua" w:hAnsi="Book Antiqua"/>
        </w:rPr>
        <w:t xml:space="preserve"> </w:t>
      </w:r>
      <w:r w:rsidR="000D7FCA" w:rsidRPr="00361BCF">
        <w:rPr>
          <w:rFonts w:ascii="Book Antiqua" w:hAnsi="Book Antiqua"/>
        </w:rPr>
        <w:t>‘</w:t>
      </w:r>
      <w:r w:rsidRPr="00361BCF">
        <w:rPr>
          <w:rFonts w:ascii="Book Antiqua" w:hAnsi="Book Antiqua"/>
        </w:rPr>
        <w:t>Beliefs about autobiographical memory</w:t>
      </w:r>
      <w:r w:rsidR="000D7FCA" w:rsidRPr="00361BCF">
        <w:rPr>
          <w:rFonts w:ascii="Book Antiqua" w:hAnsi="Book Antiqua"/>
        </w:rPr>
        <w:t>’,</w:t>
      </w:r>
      <w:r w:rsidRPr="00361BCF">
        <w:rPr>
          <w:rFonts w:ascii="Book Antiqua" w:hAnsi="Book Antiqua"/>
        </w:rPr>
        <w:t xml:space="preserve"> </w:t>
      </w:r>
      <w:r w:rsidRPr="00361BCF">
        <w:rPr>
          <w:rFonts w:ascii="Book Antiqua" w:hAnsi="Book Antiqua"/>
          <w:i/>
        </w:rPr>
        <w:t>The Psychologist, 27(7)</w:t>
      </w:r>
      <w:r w:rsidR="000D7FCA" w:rsidRPr="00361BCF">
        <w:rPr>
          <w:rFonts w:ascii="Book Antiqua" w:hAnsi="Book Antiqua"/>
        </w:rPr>
        <w:t>:</w:t>
      </w:r>
      <w:r w:rsidRPr="00361BCF">
        <w:rPr>
          <w:rFonts w:ascii="Book Antiqua" w:hAnsi="Book Antiqua"/>
        </w:rPr>
        <w:t xml:space="preserve"> 502-505.</w:t>
      </w:r>
    </w:p>
    <w:p w14:paraId="5C6C1EA2" w14:textId="4824C7E7" w:rsidR="007E2E17" w:rsidRPr="00361BCF" w:rsidRDefault="007E2E17" w:rsidP="004A4CBA">
      <w:pPr>
        <w:spacing w:line="360" w:lineRule="auto"/>
        <w:ind w:left="567" w:hanging="567"/>
        <w:jc w:val="both"/>
        <w:rPr>
          <w:rFonts w:ascii="Book Antiqua" w:hAnsi="Book Antiqua"/>
        </w:rPr>
      </w:pPr>
      <w:proofErr w:type="gramStart"/>
      <w:r w:rsidRPr="00361BCF">
        <w:rPr>
          <w:rFonts w:ascii="Book Antiqua" w:hAnsi="Book Antiqua"/>
        </w:rPr>
        <w:t>Conway, M., Howe, M., and Knott, L. (2014), ‘The Modern View of Human Memory and Its Forensic Implications,</w:t>
      </w:r>
      <w:r w:rsidR="000D7FCA" w:rsidRPr="00361BCF">
        <w:rPr>
          <w:rFonts w:ascii="Book Antiqua" w:hAnsi="Book Antiqua"/>
        </w:rPr>
        <w:t>’</w:t>
      </w:r>
      <w:r w:rsidRPr="00361BCF">
        <w:rPr>
          <w:rFonts w:ascii="Book Antiqua" w:hAnsi="Book Antiqua"/>
        </w:rPr>
        <w:t xml:space="preserve"> in </w:t>
      </w:r>
      <w:proofErr w:type="spellStart"/>
      <w:r w:rsidRPr="00361BCF">
        <w:rPr>
          <w:rFonts w:ascii="Book Antiqua" w:hAnsi="Book Antiqua"/>
        </w:rPr>
        <w:t>Puri</w:t>
      </w:r>
      <w:proofErr w:type="spellEnd"/>
      <w:r w:rsidR="001C40F3" w:rsidRPr="00361BCF">
        <w:rPr>
          <w:rFonts w:ascii="Book Antiqua" w:hAnsi="Book Antiqua"/>
        </w:rPr>
        <w:t>, B.</w:t>
      </w:r>
      <w:r w:rsidRPr="00361BCF">
        <w:rPr>
          <w:rFonts w:ascii="Book Antiqua" w:hAnsi="Book Antiqua"/>
        </w:rPr>
        <w:t xml:space="preserve"> </w:t>
      </w:r>
      <w:proofErr w:type="spellStart"/>
      <w:r w:rsidR="00327C15" w:rsidRPr="00361BCF">
        <w:rPr>
          <w:rFonts w:ascii="Book Antiqua" w:hAnsi="Book Antiqua"/>
        </w:rPr>
        <w:t>and</w:t>
      </w:r>
      <w:r w:rsidR="00932C87" w:rsidRPr="00361BCF">
        <w:rPr>
          <w:rFonts w:ascii="Book Antiqua" w:hAnsi="Book Antiqua"/>
        </w:rPr>
        <w:t>Treasaden</w:t>
      </w:r>
      <w:proofErr w:type="spellEnd"/>
      <w:r w:rsidR="001C40F3" w:rsidRPr="00361BCF">
        <w:rPr>
          <w:rFonts w:ascii="Book Antiqua" w:hAnsi="Book Antiqua"/>
        </w:rPr>
        <w:t>, I.H.</w:t>
      </w:r>
      <w:r w:rsidR="00932C87" w:rsidRPr="00361BCF">
        <w:rPr>
          <w:rFonts w:ascii="Book Antiqua" w:hAnsi="Book Antiqua"/>
        </w:rPr>
        <w:t xml:space="preserve"> </w:t>
      </w:r>
      <w:r w:rsidRPr="00361BCF">
        <w:rPr>
          <w:rFonts w:ascii="Book Antiqua" w:hAnsi="Book Antiqua"/>
        </w:rPr>
        <w:t>(Eds</w:t>
      </w:r>
      <w:r w:rsidR="001C40F3" w:rsidRPr="00361BCF">
        <w:rPr>
          <w:rFonts w:ascii="Book Antiqua" w:hAnsi="Book Antiqua"/>
        </w:rPr>
        <w:t>.</w:t>
      </w:r>
      <w:r w:rsidRPr="00361BCF">
        <w:rPr>
          <w:rFonts w:ascii="Book Antiqua" w:hAnsi="Book Antiqua"/>
        </w:rPr>
        <w:t xml:space="preserve">), </w:t>
      </w:r>
      <w:r w:rsidRPr="00361BCF">
        <w:rPr>
          <w:rFonts w:ascii="Book Antiqua" w:hAnsi="Book Antiqua"/>
          <w:i/>
        </w:rPr>
        <w:t>Textbook of Forensic Psychiatry</w:t>
      </w:r>
      <w:r w:rsidRPr="00361BCF">
        <w:rPr>
          <w:rFonts w:ascii="Book Antiqua" w:hAnsi="Book Antiqua"/>
        </w:rPr>
        <w:t>.</w:t>
      </w:r>
      <w:proofErr w:type="gramEnd"/>
      <w:r w:rsidRPr="00361BCF">
        <w:rPr>
          <w:rFonts w:ascii="Book Antiqua" w:hAnsi="Book Antiqua"/>
        </w:rPr>
        <w:t xml:space="preserve"> Abingdon, Oxford: CRC Press, Taylor and Francis Group.</w:t>
      </w:r>
    </w:p>
    <w:p w14:paraId="46318B8A" w14:textId="65F37AB3" w:rsidR="00DB7548" w:rsidRPr="00361BCF" w:rsidRDefault="00DB7548" w:rsidP="004A4CBA">
      <w:pPr>
        <w:widowControl w:val="0"/>
        <w:autoSpaceDE w:val="0"/>
        <w:autoSpaceDN w:val="0"/>
        <w:adjustRightInd w:val="0"/>
        <w:spacing w:line="360" w:lineRule="auto"/>
        <w:ind w:left="960" w:hanging="960"/>
        <w:jc w:val="both"/>
        <w:rPr>
          <w:rFonts w:ascii="Book Antiqua" w:hAnsi="Book Antiqua" w:cs="Helvetica"/>
          <w:lang w:val="en-US" w:eastAsia="en-GB"/>
        </w:rPr>
      </w:pPr>
      <w:r w:rsidRPr="00361BCF">
        <w:rPr>
          <w:rFonts w:ascii="Book Antiqua" w:hAnsi="Book Antiqua" w:cs="Helvetica"/>
          <w:lang w:val="en-US" w:eastAsia="en-GB"/>
        </w:rPr>
        <w:t xml:space="preserve">Conway, M.A. and </w:t>
      </w:r>
      <w:proofErr w:type="spellStart"/>
      <w:r w:rsidRPr="00361BCF">
        <w:rPr>
          <w:rFonts w:ascii="Book Antiqua" w:hAnsi="Book Antiqua" w:cs="Helvetica"/>
          <w:lang w:val="en-US" w:eastAsia="en-GB"/>
        </w:rPr>
        <w:t>Loveday</w:t>
      </w:r>
      <w:proofErr w:type="spellEnd"/>
      <w:r w:rsidRPr="00361BCF">
        <w:rPr>
          <w:rFonts w:ascii="Book Antiqua" w:hAnsi="Book Antiqua" w:cs="Helvetica"/>
          <w:lang w:val="en-US" w:eastAsia="en-GB"/>
        </w:rPr>
        <w:t xml:space="preserve">, C. (2015), ‘Remembering, Imagining, &amp; Personal Meanings’, </w:t>
      </w:r>
      <w:r w:rsidRPr="00361BCF">
        <w:rPr>
          <w:rFonts w:ascii="Book Antiqua" w:hAnsi="Book Antiqua" w:cs="Helvetica"/>
          <w:i/>
          <w:iCs/>
          <w:lang w:val="en-US" w:eastAsia="en-GB"/>
        </w:rPr>
        <w:t>Consciousness &amp; Cognition,</w:t>
      </w:r>
      <w:r w:rsidRPr="00361BCF">
        <w:rPr>
          <w:rFonts w:ascii="Book Antiqua" w:hAnsi="Book Antiqua" w:cs="Helvetica"/>
          <w:lang w:val="en-US" w:eastAsia="en-GB"/>
        </w:rPr>
        <w:t xml:space="preserve"> 33: 574-581.</w:t>
      </w:r>
    </w:p>
    <w:p w14:paraId="3D8A8C96" w14:textId="7CDC7065" w:rsidR="00DB7548" w:rsidRPr="00361BCF" w:rsidRDefault="00DB7548" w:rsidP="004A4CBA">
      <w:pPr>
        <w:widowControl w:val="0"/>
        <w:autoSpaceDE w:val="0"/>
        <w:autoSpaceDN w:val="0"/>
        <w:adjustRightInd w:val="0"/>
        <w:spacing w:line="360" w:lineRule="auto"/>
        <w:ind w:left="960" w:hanging="960"/>
        <w:jc w:val="both"/>
        <w:rPr>
          <w:rFonts w:ascii="Book Antiqua" w:hAnsi="Book Antiqua" w:cs="Helvetica"/>
          <w:lang w:val="en-US" w:eastAsia="en-GB"/>
        </w:rPr>
      </w:pPr>
      <w:r w:rsidRPr="00361BCF">
        <w:rPr>
          <w:rFonts w:ascii="Book Antiqua" w:hAnsi="Book Antiqua" w:cs="Helvetica"/>
          <w:lang w:val="en-US" w:eastAsia="en-GB"/>
        </w:rPr>
        <w:t xml:space="preserve">Conway, M.A., </w:t>
      </w:r>
      <w:proofErr w:type="spellStart"/>
      <w:r w:rsidRPr="00361BCF">
        <w:rPr>
          <w:rFonts w:ascii="Book Antiqua" w:hAnsi="Book Antiqua" w:cs="Helvetica"/>
          <w:lang w:val="en-US" w:eastAsia="en-GB"/>
        </w:rPr>
        <w:t>Love</w:t>
      </w:r>
      <w:r w:rsidR="00B63321" w:rsidRPr="00361BCF">
        <w:rPr>
          <w:rFonts w:ascii="Book Antiqua" w:hAnsi="Book Antiqua" w:cs="Helvetica"/>
          <w:lang w:val="en-US" w:eastAsia="en-GB"/>
        </w:rPr>
        <w:t>day</w:t>
      </w:r>
      <w:proofErr w:type="spellEnd"/>
      <w:r w:rsidR="00B63321" w:rsidRPr="00361BCF">
        <w:rPr>
          <w:rFonts w:ascii="Book Antiqua" w:hAnsi="Book Antiqua" w:cs="Helvetica"/>
          <w:lang w:val="en-US" w:eastAsia="en-GB"/>
        </w:rPr>
        <w:t>, C., and Cole, S.N. (2016), ‘</w:t>
      </w:r>
      <w:r w:rsidRPr="00361BCF">
        <w:rPr>
          <w:rFonts w:ascii="Book Antiqua" w:hAnsi="Book Antiqua" w:cs="Helvetica"/>
          <w:lang w:val="en-US" w:eastAsia="en-GB"/>
        </w:rPr>
        <w:t>The remembering imagining system</w:t>
      </w:r>
      <w:r w:rsidR="00B63321" w:rsidRPr="00361BCF">
        <w:rPr>
          <w:rFonts w:ascii="Book Antiqua" w:hAnsi="Book Antiqua" w:cs="Helvetica"/>
          <w:lang w:val="en-US" w:eastAsia="en-GB"/>
        </w:rPr>
        <w:t>’,</w:t>
      </w:r>
      <w:r w:rsidRPr="00361BCF">
        <w:rPr>
          <w:rFonts w:ascii="Book Antiqua" w:hAnsi="Book Antiqua" w:cs="Helvetica"/>
          <w:lang w:val="en-US" w:eastAsia="en-GB"/>
        </w:rPr>
        <w:t xml:space="preserve"> </w:t>
      </w:r>
      <w:r w:rsidRPr="00361BCF">
        <w:rPr>
          <w:rFonts w:ascii="Book Antiqua" w:hAnsi="Book Antiqua" w:cs="Helvetica"/>
          <w:i/>
          <w:iCs/>
          <w:lang w:val="en-US" w:eastAsia="en-GB"/>
        </w:rPr>
        <w:t>Memory Studies</w:t>
      </w:r>
      <w:r w:rsidRPr="00361BCF">
        <w:rPr>
          <w:rFonts w:ascii="Book Antiqua" w:hAnsi="Book Antiqua" w:cs="Helvetica"/>
          <w:lang w:val="en-US" w:eastAsia="en-GB"/>
        </w:rPr>
        <w:t>, in press.</w:t>
      </w:r>
    </w:p>
    <w:p w14:paraId="3AE0171A" w14:textId="4E52E1D3" w:rsidR="00486890" w:rsidRPr="00361BCF" w:rsidRDefault="001C40F3" w:rsidP="004A4CBA">
      <w:pPr>
        <w:pStyle w:val="z-TopofForm"/>
        <w:tabs>
          <w:tab w:val="left" w:pos="567"/>
          <w:tab w:val="left" w:pos="1588"/>
          <w:tab w:val="left" w:pos="1644"/>
          <w:tab w:val="left" w:pos="1701"/>
        </w:tabs>
        <w:spacing w:line="360" w:lineRule="auto"/>
        <w:ind w:left="567" w:right="280" w:hanging="567"/>
        <w:jc w:val="both"/>
        <w:rPr>
          <w:rFonts w:ascii="Book Antiqua" w:hAnsi="Book Antiqua"/>
          <w:szCs w:val="24"/>
          <w:lang w:eastAsia="ja-JP"/>
        </w:rPr>
      </w:pPr>
      <w:proofErr w:type="gramStart"/>
      <w:r w:rsidRPr="00361BCF">
        <w:rPr>
          <w:rFonts w:ascii="Book Antiqua" w:hAnsi="Book Antiqua"/>
          <w:szCs w:val="24"/>
          <w:lang w:eastAsia="ja-JP"/>
        </w:rPr>
        <w:t xml:space="preserve">Conway, M.A., </w:t>
      </w:r>
      <w:proofErr w:type="spellStart"/>
      <w:r w:rsidRPr="00361BCF">
        <w:rPr>
          <w:rFonts w:ascii="Book Antiqua" w:hAnsi="Book Antiqua"/>
          <w:szCs w:val="24"/>
          <w:lang w:eastAsia="ja-JP"/>
        </w:rPr>
        <w:t>Meares</w:t>
      </w:r>
      <w:proofErr w:type="spellEnd"/>
      <w:r w:rsidRPr="00361BCF">
        <w:rPr>
          <w:rFonts w:ascii="Book Antiqua" w:hAnsi="Book Antiqua"/>
          <w:szCs w:val="24"/>
          <w:lang w:eastAsia="ja-JP"/>
        </w:rPr>
        <w:t>, K.</w:t>
      </w:r>
      <w:r w:rsidR="00486890" w:rsidRPr="00361BCF">
        <w:rPr>
          <w:rFonts w:ascii="Book Antiqua" w:hAnsi="Book Antiqua"/>
          <w:szCs w:val="24"/>
          <w:lang w:eastAsia="ja-JP"/>
        </w:rPr>
        <w:t xml:space="preserve"> </w:t>
      </w:r>
      <w:r w:rsidR="000D7FCA" w:rsidRPr="00361BCF">
        <w:rPr>
          <w:rFonts w:ascii="Book Antiqua" w:hAnsi="Book Antiqua"/>
          <w:szCs w:val="24"/>
          <w:lang w:eastAsia="ja-JP"/>
        </w:rPr>
        <w:t>and</w:t>
      </w:r>
      <w:r w:rsidR="00486890" w:rsidRPr="00361BCF">
        <w:rPr>
          <w:rFonts w:ascii="Book Antiqua" w:hAnsi="Book Antiqua"/>
          <w:szCs w:val="24"/>
          <w:lang w:eastAsia="ja-JP"/>
        </w:rPr>
        <w:t xml:space="preserve"> </w:t>
      </w:r>
      <w:proofErr w:type="spellStart"/>
      <w:r w:rsidR="00486890" w:rsidRPr="00361BCF">
        <w:rPr>
          <w:rFonts w:ascii="Book Antiqua" w:hAnsi="Book Antiqua"/>
          <w:szCs w:val="24"/>
          <w:lang w:eastAsia="ja-JP"/>
        </w:rPr>
        <w:t>Standart</w:t>
      </w:r>
      <w:proofErr w:type="spellEnd"/>
      <w:r w:rsidR="00486890" w:rsidRPr="00361BCF">
        <w:rPr>
          <w:rFonts w:ascii="Book Antiqua" w:hAnsi="Book Antiqua"/>
          <w:szCs w:val="24"/>
          <w:lang w:eastAsia="ja-JP"/>
        </w:rPr>
        <w:t>, S. (2004)</w:t>
      </w:r>
      <w:r w:rsidR="000D7FCA" w:rsidRPr="00361BCF">
        <w:rPr>
          <w:rFonts w:ascii="Book Antiqua" w:hAnsi="Book Antiqua"/>
          <w:szCs w:val="24"/>
          <w:lang w:eastAsia="ja-JP"/>
        </w:rPr>
        <w:t>,</w:t>
      </w:r>
      <w:r w:rsidR="00486890" w:rsidRPr="00361BCF">
        <w:rPr>
          <w:rFonts w:ascii="Book Antiqua" w:hAnsi="Book Antiqua"/>
          <w:szCs w:val="24"/>
          <w:lang w:eastAsia="ja-JP"/>
        </w:rPr>
        <w:t xml:space="preserve"> </w:t>
      </w:r>
      <w:r w:rsidR="000D7FCA" w:rsidRPr="00361BCF">
        <w:rPr>
          <w:rFonts w:ascii="Book Antiqua" w:hAnsi="Book Antiqua"/>
          <w:szCs w:val="24"/>
          <w:lang w:eastAsia="ja-JP"/>
        </w:rPr>
        <w:t>‘</w:t>
      </w:r>
      <w:r w:rsidR="00486890" w:rsidRPr="00361BCF">
        <w:rPr>
          <w:rFonts w:ascii="Book Antiqua" w:hAnsi="Book Antiqua"/>
          <w:szCs w:val="24"/>
          <w:lang w:eastAsia="ja-JP"/>
        </w:rPr>
        <w:t xml:space="preserve">Images </w:t>
      </w:r>
      <w:r w:rsidR="00327C15" w:rsidRPr="00361BCF">
        <w:rPr>
          <w:rFonts w:ascii="Book Antiqua" w:hAnsi="Book Antiqua"/>
          <w:szCs w:val="24"/>
          <w:lang w:eastAsia="ja-JP"/>
        </w:rPr>
        <w:t>and</w:t>
      </w:r>
      <w:r w:rsidR="00486890" w:rsidRPr="00361BCF">
        <w:rPr>
          <w:rFonts w:ascii="Book Antiqua" w:hAnsi="Book Antiqua"/>
          <w:szCs w:val="24"/>
          <w:lang w:eastAsia="ja-JP"/>
        </w:rPr>
        <w:t xml:space="preserve"> goals</w:t>
      </w:r>
      <w:r w:rsidR="000D7FCA" w:rsidRPr="00361BCF">
        <w:rPr>
          <w:rFonts w:ascii="Book Antiqua" w:hAnsi="Book Antiqua"/>
          <w:szCs w:val="24"/>
          <w:lang w:eastAsia="ja-JP"/>
        </w:rPr>
        <w:t>’,</w:t>
      </w:r>
      <w:r w:rsidR="00B648B3" w:rsidRPr="00361BCF">
        <w:rPr>
          <w:rFonts w:ascii="Book Antiqua" w:hAnsi="Book Antiqua"/>
          <w:szCs w:val="24"/>
          <w:lang w:eastAsia="ja-JP"/>
        </w:rPr>
        <w:t xml:space="preserve"> </w:t>
      </w:r>
      <w:r w:rsidR="00486890" w:rsidRPr="00361BCF">
        <w:rPr>
          <w:rFonts w:ascii="Book Antiqua" w:hAnsi="Book Antiqua"/>
          <w:i/>
          <w:szCs w:val="24"/>
          <w:lang w:eastAsia="ja-JP"/>
        </w:rPr>
        <w:t>Memory, 12</w:t>
      </w:r>
      <w:r w:rsidR="000D7FCA" w:rsidRPr="00361BCF">
        <w:rPr>
          <w:rFonts w:ascii="Book Antiqua" w:hAnsi="Book Antiqua"/>
          <w:szCs w:val="24"/>
          <w:lang w:eastAsia="ja-JP"/>
        </w:rPr>
        <w:t xml:space="preserve">: </w:t>
      </w:r>
      <w:r w:rsidR="00486890" w:rsidRPr="00361BCF">
        <w:rPr>
          <w:rFonts w:ascii="Book Antiqua" w:hAnsi="Book Antiqua"/>
          <w:szCs w:val="24"/>
          <w:lang w:eastAsia="ja-JP"/>
        </w:rPr>
        <w:t>525-431.</w:t>
      </w:r>
      <w:proofErr w:type="gramEnd"/>
    </w:p>
    <w:p w14:paraId="41E309A7" w14:textId="24F035CC" w:rsidR="00693C9D" w:rsidRPr="00361BCF" w:rsidRDefault="00693C9D" w:rsidP="004A4CBA">
      <w:pPr>
        <w:widowControl w:val="0"/>
        <w:tabs>
          <w:tab w:val="left" w:pos="54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Book Antiqua" w:hAnsi="Book Antiqua"/>
          <w:bCs/>
          <w:lang w:val="en-US"/>
        </w:rPr>
      </w:pPr>
      <w:r w:rsidRPr="00361BCF">
        <w:rPr>
          <w:rFonts w:ascii="Book Antiqua" w:hAnsi="Book Antiqua"/>
          <w:bCs/>
          <w:lang w:val="en-US"/>
        </w:rPr>
        <w:t>Con</w:t>
      </w:r>
      <w:r w:rsidR="001C40F3" w:rsidRPr="00361BCF">
        <w:rPr>
          <w:rFonts w:ascii="Book Antiqua" w:hAnsi="Book Antiqua"/>
          <w:bCs/>
          <w:lang w:val="en-US"/>
        </w:rPr>
        <w:t>way, M.A.</w:t>
      </w:r>
      <w:r w:rsidRPr="00361BCF">
        <w:rPr>
          <w:rFonts w:ascii="Book Antiqua" w:hAnsi="Book Antiqua"/>
          <w:bCs/>
          <w:lang w:val="en-US"/>
        </w:rPr>
        <w:t xml:space="preserve"> </w:t>
      </w:r>
      <w:r w:rsidR="000D7FCA" w:rsidRPr="00361BCF">
        <w:rPr>
          <w:rFonts w:ascii="Book Antiqua" w:hAnsi="Book Antiqua"/>
          <w:bCs/>
          <w:lang w:val="en-US"/>
        </w:rPr>
        <w:t>and</w:t>
      </w:r>
      <w:r w:rsidRPr="00361BCF">
        <w:rPr>
          <w:rFonts w:ascii="Book Antiqua" w:hAnsi="Book Antiqua"/>
          <w:bCs/>
          <w:lang w:val="en-US"/>
        </w:rPr>
        <w:t xml:space="preserve"> </w:t>
      </w:r>
      <w:proofErr w:type="spellStart"/>
      <w:r w:rsidRPr="00361BCF">
        <w:rPr>
          <w:rFonts w:ascii="Book Antiqua" w:hAnsi="Book Antiqua"/>
          <w:bCs/>
          <w:lang w:val="en-US"/>
        </w:rPr>
        <w:t>Pleydell</w:t>
      </w:r>
      <w:proofErr w:type="spellEnd"/>
      <w:r w:rsidRPr="00361BCF">
        <w:rPr>
          <w:rFonts w:ascii="Book Antiqua" w:hAnsi="Book Antiqua"/>
          <w:bCs/>
          <w:lang w:val="en-US"/>
        </w:rPr>
        <w:t>-Pearce, C.W. (2000)</w:t>
      </w:r>
      <w:r w:rsidR="000D7FCA" w:rsidRPr="00361BCF">
        <w:rPr>
          <w:rFonts w:ascii="Book Antiqua" w:hAnsi="Book Antiqua"/>
          <w:bCs/>
          <w:lang w:val="en-US"/>
        </w:rPr>
        <w:t>,</w:t>
      </w:r>
      <w:r w:rsidRPr="00361BCF">
        <w:rPr>
          <w:rFonts w:ascii="Book Antiqua" w:hAnsi="Book Antiqua"/>
          <w:bCs/>
          <w:lang w:val="en-US"/>
        </w:rPr>
        <w:t xml:space="preserve"> </w:t>
      </w:r>
      <w:r w:rsidR="000D7FCA" w:rsidRPr="00361BCF">
        <w:rPr>
          <w:rFonts w:ascii="Book Antiqua" w:hAnsi="Book Antiqua"/>
          <w:bCs/>
          <w:lang w:val="en-US"/>
        </w:rPr>
        <w:t>‘</w:t>
      </w:r>
      <w:proofErr w:type="gramStart"/>
      <w:r w:rsidRPr="00361BCF">
        <w:rPr>
          <w:rFonts w:ascii="Book Antiqua" w:hAnsi="Book Antiqua"/>
          <w:bCs/>
          <w:lang w:val="en-US"/>
        </w:rPr>
        <w:t>The</w:t>
      </w:r>
      <w:proofErr w:type="gramEnd"/>
      <w:r w:rsidRPr="00361BCF">
        <w:rPr>
          <w:rFonts w:ascii="Book Antiqua" w:hAnsi="Book Antiqua"/>
          <w:bCs/>
          <w:lang w:val="en-US"/>
        </w:rPr>
        <w:t xml:space="preserve"> construction of autobiographical </w:t>
      </w:r>
    </w:p>
    <w:p w14:paraId="3DF610E7" w14:textId="77777777" w:rsidR="00693C9D" w:rsidRPr="00361BCF" w:rsidRDefault="00693C9D" w:rsidP="004A4CBA">
      <w:pPr>
        <w:widowControl w:val="0"/>
        <w:tabs>
          <w:tab w:val="left" w:pos="54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Book Antiqua" w:hAnsi="Book Antiqua"/>
          <w:bCs/>
          <w:lang w:val="en-US"/>
        </w:rPr>
      </w:pPr>
      <w:r w:rsidRPr="00361BCF">
        <w:rPr>
          <w:rFonts w:ascii="Book Antiqua" w:hAnsi="Book Antiqua"/>
          <w:bCs/>
          <w:lang w:val="en-US"/>
        </w:rPr>
        <w:tab/>
      </w:r>
      <w:proofErr w:type="gramStart"/>
      <w:r w:rsidRPr="00361BCF">
        <w:rPr>
          <w:rFonts w:ascii="Book Antiqua" w:hAnsi="Book Antiqua"/>
          <w:bCs/>
          <w:lang w:val="en-US"/>
        </w:rPr>
        <w:t>memories</w:t>
      </w:r>
      <w:proofErr w:type="gramEnd"/>
      <w:r w:rsidRPr="00361BCF">
        <w:rPr>
          <w:rFonts w:ascii="Book Antiqua" w:hAnsi="Book Antiqua"/>
          <w:bCs/>
          <w:lang w:val="en-US"/>
        </w:rPr>
        <w:t xml:space="preserve"> in the self memory system</w:t>
      </w:r>
      <w:r w:rsidR="000D7FCA" w:rsidRPr="00361BCF">
        <w:rPr>
          <w:rFonts w:ascii="Book Antiqua" w:hAnsi="Book Antiqua"/>
          <w:bCs/>
          <w:lang w:val="en-US"/>
        </w:rPr>
        <w:t>’,</w:t>
      </w:r>
      <w:r w:rsidRPr="00361BCF">
        <w:rPr>
          <w:rFonts w:ascii="Book Antiqua" w:hAnsi="Book Antiqua"/>
          <w:bCs/>
          <w:lang w:val="en-US"/>
        </w:rPr>
        <w:t xml:space="preserve"> </w:t>
      </w:r>
      <w:r w:rsidRPr="00361BCF">
        <w:rPr>
          <w:rFonts w:ascii="Book Antiqua" w:hAnsi="Book Antiqua"/>
          <w:bCs/>
          <w:i/>
          <w:lang w:val="en-US"/>
        </w:rPr>
        <w:t>Psychological Review,107</w:t>
      </w:r>
      <w:r w:rsidR="000D7FCA" w:rsidRPr="00361BCF">
        <w:rPr>
          <w:rFonts w:ascii="Book Antiqua" w:hAnsi="Book Antiqua"/>
          <w:bCs/>
          <w:lang w:val="en-US"/>
        </w:rPr>
        <w:t xml:space="preserve">: </w:t>
      </w:r>
      <w:r w:rsidRPr="00361BCF">
        <w:rPr>
          <w:rFonts w:ascii="Book Antiqua" w:hAnsi="Book Antiqua"/>
          <w:bCs/>
          <w:lang w:val="en-US"/>
        </w:rPr>
        <w:t>261-288.</w:t>
      </w:r>
    </w:p>
    <w:p w14:paraId="5498BF12" w14:textId="77777777" w:rsidR="00F30E3E" w:rsidRDefault="00EE2A5F" w:rsidP="004A4CBA">
      <w:pPr>
        <w:pStyle w:val="NormalWeb"/>
        <w:spacing w:before="0" w:beforeAutospacing="0" w:after="0" w:afterAutospacing="0" w:line="360" w:lineRule="auto"/>
        <w:ind w:left="567" w:hanging="567"/>
        <w:jc w:val="both"/>
        <w:rPr>
          <w:rFonts w:ascii="Book Antiqua" w:eastAsia="Times New Roman" w:hAnsi="Book Antiqua" w:cs="Arial"/>
          <w:bCs/>
          <w:sz w:val="24"/>
          <w:szCs w:val="24"/>
        </w:rPr>
      </w:pPr>
      <w:r w:rsidRPr="00361BCF">
        <w:rPr>
          <w:rFonts w:ascii="Book Antiqua" w:hAnsi="Book Antiqua"/>
          <w:sz w:val="24"/>
          <w:szCs w:val="24"/>
          <w:lang w:eastAsia="en-GB"/>
        </w:rPr>
        <w:t xml:space="preserve">Crown Prosecution Service (CPS) (2013), </w:t>
      </w:r>
      <w:r w:rsidRPr="00361BCF">
        <w:rPr>
          <w:rFonts w:ascii="Book Antiqua" w:hAnsi="Book Antiqua"/>
          <w:i/>
          <w:sz w:val="24"/>
          <w:szCs w:val="24"/>
          <w:lang w:eastAsia="en-GB"/>
        </w:rPr>
        <w:t>Charging perverting the course of justice and wasting police time in cases involving allegedly false rape and domestic violence allegations</w:t>
      </w:r>
      <w:r w:rsidR="00F30E3E">
        <w:rPr>
          <w:rFonts w:ascii="Book Antiqua" w:hAnsi="Book Antiqua"/>
          <w:sz w:val="24"/>
          <w:szCs w:val="24"/>
          <w:lang w:eastAsia="en-GB"/>
        </w:rPr>
        <w:t xml:space="preserve">, </w:t>
      </w:r>
      <w:r w:rsidRPr="00361BCF">
        <w:rPr>
          <w:rFonts w:ascii="Book Antiqua" w:eastAsia="Times New Roman" w:hAnsi="Book Antiqua" w:cs="Arial"/>
          <w:bCs/>
          <w:sz w:val="24"/>
          <w:szCs w:val="24"/>
        </w:rPr>
        <w:t xml:space="preserve">available online </w:t>
      </w:r>
    </w:p>
    <w:p w14:paraId="4602696C" w14:textId="7470E041" w:rsidR="00EE2A5F" w:rsidRPr="00361BCF" w:rsidRDefault="00F30E3E" w:rsidP="004A4CBA">
      <w:pPr>
        <w:pStyle w:val="NormalWeb"/>
        <w:spacing w:before="0" w:beforeAutospacing="0" w:after="0" w:afterAutospacing="0" w:line="360" w:lineRule="auto"/>
        <w:ind w:left="567" w:hanging="567"/>
        <w:jc w:val="both"/>
        <w:rPr>
          <w:rFonts w:ascii="Book Antiqua" w:eastAsia="Times New Roman" w:hAnsi="Book Antiqua"/>
          <w:sz w:val="24"/>
          <w:szCs w:val="24"/>
        </w:rPr>
      </w:pPr>
      <w:r>
        <w:rPr>
          <w:rFonts w:ascii="Book Antiqua" w:eastAsia="Times New Roman" w:hAnsi="Book Antiqua" w:cs="Arial"/>
          <w:bCs/>
          <w:sz w:val="24"/>
          <w:szCs w:val="24"/>
        </w:rPr>
        <w:tab/>
      </w:r>
      <w:r w:rsidR="00EE2A5F" w:rsidRPr="00361BCF">
        <w:rPr>
          <w:rFonts w:ascii="Book Antiqua" w:eastAsia="Times New Roman" w:hAnsi="Book Antiqua" w:cs="Arial"/>
          <w:bCs/>
          <w:sz w:val="24"/>
          <w:szCs w:val="24"/>
        </w:rPr>
        <w:t xml:space="preserve">http://www.cps.gov.uk/publications/research/perverting_course_of_justice_march_2013.pdf </w:t>
      </w:r>
    </w:p>
    <w:p w14:paraId="23F34177" w14:textId="77777777" w:rsidR="0027765C" w:rsidRPr="00361BCF" w:rsidRDefault="0027765C" w:rsidP="004A4CBA">
      <w:pPr>
        <w:spacing w:line="360" w:lineRule="auto"/>
        <w:ind w:left="567" w:hanging="567"/>
        <w:jc w:val="both"/>
        <w:rPr>
          <w:rFonts w:ascii="Book Antiqua" w:hAnsi="Book Antiqua"/>
          <w:lang w:eastAsia="en-GB"/>
        </w:rPr>
      </w:pPr>
      <w:r w:rsidRPr="00361BCF">
        <w:rPr>
          <w:rFonts w:ascii="Book Antiqua" w:hAnsi="Book Antiqua"/>
          <w:lang w:eastAsia="en-GB"/>
        </w:rPr>
        <w:t xml:space="preserve">Daly, K. and </w:t>
      </w:r>
      <w:proofErr w:type="spellStart"/>
      <w:r w:rsidRPr="00361BCF">
        <w:rPr>
          <w:rFonts w:ascii="Book Antiqua" w:hAnsi="Book Antiqua"/>
          <w:lang w:eastAsia="en-GB"/>
        </w:rPr>
        <w:t>Bouhours</w:t>
      </w:r>
      <w:proofErr w:type="spellEnd"/>
      <w:r w:rsidRPr="00361BCF">
        <w:rPr>
          <w:rFonts w:ascii="Book Antiqua" w:hAnsi="Book Antiqua"/>
          <w:lang w:eastAsia="en-GB"/>
        </w:rPr>
        <w:t xml:space="preserve">, B. (2010), </w:t>
      </w:r>
      <w:r w:rsidR="00B648B3" w:rsidRPr="00361BCF">
        <w:rPr>
          <w:rFonts w:ascii="Book Antiqua" w:hAnsi="Book Antiqua"/>
          <w:lang w:eastAsia="en-GB"/>
        </w:rPr>
        <w:t>‘</w:t>
      </w:r>
      <w:r w:rsidRPr="00361BCF">
        <w:rPr>
          <w:rFonts w:ascii="Book Antiqua" w:hAnsi="Book Antiqua"/>
          <w:lang w:eastAsia="en-GB"/>
        </w:rPr>
        <w:t>Rape and attrition in the legal process: A comparative analysis of five countries</w:t>
      </w:r>
      <w:r w:rsidR="00B648B3" w:rsidRPr="00361BCF">
        <w:rPr>
          <w:rFonts w:ascii="Book Antiqua" w:hAnsi="Book Antiqua"/>
          <w:lang w:eastAsia="en-GB"/>
        </w:rPr>
        <w:t>’</w:t>
      </w:r>
      <w:r w:rsidRPr="00361BCF">
        <w:rPr>
          <w:rFonts w:ascii="Book Antiqua" w:hAnsi="Book Antiqua"/>
          <w:lang w:eastAsia="en-GB"/>
        </w:rPr>
        <w:t xml:space="preserve">, </w:t>
      </w:r>
      <w:r w:rsidRPr="00361BCF">
        <w:rPr>
          <w:rFonts w:ascii="Book Antiqua" w:hAnsi="Book Antiqua"/>
          <w:i/>
          <w:lang w:eastAsia="en-GB"/>
        </w:rPr>
        <w:t>Crime and Justice</w:t>
      </w:r>
      <w:r w:rsidRPr="00361BCF">
        <w:rPr>
          <w:rFonts w:ascii="Book Antiqua" w:hAnsi="Book Antiqua"/>
          <w:lang w:eastAsia="en-GB"/>
        </w:rPr>
        <w:t>, 39(1): 565-650.</w:t>
      </w:r>
    </w:p>
    <w:p w14:paraId="46233A03" w14:textId="77777777" w:rsidR="00753223" w:rsidRPr="00361BCF" w:rsidRDefault="00753223" w:rsidP="004A4CBA">
      <w:pPr>
        <w:spacing w:line="360" w:lineRule="auto"/>
        <w:ind w:left="567" w:hanging="567"/>
        <w:jc w:val="both"/>
        <w:rPr>
          <w:rFonts w:ascii="Book Antiqua" w:hAnsi="Book Antiqua"/>
          <w:i/>
        </w:rPr>
      </w:pPr>
      <w:r w:rsidRPr="00361BCF">
        <w:rPr>
          <w:rFonts w:ascii="Book Antiqua" w:hAnsi="Book Antiqua"/>
        </w:rPr>
        <w:lastRenderedPageBreak/>
        <w:t xml:space="preserve">Ellison, L. (2005), </w:t>
      </w:r>
      <w:r w:rsidR="00B648B3" w:rsidRPr="00361BCF">
        <w:rPr>
          <w:rFonts w:ascii="Book Antiqua" w:hAnsi="Book Antiqua"/>
        </w:rPr>
        <w:t>‘</w:t>
      </w:r>
      <w:proofErr w:type="gramStart"/>
      <w:r w:rsidRPr="00361BCF">
        <w:rPr>
          <w:rFonts w:ascii="Book Antiqua" w:hAnsi="Book Antiqua"/>
        </w:rPr>
        <w:t>Closing</w:t>
      </w:r>
      <w:proofErr w:type="gramEnd"/>
      <w:r w:rsidRPr="00361BCF">
        <w:rPr>
          <w:rFonts w:ascii="Book Antiqua" w:hAnsi="Book Antiqua"/>
        </w:rPr>
        <w:t xml:space="preserve"> the credibility gap: the prosecutorial use of expert witness testimony in sexual assault cases</w:t>
      </w:r>
      <w:r w:rsidR="00B648B3" w:rsidRPr="00361BCF">
        <w:rPr>
          <w:rFonts w:ascii="Book Antiqua" w:hAnsi="Book Antiqua"/>
        </w:rPr>
        <w:t>’</w:t>
      </w:r>
      <w:r w:rsidRPr="00361BCF">
        <w:rPr>
          <w:rFonts w:ascii="Book Antiqua" w:hAnsi="Book Antiqua"/>
        </w:rPr>
        <w:t xml:space="preserve">, </w:t>
      </w:r>
      <w:r w:rsidRPr="00361BCF">
        <w:rPr>
          <w:rFonts w:ascii="Book Antiqua" w:hAnsi="Book Antiqua"/>
          <w:i/>
        </w:rPr>
        <w:t>International Journal of Evidence and Proof, (9): 239-268.</w:t>
      </w:r>
    </w:p>
    <w:p w14:paraId="41D8E15B" w14:textId="37186481" w:rsidR="00753223" w:rsidRPr="00361BCF" w:rsidRDefault="001C40F3" w:rsidP="004A4CBA">
      <w:pPr>
        <w:spacing w:line="360" w:lineRule="auto"/>
        <w:ind w:left="567" w:hanging="567"/>
        <w:jc w:val="both"/>
        <w:rPr>
          <w:rFonts w:ascii="Book Antiqua" w:hAnsi="Book Antiqua"/>
          <w:bCs/>
          <w:kern w:val="36"/>
        </w:rPr>
      </w:pPr>
      <w:r w:rsidRPr="00361BCF">
        <w:rPr>
          <w:rFonts w:ascii="Book Antiqua" w:hAnsi="Book Antiqua"/>
        </w:rPr>
        <w:t>Fisher, R., Brewer, N.</w:t>
      </w:r>
      <w:r w:rsidR="00753223" w:rsidRPr="00361BCF">
        <w:rPr>
          <w:rFonts w:ascii="Book Antiqua" w:hAnsi="Book Antiqua"/>
        </w:rPr>
        <w:t xml:space="preserve"> and Mitchell, G. (2009), ‘</w:t>
      </w:r>
      <w:proofErr w:type="gramStart"/>
      <w:r w:rsidR="00753223" w:rsidRPr="00361BCF">
        <w:rPr>
          <w:rFonts w:ascii="Book Antiqua" w:hAnsi="Book Antiqua"/>
        </w:rPr>
        <w:t>The</w:t>
      </w:r>
      <w:proofErr w:type="gramEnd"/>
      <w:r w:rsidR="00753223" w:rsidRPr="00361BCF">
        <w:rPr>
          <w:rFonts w:ascii="Book Antiqua" w:hAnsi="Book Antiqua"/>
        </w:rPr>
        <w:t xml:space="preserve"> relation between consistency and accuracy of eyewitness testimony: legal versus cognitive explanations’, in Bull, R., Valentine, T. and Williamson,</w:t>
      </w:r>
      <w:r w:rsidR="00F66060" w:rsidRPr="00361BCF">
        <w:rPr>
          <w:rFonts w:ascii="Book Antiqua" w:hAnsi="Book Antiqua"/>
        </w:rPr>
        <w:t xml:space="preserve"> </w:t>
      </w:r>
      <w:r w:rsidR="00753223" w:rsidRPr="00361BCF">
        <w:rPr>
          <w:rFonts w:ascii="Book Antiqua" w:hAnsi="Book Antiqua"/>
        </w:rPr>
        <w:t xml:space="preserve">T. </w:t>
      </w:r>
      <w:r w:rsidR="00DB7548" w:rsidRPr="00361BCF">
        <w:rPr>
          <w:rFonts w:ascii="Book Antiqua" w:hAnsi="Book Antiqua"/>
        </w:rPr>
        <w:t>(Eds.)</w:t>
      </w:r>
      <w:r w:rsidR="00753223" w:rsidRPr="00361BCF">
        <w:rPr>
          <w:rFonts w:ascii="Book Antiqua" w:hAnsi="Book Antiqua"/>
        </w:rPr>
        <w:t xml:space="preserve">, </w:t>
      </w:r>
      <w:r w:rsidR="00753223" w:rsidRPr="00361BCF">
        <w:rPr>
          <w:rFonts w:ascii="Book Antiqua" w:hAnsi="Book Antiqua"/>
          <w:bCs/>
          <w:i/>
          <w:kern w:val="36"/>
        </w:rPr>
        <w:t>Handbook</w:t>
      </w:r>
      <w:r w:rsidR="00753223" w:rsidRPr="00361BCF">
        <w:rPr>
          <w:rFonts w:ascii="Book Antiqua" w:hAnsi="Book Antiqua"/>
          <w:bCs/>
          <w:kern w:val="36"/>
        </w:rPr>
        <w:t xml:space="preserve"> </w:t>
      </w:r>
      <w:r w:rsidR="00753223" w:rsidRPr="00361BCF">
        <w:rPr>
          <w:rFonts w:ascii="Book Antiqua" w:hAnsi="Book Antiqua"/>
          <w:bCs/>
          <w:i/>
          <w:kern w:val="36"/>
        </w:rPr>
        <w:t>of Psychology of Investigative Interviewing: Current Developments and Future Directions</w:t>
      </w:r>
      <w:r w:rsidR="00FC704C" w:rsidRPr="00361BCF">
        <w:rPr>
          <w:rFonts w:ascii="Book Antiqua" w:hAnsi="Book Antiqua"/>
          <w:bCs/>
          <w:kern w:val="36"/>
        </w:rPr>
        <w:t>, 121-136. New York: Wiley</w:t>
      </w:r>
      <w:r w:rsidR="00753223" w:rsidRPr="00361BCF">
        <w:rPr>
          <w:rFonts w:ascii="Book Antiqua" w:hAnsi="Book Antiqua"/>
          <w:bCs/>
          <w:kern w:val="36"/>
        </w:rPr>
        <w:t>.</w:t>
      </w:r>
    </w:p>
    <w:p w14:paraId="55F329E6" w14:textId="2050A5B4" w:rsidR="0070710A" w:rsidRPr="00361BCF" w:rsidRDefault="0070710A" w:rsidP="004A4CBA">
      <w:pPr>
        <w:spacing w:line="360" w:lineRule="auto"/>
        <w:ind w:left="567" w:hanging="567"/>
        <w:jc w:val="both"/>
        <w:rPr>
          <w:rFonts w:ascii="Book Antiqua" w:hAnsi="Book Antiqua"/>
          <w:lang w:val="en-US"/>
        </w:rPr>
      </w:pPr>
      <w:proofErr w:type="gramStart"/>
      <w:r w:rsidRPr="00361BCF">
        <w:rPr>
          <w:rFonts w:ascii="Book Antiqua" w:hAnsi="Book Antiqua"/>
          <w:lang w:val="en-US"/>
        </w:rPr>
        <w:t xml:space="preserve">Goldsmith, M., </w:t>
      </w:r>
      <w:proofErr w:type="spellStart"/>
      <w:r w:rsidRPr="00361BCF">
        <w:rPr>
          <w:rFonts w:ascii="Book Antiqua" w:hAnsi="Book Antiqua"/>
          <w:lang w:val="en-US"/>
        </w:rPr>
        <w:t>Koriat</w:t>
      </w:r>
      <w:proofErr w:type="spellEnd"/>
      <w:r w:rsidRPr="00361BCF">
        <w:rPr>
          <w:rFonts w:ascii="Book Antiqua" w:hAnsi="Book Antiqua"/>
          <w:lang w:val="en-US"/>
        </w:rPr>
        <w:t xml:space="preserve">, A. </w:t>
      </w:r>
      <w:r w:rsidR="00327C15" w:rsidRPr="00361BCF">
        <w:rPr>
          <w:rFonts w:ascii="Book Antiqua" w:hAnsi="Book Antiqua"/>
          <w:lang w:val="en-US"/>
        </w:rPr>
        <w:t>and</w:t>
      </w:r>
      <w:r w:rsidRPr="00361BCF">
        <w:rPr>
          <w:rFonts w:ascii="Book Antiqua" w:hAnsi="Book Antiqua"/>
          <w:lang w:val="en-US"/>
        </w:rPr>
        <w:t xml:space="preserve"> </w:t>
      </w:r>
      <w:proofErr w:type="spellStart"/>
      <w:r w:rsidRPr="00361BCF">
        <w:rPr>
          <w:rFonts w:ascii="Book Antiqua" w:hAnsi="Book Antiqua"/>
          <w:lang w:val="en-US"/>
        </w:rPr>
        <w:t>Pansky</w:t>
      </w:r>
      <w:proofErr w:type="spellEnd"/>
      <w:r w:rsidRPr="00361BCF">
        <w:rPr>
          <w:rFonts w:ascii="Book Antiqua" w:hAnsi="Book Antiqua"/>
          <w:lang w:val="en-US"/>
        </w:rPr>
        <w:t>, A. (2005)</w:t>
      </w:r>
      <w:r w:rsidR="001C40F3" w:rsidRPr="00361BCF">
        <w:rPr>
          <w:rFonts w:ascii="Book Antiqua" w:hAnsi="Book Antiqua"/>
          <w:lang w:val="en-US"/>
        </w:rPr>
        <w:t>,</w:t>
      </w:r>
      <w:r w:rsidRPr="00361BCF">
        <w:rPr>
          <w:rFonts w:ascii="Book Antiqua" w:hAnsi="Book Antiqua"/>
          <w:lang w:val="en-US"/>
        </w:rPr>
        <w:t xml:space="preserve"> </w:t>
      </w:r>
      <w:r w:rsidR="001C40F3" w:rsidRPr="00361BCF">
        <w:rPr>
          <w:rFonts w:ascii="Book Antiqua" w:hAnsi="Book Antiqua"/>
          <w:lang w:val="en-US"/>
        </w:rPr>
        <w:t>‘</w:t>
      </w:r>
      <w:r w:rsidRPr="00361BCF">
        <w:rPr>
          <w:rFonts w:ascii="Book Antiqua" w:hAnsi="Book Antiqua"/>
          <w:lang w:val="en-US"/>
        </w:rPr>
        <w:t>Str</w:t>
      </w:r>
      <w:r w:rsidR="00251B52" w:rsidRPr="00361BCF">
        <w:rPr>
          <w:rFonts w:ascii="Book Antiqua" w:hAnsi="Book Antiqua"/>
          <w:lang w:val="en-US"/>
        </w:rPr>
        <w:t>ategic regulation of grain size</w:t>
      </w:r>
      <w:r w:rsidR="00171037" w:rsidRPr="00361BCF">
        <w:rPr>
          <w:rFonts w:ascii="Book Antiqua" w:hAnsi="Book Antiqua"/>
          <w:lang w:val="en-US"/>
        </w:rPr>
        <w:t xml:space="preserve"> </w:t>
      </w:r>
      <w:r w:rsidR="00C431BB">
        <w:rPr>
          <w:rFonts w:ascii="Book Antiqua" w:hAnsi="Book Antiqua"/>
          <w:lang w:val="en-US"/>
        </w:rPr>
        <w:t>in memory reporting over time</w:t>
      </w:r>
      <w:r w:rsidR="001C40F3" w:rsidRPr="00361BCF">
        <w:rPr>
          <w:rFonts w:ascii="Book Antiqua" w:hAnsi="Book Antiqua"/>
          <w:lang w:val="en-US"/>
        </w:rPr>
        <w:t>’,</w:t>
      </w:r>
      <w:r w:rsidR="00A815C2">
        <w:rPr>
          <w:rFonts w:ascii="Book Antiqua" w:hAnsi="Book Antiqua"/>
          <w:lang w:val="en-US"/>
        </w:rPr>
        <w:t xml:space="preserve"> </w:t>
      </w:r>
      <w:r w:rsidRPr="00361BCF">
        <w:rPr>
          <w:rFonts w:ascii="Book Antiqua" w:hAnsi="Book Antiqua"/>
          <w:i/>
          <w:iCs/>
          <w:lang w:val="en-US"/>
        </w:rPr>
        <w:t>Journal of Memory and Language, 52</w:t>
      </w:r>
      <w:r w:rsidR="001C40F3" w:rsidRPr="00361BCF">
        <w:rPr>
          <w:rFonts w:ascii="Book Antiqua" w:hAnsi="Book Antiqua"/>
          <w:lang w:val="en-US"/>
        </w:rPr>
        <w:t xml:space="preserve">: </w:t>
      </w:r>
      <w:r w:rsidRPr="00361BCF">
        <w:rPr>
          <w:rFonts w:ascii="Book Antiqua" w:hAnsi="Book Antiqua"/>
          <w:lang w:val="en-US"/>
        </w:rPr>
        <w:t>505-525.</w:t>
      </w:r>
      <w:proofErr w:type="gramEnd"/>
      <w:r w:rsidRPr="00361BCF">
        <w:rPr>
          <w:rFonts w:ascii="Book Antiqua" w:hAnsi="Book Antiqua"/>
          <w:lang w:val="en-US"/>
        </w:rPr>
        <w:t xml:space="preserve"> </w:t>
      </w:r>
      <w:r w:rsidRPr="00361BCF">
        <w:rPr>
          <w:rFonts w:ascii="Book Antiqua" w:eastAsia="MS Mincho" w:hAnsi="Book Antiqua" w:cs="MS Mincho"/>
          <w:lang w:val="en-US"/>
        </w:rPr>
        <w:t> </w:t>
      </w:r>
    </w:p>
    <w:p w14:paraId="1495E778"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Harris, J. and Grace, S. (1999), </w:t>
      </w:r>
      <w:r w:rsidR="00B648B3" w:rsidRPr="00361BCF">
        <w:rPr>
          <w:rFonts w:ascii="Book Antiqua" w:hAnsi="Book Antiqua"/>
        </w:rPr>
        <w:t>‘</w:t>
      </w:r>
      <w:r w:rsidRPr="00361BCF">
        <w:rPr>
          <w:rFonts w:ascii="Book Antiqua" w:hAnsi="Book Antiqua"/>
        </w:rPr>
        <w:t>A Question of Evidence? Investigating and Prosecuting Rape in the 1990s</w:t>
      </w:r>
      <w:r w:rsidR="00B648B3" w:rsidRPr="00361BCF">
        <w:rPr>
          <w:rFonts w:ascii="Book Antiqua" w:hAnsi="Book Antiqua"/>
        </w:rPr>
        <w:t>’</w:t>
      </w:r>
      <w:r w:rsidR="00B648B3" w:rsidRPr="00361BCF">
        <w:rPr>
          <w:rFonts w:ascii="Book Antiqua" w:hAnsi="Book Antiqua"/>
          <w:i/>
        </w:rPr>
        <w:t>,</w:t>
      </w:r>
      <w:r w:rsidRPr="00361BCF">
        <w:rPr>
          <w:rFonts w:ascii="Book Antiqua" w:hAnsi="Book Antiqua"/>
        </w:rPr>
        <w:t xml:space="preserve"> </w:t>
      </w:r>
      <w:r w:rsidRPr="00361BCF">
        <w:rPr>
          <w:rFonts w:ascii="Book Antiqua" w:hAnsi="Book Antiqua"/>
          <w:i/>
        </w:rPr>
        <w:t>Home Office Research Study 196</w:t>
      </w:r>
      <w:r w:rsidRPr="00361BCF">
        <w:rPr>
          <w:rFonts w:ascii="Book Antiqua" w:hAnsi="Book Antiqua"/>
        </w:rPr>
        <w:t xml:space="preserve">. London: Home Office. </w:t>
      </w:r>
    </w:p>
    <w:p w14:paraId="31E530C8" w14:textId="77777777" w:rsidR="00753223"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Hird</w:t>
      </w:r>
      <w:proofErr w:type="spellEnd"/>
      <w:r w:rsidRPr="00361BCF">
        <w:rPr>
          <w:rFonts w:ascii="Book Antiqua" w:hAnsi="Book Antiqua"/>
        </w:rPr>
        <w:t xml:space="preserve">, C. and </w:t>
      </w:r>
      <w:proofErr w:type="spellStart"/>
      <w:r w:rsidRPr="00361BCF">
        <w:rPr>
          <w:rFonts w:ascii="Book Antiqua" w:hAnsi="Book Antiqua"/>
        </w:rPr>
        <w:t>Ruperal</w:t>
      </w:r>
      <w:proofErr w:type="spellEnd"/>
      <w:r w:rsidRPr="00361BCF">
        <w:rPr>
          <w:rFonts w:ascii="Book Antiqua" w:hAnsi="Book Antiqua"/>
        </w:rPr>
        <w:t xml:space="preserve">, C. (2007), </w:t>
      </w:r>
      <w:r w:rsidR="00B648B3" w:rsidRPr="00361BCF">
        <w:rPr>
          <w:rFonts w:ascii="Book Antiqua" w:hAnsi="Book Antiqua"/>
        </w:rPr>
        <w:t>‘</w:t>
      </w:r>
      <w:r w:rsidRPr="00361BCF">
        <w:rPr>
          <w:rFonts w:ascii="Book Antiqua" w:hAnsi="Book Antiqua"/>
        </w:rPr>
        <w:t>Seasonality in recorded crime: preliminary findings</w:t>
      </w:r>
      <w:r w:rsidR="00B648B3" w:rsidRPr="00361BCF">
        <w:rPr>
          <w:rFonts w:ascii="Book Antiqua" w:hAnsi="Book Antiqua"/>
        </w:rPr>
        <w:t>’</w:t>
      </w:r>
      <w:r w:rsidRPr="00361BCF">
        <w:rPr>
          <w:rFonts w:ascii="Book Antiqua" w:hAnsi="Book Antiqua"/>
        </w:rPr>
        <w:t xml:space="preserve">, </w:t>
      </w:r>
      <w:r w:rsidRPr="00361BCF">
        <w:rPr>
          <w:rFonts w:ascii="Book Antiqua" w:hAnsi="Book Antiqua"/>
          <w:i/>
        </w:rPr>
        <w:t>Home Office Online Report 02/07</w:t>
      </w:r>
      <w:r w:rsidRPr="00361BCF">
        <w:rPr>
          <w:rFonts w:ascii="Book Antiqua" w:hAnsi="Book Antiqua"/>
        </w:rPr>
        <w:t>. London: Home Office.</w:t>
      </w:r>
    </w:p>
    <w:p w14:paraId="033A7679" w14:textId="77777777" w:rsidR="00CC23DA" w:rsidRPr="00361BCF" w:rsidRDefault="00CC23DA" w:rsidP="004A4CBA">
      <w:pPr>
        <w:spacing w:line="360" w:lineRule="auto"/>
        <w:ind w:left="567" w:hanging="567"/>
        <w:jc w:val="both"/>
        <w:rPr>
          <w:rFonts w:ascii="Book Antiqua" w:hAnsi="Book Antiqua"/>
        </w:rPr>
      </w:pPr>
      <w:proofErr w:type="gramStart"/>
      <w:r w:rsidRPr="00361BCF">
        <w:rPr>
          <w:rFonts w:ascii="Book Antiqua" w:hAnsi="Book Antiqua"/>
        </w:rPr>
        <w:t xml:space="preserve">HMCPSI/HMIC (2007), </w:t>
      </w:r>
      <w:r w:rsidRPr="00361BCF">
        <w:rPr>
          <w:rFonts w:ascii="Book Antiqua" w:hAnsi="Book Antiqua"/>
          <w:i/>
        </w:rPr>
        <w:t>Without Consent, A Report on the Joint Inspection into the Investigation and Prosecution of Cases Involving Allegations of Rape.</w:t>
      </w:r>
      <w:proofErr w:type="gramEnd"/>
      <w:r w:rsidRPr="00361BCF">
        <w:rPr>
          <w:rFonts w:ascii="Book Antiqua" w:hAnsi="Book Antiqua"/>
        </w:rPr>
        <w:t xml:space="preserve"> London: HMCPSI.</w:t>
      </w:r>
    </w:p>
    <w:p w14:paraId="74DFAAE3" w14:textId="77777777" w:rsidR="00CC23DA" w:rsidRPr="00361BCF" w:rsidRDefault="00CC23DA" w:rsidP="004A4CBA">
      <w:pPr>
        <w:spacing w:line="360" w:lineRule="auto"/>
        <w:ind w:left="567" w:hanging="567"/>
        <w:jc w:val="both"/>
        <w:rPr>
          <w:rFonts w:ascii="Book Antiqua" w:hAnsi="Book Antiqua"/>
        </w:rPr>
      </w:pPr>
      <w:r w:rsidRPr="00361BCF">
        <w:rPr>
          <w:rFonts w:ascii="Book Antiqua" w:hAnsi="Book Antiqua"/>
        </w:rPr>
        <w:t xml:space="preserve">HMIC (2014), </w:t>
      </w:r>
      <w:r w:rsidRPr="00361BCF">
        <w:rPr>
          <w:rFonts w:ascii="Book Antiqua" w:hAnsi="Book Antiqua"/>
          <w:i/>
        </w:rPr>
        <w:t xml:space="preserve">Rape Monitoring Group. Adult and child rape data 2012/13. </w:t>
      </w:r>
      <w:r w:rsidRPr="00361BCF">
        <w:rPr>
          <w:rFonts w:ascii="Book Antiqua" w:hAnsi="Book Antiqua"/>
        </w:rPr>
        <w:t>London: HMIC.</w:t>
      </w:r>
    </w:p>
    <w:p w14:paraId="6A1BFD3F" w14:textId="26F6414C" w:rsidR="003B6531" w:rsidRPr="00361BCF" w:rsidRDefault="003B6531" w:rsidP="004A4CBA">
      <w:pPr>
        <w:spacing w:line="360" w:lineRule="auto"/>
        <w:ind w:left="426" w:hanging="426"/>
        <w:jc w:val="both"/>
        <w:rPr>
          <w:rFonts w:ascii="Book Antiqua" w:hAnsi="Book Antiqua"/>
          <w:iCs/>
          <w:lang w:val="en-US"/>
        </w:rPr>
      </w:pPr>
      <w:r w:rsidRPr="00361BCF">
        <w:rPr>
          <w:rFonts w:ascii="Book Antiqua" w:hAnsi="Book Antiqua"/>
          <w:lang w:val="en-US"/>
        </w:rPr>
        <w:t xml:space="preserve">Hohl, K. and </w:t>
      </w:r>
      <w:proofErr w:type="spellStart"/>
      <w:r w:rsidRPr="00361BCF">
        <w:rPr>
          <w:rFonts w:ascii="Book Antiqua" w:hAnsi="Book Antiqua"/>
          <w:lang w:val="en-US"/>
        </w:rPr>
        <w:t>Stanko</w:t>
      </w:r>
      <w:proofErr w:type="spellEnd"/>
      <w:r w:rsidRPr="00361BCF">
        <w:rPr>
          <w:rFonts w:ascii="Book Antiqua" w:hAnsi="Book Antiqua"/>
          <w:lang w:val="en-US"/>
        </w:rPr>
        <w:t>, E.A. (2015)</w:t>
      </w:r>
      <w:r w:rsidR="00EE2A5F" w:rsidRPr="00361BCF">
        <w:rPr>
          <w:rFonts w:ascii="Book Antiqua" w:hAnsi="Book Antiqua"/>
          <w:lang w:val="en-US"/>
        </w:rPr>
        <w:t>,</w:t>
      </w:r>
      <w:r w:rsidRPr="00361BCF">
        <w:rPr>
          <w:rFonts w:ascii="Book Antiqua" w:hAnsi="Book Antiqua"/>
          <w:lang w:val="en-US"/>
        </w:rPr>
        <w:t xml:space="preserve"> ‘</w:t>
      </w:r>
      <w:r w:rsidRPr="00361BCF">
        <w:rPr>
          <w:rFonts w:ascii="Book Antiqua" w:hAnsi="Book Antiqua"/>
          <w:bCs/>
          <w:lang w:val="en-US"/>
        </w:rPr>
        <w:t>Complaints of rape and the criminal justice system: Fresh evidence on the attrition problem in England and Wales’</w:t>
      </w:r>
      <w:r w:rsidRPr="00361BCF">
        <w:rPr>
          <w:rFonts w:ascii="Book Antiqua" w:hAnsi="Book Antiqua"/>
          <w:i/>
          <w:lang w:val="en-US"/>
        </w:rPr>
        <w:t xml:space="preserve">, </w:t>
      </w:r>
      <w:r w:rsidRPr="00361BCF">
        <w:rPr>
          <w:rFonts w:ascii="Book Antiqua" w:hAnsi="Book Antiqua"/>
          <w:i/>
          <w:iCs/>
          <w:lang w:val="en-US"/>
        </w:rPr>
        <w:t>European Journal of Criminology</w:t>
      </w:r>
      <w:r w:rsidRPr="00361BCF">
        <w:rPr>
          <w:rFonts w:ascii="Book Antiqua" w:hAnsi="Book Antiqua"/>
          <w:iCs/>
          <w:lang w:val="en-US"/>
        </w:rPr>
        <w:t>, 12(3): 324-341.</w:t>
      </w:r>
    </w:p>
    <w:p w14:paraId="4AA03A17" w14:textId="77777777" w:rsidR="00013D53" w:rsidRPr="00361BCF" w:rsidRDefault="00303030" w:rsidP="004A4CBA">
      <w:pPr>
        <w:spacing w:line="360" w:lineRule="auto"/>
        <w:ind w:left="567" w:hanging="567"/>
        <w:jc w:val="both"/>
        <w:rPr>
          <w:rFonts w:ascii="Book Antiqua" w:hAnsi="Book Antiqua"/>
        </w:rPr>
      </w:pPr>
      <w:proofErr w:type="gramStart"/>
      <w:r w:rsidRPr="00361BCF">
        <w:rPr>
          <w:rFonts w:ascii="Book Antiqua" w:hAnsi="Book Antiqua"/>
        </w:rPr>
        <w:t xml:space="preserve">Home Office (2014), </w:t>
      </w:r>
      <w:r w:rsidRPr="00361BCF">
        <w:rPr>
          <w:rFonts w:ascii="Book Antiqua" w:hAnsi="Book Antiqua"/>
          <w:i/>
        </w:rPr>
        <w:t>Home Office Counting Rules For Recorded Crime – Sexual Offences</w:t>
      </w:r>
      <w:r w:rsidRPr="00361BCF">
        <w:rPr>
          <w:rFonts w:ascii="Book Antiqua" w:hAnsi="Book Antiqua"/>
        </w:rPr>
        <w:t>.</w:t>
      </w:r>
      <w:proofErr w:type="gramEnd"/>
      <w:r w:rsidRPr="00361BCF">
        <w:rPr>
          <w:rFonts w:ascii="Book Antiqua" w:hAnsi="Book Antiqua"/>
        </w:rPr>
        <w:t xml:space="preserve"> London: Home Office, available online:</w:t>
      </w:r>
    </w:p>
    <w:p w14:paraId="06B115D3" w14:textId="5BEBC017" w:rsidR="004D5711" w:rsidRPr="00CE11C7" w:rsidRDefault="00013D53" w:rsidP="004A4CBA">
      <w:pPr>
        <w:spacing w:line="360" w:lineRule="auto"/>
        <w:ind w:left="567" w:hanging="567"/>
        <w:jc w:val="both"/>
        <w:rPr>
          <w:rFonts w:ascii="Book Antiqua" w:hAnsi="Book Antiqua"/>
        </w:rPr>
      </w:pPr>
      <w:r w:rsidRPr="00361BCF">
        <w:rPr>
          <w:rFonts w:ascii="Book Antiqua" w:hAnsi="Book Antiqua"/>
        </w:rPr>
        <w:tab/>
      </w:r>
      <w:hyperlink r:id="rId10" w:history="1">
        <w:r w:rsidR="00303030" w:rsidRPr="00CE11C7">
          <w:rPr>
            <w:rStyle w:val="Hyperlink"/>
            <w:rFonts w:ascii="Book Antiqua" w:hAnsi="Book Antiqua"/>
            <w:color w:val="auto"/>
          </w:rPr>
          <w:t>https://www.gov.uk/government/uploads/system/uploads/attachment_data/file/299319/count-sexual-april-2014.pdf</w:t>
        </w:r>
      </w:hyperlink>
    </w:p>
    <w:p w14:paraId="529EF394" w14:textId="77777777" w:rsidR="0042300E" w:rsidRPr="00361BCF" w:rsidRDefault="0042300E" w:rsidP="004A4CBA">
      <w:pPr>
        <w:spacing w:line="360" w:lineRule="auto"/>
        <w:ind w:left="567" w:hanging="567"/>
        <w:jc w:val="both"/>
        <w:rPr>
          <w:rFonts w:ascii="Book Antiqua" w:hAnsi="Book Antiqua"/>
          <w:lang w:val="en-US"/>
        </w:rPr>
      </w:pPr>
      <w:r w:rsidRPr="007E6D39">
        <w:rPr>
          <w:rFonts w:ascii="Book Antiqua" w:hAnsi="Book Antiqua"/>
          <w:lang w:val="en-US"/>
        </w:rPr>
        <w:t xml:space="preserve">Holmes, E.A., Grey, N. </w:t>
      </w:r>
      <w:r w:rsidR="00B648B3" w:rsidRPr="00361BCF">
        <w:rPr>
          <w:rFonts w:ascii="Book Antiqua" w:hAnsi="Book Antiqua"/>
          <w:lang w:val="en-US"/>
        </w:rPr>
        <w:t>and</w:t>
      </w:r>
      <w:r w:rsidRPr="00361BCF">
        <w:rPr>
          <w:rFonts w:ascii="Book Antiqua" w:hAnsi="Book Antiqua"/>
          <w:lang w:val="en-US"/>
        </w:rPr>
        <w:t xml:space="preserve"> Young, K.A.D. (2005)</w:t>
      </w:r>
      <w:r w:rsidR="00B648B3" w:rsidRPr="00361BCF">
        <w:rPr>
          <w:rFonts w:ascii="Book Antiqua" w:hAnsi="Book Antiqua"/>
          <w:lang w:val="en-US"/>
        </w:rPr>
        <w:t>, ‘</w:t>
      </w:r>
      <w:r w:rsidRPr="00361BCF">
        <w:rPr>
          <w:rFonts w:ascii="Book Antiqua" w:hAnsi="Book Antiqua"/>
          <w:lang w:val="en-US"/>
        </w:rPr>
        <w:t>Intrusive images and ‘hotspots’ of trauma memories in posttraumatic stress disorder: An exploratory investigation of emotions and cognitive themes</w:t>
      </w:r>
      <w:r w:rsidR="00B648B3" w:rsidRPr="00361BCF">
        <w:rPr>
          <w:rFonts w:ascii="Book Antiqua" w:hAnsi="Book Antiqua"/>
          <w:lang w:val="en-US"/>
        </w:rPr>
        <w:t xml:space="preserve">’, </w:t>
      </w:r>
      <w:r w:rsidRPr="00361BCF">
        <w:rPr>
          <w:rFonts w:ascii="Book Antiqua" w:hAnsi="Book Antiqua"/>
          <w:i/>
          <w:iCs/>
          <w:lang w:val="en-US"/>
        </w:rPr>
        <w:t>Journal of Behavior Therapy and Experimental Psychiatry, 36</w:t>
      </w:r>
      <w:r w:rsidRPr="00361BCF">
        <w:rPr>
          <w:rFonts w:ascii="Book Antiqua" w:hAnsi="Book Antiqua"/>
          <w:lang w:val="en-US"/>
        </w:rPr>
        <w:t>(1)</w:t>
      </w:r>
      <w:r w:rsidR="00B648B3" w:rsidRPr="00361BCF">
        <w:rPr>
          <w:rFonts w:ascii="Book Antiqua" w:hAnsi="Book Antiqua"/>
          <w:lang w:val="en-US"/>
        </w:rPr>
        <w:t>:</w:t>
      </w:r>
      <w:r w:rsidRPr="00361BCF">
        <w:rPr>
          <w:rFonts w:ascii="Book Antiqua" w:hAnsi="Book Antiqua"/>
          <w:lang w:val="en-US"/>
        </w:rPr>
        <w:t xml:space="preserve"> 3–17. </w:t>
      </w:r>
    </w:p>
    <w:p w14:paraId="2536A477" w14:textId="3C98D8A3" w:rsidR="00263657" w:rsidRPr="00361BCF" w:rsidRDefault="00263657" w:rsidP="004A4CBA">
      <w:pPr>
        <w:spacing w:line="360" w:lineRule="auto"/>
        <w:ind w:left="567" w:hanging="567"/>
        <w:jc w:val="both"/>
        <w:rPr>
          <w:rFonts w:ascii="Book Antiqua" w:hAnsi="Book Antiqua"/>
          <w:lang w:val="en-US"/>
        </w:rPr>
      </w:pPr>
      <w:r w:rsidRPr="00361BCF">
        <w:rPr>
          <w:rFonts w:ascii="Book Antiqua" w:hAnsi="Book Antiqua"/>
          <w:lang w:val="en-US"/>
        </w:rPr>
        <w:t>Howe, M. L. (2013)</w:t>
      </w:r>
      <w:r w:rsidR="00B648B3" w:rsidRPr="00361BCF">
        <w:rPr>
          <w:rFonts w:ascii="Book Antiqua" w:hAnsi="Book Antiqua"/>
          <w:lang w:val="en-US"/>
        </w:rPr>
        <w:t>,’</w:t>
      </w:r>
      <w:r w:rsidRPr="00361BCF">
        <w:rPr>
          <w:rFonts w:ascii="Book Antiqua" w:hAnsi="Book Antiqua"/>
          <w:lang w:val="en-US"/>
        </w:rPr>
        <w:t>Memory development: Implications for adults recalling childhood experiences in the courtroom</w:t>
      </w:r>
      <w:r w:rsidR="00B648B3" w:rsidRPr="00361BCF">
        <w:rPr>
          <w:rFonts w:ascii="Book Antiqua" w:hAnsi="Book Antiqua"/>
          <w:lang w:val="en-US"/>
        </w:rPr>
        <w:t>’,</w:t>
      </w:r>
      <w:r w:rsidRPr="00361BCF">
        <w:rPr>
          <w:rFonts w:ascii="Book Antiqua" w:hAnsi="Book Antiqua"/>
          <w:lang w:val="en-US"/>
        </w:rPr>
        <w:t xml:space="preserve"> </w:t>
      </w:r>
      <w:r w:rsidRPr="00361BCF">
        <w:rPr>
          <w:rFonts w:ascii="Book Antiqua" w:hAnsi="Book Antiqua"/>
          <w:i/>
          <w:lang w:val="en-US"/>
        </w:rPr>
        <w:t>Nature Reviews Neuroscience, 14</w:t>
      </w:r>
      <w:r w:rsidR="00B648B3" w:rsidRPr="00361BCF">
        <w:rPr>
          <w:rFonts w:ascii="Book Antiqua" w:hAnsi="Book Antiqua"/>
          <w:i/>
          <w:lang w:val="en-US"/>
        </w:rPr>
        <w:t>:</w:t>
      </w:r>
      <w:r w:rsidRPr="00361BCF">
        <w:rPr>
          <w:rFonts w:ascii="Book Antiqua" w:hAnsi="Book Antiqua"/>
          <w:lang w:val="en-US"/>
        </w:rPr>
        <w:t xml:space="preserve"> 869-876.</w:t>
      </w:r>
    </w:p>
    <w:p w14:paraId="3C501FDB" w14:textId="77777777" w:rsidR="00753223" w:rsidRPr="00361BCF" w:rsidRDefault="00753223" w:rsidP="004A4CBA">
      <w:pPr>
        <w:spacing w:line="360" w:lineRule="auto"/>
        <w:ind w:left="567" w:hanging="567"/>
        <w:jc w:val="both"/>
        <w:rPr>
          <w:rFonts w:ascii="Book Antiqua" w:hAnsi="Book Antiqua"/>
        </w:rPr>
      </w:pPr>
      <w:proofErr w:type="gramStart"/>
      <w:r w:rsidRPr="00361BCF">
        <w:rPr>
          <w:rFonts w:ascii="Book Antiqua" w:hAnsi="Book Antiqua"/>
        </w:rPr>
        <w:lastRenderedPageBreak/>
        <w:t>Jordan, J. (2001), ‘Worlds Apart?</w:t>
      </w:r>
      <w:proofErr w:type="gramEnd"/>
      <w:r w:rsidRPr="00361BCF">
        <w:rPr>
          <w:rFonts w:ascii="Book Antiqua" w:hAnsi="Book Antiqua"/>
        </w:rPr>
        <w:t xml:space="preserve"> </w:t>
      </w:r>
      <w:proofErr w:type="gramStart"/>
      <w:r w:rsidRPr="00361BCF">
        <w:rPr>
          <w:rFonts w:ascii="Book Antiqua" w:hAnsi="Book Antiqua"/>
        </w:rPr>
        <w:t xml:space="preserve">Women, Rape and the Police Reporting Process’, </w:t>
      </w:r>
      <w:r w:rsidRPr="00361BCF">
        <w:rPr>
          <w:rFonts w:ascii="Book Antiqua" w:hAnsi="Book Antiqua"/>
          <w:i/>
          <w:iCs/>
        </w:rPr>
        <w:t xml:space="preserve">British Journal of Criminology, </w:t>
      </w:r>
      <w:r w:rsidRPr="00361BCF">
        <w:rPr>
          <w:rFonts w:ascii="Book Antiqua" w:hAnsi="Book Antiqua"/>
        </w:rPr>
        <w:t>41(4): 679–706.</w:t>
      </w:r>
      <w:proofErr w:type="gramEnd"/>
    </w:p>
    <w:p w14:paraId="61851765" w14:textId="77777777" w:rsidR="00753223" w:rsidRPr="00361BCF" w:rsidRDefault="00753223" w:rsidP="004A4CBA">
      <w:pPr>
        <w:spacing w:line="360" w:lineRule="auto"/>
        <w:ind w:left="567" w:hanging="567"/>
        <w:jc w:val="both"/>
        <w:rPr>
          <w:rFonts w:ascii="Book Antiqua" w:hAnsi="Book Antiqua"/>
          <w:lang w:eastAsia="en-GB"/>
        </w:rPr>
      </w:pPr>
      <w:proofErr w:type="spellStart"/>
      <w:r w:rsidRPr="00361BCF">
        <w:rPr>
          <w:rFonts w:ascii="Book Antiqua" w:hAnsi="Book Antiqua"/>
          <w:lang w:eastAsia="en-GB"/>
        </w:rPr>
        <w:t>Kebbell</w:t>
      </w:r>
      <w:proofErr w:type="spellEnd"/>
      <w:r w:rsidRPr="00361BCF">
        <w:rPr>
          <w:rFonts w:ascii="Book Antiqua" w:hAnsi="Book Antiqua"/>
          <w:lang w:eastAsia="en-GB"/>
        </w:rPr>
        <w:t xml:space="preserve">, M., O’Kelly, C., Gilchrist, E. (2007), </w:t>
      </w:r>
      <w:r w:rsidR="00B648B3" w:rsidRPr="00361BCF">
        <w:rPr>
          <w:rFonts w:ascii="Book Antiqua" w:hAnsi="Book Antiqua"/>
          <w:lang w:eastAsia="en-GB"/>
        </w:rPr>
        <w:t>‘</w:t>
      </w:r>
      <w:r w:rsidRPr="00361BCF">
        <w:rPr>
          <w:rFonts w:ascii="Book Antiqua" w:hAnsi="Book Antiqua"/>
          <w:lang w:eastAsia="en-GB"/>
        </w:rPr>
        <w:t>Rape Victims’ Experiences of Giving Evidence in English Courts: A Survey, Psychiatry</w:t>
      </w:r>
      <w:r w:rsidR="00B648B3" w:rsidRPr="00361BCF">
        <w:rPr>
          <w:rFonts w:ascii="Book Antiqua" w:hAnsi="Book Antiqua"/>
          <w:lang w:eastAsia="en-GB"/>
        </w:rPr>
        <w:t>’</w:t>
      </w:r>
      <w:r w:rsidRPr="00361BCF">
        <w:rPr>
          <w:rFonts w:ascii="Book Antiqua" w:hAnsi="Book Antiqua"/>
          <w:lang w:eastAsia="en-GB"/>
        </w:rPr>
        <w:t xml:space="preserve">, </w:t>
      </w:r>
      <w:r w:rsidRPr="00361BCF">
        <w:rPr>
          <w:rFonts w:ascii="Book Antiqua" w:hAnsi="Book Antiqua"/>
          <w:i/>
          <w:lang w:eastAsia="en-GB"/>
        </w:rPr>
        <w:t>Psychology and Law</w:t>
      </w:r>
      <w:r w:rsidRPr="00361BCF">
        <w:rPr>
          <w:rFonts w:ascii="Book Antiqua" w:hAnsi="Book Antiqua"/>
          <w:lang w:eastAsia="en-GB"/>
        </w:rPr>
        <w:t>, 14(11): 111-119.</w:t>
      </w:r>
    </w:p>
    <w:p w14:paraId="49DF5BA7"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Kelly, L. (2002), </w:t>
      </w:r>
      <w:r w:rsidRPr="00361BCF">
        <w:rPr>
          <w:rFonts w:ascii="Book Antiqua" w:hAnsi="Book Antiqua"/>
          <w:i/>
        </w:rPr>
        <w:t>Routes to (</w:t>
      </w:r>
      <w:proofErr w:type="gramStart"/>
      <w:r w:rsidRPr="00361BCF">
        <w:rPr>
          <w:rFonts w:ascii="Book Antiqua" w:hAnsi="Book Antiqua"/>
          <w:i/>
        </w:rPr>
        <w:t>in)justice</w:t>
      </w:r>
      <w:proofErr w:type="gramEnd"/>
      <w:r w:rsidRPr="00361BCF">
        <w:rPr>
          <w:rFonts w:ascii="Book Antiqua" w:hAnsi="Book Antiqua"/>
          <w:i/>
        </w:rPr>
        <w:t>: A research review on the reporting, investigation and prosecution of rape cases</w:t>
      </w:r>
      <w:r w:rsidRPr="00361BCF">
        <w:rPr>
          <w:rFonts w:ascii="Book Antiqua" w:hAnsi="Book Antiqua"/>
        </w:rPr>
        <w:t>. London: HMCPSI.</w:t>
      </w:r>
    </w:p>
    <w:p w14:paraId="4CC5B15A" w14:textId="02D72FF8" w:rsidR="003B6531" w:rsidRPr="00361BCF" w:rsidRDefault="003B6531" w:rsidP="004A4CBA">
      <w:pPr>
        <w:pStyle w:val="REF"/>
        <w:spacing w:line="360" w:lineRule="auto"/>
        <w:rPr>
          <w:rFonts w:ascii="Book Antiqua" w:hAnsi="Book Antiqua"/>
          <w:noProof/>
          <w:sz w:val="24"/>
          <w:szCs w:val="24"/>
          <w:lang w:val="en-GB" w:eastAsia="en-GB"/>
        </w:rPr>
      </w:pPr>
      <w:r w:rsidRPr="00361BCF">
        <w:rPr>
          <w:rFonts w:ascii="Book Antiqua" w:hAnsi="Book Antiqua"/>
          <w:noProof/>
          <w:sz w:val="24"/>
          <w:szCs w:val="24"/>
          <w:lang w:val="en-GB"/>
        </w:rPr>
        <w:t>Kelly, L. (2010) ‘</w:t>
      </w:r>
      <w:r w:rsidRPr="00361BCF">
        <w:rPr>
          <w:rFonts w:ascii="Book Antiqua" w:hAnsi="Book Antiqua"/>
          <w:noProof/>
          <w:sz w:val="24"/>
          <w:szCs w:val="24"/>
          <w:lang w:val="en-GB" w:eastAsia="en-GB"/>
        </w:rPr>
        <w:t>The (in)credible words of women: False allegations in European rape research’,</w:t>
      </w:r>
      <w:r w:rsidRPr="00361BCF">
        <w:rPr>
          <w:rFonts w:ascii="Book Antiqua" w:hAnsi="Book Antiqua"/>
          <w:i/>
          <w:noProof/>
          <w:sz w:val="24"/>
          <w:szCs w:val="24"/>
          <w:lang w:val="en-GB" w:eastAsia="en-GB"/>
        </w:rPr>
        <w:t xml:space="preserve">Violence against Women </w:t>
      </w:r>
      <w:r w:rsidRPr="00361BCF">
        <w:rPr>
          <w:rFonts w:ascii="Book Antiqua" w:hAnsi="Book Antiqua"/>
          <w:noProof/>
          <w:sz w:val="24"/>
          <w:szCs w:val="24"/>
          <w:lang w:val="en-GB" w:eastAsia="en-GB"/>
        </w:rPr>
        <w:t>16(12): 1345–1355.</w:t>
      </w:r>
    </w:p>
    <w:p w14:paraId="18CBE6F8" w14:textId="77777777" w:rsidR="00753223" w:rsidRPr="00361BCF" w:rsidRDefault="00753223" w:rsidP="004A4CBA">
      <w:pPr>
        <w:spacing w:line="360" w:lineRule="auto"/>
        <w:ind w:left="567" w:hanging="567"/>
        <w:jc w:val="both"/>
        <w:rPr>
          <w:rFonts w:ascii="Book Antiqua" w:hAnsi="Book Antiqua"/>
        </w:rPr>
      </w:pPr>
      <w:proofErr w:type="gramStart"/>
      <w:r w:rsidRPr="00361BCF">
        <w:rPr>
          <w:rFonts w:ascii="Book Antiqua" w:hAnsi="Book Antiqua"/>
        </w:rPr>
        <w:t xml:space="preserve">Kelly, L., Lovett, J. and Regan, L. (2005), </w:t>
      </w:r>
      <w:r w:rsidRPr="00361BCF">
        <w:rPr>
          <w:rFonts w:ascii="Book Antiqua" w:hAnsi="Book Antiqua"/>
          <w:i/>
        </w:rPr>
        <w:t>A gap or a chasm?</w:t>
      </w:r>
      <w:proofErr w:type="gramEnd"/>
      <w:r w:rsidRPr="00361BCF">
        <w:rPr>
          <w:rFonts w:ascii="Book Antiqua" w:hAnsi="Book Antiqua"/>
          <w:i/>
        </w:rPr>
        <w:t xml:space="preserve"> Attrition in reported rape cases</w:t>
      </w:r>
      <w:r w:rsidRPr="00361BCF">
        <w:rPr>
          <w:rFonts w:ascii="Book Antiqua" w:hAnsi="Book Antiqua"/>
        </w:rPr>
        <w:t xml:space="preserve">, Home Office Research Study No. 293, </w:t>
      </w:r>
      <w:proofErr w:type="gramStart"/>
      <w:r w:rsidRPr="00361BCF">
        <w:rPr>
          <w:rFonts w:ascii="Book Antiqua" w:hAnsi="Book Antiqua"/>
        </w:rPr>
        <w:t>London</w:t>
      </w:r>
      <w:proofErr w:type="gramEnd"/>
      <w:r w:rsidRPr="00361BCF">
        <w:rPr>
          <w:rFonts w:ascii="Book Antiqua" w:hAnsi="Book Antiqua"/>
        </w:rPr>
        <w:t>: HMSO.</w:t>
      </w:r>
    </w:p>
    <w:p w14:paraId="7E696C68"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Lea S., </w:t>
      </w:r>
      <w:proofErr w:type="spellStart"/>
      <w:r w:rsidRPr="00361BCF">
        <w:rPr>
          <w:rFonts w:ascii="Book Antiqua" w:hAnsi="Book Antiqua"/>
        </w:rPr>
        <w:t>Lanvers</w:t>
      </w:r>
      <w:proofErr w:type="spellEnd"/>
      <w:r w:rsidRPr="00361BCF">
        <w:rPr>
          <w:rFonts w:ascii="Book Antiqua" w:hAnsi="Book Antiqua"/>
        </w:rPr>
        <w:t xml:space="preserve">, U. and Shaw, S. (2003), </w:t>
      </w:r>
      <w:r w:rsidR="00B648B3" w:rsidRPr="00361BCF">
        <w:rPr>
          <w:rFonts w:ascii="Book Antiqua" w:hAnsi="Book Antiqua"/>
        </w:rPr>
        <w:t>‘</w:t>
      </w:r>
      <w:r w:rsidRPr="00361BCF">
        <w:rPr>
          <w:rFonts w:ascii="Book Antiqua" w:hAnsi="Book Antiqua"/>
        </w:rPr>
        <w:t>Attrition in Rape Cases: Developing a Profile and Identifying Relevant Factors</w:t>
      </w:r>
      <w:r w:rsidR="00B648B3" w:rsidRPr="00361BCF">
        <w:rPr>
          <w:rFonts w:ascii="Book Antiqua" w:hAnsi="Book Antiqua"/>
        </w:rPr>
        <w:t>’</w:t>
      </w:r>
      <w:r w:rsidRPr="00361BCF">
        <w:rPr>
          <w:rFonts w:ascii="Book Antiqua" w:hAnsi="Book Antiqua"/>
        </w:rPr>
        <w:t xml:space="preserve">, </w:t>
      </w:r>
      <w:r w:rsidRPr="00361BCF">
        <w:rPr>
          <w:rFonts w:ascii="Book Antiqua" w:hAnsi="Book Antiqua"/>
          <w:i/>
        </w:rPr>
        <w:t>British Journal of Criminology,</w:t>
      </w:r>
      <w:r w:rsidRPr="00361BCF">
        <w:rPr>
          <w:rFonts w:ascii="Book Antiqua" w:hAnsi="Book Antiqua"/>
        </w:rPr>
        <w:t xml:space="preserve"> 43(3): 583-599.</w:t>
      </w:r>
    </w:p>
    <w:p w14:paraId="6BC114A1" w14:textId="5032C004" w:rsidR="00185D4F" w:rsidRPr="00361BCF" w:rsidRDefault="00185D4F" w:rsidP="004A4CBA">
      <w:pPr>
        <w:widowControl w:val="0"/>
        <w:autoSpaceDE w:val="0"/>
        <w:autoSpaceDN w:val="0"/>
        <w:adjustRightInd w:val="0"/>
        <w:spacing w:line="360" w:lineRule="auto"/>
        <w:ind w:left="567" w:hanging="567"/>
        <w:jc w:val="both"/>
        <w:rPr>
          <w:rFonts w:ascii="Book Antiqua" w:hAnsi="Book Antiqua"/>
          <w:lang w:val="en-US" w:eastAsia="en-GB"/>
        </w:rPr>
      </w:pPr>
      <w:proofErr w:type="spellStart"/>
      <w:proofErr w:type="gramStart"/>
      <w:r w:rsidRPr="00361BCF">
        <w:rPr>
          <w:rFonts w:ascii="Book Antiqua" w:hAnsi="Book Antiqua"/>
          <w:lang w:val="en-US" w:eastAsia="en-GB"/>
        </w:rPr>
        <w:t>Magnussen</w:t>
      </w:r>
      <w:proofErr w:type="spellEnd"/>
      <w:r w:rsidRPr="00361BCF">
        <w:rPr>
          <w:rFonts w:ascii="Book Antiqua" w:hAnsi="Book Antiqua"/>
          <w:lang w:val="en-US" w:eastAsia="en-GB"/>
        </w:rPr>
        <w:t xml:space="preserve">, S., </w:t>
      </w:r>
      <w:proofErr w:type="spellStart"/>
      <w:r w:rsidRPr="00361BCF">
        <w:rPr>
          <w:rFonts w:ascii="Book Antiqua" w:hAnsi="Book Antiqua"/>
          <w:lang w:val="en-US" w:eastAsia="en-GB"/>
        </w:rPr>
        <w:t>Andersson</w:t>
      </w:r>
      <w:proofErr w:type="spellEnd"/>
      <w:r w:rsidRPr="00361BCF">
        <w:rPr>
          <w:rFonts w:ascii="Book Antiqua" w:hAnsi="Book Antiqua"/>
          <w:lang w:val="en-US" w:eastAsia="en-GB"/>
        </w:rPr>
        <w:t xml:space="preserve">, J., </w:t>
      </w:r>
      <w:proofErr w:type="spellStart"/>
      <w:r w:rsidRPr="00361BCF">
        <w:rPr>
          <w:rFonts w:ascii="Book Antiqua" w:hAnsi="Book Antiqua"/>
          <w:lang w:val="en-US" w:eastAsia="en-GB"/>
        </w:rPr>
        <w:t>Cornoldi</w:t>
      </w:r>
      <w:proofErr w:type="spellEnd"/>
      <w:r w:rsidRPr="00361BCF">
        <w:rPr>
          <w:rFonts w:ascii="Book Antiqua" w:hAnsi="Book Antiqua"/>
          <w:lang w:val="en-US" w:eastAsia="en-GB"/>
        </w:rPr>
        <w:t xml:space="preserve">, C., De </w:t>
      </w:r>
      <w:proofErr w:type="spellStart"/>
      <w:r w:rsidRPr="00361BCF">
        <w:rPr>
          <w:rFonts w:ascii="Book Antiqua" w:hAnsi="Book Antiqua"/>
          <w:lang w:val="en-US" w:eastAsia="en-GB"/>
        </w:rPr>
        <w:t>Beni</w:t>
      </w:r>
      <w:proofErr w:type="spellEnd"/>
      <w:r w:rsidRPr="00361BCF">
        <w:rPr>
          <w:rFonts w:ascii="Book Antiqua" w:hAnsi="Book Antiqua"/>
          <w:lang w:val="en-US" w:eastAsia="en-GB"/>
        </w:rPr>
        <w:t xml:space="preserve">, R., </w:t>
      </w:r>
      <w:proofErr w:type="spellStart"/>
      <w:r w:rsidRPr="00361BCF">
        <w:rPr>
          <w:rFonts w:ascii="Book Antiqua" w:hAnsi="Book Antiqua"/>
          <w:lang w:val="en-US" w:eastAsia="en-GB"/>
        </w:rPr>
        <w:t>Ende</w:t>
      </w:r>
      <w:r w:rsidR="007E1906" w:rsidRPr="00361BCF">
        <w:rPr>
          <w:rFonts w:ascii="Book Antiqua" w:hAnsi="Book Antiqua"/>
          <w:lang w:val="en-US" w:eastAsia="en-GB"/>
        </w:rPr>
        <w:t>stad</w:t>
      </w:r>
      <w:proofErr w:type="spellEnd"/>
      <w:r w:rsidR="007E1906" w:rsidRPr="00361BCF">
        <w:rPr>
          <w:rFonts w:ascii="Book Antiqua" w:hAnsi="Book Antiqua"/>
          <w:lang w:val="en-US" w:eastAsia="en-GB"/>
        </w:rPr>
        <w:t xml:space="preserve">, T., Goodman, G., </w:t>
      </w:r>
      <w:r w:rsidR="007E1906" w:rsidRPr="00361BCF">
        <w:rPr>
          <w:rFonts w:ascii="Book Antiqua" w:hAnsi="Book Antiqua" w:cs="Arial"/>
          <w:color w:val="1A1A1A"/>
          <w:lang w:val="en-US" w:eastAsia="en-GB"/>
        </w:rPr>
        <w:t xml:space="preserve">Gail S., </w:t>
      </w:r>
      <w:proofErr w:type="spellStart"/>
      <w:r w:rsidR="007E1906" w:rsidRPr="00361BCF">
        <w:rPr>
          <w:rFonts w:ascii="Book Antiqua" w:hAnsi="Book Antiqua" w:cs="Arial"/>
          <w:color w:val="1A1A1A"/>
          <w:lang w:val="en-US" w:eastAsia="en-GB"/>
        </w:rPr>
        <w:t>Helstrup</w:t>
      </w:r>
      <w:proofErr w:type="spellEnd"/>
      <w:r w:rsidR="007E1906" w:rsidRPr="00361BCF">
        <w:rPr>
          <w:rFonts w:ascii="Book Antiqua" w:hAnsi="Book Antiqua" w:cs="Arial"/>
          <w:color w:val="1A1A1A"/>
          <w:lang w:val="en-US" w:eastAsia="en-GB"/>
        </w:rPr>
        <w:t xml:space="preserve">, T., </w:t>
      </w:r>
      <w:proofErr w:type="spellStart"/>
      <w:r w:rsidR="007E1906" w:rsidRPr="00361BCF">
        <w:rPr>
          <w:rFonts w:ascii="Book Antiqua" w:hAnsi="Book Antiqua" w:cs="Arial"/>
          <w:color w:val="1A1A1A"/>
          <w:lang w:val="en-US" w:eastAsia="en-GB"/>
        </w:rPr>
        <w:t>Koriat</w:t>
      </w:r>
      <w:proofErr w:type="spellEnd"/>
      <w:r w:rsidR="007E1906" w:rsidRPr="00361BCF">
        <w:rPr>
          <w:rFonts w:ascii="Book Antiqua" w:hAnsi="Book Antiqua" w:cs="Arial"/>
          <w:color w:val="1A1A1A"/>
          <w:lang w:val="en-US" w:eastAsia="en-GB"/>
        </w:rPr>
        <w:t xml:space="preserve">, A., Larsson, M., </w:t>
      </w:r>
      <w:proofErr w:type="spellStart"/>
      <w:r w:rsidR="007E1906" w:rsidRPr="00361BCF">
        <w:rPr>
          <w:rFonts w:ascii="Book Antiqua" w:hAnsi="Book Antiqua" w:cs="Arial"/>
          <w:color w:val="1A1A1A"/>
          <w:lang w:val="en-US" w:eastAsia="en-GB"/>
        </w:rPr>
        <w:t>Melinder</w:t>
      </w:r>
      <w:proofErr w:type="spellEnd"/>
      <w:r w:rsidR="007E1906" w:rsidRPr="00361BCF">
        <w:rPr>
          <w:rFonts w:ascii="Book Antiqua" w:hAnsi="Book Antiqua" w:cs="Arial"/>
          <w:color w:val="1A1A1A"/>
          <w:lang w:val="en-US" w:eastAsia="en-GB"/>
        </w:rPr>
        <w:t xml:space="preserve">, A., Nilsson, L., </w:t>
      </w:r>
      <w:proofErr w:type="spellStart"/>
      <w:r w:rsidR="007E1906" w:rsidRPr="00361BCF">
        <w:rPr>
          <w:rFonts w:ascii="Book Antiqua" w:hAnsi="Book Antiqua" w:cs="Arial"/>
          <w:color w:val="1A1A1A"/>
          <w:lang w:val="en-US" w:eastAsia="en-GB"/>
        </w:rPr>
        <w:t>Rönnberg</w:t>
      </w:r>
      <w:proofErr w:type="spellEnd"/>
      <w:r w:rsidR="007E1906" w:rsidRPr="00361BCF">
        <w:rPr>
          <w:rFonts w:ascii="Book Antiqua" w:hAnsi="Book Antiqua" w:cs="Arial"/>
          <w:color w:val="1A1A1A"/>
          <w:lang w:val="en-US" w:eastAsia="en-GB"/>
        </w:rPr>
        <w:t>, J. and Zimmer, H.</w:t>
      </w:r>
      <w:proofErr w:type="gramEnd"/>
      <w:r w:rsidR="007E1906" w:rsidRPr="00361BCF">
        <w:rPr>
          <w:rFonts w:ascii="Book Antiqua" w:hAnsi="Book Antiqua" w:cs="Arial"/>
          <w:color w:val="1A1A1A"/>
          <w:lang w:val="en-US" w:eastAsia="en-GB"/>
        </w:rPr>
        <w:t> </w:t>
      </w:r>
      <w:r w:rsidR="007E1906" w:rsidRPr="00361BCF">
        <w:rPr>
          <w:rFonts w:ascii="Book Antiqua" w:hAnsi="Book Antiqua"/>
          <w:lang w:val="en-US" w:eastAsia="en-GB"/>
        </w:rPr>
        <w:t xml:space="preserve"> </w:t>
      </w:r>
      <w:proofErr w:type="gramStart"/>
      <w:r w:rsidR="007E1906" w:rsidRPr="00361BCF">
        <w:rPr>
          <w:rFonts w:ascii="Book Antiqua" w:hAnsi="Book Antiqua"/>
          <w:lang w:val="en-US" w:eastAsia="en-GB"/>
        </w:rPr>
        <w:t>(2006) ‘</w:t>
      </w:r>
      <w:r w:rsidRPr="00361BCF">
        <w:rPr>
          <w:rFonts w:ascii="Book Antiqua" w:hAnsi="Book Antiqua"/>
          <w:lang w:val="en-US" w:eastAsia="en-GB"/>
        </w:rPr>
        <w:t>Wh</w:t>
      </w:r>
      <w:r w:rsidR="007E1906" w:rsidRPr="00361BCF">
        <w:rPr>
          <w:rFonts w:ascii="Book Antiqua" w:hAnsi="Book Antiqua"/>
          <w:lang w:val="en-US" w:eastAsia="en-GB"/>
        </w:rPr>
        <w:t xml:space="preserve">at people believe about memory’, </w:t>
      </w:r>
      <w:r w:rsidR="007E1906" w:rsidRPr="00361BCF">
        <w:rPr>
          <w:rFonts w:ascii="Book Antiqua" w:hAnsi="Book Antiqua"/>
          <w:i/>
          <w:lang w:val="en-US" w:eastAsia="en-GB"/>
        </w:rPr>
        <w:t>Memory</w:t>
      </w:r>
      <w:r w:rsidR="007E1906" w:rsidRPr="00361BCF">
        <w:rPr>
          <w:rFonts w:ascii="Book Antiqua" w:hAnsi="Book Antiqua"/>
          <w:lang w:val="en-US" w:eastAsia="en-GB"/>
        </w:rPr>
        <w:t>, 14(5):</w:t>
      </w:r>
      <w:r w:rsidR="00081245" w:rsidRPr="00361BCF">
        <w:rPr>
          <w:rFonts w:ascii="Book Antiqua" w:hAnsi="Book Antiqua"/>
          <w:lang w:val="en-US" w:eastAsia="en-GB"/>
        </w:rPr>
        <w:t xml:space="preserve"> </w:t>
      </w:r>
      <w:r w:rsidR="007E1906" w:rsidRPr="00361BCF">
        <w:rPr>
          <w:rFonts w:ascii="Book Antiqua" w:hAnsi="Book Antiqua"/>
          <w:lang w:val="en-US" w:eastAsia="en-GB"/>
        </w:rPr>
        <w:t>595-</w:t>
      </w:r>
      <w:r w:rsidRPr="00361BCF">
        <w:rPr>
          <w:rFonts w:ascii="Book Antiqua" w:hAnsi="Book Antiqua"/>
          <w:lang w:val="en-US" w:eastAsia="en-GB"/>
        </w:rPr>
        <w:t>613.</w:t>
      </w:r>
      <w:proofErr w:type="gramEnd"/>
    </w:p>
    <w:p w14:paraId="602F17B8" w14:textId="64B74BFA" w:rsidR="00E60DA6" w:rsidRPr="00361BCF" w:rsidRDefault="00A815C2" w:rsidP="004A4CBA">
      <w:pPr>
        <w:spacing w:line="360" w:lineRule="auto"/>
        <w:ind w:left="567" w:hanging="567"/>
        <w:jc w:val="both"/>
        <w:rPr>
          <w:rFonts w:ascii="Book Antiqua" w:hAnsi="Book Antiqua"/>
          <w:lang w:val="en-US"/>
        </w:rPr>
      </w:pPr>
      <w:r w:rsidRPr="00361BCF">
        <w:rPr>
          <w:rFonts w:ascii="Book Antiqua" w:hAnsi="Book Antiqua"/>
          <w:lang w:val="en-US"/>
        </w:rPr>
        <w:t>Macintosh</w:t>
      </w:r>
      <w:r w:rsidR="001C40F3" w:rsidRPr="00361BCF">
        <w:rPr>
          <w:rFonts w:ascii="Book Antiqua" w:hAnsi="Book Antiqua"/>
          <w:lang w:val="en-US"/>
        </w:rPr>
        <w:t>, N. (2011),</w:t>
      </w:r>
      <w:r w:rsidR="00E60DA6" w:rsidRPr="00361BCF">
        <w:rPr>
          <w:rFonts w:ascii="Book Antiqua" w:hAnsi="Book Antiqua"/>
          <w:lang w:val="en-US"/>
        </w:rPr>
        <w:t xml:space="preserve"> </w:t>
      </w:r>
      <w:r w:rsidR="00E60DA6" w:rsidRPr="00361BCF">
        <w:rPr>
          <w:rFonts w:ascii="Book Antiqua" w:hAnsi="Book Antiqua"/>
          <w:i/>
          <w:lang w:val="en-US"/>
        </w:rPr>
        <w:t xml:space="preserve">Brain Waves, </w:t>
      </w:r>
      <w:proofErr w:type="gramStart"/>
      <w:r w:rsidR="00E60DA6" w:rsidRPr="00361BCF">
        <w:rPr>
          <w:rFonts w:ascii="Book Antiqua" w:hAnsi="Book Antiqua"/>
          <w:i/>
          <w:lang w:val="en-US"/>
        </w:rPr>
        <w:t>Module</w:t>
      </w:r>
      <w:proofErr w:type="gramEnd"/>
      <w:r w:rsidR="00E60DA6" w:rsidRPr="00361BCF">
        <w:rPr>
          <w:rFonts w:ascii="Book Antiqua" w:hAnsi="Book Antiqua"/>
          <w:i/>
          <w:lang w:val="en-US"/>
        </w:rPr>
        <w:t xml:space="preserve"> 4: </w:t>
      </w:r>
      <w:r w:rsidR="00C431BB" w:rsidRPr="00361BCF">
        <w:rPr>
          <w:rFonts w:ascii="Book Antiqua" w:hAnsi="Book Antiqua"/>
          <w:i/>
          <w:lang w:val="en-US"/>
        </w:rPr>
        <w:t>Neuroscience</w:t>
      </w:r>
      <w:r w:rsidR="00E60DA6" w:rsidRPr="00361BCF">
        <w:rPr>
          <w:rFonts w:ascii="Book Antiqua" w:hAnsi="Book Antiqua"/>
          <w:i/>
          <w:lang w:val="en-US"/>
        </w:rPr>
        <w:t xml:space="preserve"> and the law</w:t>
      </w:r>
      <w:r w:rsidR="00E60DA6" w:rsidRPr="00361BCF">
        <w:rPr>
          <w:rFonts w:ascii="Book Antiqua" w:hAnsi="Book Antiqua"/>
          <w:lang w:val="en-US"/>
        </w:rPr>
        <w:t>. London: The Royal Society.</w:t>
      </w:r>
    </w:p>
    <w:p w14:paraId="59D03DEA" w14:textId="7F4F1512"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McMillan, L. and Thomas, M. (2009), ‘Police interviews of rape victims: tensions and contradictions’, in Horvath, M. and Brown, J. (Eds</w:t>
      </w:r>
      <w:r w:rsidR="001C40F3" w:rsidRPr="00361BCF">
        <w:rPr>
          <w:rFonts w:ascii="Book Antiqua" w:hAnsi="Book Antiqua"/>
        </w:rPr>
        <w:t>.</w:t>
      </w:r>
      <w:r w:rsidRPr="00361BCF">
        <w:rPr>
          <w:rFonts w:ascii="Book Antiqua" w:hAnsi="Book Antiqua"/>
        </w:rPr>
        <w:t xml:space="preserve">), </w:t>
      </w:r>
      <w:r w:rsidRPr="00361BCF">
        <w:rPr>
          <w:rFonts w:ascii="Book Antiqua" w:hAnsi="Book Antiqua"/>
          <w:i/>
        </w:rPr>
        <w:t>Rape: Challenging Contemporary Thinking</w:t>
      </w:r>
      <w:r w:rsidR="00FC704C" w:rsidRPr="00361BCF">
        <w:rPr>
          <w:rFonts w:ascii="Book Antiqua" w:hAnsi="Book Antiqua"/>
        </w:rPr>
        <w:t>, 229-254.</w:t>
      </w:r>
      <w:r w:rsidRPr="00361BCF">
        <w:rPr>
          <w:rFonts w:ascii="Book Antiqua" w:hAnsi="Book Antiqua"/>
        </w:rPr>
        <w:t xml:space="preserve"> </w:t>
      </w:r>
      <w:proofErr w:type="spellStart"/>
      <w:r w:rsidRPr="00361BCF">
        <w:rPr>
          <w:rFonts w:ascii="Book Antiqua" w:hAnsi="Book Antiqua"/>
        </w:rPr>
        <w:t>C</w:t>
      </w:r>
      <w:r w:rsidR="00FC704C" w:rsidRPr="00361BCF">
        <w:rPr>
          <w:rFonts w:ascii="Book Antiqua" w:hAnsi="Book Antiqua"/>
        </w:rPr>
        <w:t>ullompton</w:t>
      </w:r>
      <w:proofErr w:type="spellEnd"/>
      <w:r w:rsidR="00FC704C" w:rsidRPr="00361BCF">
        <w:rPr>
          <w:rFonts w:ascii="Book Antiqua" w:hAnsi="Book Antiqua"/>
        </w:rPr>
        <w:t xml:space="preserve">: </w:t>
      </w:r>
      <w:proofErr w:type="spellStart"/>
      <w:r w:rsidR="00FC704C" w:rsidRPr="00361BCF">
        <w:rPr>
          <w:rFonts w:ascii="Book Antiqua" w:hAnsi="Book Antiqua"/>
        </w:rPr>
        <w:t>Willan</w:t>
      </w:r>
      <w:proofErr w:type="spellEnd"/>
      <w:r w:rsidR="00FC704C" w:rsidRPr="00361BCF">
        <w:rPr>
          <w:rFonts w:ascii="Book Antiqua" w:hAnsi="Book Antiqua"/>
        </w:rPr>
        <w:t xml:space="preserve"> Publishing</w:t>
      </w:r>
      <w:r w:rsidRPr="00361BCF">
        <w:rPr>
          <w:rFonts w:ascii="Book Antiqua" w:hAnsi="Book Antiqua"/>
        </w:rPr>
        <w:t>.</w:t>
      </w:r>
    </w:p>
    <w:p w14:paraId="24E41CC4" w14:textId="5109EB6A" w:rsidR="005A6AF4" w:rsidRPr="00361BCF" w:rsidRDefault="005A6AF4" w:rsidP="004A4CBA">
      <w:pPr>
        <w:spacing w:line="360" w:lineRule="auto"/>
        <w:ind w:left="567" w:hanging="567"/>
        <w:jc w:val="both"/>
        <w:rPr>
          <w:rFonts w:ascii="Book Antiqua" w:hAnsi="Book Antiqua"/>
          <w:lang w:val="en-US"/>
        </w:rPr>
      </w:pPr>
      <w:r w:rsidRPr="00361BCF">
        <w:rPr>
          <w:rFonts w:ascii="Book Antiqua" w:hAnsi="Book Antiqua"/>
          <w:lang w:val="en-US"/>
        </w:rPr>
        <w:t>McNally, R.J. (2003)</w:t>
      </w:r>
      <w:r w:rsidR="00B648B3" w:rsidRPr="00361BCF">
        <w:rPr>
          <w:rFonts w:ascii="Book Antiqua" w:hAnsi="Book Antiqua"/>
          <w:lang w:val="en-US"/>
        </w:rPr>
        <w:t>,</w:t>
      </w:r>
      <w:r w:rsidRPr="00361BCF">
        <w:rPr>
          <w:rFonts w:ascii="Book Antiqua" w:hAnsi="Book Antiqua"/>
          <w:lang w:val="en-US"/>
        </w:rPr>
        <w:t xml:space="preserve"> </w:t>
      </w:r>
      <w:r w:rsidRPr="00361BCF">
        <w:rPr>
          <w:rFonts w:ascii="Book Antiqua" w:hAnsi="Book Antiqua"/>
          <w:i/>
          <w:iCs/>
          <w:lang w:val="en-US"/>
        </w:rPr>
        <w:t>Remembering trauma</w:t>
      </w:r>
      <w:r w:rsidRPr="00361BCF">
        <w:rPr>
          <w:rFonts w:ascii="Book Antiqua" w:hAnsi="Book Antiqua"/>
          <w:lang w:val="en-US"/>
        </w:rPr>
        <w:t>. Harvard, MA: Harvard University</w:t>
      </w:r>
      <w:r w:rsidR="00E60DA6" w:rsidRPr="00361BCF">
        <w:rPr>
          <w:rFonts w:ascii="Book Antiqua" w:hAnsi="Book Antiqua"/>
          <w:lang w:val="en-US"/>
        </w:rPr>
        <w:t xml:space="preserve"> </w:t>
      </w:r>
      <w:r w:rsidRPr="00361BCF">
        <w:rPr>
          <w:rFonts w:ascii="Book Antiqua" w:hAnsi="Book Antiqua"/>
          <w:lang w:val="en-US"/>
        </w:rPr>
        <w:t xml:space="preserve">Press. </w:t>
      </w:r>
    </w:p>
    <w:p w14:paraId="4A56A8EE" w14:textId="77777777" w:rsidR="006E3530" w:rsidRPr="00361BCF" w:rsidRDefault="00753223" w:rsidP="004A4CBA">
      <w:pPr>
        <w:spacing w:line="360" w:lineRule="auto"/>
        <w:ind w:left="567" w:hanging="567"/>
        <w:jc w:val="both"/>
        <w:rPr>
          <w:rFonts w:ascii="Book Antiqua" w:hAnsi="Book Antiqua"/>
        </w:rPr>
      </w:pPr>
      <w:proofErr w:type="gramStart"/>
      <w:r w:rsidRPr="00361BCF">
        <w:rPr>
          <w:rFonts w:ascii="Book Antiqua" w:hAnsi="Book Antiqua"/>
        </w:rPr>
        <w:t xml:space="preserve">Ministry of Justice, Home Office and Office for National Statistics (2013), </w:t>
      </w:r>
      <w:r w:rsidRPr="00361BCF">
        <w:rPr>
          <w:rFonts w:ascii="Book Antiqua" w:hAnsi="Book Antiqua"/>
          <w:i/>
        </w:rPr>
        <w:t>An overview of sexual offending in England and Wales</w:t>
      </w:r>
      <w:r w:rsidRPr="00361BCF">
        <w:rPr>
          <w:rFonts w:ascii="Book Antiqua" w:hAnsi="Book Antiqua"/>
        </w:rPr>
        <w:t>, Statistical Bulletin, London.</w:t>
      </w:r>
      <w:proofErr w:type="gramEnd"/>
    </w:p>
    <w:p w14:paraId="540B72BF" w14:textId="2AAA5D1B" w:rsidR="006E3530" w:rsidRPr="00361BCF" w:rsidRDefault="006E3530" w:rsidP="004A4CBA">
      <w:pPr>
        <w:spacing w:line="360" w:lineRule="auto"/>
        <w:ind w:left="567" w:hanging="567"/>
        <w:jc w:val="both"/>
        <w:rPr>
          <w:rFonts w:ascii="Book Antiqua" w:hAnsi="Book Antiqua"/>
        </w:rPr>
      </w:pPr>
      <w:r w:rsidRPr="00361BCF">
        <w:rPr>
          <w:rFonts w:ascii="Book Antiqua" w:hAnsi="Book Antiqua"/>
          <w:lang w:val="en-US"/>
        </w:rPr>
        <w:t xml:space="preserve">Morgan III, C.A., Southwick, S., </w:t>
      </w:r>
      <w:proofErr w:type="spellStart"/>
      <w:r w:rsidRPr="00361BCF">
        <w:rPr>
          <w:rFonts w:ascii="Book Antiqua" w:hAnsi="Book Antiqua"/>
          <w:lang w:val="en-US"/>
        </w:rPr>
        <w:t>Steffian</w:t>
      </w:r>
      <w:proofErr w:type="spellEnd"/>
      <w:r w:rsidRPr="00361BCF">
        <w:rPr>
          <w:rFonts w:ascii="Book Antiqua" w:hAnsi="Book Antiqua"/>
          <w:lang w:val="en-US"/>
        </w:rPr>
        <w:t xml:space="preserve">, G., </w:t>
      </w:r>
      <w:proofErr w:type="spellStart"/>
      <w:r w:rsidRPr="00361BCF">
        <w:rPr>
          <w:rFonts w:ascii="Book Antiqua" w:hAnsi="Book Antiqua"/>
          <w:lang w:val="en-US"/>
        </w:rPr>
        <w:t>Hazlett</w:t>
      </w:r>
      <w:proofErr w:type="spellEnd"/>
      <w:r w:rsidRPr="00361BCF">
        <w:rPr>
          <w:rFonts w:ascii="Book Antiqua" w:hAnsi="Book Antiqua"/>
          <w:lang w:val="en-US"/>
        </w:rPr>
        <w:t xml:space="preserve">, G.A., </w:t>
      </w:r>
      <w:r w:rsidR="00CE11C7" w:rsidRPr="00361BCF">
        <w:rPr>
          <w:rFonts w:ascii="Book Antiqua" w:hAnsi="Book Antiqua"/>
          <w:lang w:val="en-US"/>
        </w:rPr>
        <w:t>and</w:t>
      </w:r>
      <w:r w:rsidRPr="00361BCF">
        <w:rPr>
          <w:rFonts w:ascii="Book Antiqua" w:hAnsi="Book Antiqua"/>
          <w:lang w:val="en-US"/>
        </w:rPr>
        <w:t xml:space="preserve"> Loftus, E.F., (2013) </w:t>
      </w:r>
      <w:r w:rsidR="00CE11C7" w:rsidRPr="00361BCF">
        <w:rPr>
          <w:rFonts w:ascii="Book Antiqua" w:hAnsi="Book Antiqua"/>
          <w:lang w:val="en-US"/>
        </w:rPr>
        <w:t>‘</w:t>
      </w:r>
      <w:r w:rsidRPr="00361BCF">
        <w:rPr>
          <w:rFonts w:ascii="Book Antiqua" w:hAnsi="Book Antiqua"/>
          <w:lang w:val="en-US"/>
        </w:rPr>
        <w:t>Misinformation can influence memory for recently experienced, highly stressful events</w:t>
      </w:r>
      <w:r w:rsidR="00CE11C7" w:rsidRPr="00361BCF">
        <w:rPr>
          <w:rFonts w:ascii="Book Antiqua" w:hAnsi="Book Antiqua"/>
          <w:lang w:val="en-US"/>
        </w:rPr>
        <w:t>’,</w:t>
      </w:r>
      <w:r w:rsidRPr="00361BCF">
        <w:rPr>
          <w:rFonts w:ascii="Book Antiqua" w:hAnsi="Book Antiqua"/>
          <w:lang w:val="en-US"/>
        </w:rPr>
        <w:t xml:space="preserve"> </w:t>
      </w:r>
      <w:r w:rsidRPr="00361BCF">
        <w:rPr>
          <w:rFonts w:ascii="Book Antiqua" w:hAnsi="Book Antiqua"/>
          <w:i/>
          <w:lang w:val="en-US"/>
        </w:rPr>
        <w:t>International Journal of Law and Psychiatry 36</w:t>
      </w:r>
      <w:r w:rsidR="00CE11C7" w:rsidRPr="00CE11C7">
        <w:rPr>
          <w:rFonts w:ascii="Book Antiqua" w:hAnsi="Book Antiqua"/>
          <w:lang w:val="en-US"/>
        </w:rPr>
        <w:t>:</w:t>
      </w:r>
      <w:r w:rsidRPr="00CE11C7">
        <w:rPr>
          <w:rFonts w:ascii="Book Antiqua" w:hAnsi="Book Antiqua"/>
          <w:lang w:val="en-US"/>
        </w:rPr>
        <w:t xml:space="preserve"> 11–17</w:t>
      </w:r>
      <w:r w:rsidR="0033637C" w:rsidRPr="007E6D39">
        <w:rPr>
          <w:rFonts w:ascii="Book Antiqua" w:hAnsi="Book Antiqua"/>
          <w:lang w:val="en-US"/>
        </w:rPr>
        <w:t>.</w:t>
      </w:r>
    </w:p>
    <w:p w14:paraId="56E8EED8" w14:textId="667B98AB" w:rsidR="00D72985" w:rsidRPr="00361BCF" w:rsidRDefault="00753223" w:rsidP="004A4CBA">
      <w:pPr>
        <w:spacing w:line="360" w:lineRule="auto"/>
        <w:ind w:left="567" w:hanging="567"/>
        <w:jc w:val="both"/>
        <w:rPr>
          <w:rFonts w:ascii="Book Antiqua" w:hAnsi="Book Antiqua"/>
        </w:rPr>
      </w:pPr>
      <w:proofErr w:type="gramStart"/>
      <w:r w:rsidRPr="00361BCF">
        <w:rPr>
          <w:rFonts w:ascii="Book Antiqua" w:hAnsi="Book Antiqua"/>
        </w:rPr>
        <w:t>Munro, V. and Kelly, L. (2009), ‘A vicious cycle?</w:t>
      </w:r>
      <w:proofErr w:type="gramEnd"/>
      <w:r w:rsidRPr="00361BCF">
        <w:rPr>
          <w:rFonts w:ascii="Book Antiqua" w:hAnsi="Book Antiqua"/>
        </w:rPr>
        <w:t xml:space="preserve"> Attrition and conviction patterns in contemporary rape cases in England and Wales’, in Horvath, M. and Brown, J. </w:t>
      </w:r>
      <w:r w:rsidRPr="00361BCF">
        <w:rPr>
          <w:rFonts w:ascii="Book Antiqua" w:hAnsi="Book Antiqua"/>
        </w:rPr>
        <w:lastRenderedPageBreak/>
        <w:t>(Eds</w:t>
      </w:r>
      <w:r w:rsidR="001C40F3" w:rsidRPr="00361BCF">
        <w:rPr>
          <w:rFonts w:ascii="Book Antiqua" w:hAnsi="Book Antiqua"/>
        </w:rPr>
        <w:t>.</w:t>
      </w:r>
      <w:r w:rsidRPr="00361BCF">
        <w:rPr>
          <w:rFonts w:ascii="Book Antiqua" w:hAnsi="Book Antiqua"/>
        </w:rPr>
        <w:t xml:space="preserve">), </w:t>
      </w:r>
      <w:r w:rsidRPr="00361BCF">
        <w:rPr>
          <w:rFonts w:ascii="Book Antiqua" w:hAnsi="Book Antiqua"/>
          <w:i/>
        </w:rPr>
        <w:t>Rape: Challenging Contemporary Thinkin</w:t>
      </w:r>
      <w:r w:rsidR="00FC704C" w:rsidRPr="00361BCF">
        <w:rPr>
          <w:rFonts w:ascii="Book Antiqua" w:hAnsi="Book Antiqua"/>
        </w:rPr>
        <w:t>g, 99-123.</w:t>
      </w:r>
      <w:r w:rsidR="00BB1B14">
        <w:rPr>
          <w:rFonts w:ascii="Book Antiqua" w:hAnsi="Book Antiqua"/>
        </w:rPr>
        <w:t xml:space="preserve"> </w:t>
      </w:r>
      <w:proofErr w:type="spellStart"/>
      <w:r w:rsidR="00BB1B14">
        <w:rPr>
          <w:rFonts w:ascii="Book Antiqua" w:hAnsi="Book Antiqua"/>
        </w:rPr>
        <w:t>Cullompton</w:t>
      </w:r>
      <w:proofErr w:type="spellEnd"/>
      <w:r w:rsidR="00BB1B14">
        <w:rPr>
          <w:rFonts w:ascii="Book Antiqua" w:hAnsi="Book Antiqua"/>
        </w:rPr>
        <w:t xml:space="preserve">: </w:t>
      </w:r>
      <w:proofErr w:type="spellStart"/>
      <w:r w:rsidR="00BB1B14">
        <w:rPr>
          <w:rFonts w:ascii="Book Antiqua" w:hAnsi="Book Antiqua"/>
        </w:rPr>
        <w:t>Willan</w:t>
      </w:r>
      <w:proofErr w:type="spellEnd"/>
      <w:r w:rsidR="00BB1B14">
        <w:rPr>
          <w:rFonts w:ascii="Book Antiqua" w:hAnsi="Book Antiqua"/>
        </w:rPr>
        <w:t xml:space="preserve"> Publishing</w:t>
      </w:r>
      <w:r w:rsidR="00D72985" w:rsidRPr="00361BCF">
        <w:rPr>
          <w:rFonts w:ascii="Book Antiqua" w:hAnsi="Book Antiqua"/>
        </w:rPr>
        <w:t>.</w:t>
      </w:r>
    </w:p>
    <w:p w14:paraId="05396CAA" w14:textId="31AF3B66" w:rsidR="002A1DB2" w:rsidRPr="00CE11C7" w:rsidRDefault="002A1DB2" w:rsidP="004A4CBA">
      <w:pPr>
        <w:spacing w:line="360" w:lineRule="auto"/>
        <w:ind w:left="567" w:hanging="567"/>
        <w:jc w:val="both"/>
        <w:rPr>
          <w:rFonts w:ascii="Book Antiqua" w:hAnsi="Book Antiqua"/>
        </w:rPr>
      </w:pPr>
      <w:r w:rsidRPr="00361BCF">
        <w:rPr>
          <w:rFonts w:ascii="Book Antiqua" w:hAnsi="Book Antiqua"/>
        </w:rPr>
        <w:t xml:space="preserve">Office for National Statistics (2015) </w:t>
      </w:r>
      <w:r w:rsidRPr="00361BCF">
        <w:rPr>
          <w:rFonts w:ascii="Book Antiqua" w:hAnsi="Book Antiqua"/>
          <w:i/>
          <w:iCs/>
        </w:rPr>
        <w:t>Crime Statistics, Focus on Violent Crime and Sexual Offences, 2013/14</w:t>
      </w:r>
      <w:r w:rsidRPr="00361BCF">
        <w:rPr>
          <w:rFonts w:ascii="Book Antiqua" w:hAnsi="Book Antiqua"/>
        </w:rPr>
        <w:t xml:space="preserve">, available online </w:t>
      </w:r>
      <w:hyperlink r:id="rId11" w:history="1">
        <w:r w:rsidRPr="00CE11C7">
          <w:rPr>
            <w:rStyle w:val="Hyperlink"/>
            <w:rFonts w:ascii="Book Antiqua" w:hAnsi="Book Antiqua"/>
          </w:rPr>
          <w:t>http://www.ons.gov.uk/ons/rel/crime-stats/crime-statistics/focus-on-violent-crime-and-sexual-offenc</w:t>
        </w:r>
        <w:r w:rsidRPr="007E6D39">
          <w:rPr>
            <w:rStyle w:val="Hyperlink"/>
            <w:rFonts w:ascii="Book Antiqua" w:hAnsi="Book Antiqua"/>
          </w:rPr>
          <w:t>es--2013-14/index.html</w:t>
        </w:r>
      </w:hyperlink>
    </w:p>
    <w:p w14:paraId="411FAAA3" w14:textId="246B17CC" w:rsidR="00753223" w:rsidRPr="00361BCF" w:rsidRDefault="002A1DB2" w:rsidP="004A4CBA">
      <w:pPr>
        <w:spacing w:line="360" w:lineRule="auto"/>
        <w:ind w:left="567" w:hanging="567"/>
        <w:jc w:val="both"/>
        <w:rPr>
          <w:rFonts w:ascii="Book Antiqua" w:hAnsi="Book Antiqua"/>
        </w:rPr>
      </w:pPr>
      <w:r w:rsidRPr="007E6D39">
        <w:rPr>
          <w:rFonts w:ascii="Book Antiqua" w:hAnsi="Book Antiqua"/>
        </w:rPr>
        <w:t xml:space="preserve"> </w:t>
      </w:r>
      <w:r w:rsidR="00753223" w:rsidRPr="00361BCF">
        <w:rPr>
          <w:rFonts w:ascii="Book Antiqua" w:hAnsi="Book Antiqua"/>
        </w:rPr>
        <w:t xml:space="preserve">O’ </w:t>
      </w:r>
      <w:proofErr w:type="spellStart"/>
      <w:r w:rsidR="00753223" w:rsidRPr="00361BCF">
        <w:rPr>
          <w:rFonts w:ascii="Book Antiqua" w:hAnsi="Book Antiqua"/>
        </w:rPr>
        <w:t>Keeffe</w:t>
      </w:r>
      <w:proofErr w:type="spellEnd"/>
      <w:r w:rsidR="00753223" w:rsidRPr="00361BCF">
        <w:rPr>
          <w:rFonts w:ascii="Book Antiqua" w:hAnsi="Book Antiqua"/>
        </w:rPr>
        <w:t xml:space="preserve">, S., Brown, M. and Lyons, E. (2009), Seeking proof or the truth: </w:t>
      </w:r>
      <w:r w:rsidR="00012AC2" w:rsidRPr="00361BCF">
        <w:rPr>
          <w:rFonts w:ascii="Book Antiqua" w:hAnsi="Book Antiqua"/>
        </w:rPr>
        <w:t>naturalistic</w:t>
      </w:r>
      <w:r w:rsidR="00753223" w:rsidRPr="00361BCF">
        <w:rPr>
          <w:rFonts w:ascii="Book Antiqua" w:hAnsi="Book Antiqua"/>
        </w:rPr>
        <w:t xml:space="preserve"> </w:t>
      </w:r>
      <w:r w:rsidR="00012AC2" w:rsidRPr="00361BCF">
        <w:rPr>
          <w:rFonts w:ascii="Book Antiqua" w:hAnsi="Book Antiqua"/>
        </w:rPr>
        <w:t xml:space="preserve">decision </w:t>
      </w:r>
      <w:r w:rsidR="00753223" w:rsidRPr="00361BCF">
        <w:rPr>
          <w:rFonts w:ascii="Book Antiqua" w:hAnsi="Book Antiqua"/>
        </w:rPr>
        <w:t>making by police officers when considering rape allegations, in Horvath, M. and Brown, J. (Eds</w:t>
      </w:r>
      <w:r w:rsidR="00DB7548" w:rsidRPr="00361BCF">
        <w:rPr>
          <w:rFonts w:ascii="Book Antiqua" w:hAnsi="Book Antiqua"/>
        </w:rPr>
        <w:t>.</w:t>
      </w:r>
      <w:r w:rsidR="00753223" w:rsidRPr="00361BCF">
        <w:rPr>
          <w:rFonts w:ascii="Book Antiqua" w:hAnsi="Book Antiqua"/>
        </w:rPr>
        <w:t xml:space="preserve">), </w:t>
      </w:r>
      <w:r w:rsidR="00753223" w:rsidRPr="00361BCF">
        <w:rPr>
          <w:rFonts w:ascii="Book Antiqua" w:hAnsi="Book Antiqua"/>
          <w:i/>
        </w:rPr>
        <w:t>Rape: Challenging Contemporary Thinking</w:t>
      </w:r>
      <w:r w:rsidR="00FC704C" w:rsidRPr="00361BCF">
        <w:rPr>
          <w:rFonts w:ascii="Book Antiqua" w:hAnsi="Book Antiqua"/>
          <w:i/>
        </w:rPr>
        <w:t xml:space="preserve">, </w:t>
      </w:r>
      <w:r w:rsidR="00FC704C" w:rsidRPr="00361BCF">
        <w:rPr>
          <w:rFonts w:ascii="Book Antiqua" w:hAnsi="Book Antiqua"/>
        </w:rPr>
        <w:t>229-254</w:t>
      </w:r>
      <w:r w:rsidR="00753223" w:rsidRPr="00361BCF">
        <w:rPr>
          <w:rFonts w:ascii="Book Antiqua" w:hAnsi="Book Antiqua"/>
          <w:i/>
        </w:rPr>
        <w:t>.</w:t>
      </w:r>
      <w:r w:rsidR="00753223" w:rsidRPr="00361BCF">
        <w:rPr>
          <w:rFonts w:ascii="Book Antiqua" w:hAnsi="Book Antiqua"/>
        </w:rPr>
        <w:t xml:space="preserve"> </w:t>
      </w:r>
      <w:proofErr w:type="spellStart"/>
      <w:r w:rsidR="00753223" w:rsidRPr="00361BCF">
        <w:rPr>
          <w:rFonts w:ascii="Book Antiqua" w:hAnsi="Book Antiqua"/>
        </w:rPr>
        <w:t>Cullompton</w:t>
      </w:r>
      <w:proofErr w:type="spellEnd"/>
      <w:r w:rsidR="00FC704C" w:rsidRPr="00361BCF">
        <w:rPr>
          <w:rFonts w:ascii="Book Antiqua" w:hAnsi="Book Antiqua"/>
        </w:rPr>
        <w:t xml:space="preserve">: </w:t>
      </w:r>
      <w:proofErr w:type="spellStart"/>
      <w:r w:rsidR="00FC704C" w:rsidRPr="00361BCF">
        <w:rPr>
          <w:rFonts w:ascii="Book Antiqua" w:hAnsi="Book Antiqua"/>
        </w:rPr>
        <w:t>Willan</w:t>
      </w:r>
      <w:proofErr w:type="spellEnd"/>
      <w:r w:rsidR="00FC704C" w:rsidRPr="00361BCF">
        <w:rPr>
          <w:rFonts w:ascii="Book Antiqua" w:hAnsi="Book Antiqua"/>
        </w:rPr>
        <w:t xml:space="preserve"> Publishing</w:t>
      </w:r>
      <w:r w:rsidR="00753223" w:rsidRPr="00361BCF">
        <w:rPr>
          <w:rFonts w:ascii="Book Antiqua" w:hAnsi="Book Antiqua"/>
        </w:rPr>
        <w:t>.</w:t>
      </w:r>
    </w:p>
    <w:p w14:paraId="57DB7742" w14:textId="0D0909FD"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Potter, R. and Brewer, N. (1999), ‘Perceptions of witness behaviour – accuracy relationships held by police, lawyers and jurors’, </w:t>
      </w:r>
      <w:r w:rsidRPr="00361BCF">
        <w:rPr>
          <w:rFonts w:ascii="Book Antiqua" w:hAnsi="Book Antiqua"/>
          <w:i/>
          <w:iCs/>
        </w:rPr>
        <w:t>Psychiatry, Psychology and Law,</w:t>
      </w:r>
      <w:r w:rsidRPr="00361BCF">
        <w:rPr>
          <w:rFonts w:ascii="Book Antiqua" w:hAnsi="Book Antiqua"/>
        </w:rPr>
        <w:t xml:space="preserve"> </w:t>
      </w:r>
      <w:r w:rsidRPr="00361BCF">
        <w:rPr>
          <w:rFonts w:ascii="Book Antiqua" w:hAnsi="Book Antiqua"/>
          <w:iCs/>
        </w:rPr>
        <w:t>6</w:t>
      </w:r>
      <w:r w:rsidRPr="00361BCF">
        <w:rPr>
          <w:rFonts w:ascii="Book Antiqua" w:hAnsi="Book Antiqua"/>
        </w:rPr>
        <w:t>(1): 97 – 103.</w:t>
      </w:r>
    </w:p>
    <w:p w14:paraId="1EEA2D1E" w14:textId="540606B8" w:rsidR="00C2679F" w:rsidRPr="00361BCF" w:rsidRDefault="002B2C7B" w:rsidP="004A4CBA">
      <w:pPr>
        <w:spacing w:line="360" w:lineRule="auto"/>
        <w:ind w:left="567" w:hanging="567"/>
        <w:jc w:val="both"/>
        <w:rPr>
          <w:rFonts w:ascii="Book Antiqua" w:hAnsi="Book Antiqua"/>
        </w:rPr>
      </w:pPr>
      <w:proofErr w:type="spellStart"/>
      <w:r w:rsidRPr="00361BCF">
        <w:rPr>
          <w:rFonts w:ascii="Book Antiqua" w:hAnsi="Book Antiqua"/>
        </w:rPr>
        <w:t>Roediger</w:t>
      </w:r>
      <w:proofErr w:type="spellEnd"/>
      <w:r w:rsidR="00C2679F" w:rsidRPr="00361BCF">
        <w:rPr>
          <w:rFonts w:ascii="Book Antiqua" w:hAnsi="Book Antiqua"/>
        </w:rPr>
        <w:t xml:space="preserve">, H.L., III, </w:t>
      </w:r>
      <w:proofErr w:type="spellStart"/>
      <w:r w:rsidR="00C2679F" w:rsidRPr="00361BCF">
        <w:rPr>
          <w:rFonts w:ascii="Book Antiqua" w:hAnsi="Book Antiqua"/>
        </w:rPr>
        <w:t>Wixted</w:t>
      </w:r>
      <w:proofErr w:type="spellEnd"/>
      <w:r w:rsidR="00C2679F" w:rsidRPr="00361BCF">
        <w:rPr>
          <w:rFonts w:ascii="Book Antiqua" w:hAnsi="Book Antiqua"/>
        </w:rPr>
        <w:t xml:space="preserve">, J.H., and </w:t>
      </w:r>
      <w:proofErr w:type="spellStart"/>
      <w:r w:rsidR="00C2679F" w:rsidRPr="00361BCF">
        <w:rPr>
          <w:rFonts w:ascii="Book Antiqua" w:hAnsi="Book Antiqua"/>
        </w:rPr>
        <w:t>DeSotoe</w:t>
      </w:r>
      <w:proofErr w:type="spellEnd"/>
      <w:r w:rsidR="00C2679F" w:rsidRPr="00361BCF">
        <w:rPr>
          <w:rFonts w:ascii="Book Antiqua" w:hAnsi="Book Antiqua"/>
        </w:rPr>
        <w:t>, K.A. (2012)</w:t>
      </w:r>
      <w:r w:rsidR="00012AC2" w:rsidRPr="00361BCF">
        <w:rPr>
          <w:rFonts w:ascii="Book Antiqua" w:hAnsi="Book Antiqua"/>
        </w:rPr>
        <w:t>,</w:t>
      </w:r>
      <w:r w:rsidR="00C2679F" w:rsidRPr="00361BCF">
        <w:rPr>
          <w:rFonts w:ascii="Book Antiqua" w:hAnsi="Book Antiqua"/>
        </w:rPr>
        <w:t xml:space="preserve"> </w:t>
      </w:r>
      <w:r w:rsidR="00012AC2" w:rsidRPr="00361BCF">
        <w:rPr>
          <w:rFonts w:ascii="Book Antiqua" w:hAnsi="Book Antiqua"/>
        </w:rPr>
        <w:t>‘</w:t>
      </w:r>
      <w:r w:rsidR="00C2679F" w:rsidRPr="00361BCF">
        <w:rPr>
          <w:rFonts w:ascii="Book Antiqua" w:hAnsi="Book Antiqua"/>
        </w:rPr>
        <w:t xml:space="preserve">Evaluating confidence in our memories: Results and implications from neuroimaging and eye movement monitoring studies of </w:t>
      </w:r>
      <w:proofErr w:type="spellStart"/>
      <w:r w:rsidR="00C2679F" w:rsidRPr="00361BCF">
        <w:rPr>
          <w:rFonts w:ascii="Book Antiqua" w:hAnsi="Book Antiqua"/>
        </w:rPr>
        <w:t>metamemory</w:t>
      </w:r>
      <w:proofErr w:type="spellEnd"/>
      <w:r w:rsidR="00012AC2" w:rsidRPr="00361BCF">
        <w:rPr>
          <w:rFonts w:ascii="Book Antiqua" w:hAnsi="Book Antiqua"/>
        </w:rPr>
        <w:t>’,</w:t>
      </w:r>
      <w:r w:rsidR="00C2679F" w:rsidRPr="00361BCF">
        <w:rPr>
          <w:rFonts w:ascii="Book Antiqua" w:hAnsi="Book Antiqua"/>
        </w:rPr>
        <w:t xml:space="preserve"> </w:t>
      </w:r>
      <w:r w:rsidR="00012AC2" w:rsidRPr="00361BCF">
        <w:rPr>
          <w:rFonts w:ascii="Book Antiqua" w:hAnsi="Book Antiqua"/>
        </w:rPr>
        <w:t>i</w:t>
      </w:r>
      <w:r w:rsidR="00B63321" w:rsidRPr="00361BCF">
        <w:rPr>
          <w:rFonts w:ascii="Book Antiqua" w:hAnsi="Book Antiqua"/>
        </w:rPr>
        <w:t>n</w:t>
      </w:r>
      <w:r w:rsidR="00012AC2" w:rsidRPr="00361BCF">
        <w:rPr>
          <w:rFonts w:ascii="Book Antiqua" w:hAnsi="Book Antiqua"/>
        </w:rPr>
        <w:t xml:space="preserve"> </w:t>
      </w:r>
      <w:proofErr w:type="spellStart"/>
      <w:r w:rsidR="00C2679F" w:rsidRPr="00361BCF">
        <w:rPr>
          <w:rFonts w:ascii="Book Antiqua" w:hAnsi="Book Antiqua"/>
        </w:rPr>
        <w:t>Nadel</w:t>
      </w:r>
      <w:proofErr w:type="spellEnd"/>
      <w:r w:rsidR="00B63321" w:rsidRPr="00361BCF">
        <w:rPr>
          <w:rFonts w:ascii="Book Antiqua" w:hAnsi="Book Antiqua"/>
        </w:rPr>
        <w:t>, L.</w:t>
      </w:r>
      <w:r w:rsidR="00C2679F" w:rsidRPr="00361BCF">
        <w:rPr>
          <w:rFonts w:ascii="Book Antiqua" w:hAnsi="Book Antiqua"/>
        </w:rPr>
        <w:t xml:space="preserve"> and </w:t>
      </w:r>
      <w:proofErr w:type="spellStart"/>
      <w:r w:rsidR="00722865" w:rsidRPr="00361BCF">
        <w:rPr>
          <w:rFonts w:ascii="Book Antiqua" w:hAnsi="Book Antiqua"/>
        </w:rPr>
        <w:t>Sinnott</w:t>
      </w:r>
      <w:proofErr w:type="spellEnd"/>
      <w:r w:rsidR="00722865" w:rsidRPr="00361BCF">
        <w:rPr>
          <w:rFonts w:ascii="Book Antiqua" w:hAnsi="Book Antiqua"/>
        </w:rPr>
        <w:t>-Armstrong</w:t>
      </w:r>
      <w:r w:rsidR="00B63321" w:rsidRPr="00361BCF">
        <w:rPr>
          <w:rFonts w:ascii="Book Antiqua" w:hAnsi="Book Antiqua"/>
        </w:rPr>
        <w:t>, W.P.</w:t>
      </w:r>
      <w:r w:rsidR="00F66060" w:rsidRPr="00361BCF">
        <w:rPr>
          <w:rFonts w:ascii="Book Antiqua" w:hAnsi="Book Antiqua"/>
        </w:rPr>
        <w:t xml:space="preserve"> </w:t>
      </w:r>
      <w:r w:rsidR="00DB7548" w:rsidRPr="00361BCF">
        <w:rPr>
          <w:rFonts w:ascii="Book Antiqua" w:hAnsi="Book Antiqua"/>
        </w:rPr>
        <w:t>(Eds.)</w:t>
      </w:r>
      <w:r w:rsidR="00722865" w:rsidRPr="00361BCF">
        <w:rPr>
          <w:rFonts w:ascii="Book Antiqua" w:hAnsi="Book Antiqua"/>
        </w:rPr>
        <w:t xml:space="preserve">, </w:t>
      </w:r>
      <w:r w:rsidR="00722865" w:rsidRPr="00361BCF">
        <w:rPr>
          <w:rFonts w:ascii="Book Antiqua" w:hAnsi="Book Antiqua"/>
          <w:i/>
        </w:rPr>
        <w:t>Memory and Law</w:t>
      </w:r>
      <w:r w:rsidR="00FC704C" w:rsidRPr="00361BCF">
        <w:rPr>
          <w:rFonts w:ascii="Book Antiqua" w:hAnsi="Book Antiqua"/>
          <w:i/>
        </w:rPr>
        <w:t xml:space="preserve">, </w:t>
      </w:r>
      <w:r w:rsidR="00FC704C" w:rsidRPr="00361BCF">
        <w:rPr>
          <w:rFonts w:ascii="Book Antiqua" w:hAnsi="Book Antiqua"/>
        </w:rPr>
        <w:t>119-141</w:t>
      </w:r>
      <w:r w:rsidR="00012AC2" w:rsidRPr="00361BCF">
        <w:rPr>
          <w:rFonts w:ascii="Book Antiqua" w:hAnsi="Book Antiqua"/>
        </w:rPr>
        <w:t>.</w:t>
      </w:r>
      <w:r w:rsidR="00722865" w:rsidRPr="00361BCF">
        <w:rPr>
          <w:rFonts w:ascii="Book Antiqua" w:hAnsi="Book Antiqua"/>
        </w:rPr>
        <w:t xml:space="preserve"> New York: Oxford University Press</w:t>
      </w:r>
      <w:r w:rsidR="00012AC2" w:rsidRPr="00361BCF">
        <w:rPr>
          <w:rFonts w:ascii="Book Antiqua" w:hAnsi="Book Antiqua"/>
        </w:rPr>
        <w:t>.</w:t>
      </w:r>
    </w:p>
    <w:p w14:paraId="18D189BA"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Saunders, C. (2012), ‘</w:t>
      </w:r>
      <w:proofErr w:type="gramStart"/>
      <w:r w:rsidRPr="00361BCF">
        <w:rPr>
          <w:rFonts w:ascii="Book Antiqua" w:hAnsi="Book Antiqua"/>
        </w:rPr>
        <w:t>The</w:t>
      </w:r>
      <w:proofErr w:type="gramEnd"/>
      <w:r w:rsidRPr="00361BCF">
        <w:rPr>
          <w:rFonts w:ascii="Book Antiqua" w:hAnsi="Book Antiqua"/>
        </w:rPr>
        <w:t xml:space="preserve"> trust, the half-truth, and nothing like the tru</w:t>
      </w:r>
      <w:r w:rsidR="00FC704C" w:rsidRPr="00361BCF">
        <w:rPr>
          <w:rFonts w:ascii="Book Antiqua" w:hAnsi="Book Antiqua"/>
        </w:rPr>
        <w:t xml:space="preserve">th. </w:t>
      </w:r>
      <w:proofErr w:type="gramStart"/>
      <w:r w:rsidRPr="00361BCF">
        <w:rPr>
          <w:rFonts w:ascii="Book Antiqua" w:hAnsi="Book Antiqua"/>
        </w:rPr>
        <w:t xml:space="preserve">Reconceptualising false allegations of rape’, </w:t>
      </w:r>
      <w:r w:rsidRPr="00361BCF">
        <w:rPr>
          <w:rFonts w:ascii="Book Antiqua" w:hAnsi="Book Antiqua"/>
          <w:i/>
        </w:rPr>
        <w:t>British Journal of Criminology</w:t>
      </w:r>
      <w:r w:rsidRPr="00361BCF">
        <w:rPr>
          <w:rFonts w:ascii="Book Antiqua" w:hAnsi="Book Antiqua"/>
        </w:rPr>
        <w:t>, 52(6): 1152-1171</w:t>
      </w:r>
      <w:r w:rsidR="00012AC2" w:rsidRPr="00361BCF">
        <w:rPr>
          <w:rFonts w:ascii="Book Antiqua" w:hAnsi="Book Antiqua"/>
        </w:rPr>
        <w:t>.</w:t>
      </w:r>
      <w:proofErr w:type="gramEnd"/>
    </w:p>
    <w:p w14:paraId="1FB00184" w14:textId="283B4CFF" w:rsidR="00A037F4" w:rsidRPr="00361BCF" w:rsidRDefault="00A037F4" w:rsidP="004A4CBA">
      <w:pPr>
        <w:spacing w:line="360" w:lineRule="auto"/>
        <w:ind w:left="567" w:hanging="567"/>
        <w:jc w:val="both"/>
        <w:rPr>
          <w:rFonts w:ascii="Book Antiqua" w:hAnsi="Book Antiqua"/>
          <w:lang w:val="en-US"/>
        </w:rPr>
      </w:pPr>
      <w:proofErr w:type="spellStart"/>
      <w:r w:rsidRPr="00361BCF">
        <w:rPr>
          <w:rFonts w:ascii="Book Antiqua" w:hAnsi="Book Antiqua"/>
          <w:bCs/>
          <w:iCs/>
          <w:lang w:val="en-US"/>
        </w:rPr>
        <w:t>Schacter</w:t>
      </w:r>
      <w:proofErr w:type="spellEnd"/>
      <w:r w:rsidRPr="00361BCF">
        <w:rPr>
          <w:rFonts w:ascii="Book Antiqua" w:hAnsi="Book Antiqua"/>
          <w:bCs/>
          <w:iCs/>
          <w:lang w:val="en-US"/>
        </w:rPr>
        <w:t>, D.L. (2001</w:t>
      </w:r>
      <w:r w:rsidR="00B31732" w:rsidRPr="00361BCF">
        <w:rPr>
          <w:rFonts w:ascii="Book Antiqua" w:hAnsi="Book Antiqua"/>
          <w:bCs/>
          <w:iCs/>
          <w:lang w:val="en-US"/>
        </w:rPr>
        <w:t>)</w:t>
      </w:r>
      <w:r w:rsidR="00012AC2" w:rsidRPr="00361BCF">
        <w:rPr>
          <w:rFonts w:ascii="Book Antiqua" w:hAnsi="Book Antiqua"/>
          <w:bCs/>
          <w:iCs/>
          <w:lang w:val="en-US"/>
        </w:rPr>
        <w:t xml:space="preserve">, </w:t>
      </w:r>
      <w:r w:rsidR="00B31732" w:rsidRPr="00361BCF">
        <w:rPr>
          <w:rFonts w:ascii="Book Antiqua" w:hAnsi="Book Antiqua"/>
          <w:bCs/>
          <w:i/>
          <w:iCs/>
          <w:lang w:val="en-US"/>
        </w:rPr>
        <w:t>The Seven Sins of Memory: How the Mind Forgets and Remembers</w:t>
      </w:r>
      <w:r w:rsidR="00B31732" w:rsidRPr="00361BCF">
        <w:rPr>
          <w:rFonts w:ascii="Book Antiqua" w:hAnsi="Book Antiqua"/>
          <w:bCs/>
          <w:iCs/>
          <w:lang w:val="en-US"/>
        </w:rPr>
        <w:t>.</w:t>
      </w:r>
      <w:r w:rsidR="00B31732" w:rsidRPr="00361BCF">
        <w:rPr>
          <w:rFonts w:ascii="Book Antiqua" w:hAnsi="Book Antiqua"/>
          <w:b/>
          <w:bCs/>
          <w:iCs/>
          <w:lang w:val="en-US"/>
        </w:rPr>
        <w:t xml:space="preserve"> </w:t>
      </w:r>
      <w:r w:rsidRPr="00361BCF">
        <w:rPr>
          <w:rFonts w:ascii="Book Antiqua" w:hAnsi="Book Antiqua"/>
          <w:lang w:val="en-US"/>
        </w:rPr>
        <w:t>Souvenir Press ltd.: London, U.K.</w:t>
      </w:r>
    </w:p>
    <w:p w14:paraId="1A751F0D" w14:textId="1C9AB789" w:rsidR="00725EE2" w:rsidRPr="00361BCF" w:rsidRDefault="00DA0905" w:rsidP="004A4CBA">
      <w:pPr>
        <w:spacing w:line="360" w:lineRule="auto"/>
        <w:ind w:left="567" w:hanging="567"/>
        <w:jc w:val="both"/>
        <w:rPr>
          <w:rFonts w:ascii="Book Antiqua" w:hAnsi="Book Antiqua"/>
        </w:rPr>
      </w:pPr>
      <w:proofErr w:type="spellStart"/>
      <w:r w:rsidRPr="00361BCF">
        <w:rPr>
          <w:rFonts w:ascii="Book Antiqua" w:hAnsi="Book Antiqua"/>
          <w:lang w:val="en-US" w:eastAsia="en-GB"/>
        </w:rPr>
        <w:t>Schacter</w:t>
      </w:r>
      <w:proofErr w:type="spellEnd"/>
      <w:r w:rsidRPr="00361BCF">
        <w:rPr>
          <w:rFonts w:ascii="Book Antiqua" w:hAnsi="Book Antiqua"/>
          <w:lang w:val="en-US" w:eastAsia="en-GB"/>
        </w:rPr>
        <w:t xml:space="preserve">, D.L., </w:t>
      </w:r>
      <w:r w:rsidRPr="00361BCF">
        <w:rPr>
          <w:rFonts w:ascii="Book Antiqua" w:hAnsi="Book Antiqua"/>
          <w:bCs/>
          <w:lang w:val="en-US" w:eastAsia="en-GB"/>
        </w:rPr>
        <w:t>Addis, D.R.</w:t>
      </w:r>
      <w:r w:rsidRPr="00361BCF">
        <w:rPr>
          <w:rFonts w:ascii="Book Antiqua" w:hAnsi="Book Antiqua"/>
          <w:lang w:val="en-US" w:eastAsia="en-GB"/>
        </w:rPr>
        <w:t xml:space="preserve">, </w:t>
      </w:r>
      <w:proofErr w:type="spellStart"/>
      <w:r w:rsidRPr="00361BCF">
        <w:rPr>
          <w:rFonts w:ascii="Book Antiqua" w:hAnsi="Book Antiqua"/>
          <w:lang w:val="en-US" w:eastAsia="en-GB"/>
        </w:rPr>
        <w:t>Hassabis</w:t>
      </w:r>
      <w:proofErr w:type="spellEnd"/>
      <w:r w:rsidRPr="00361BCF">
        <w:rPr>
          <w:rFonts w:ascii="Book Antiqua" w:hAnsi="Book Antiqua"/>
          <w:lang w:val="en-US" w:eastAsia="en-GB"/>
        </w:rPr>
        <w:t xml:space="preserve">, D., </w:t>
      </w:r>
      <w:r w:rsidRPr="00361BCF">
        <w:rPr>
          <w:rFonts w:ascii="Book Antiqua" w:hAnsi="Book Antiqua"/>
          <w:bCs/>
          <w:lang w:val="en-US" w:eastAsia="en-GB"/>
        </w:rPr>
        <w:t>Martin, V.C.</w:t>
      </w:r>
      <w:r w:rsidRPr="00361BCF">
        <w:rPr>
          <w:rFonts w:ascii="Book Antiqua" w:hAnsi="Book Antiqua"/>
          <w:lang w:val="en-US" w:eastAsia="en-GB"/>
        </w:rPr>
        <w:t xml:space="preserve">, </w:t>
      </w:r>
      <w:proofErr w:type="spellStart"/>
      <w:r w:rsidRPr="00361BCF">
        <w:rPr>
          <w:rFonts w:ascii="Book Antiqua" w:hAnsi="Book Antiqua"/>
          <w:lang w:val="en-US" w:eastAsia="en-GB"/>
        </w:rPr>
        <w:t>Spreng</w:t>
      </w:r>
      <w:proofErr w:type="spellEnd"/>
      <w:r w:rsidRPr="00361BCF">
        <w:rPr>
          <w:rFonts w:ascii="Book Antiqua" w:hAnsi="Book Antiqua"/>
          <w:lang w:val="en-US" w:eastAsia="en-GB"/>
        </w:rPr>
        <w:t xml:space="preserve">, R.N. and </w:t>
      </w:r>
      <w:proofErr w:type="spellStart"/>
      <w:r w:rsidRPr="00361BCF">
        <w:rPr>
          <w:rFonts w:ascii="Book Antiqua" w:hAnsi="Book Antiqua"/>
          <w:lang w:val="en-US" w:eastAsia="en-GB"/>
        </w:rPr>
        <w:t>Szpunar</w:t>
      </w:r>
      <w:proofErr w:type="spellEnd"/>
      <w:r w:rsidRPr="00361BCF">
        <w:rPr>
          <w:rFonts w:ascii="Book Antiqua" w:hAnsi="Book Antiqua"/>
          <w:lang w:val="en-US" w:eastAsia="en-GB"/>
        </w:rPr>
        <w:t>, K.K. (2012)</w:t>
      </w:r>
      <w:r w:rsidR="00012AC2" w:rsidRPr="00361BCF">
        <w:rPr>
          <w:rFonts w:ascii="Book Antiqua" w:hAnsi="Book Antiqua"/>
          <w:lang w:val="en-US" w:eastAsia="en-GB"/>
        </w:rPr>
        <w:t>,</w:t>
      </w:r>
      <w:r w:rsidRPr="00361BCF">
        <w:rPr>
          <w:rFonts w:ascii="Book Antiqua" w:hAnsi="Book Antiqua"/>
          <w:lang w:val="en-US" w:eastAsia="en-GB"/>
        </w:rPr>
        <w:t xml:space="preserve"> </w:t>
      </w:r>
      <w:r w:rsidR="00012AC2" w:rsidRPr="00361BCF">
        <w:rPr>
          <w:rFonts w:ascii="Book Antiqua" w:hAnsi="Book Antiqua"/>
          <w:lang w:val="en-US" w:eastAsia="en-GB"/>
        </w:rPr>
        <w:t>‘</w:t>
      </w:r>
      <w:r w:rsidRPr="00361BCF">
        <w:rPr>
          <w:rFonts w:ascii="Book Antiqua" w:hAnsi="Book Antiqua"/>
          <w:bCs/>
          <w:lang w:val="en-US" w:eastAsia="en-GB"/>
        </w:rPr>
        <w:t>The Future of Memory: Remembering, Imagining, and the Brain</w:t>
      </w:r>
      <w:r w:rsidR="00012AC2" w:rsidRPr="00361BCF">
        <w:rPr>
          <w:rFonts w:ascii="Book Antiqua" w:hAnsi="Book Antiqua"/>
          <w:bCs/>
          <w:lang w:val="en-US" w:eastAsia="en-GB"/>
        </w:rPr>
        <w:t xml:space="preserve">’, </w:t>
      </w:r>
      <w:r w:rsidRPr="00361BCF">
        <w:rPr>
          <w:rFonts w:ascii="Book Antiqua" w:hAnsi="Book Antiqua"/>
          <w:i/>
          <w:iCs/>
          <w:lang w:val="en-US" w:eastAsia="en-GB"/>
        </w:rPr>
        <w:t>Neuron</w:t>
      </w:r>
      <w:r w:rsidRPr="00361BCF">
        <w:rPr>
          <w:rFonts w:ascii="Book Antiqua" w:hAnsi="Book Antiqua"/>
          <w:lang w:val="en-US" w:eastAsia="en-GB"/>
        </w:rPr>
        <w:t>, 76(4): 677–694</w:t>
      </w:r>
      <w:r w:rsidR="00012AC2" w:rsidRPr="00361BCF">
        <w:rPr>
          <w:rFonts w:ascii="Book Antiqua" w:hAnsi="Book Antiqua"/>
          <w:lang w:val="en-US" w:eastAsia="en-GB"/>
        </w:rPr>
        <w:t>.</w:t>
      </w:r>
    </w:p>
    <w:p w14:paraId="77D67D51" w14:textId="7DC49BC4" w:rsidR="002603BD" w:rsidRPr="00361BCF" w:rsidRDefault="00081245" w:rsidP="004A4CBA">
      <w:pPr>
        <w:widowControl w:val="0"/>
        <w:tabs>
          <w:tab w:val="left" w:pos="284"/>
        </w:tabs>
        <w:autoSpaceDE w:val="0"/>
        <w:autoSpaceDN w:val="0"/>
        <w:adjustRightInd w:val="0"/>
        <w:spacing w:line="360" w:lineRule="auto"/>
        <w:ind w:left="567" w:hanging="567"/>
        <w:jc w:val="both"/>
        <w:rPr>
          <w:rFonts w:ascii="Book Antiqua" w:hAnsi="Book Antiqua"/>
          <w:lang w:val="en-US" w:eastAsia="en-GB"/>
        </w:rPr>
      </w:pPr>
      <w:proofErr w:type="spellStart"/>
      <w:proofErr w:type="gramStart"/>
      <w:r w:rsidRPr="00361BCF">
        <w:rPr>
          <w:rFonts w:ascii="Book Antiqua" w:hAnsi="Book Antiqua"/>
          <w:lang w:val="en-US" w:eastAsia="en-GB"/>
        </w:rPr>
        <w:t>Schmechel</w:t>
      </w:r>
      <w:proofErr w:type="spellEnd"/>
      <w:r w:rsidRPr="00361BCF">
        <w:rPr>
          <w:rFonts w:ascii="Book Antiqua" w:hAnsi="Book Antiqua"/>
          <w:lang w:val="en-US" w:eastAsia="en-GB"/>
        </w:rPr>
        <w:t>, R., O’Toole, T., Easterly, C., and Loftus, E.</w:t>
      </w:r>
      <w:r w:rsidR="00BB1B14">
        <w:rPr>
          <w:rFonts w:ascii="Book Antiqua" w:hAnsi="Book Antiqua"/>
          <w:lang w:val="en-US" w:eastAsia="en-GB"/>
        </w:rPr>
        <w:t xml:space="preserve"> </w:t>
      </w:r>
      <w:r w:rsidRPr="00361BCF">
        <w:rPr>
          <w:rFonts w:ascii="Book Antiqua" w:hAnsi="Book Antiqua"/>
          <w:lang w:val="en-US" w:eastAsia="en-GB"/>
        </w:rPr>
        <w:t>(2006) ‘</w:t>
      </w:r>
      <w:r w:rsidR="002603BD" w:rsidRPr="00361BCF">
        <w:rPr>
          <w:rFonts w:ascii="Book Antiqua" w:hAnsi="Book Antiqua"/>
          <w:lang w:val="en-US" w:eastAsia="en-GB"/>
        </w:rPr>
        <w:t>Beyond the ken?</w:t>
      </w:r>
      <w:proofErr w:type="gramEnd"/>
      <w:r w:rsidR="002603BD" w:rsidRPr="00361BCF">
        <w:rPr>
          <w:rFonts w:ascii="Book Antiqua" w:hAnsi="Book Antiqua"/>
          <w:lang w:val="en-US" w:eastAsia="en-GB"/>
        </w:rPr>
        <w:t xml:space="preserve"> Testing jurors’</w:t>
      </w:r>
      <w:r w:rsidRPr="00361BCF">
        <w:rPr>
          <w:rFonts w:ascii="Book Antiqua" w:hAnsi="Book Antiqua"/>
          <w:lang w:val="en-US" w:eastAsia="en-GB"/>
        </w:rPr>
        <w:t xml:space="preserve"> </w:t>
      </w:r>
      <w:r w:rsidR="002603BD" w:rsidRPr="00361BCF">
        <w:rPr>
          <w:rFonts w:ascii="Book Antiqua" w:hAnsi="Book Antiqua"/>
          <w:lang w:val="en-US" w:eastAsia="en-GB"/>
        </w:rPr>
        <w:t>understanding of e</w:t>
      </w:r>
      <w:r w:rsidRPr="00361BCF">
        <w:rPr>
          <w:rFonts w:ascii="Book Antiqua" w:hAnsi="Book Antiqua"/>
          <w:lang w:val="en-US" w:eastAsia="en-GB"/>
        </w:rPr>
        <w:t xml:space="preserve">yewitness reliability evidence’, </w:t>
      </w:r>
      <w:r w:rsidR="002603BD" w:rsidRPr="00361BCF">
        <w:rPr>
          <w:rFonts w:ascii="Book Antiqua" w:hAnsi="Book Antiqua"/>
          <w:i/>
          <w:lang w:val="en-US" w:eastAsia="en-GB"/>
        </w:rPr>
        <w:t>Jurimetrics</w:t>
      </w:r>
      <w:r w:rsidRPr="00361BCF">
        <w:rPr>
          <w:rFonts w:ascii="Book Antiqua" w:hAnsi="Book Antiqua"/>
          <w:lang w:val="en-US" w:eastAsia="en-GB"/>
        </w:rPr>
        <w:t xml:space="preserve"> 46(2): 177-</w:t>
      </w:r>
      <w:r w:rsidR="002603BD" w:rsidRPr="00361BCF">
        <w:rPr>
          <w:rFonts w:ascii="Book Antiqua" w:hAnsi="Book Antiqua"/>
          <w:lang w:val="en-US" w:eastAsia="en-GB"/>
        </w:rPr>
        <w:t>214.</w:t>
      </w:r>
    </w:p>
    <w:p w14:paraId="1EB91004" w14:textId="77777777" w:rsidR="00370D80"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Stanko</w:t>
      </w:r>
      <w:proofErr w:type="spellEnd"/>
      <w:r w:rsidRPr="00361BCF">
        <w:rPr>
          <w:rFonts w:ascii="Book Antiqua" w:hAnsi="Book Antiqua"/>
        </w:rPr>
        <w:t xml:space="preserve">, E. (1985), </w:t>
      </w:r>
      <w:r w:rsidRPr="00361BCF">
        <w:rPr>
          <w:rFonts w:ascii="Book Antiqua" w:hAnsi="Book Antiqua"/>
          <w:i/>
        </w:rPr>
        <w:t>Intimate intrusions: women’s experience of male violence</w:t>
      </w:r>
      <w:r w:rsidRPr="00361BCF">
        <w:rPr>
          <w:rFonts w:ascii="Book Antiqua" w:hAnsi="Book Antiqua"/>
        </w:rPr>
        <w:t xml:space="preserve">. London: Routledge. </w:t>
      </w:r>
    </w:p>
    <w:p w14:paraId="3CA835F5" w14:textId="54C184AC" w:rsidR="00370D80" w:rsidRPr="00361BCF" w:rsidRDefault="00370D80" w:rsidP="004A4CBA">
      <w:pPr>
        <w:spacing w:line="360" w:lineRule="auto"/>
        <w:ind w:left="567" w:hanging="567"/>
        <w:jc w:val="both"/>
        <w:rPr>
          <w:rFonts w:ascii="Book Antiqua" w:hAnsi="Book Antiqua"/>
        </w:rPr>
      </w:pPr>
      <w:r w:rsidRPr="00361BCF">
        <w:rPr>
          <w:rFonts w:ascii="Book Antiqua" w:hAnsi="Book Antiqua"/>
        </w:rPr>
        <w:lastRenderedPageBreak/>
        <w:t>Stern, V. (2010)</w:t>
      </w:r>
      <w:r w:rsidR="00B63321" w:rsidRPr="00361BCF">
        <w:rPr>
          <w:rFonts w:ascii="Book Antiqua" w:hAnsi="Book Antiqua"/>
        </w:rPr>
        <w:t>,</w:t>
      </w:r>
      <w:r w:rsidRPr="00361BCF">
        <w:rPr>
          <w:rFonts w:ascii="Book Antiqua" w:hAnsi="Book Antiqua"/>
        </w:rPr>
        <w:t xml:space="preserve"> </w:t>
      </w:r>
      <w:r w:rsidRPr="00361BCF">
        <w:rPr>
          <w:rFonts w:ascii="Book Antiqua" w:hAnsi="Book Antiqua"/>
          <w:i/>
          <w:iCs/>
        </w:rPr>
        <w:t xml:space="preserve">A Report by Baroness Vivien Stern CBE of An Independent Review into How Rape Complaints are Handled by Public Authorities in England and Wales. </w:t>
      </w:r>
      <w:r w:rsidRPr="00361BCF">
        <w:rPr>
          <w:rFonts w:ascii="Book Antiqua" w:hAnsi="Book Antiqua"/>
        </w:rPr>
        <w:t>London: Home Office.</w:t>
      </w:r>
    </w:p>
    <w:p w14:paraId="1C2ABCF1" w14:textId="77777777" w:rsidR="00753223" w:rsidRPr="00361BCF" w:rsidRDefault="00753223" w:rsidP="004A4CBA">
      <w:pPr>
        <w:spacing w:line="360" w:lineRule="auto"/>
        <w:ind w:left="567" w:hanging="567"/>
        <w:jc w:val="both"/>
        <w:rPr>
          <w:rFonts w:ascii="Book Antiqua" w:hAnsi="Book Antiqua"/>
        </w:rPr>
      </w:pPr>
      <w:r w:rsidRPr="00361BCF">
        <w:rPr>
          <w:rFonts w:ascii="Book Antiqua" w:hAnsi="Book Antiqua"/>
        </w:rPr>
        <w:t xml:space="preserve">Taylor, C. (2004), </w:t>
      </w:r>
      <w:r w:rsidRPr="00361BCF">
        <w:rPr>
          <w:rFonts w:ascii="Book Antiqua" w:hAnsi="Book Antiqua"/>
          <w:i/>
        </w:rPr>
        <w:t>Court Licensed Abuse.</w:t>
      </w:r>
      <w:r w:rsidRPr="00361BCF">
        <w:rPr>
          <w:rFonts w:ascii="Book Antiqua" w:hAnsi="Book Antiqua"/>
        </w:rPr>
        <w:t xml:space="preserve"> New York: Peter Lang Publishing.</w:t>
      </w:r>
    </w:p>
    <w:p w14:paraId="2E9F2139" w14:textId="77777777" w:rsidR="00753223"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Temkin</w:t>
      </w:r>
      <w:proofErr w:type="spellEnd"/>
      <w:r w:rsidRPr="00361BCF">
        <w:rPr>
          <w:rFonts w:ascii="Book Antiqua" w:hAnsi="Book Antiqua"/>
        </w:rPr>
        <w:t xml:space="preserve">, J. (1997), ‘Plus </w:t>
      </w:r>
      <w:proofErr w:type="spellStart"/>
      <w:r w:rsidRPr="00361BCF">
        <w:rPr>
          <w:rStyle w:val="latn"/>
          <w:rFonts w:ascii="Book Antiqua" w:hAnsi="Book Antiqua"/>
          <w:bCs/>
          <w:lang w:val="en-US"/>
        </w:rPr>
        <w:t>ça</w:t>
      </w:r>
      <w:proofErr w:type="spellEnd"/>
      <w:r w:rsidRPr="00361BCF">
        <w:rPr>
          <w:rStyle w:val="Strong"/>
          <w:rFonts w:ascii="Book Antiqua" w:hAnsi="Book Antiqua"/>
          <w:b w:val="0"/>
        </w:rPr>
        <w:t xml:space="preserve"> </w:t>
      </w:r>
      <w:r w:rsidRPr="00361BCF">
        <w:rPr>
          <w:rFonts w:ascii="Book Antiqua" w:hAnsi="Book Antiqua"/>
        </w:rPr>
        <w:t xml:space="preserve">change: Reporting rape in the 1990s’, </w:t>
      </w:r>
      <w:r w:rsidRPr="00361BCF">
        <w:rPr>
          <w:rFonts w:ascii="Book Antiqua" w:hAnsi="Book Antiqua"/>
          <w:i/>
        </w:rPr>
        <w:t>British Journal of Criminology</w:t>
      </w:r>
      <w:r w:rsidRPr="00361BCF">
        <w:rPr>
          <w:rFonts w:ascii="Book Antiqua" w:hAnsi="Book Antiqua"/>
        </w:rPr>
        <w:t>, 37(4): 507-528.</w:t>
      </w:r>
    </w:p>
    <w:p w14:paraId="53D0AC3F" w14:textId="77777777" w:rsidR="00753223"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Temkin</w:t>
      </w:r>
      <w:proofErr w:type="spellEnd"/>
      <w:r w:rsidRPr="00361BCF">
        <w:rPr>
          <w:rFonts w:ascii="Book Antiqua" w:hAnsi="Book Antiqua"/>
        </w:rPr>
        <w:t xml:space="preserve">, J. (2000), </w:t>
      </w:r>
      <w:r w:rsidR="00012AC2" w:rsidRPr="00361BCF">
        <w:rPr>
          <w:rFonts w:ascii="Book Antiqua" w:hAnsi="Book Antiqua"/>
        </w:rPr>
        <w:t>‘</w:t>
      </w:r>
      <w:r w:rsidRPr="00361BCF">
        <w:rPr>
          <w:rFonts w:ascii="Book Antiqua" w:hAnsi="Book Antiqua"/>
        </w:rPr>
        <w:t>Prosecuting and defending rape: perspectives from the bar</w:t>
      </w:r>
      <w:r w:rsidR="00012AC2" w:rsidRPr="00361BCF">
        <w:rPr>
          <w:rFonts w:ascii="Book Antiqua" w:hAnsi="Book Antiqua"/>
        </w:rPr>
        <w:t>’</w:t>
      </w:r>
      <w:r w:rsidRPr="00361BCF">
        <w:rPr>
          <w:rFonts w:ascii="Book Antiqua" w:hAnsi="Book Antiqua"/>
        </w:rPr>
        <w:t xml:space="preserve">, </w:t>
      </w:r>
      <w:r w:rsidRPr="00361BCF">
        <w:rPr>
          <w:rFonts w:ascii="Book Antiqua" w:hAnsi="Book Antiqua"/>
          <w:i/>
        </w:rPr>
        <w:t>Journal of Law and Society</w:t>
      </w:r>
      <w:r w:rsidRPr="00361BCF">
        <w:rPr>
          <w:rFonts w:ascii="Book Antiqua" w:hAnsi="Book Antiqua"/>
        </w:rPr>
        <w:t>, 27(2): 219-248.</w:t>
      </w:r>
    </w:p>
    <w:p w14:paraId="076CD018" w14:textId="77777777" w:rsidR="00753223"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Temkin</w:t>
      </w:r>
      <w:proofErr w:type="spellEnd"/>
      <w:r w:rsidRPr="00361BCF">
        <w:rPr>
          <w:rFonts w:ascii="Book Antiqua" w:hAnsi="Book Antiqua"/>
        </w:rPr>
        <w:t xml:space="preserve">, J. (2002), </w:t>
      </w:r>
      <w:r w:rsidRPr="00361BCF">
        <w:rPr>
          <w:rFonts w:ascii="Book Antiqua" w:hAnsi="Book Antiqua"/>
          <w:i/>
        </w:rPr>
        <w:t>Rape and the Legal Process</w:t>
      </w:r>
      <w:r w:rsidRPr="00361BCF">
        <w:rPr>
          <w:rFonts w:ascii="Book Antiqua" w:hAnsi="Book Antiqua"/>
        </w:rPr>
        <w:t>. Oxford: Oxford University Press.</w:t>
      </w:r>
    </w:p>
    <w:p w14:paraId="7477EF13" w14:textId="77777777" w:rsidR="00753223" w:rsidRPr="00361BCF" w:rsidRDefault="00753223" w:rsidP="004A4CBA">
      <w:pPr>
        <w:spacing w:line="360" w:lineRule="auto"/>
        <w:ind w:left="567" w:hanging="567"/>
        <w:jc w:val="both"/>
        <w:rPr>
          <w:rFonts w:ascii="Book Antiqua" w:hAnsi="Book Antiqua"/>
        </w:rPr>
      </w:pPr>
      <w:proofErr w:type="spellStart"/>
      <w:r w:rsidRPr="00361BCF">
        <w:rPr>
          <w:rFonts w:ascii="Book Antiqua" w:hAnsi="Book Antiqua"/>
        </w:rPr>
        <w:t>Temkin</w:t>
      </w:r>
      <w:proofErr w:type="spellEnd"/>
      <w:r w:rsidRPr="00361BCF">
        <w:rPr>
          <w:rFonts w:ascii="Book Antiqua" w:hAnsi="Book Antiqua"/>
        </w:rPr>
        <w:t xml:space="preserve">, J. and </w:t>
      </w:r>
      <w:proofErr w:type="spellStart"/>
      <w:r w:rsidRPr="00361BCF">
        <w:rPr>
          <w:rFonts w:ascii="Book Antiqua" w:hAnsi="Book Antiqua"/>
        </w:rPr>
        <w:t>Krahé</w:t>
      </w:r>
      <w:proofErr w:type="spellEnd"/>
      <w:r w:rsidRPr="00361BCF">
        <w:rPr>
          <w:rFonts w:ascii="Book Antiqua" w:hAnsi="Book Antiqua"/>
        </w:rPr>
        <w:t xml:space="preserve">, B. (2008), </w:t>
      </w:r>
      <w:r w:rsidRPr="00361BCF">
        <w:rPr>
          <w:rFonts w:ascii="Book Antiqua" w:hAnsi="Book Antiqua"/>
          <w:i/>
        </w:rPr>
        <w:t>Sexual assault and the justice gap: a question of attitude</w:t>
      </w:r>
      <w:r w:rsidRPr="00361BCF">
        <w:rPr>
          <w:rFonts w:ascii="Book Antiqua" w:hAnsi="Book Antiqua"/>
        </w:rPr>
        <w:t>, Portland: Hart Publishing.</w:t>
      </w:r>
    </w:p>
    <w:p w14:paraId="54E64B6A" w14:textId="77777777" w:rsidR="0093155F" w:rsidRPr="00361BCF" w:rsidRDefault="0093155F" w:rsidP="004A4CBA">
      <w:pPr>
        <w:widowControl w:val="0"/>
        <w:autoSpaceDE w:val="0"/>
        <w:autoSpaceDN w:val="0"/>
        <w:adjustRightInd w:val="0"/>
        <w:spacing w:line="360" w:lineRule="auto"/>
        <w:ind w:left="567" w:hanging="567"/>
        <w:jc w:val="both"/>
        <w:rPr>
          <w:rFonts w:ascii="Book Antiqua" w:hAnsi="Book Antiqua"/>
          <w:lang w:val="en-US" w:eastAsia="en-GB"/>
        </w:rPr>
      </w:pPr>
      <w:r w:rsidRPr="00361BCF">
        <w:rPr>
          <w:rFonts w:ascii="Book Antiqua" w:hAnsi="Book Antiqua"/>
          <w:lang w:val="en-US" w:eastAsia="en-GB"/>
        </w:rPr>
        <w:t xml:space="preserve">Tromp, S., Koss, M. P., </w:t>
      </w:r>
      <w:proofErr w:type="spellStart"/>
      <w:r w:rsidRPr="00361BCF">
        <w:rPr>
          <w:rFonts w:ascii="Book Antiqua" w:hAnsi="Book Antiqua"/>
          <w:lang w:val="en-US" w:eastAsia="en-GB"/>
        </w:rPr>
        <w:t>Figueredo</w:t>
      </w:r>
      <w:proofErr w:type="spellEnd"/>
      <w:r w:rsidRPr="00361BCF">
        <w:rPr>
          <w:rFonts w:ascii="Book Antiqua" w:hAnsi="Book Antiqua"/>
          <w:lang w:val="en-US" w:eastAsia="en-GB"/>
        </w:rPr>
        <w:t xml:space="preserve">, A. and </w:t>
      </w:r>
      <w:proofErr w:type="spellStart"/>
      <w:r w:rsidRPr="00361BCF">
        <w:rPr>
          <w:rFonts w:ascii="Book Antiqua" w:hAnsi="Book Antiqua"/>
          <w:lang w:val="en-US" w:eastAsia="en-GB"/>
        </w:rPr>
        <w:t>Tharan</w:t>
      </w:r>
      <w:proofErr w:type="spellEnd"/>
      <w:r w:rsidRPr="00361BCF">
        <w:rPr>
          <w:rFonts w:ascii="Book Antiqua" w:hAnsi="Book Antiqua"/>
          <w:lang w:val="en-US" w:eastAsia="en-GB"/>
        </w:rPr>
        <w:t>, M. (1995)</w:t>
      </w:r>
      <w:r w:rsidR="00012AC2" w:rsidRPr="00361BCF">
        <w:rPr>
          <w:rFonts w:ascii="Book Antiqua" w:hAnsi="Book Antiqua"/>
          <w:lang w:val="en-US" w:eastAsia="en-GB"/>
        </w:rPr>
        <w:t>,</w:t>
      </w:r>
      <w:r w:rsidRPr="00361BCF">
        <w:rPr>
          <w:rFonts w:ascii="Book Antiqua" w:hAnsi="Book Antiqua"/>
          <w:lang w:val="en-US" w:eastAsia="en-GB"/>
        </w:rPr>
        <w:t xml:space="preserve"> </w:t>
      </w:r>
      <w:r w:rsidR="00012AC2" w:rsidRPr="00361BCF">
        <w:rPr>
          <w:rFonts w:ascii="Book Antiqua" w:hAnsi="Book Antiqua"/>
          <w:lang w:val="en-US" w:eastAsia="en-GB"/>
        </w:rPr>
        <w:t>‘</w:t>
      </w:r>
      <w:r w:rsidRPr="00361BCF">
        <w:rPr>
          <w:rFonts w:ascii="Book Antiqua" w:hAnsi="Book Antiqua"/>
          <w:lang w:val="en-US" w:eastAsia="en-GB"/>
        </w:rPr>
        <w:t>Are rape memories different? A comparison of rape, other unpleasant, and pleasant memories among employed women</w:t>
      </w:r>
      <w:r w:rsidR="00012AC2" w:rsidRPr="00361BCF">
        <w:rPr>
          <w:rFonts w:ascii="Book Antiqua" w:hAnsi="Book Antiqua"/>
          <w:lang w:val="en-US" w:eastAsia="en-GB"/>
        </w:rPr>
        <w:t>’</w:t>
      </w:r>
      <w:r w:rsidRPr="00361BCF">
        <w:rPr>
          <w:rFonts w:ascii="Book Antiqua" w:hAnsi="Book Antiqua"/>
          <w:lang w:val="en-US" w:eastAsia="en-GB"/>
        </w:rPr>
        <w:t xml:space="preserve">, </w:t>
      </w:r>
      <w:r w:rsidRPr="00361BCF">
        <w:rPr>
          <w:rFonts w:ascii="Book Antiqua" w:hAnsi="Book Antiqua"/>
          <w:i/>
          <w:lang w:val="en-US" w:eastAsia="en-GB"/>
        </w:rPr>
        <w:t>Journal of Traumatic Stress</w:t>
      </w:r>
      <w:r w:rsidRPr="00361BCF">
        <w:rPr>
          <w:rFonts w:ascii="Book Antiqua" w:hAnsi="Book Antiqua"/>
          <w:lang w:val="en-US" w:eastAsia="en-GB"/>
        </w:rPr>
        <w:t>, 8(4): 607-627</w:t>
      </w:r>
      <w:r w:rsidR="00012AC2" w:rsidRPr="00361BCF">
        <w:rPr>
          <w:rFonts w:ascii="Book Antiqua" w:hAnsi="Book Antiqua"/>
          <w:lang w:val="en-US" w:eastAsia="en-GB"/>
        </w:rPr>
        <w:t>.</w:t>
      </w:r>
    </w:p>
    <w:p w14:paraId="756F5EE3" w14:textId="1EDDFEFE" w:rsidR="007C6FA1" w:rsidRPr="00CE11C7" w:rsidRDefault="007C6FA1" w:rsidP="004A4CBA">
      <w:pPr>
        <w:spacing w:line="360" w:lineRule="auto"/>
        <w:ind w:left="567" w:hanging="567"/>
        <w:jc w:val="both"/>
        <w:rPr>
          <w:rFonts w:ascii="Book Antiqua" w:hAnsi="Book Antiqua"/>
          <w:lang w:val="en-US"/>
        </w:rPr>
      </w:pPr>
      <w:proofErr w:type="gramStart"/>
      <w:r w:rsidRPr="00361BCF">
        <w:rPr>
          <w:rFonts w:ascii="Book Antiqua" w:hAnsi="Book Antiqua"/>
          <w:lang w:val="en-US"/>
        </w:rPr>
        <w:t xml:space="preserve">Wells, G. L., </w:t>
      </w:r>
      <w:r w:rsidR="00CE11C7" w:rsidRPr="00361BCF">
        <w:rPr>
          <w:rFonts w:ascii="Book Antiqua" w:hAnsi="Book Antiqua"/>
          <w:lang w:val="en-US"/>
        </w:rPr>
        <w:t>and</w:t>
      </w:r>
      <w:r w:rsidRPr="00361BCF">
        <w:rPr>
          <w:rFonts w:ascii="Book Antiqua" w:hAnsi="Book Antiqua"/>
          <w:lang w:val="en-US"/>
        </w:rPr>
        <w:t xml:space="preserve"> Olson, E. (2003)</w:t>
      </w:r>
      <w:r w:rsidR="00CE11C7" w:rsidRPr="00361BCF">
        <w:rPr>
          <w:rFonts w:ascii="Book Antiqua" w:hAnsi="Book Antiqua"/>
          <w:lang w:val="en-US"/>
        </w:rPr>
        <w:t>,</w:t>
      </w:r>
      <w:r w:rsidRPr="00361BCF">
        <w:rPr>
          <w:rFonts w:ascii="Book Antiqua" w:hAnsi="Book Antiqua"/>
          <w:lang w:val="en-US"/>
        </w:rPr>
        <w:t xml:space="preserve"> </w:t>
      </w:r>
      <w:r w:rsidR="00CE11C7" w:rsidRPr="00361BCF">
        <w:rPr>
          <w:rFonts w:ascii="Book Antiqua" w:hAnsi="Book Antiqua"/>
          <w:lang w:val="en-US"/>
        </w:rPr>
        <w:t>‘</w:t>
      </w:r>
      <w:r w:rsidRPr="00361BCF">
        <w:rPr>
          <w:rFonts w:ascii="Book Antiqua" w:hAnsi="Book Antiqua"/>
          <w:lang w:val="en-US"/>
        </w:rPr>
        <w:t>Eyewitness testimony</w:t>
      </w:r>
      <w:r w:rsidR="00CE11C7" w:rsidRPr="00361BCF">
        <w:rPr>
          <w:rFonts w:ascii="Book Antiqua" w:hAnsi="Book Antiqua"/>
          <w:lang w:val="en-US"/>
        </w:rPr>
        <w:t>’,</w:t>
      </w:r>
      <w:r w:rsidRPr="00361BCF">
        <w:rPr>
          <w:rFonts w:ascii="Book Antiqua" w:hAnsi="Book Antiqua"/>
          <w:lang w:val="en-US"/>
        </w:rPr>
        <w:t xml:space="preserve"> </w:t>
      </w:r>
      <w:r w:rsidRPr="00361BCF">
        <w:rPr>
          <w:rFonts w:ascii="Book Antiqua" w:hAnsi="Book Antiqua"/>
          <w:i/>
          <w:lang w:val="en-US"/>
        </w:rPr>
        <w:t>Annual Review of Psychology</w:t>
      </w:r>
      <w:r w:rsidRPr="00361BCF">
        <w:rPr>
          <w:rFonts w:ascii="Book Antiqua" w:hAnsi="Book Antiqua"/>
          <w:lang w:val="en-US"/>
        </w:rPr>
        <w:t>, 54</w:t>
      </w:r>
      <w:r w:rsidR="00CE11C7" w:rsidRPr="00361BCF">
        <w:rPr>
          <w:rFonts w:ascii="Book Antiqua" w:hAnsi="Book Antiqua"/>
          <w:lang w:val="en-US"/>
        </w:rPr>
        <w:t>:</w:t>
      </w:r>
      <w:r w:rsidRPr="00361BCF">
        <w:rPr>
          <w:rFonts w:ascii="Book Antiqua" w:hAnsi="Book Antiqua"/>
          <w:lang w:val="en-US"/>
        </w:rPr>
        <w:t xml:space="preserve"> 277–295.</w:t>
      </w:r>
      <w:proofErr w:type="gramEnd"/>
    </w:p>
    <w:p w14:paraId="5D46041F" w14:textId="77777777" w:rsidR="00A3656E" w:rsidRPr="00361BCF" w:rsidRDefault="00DD24F0" w:rsidP="004A4CBA">
      <w:pPr>
        <w:autoSpaceDE w:val="0"/>
        <w:autoSpaceDN w:val="0"/>
        <w:adjustRightInd w:val="0"/>
        <w:spacing w:line="360" w:lineRule="auto"/>
        <w:ind w:left="567" w:hanging="567"/>
        <w:jc w:val="both"/>
        <w:rPr>
          <w:rFonts w:ascii="Book Antiqua" w:hAnsi="Book Antiqua"/>
        </w:rPr>
      </w:pPr>
      <w:proofErr w:type="spellStart"/>
      <w:r w:rsidRPr="007E6D39">
        <w:rPr>
          <w:rFonts w:ascii="Book Antiqua" w:hAnsi="Book Antiqua"/>
        </w:rPr>
        <w:t>Westra</w:t>
      </w:r>
      <w:proofErr w:type="spellEnd"/>
      <w:r w:rsidRPr="007E6D39">
        <w:rPr>
          <w:rFonts w:ascii="Book Antiqua" w:hAnsi="Book Antiqua"/>
        </w:rPr>
        <w:t xml:space="preserve">, N., </w:t>
      </w:r>
      <w:proofErr w:type="spellStart"/>
      <w:r w:rsidRPr="007E6D39">
        <w:rPr>
          <w:rFonts w:ascii="Book Antiqua" w:hAnsi="Book Antiqua"/>
        </w:rPr>
        <w:t>Kebbell</w:t>
      </w:r>
      <w:proofErr w:type="spellEnd"/>
      <w:r w:rsidRPr="007E6D39">
        <w:rPr>
          <w:rFonts w:ascii="Book Antiqua" w:hAnsi="Book Antiqua"/>
        </w:rPr>
        <w:t>, M., and Milne, R. (2011)</w:t>
      </w:r>
      <w:r w:rsidR="00012AC2" w:rsidRPr="00361BCF">
        <w:rPr>
          <w:rFonts w:ascii="Book Antiqua" w:hAnsi="Book Antiqua"/>
        </w:rPr>
        <w:t>,</w:t>
      </w:r>
      <w:r w:rsidRPr="00361BCF">
        <w:rPr>
          <w:rFonts w:ascii="Book Antiqua" w:hAnsi="Book Antiqua"/>
        </w:rPr>
        <w:t xml:space="preserve"> </w:t>
      </w:r>
      <w:r w:rsidR="00012AC2" w:rsidRPr="00361BCF">
        <w:rPr>
          <w:rFonts w:ascii="Book Antiqua" w:hAnsi="Book Antiqua"/>
        </w:rPr>
        <w:t>‘</w:t>
      </w:r>
      <w:r w:rsidRPr="00361BCF">
        <w:rPr>
          <w:rFonts w:ascii="Book Antiqua" w:hAnsi="Book Antiqua"/>
        </w:rPr>
        <w:t>Interviewing rape complaints: police officers’ perceptions of interview format and quality of evidence</w:t>
      </w:r>
      <w:r w:rsidR="00012AC2" w:rsidRPr="00361BCF">
        <w:rPr>
          <w:rFonts w:ascii="Book Antiqua" w:hAnsi="Book Antiqua"/>
        </w:rPr>
        <w:t>’</w:t>
      </w:r>
      <w:r w:rsidRPr="00361BCF">
        <w:rPr>
          <w:rFonts w:ascii="Book Antiqua" w:hAnsi="Book Antiqua"/>
        </w:rPr>
        <w:t xml:space="preserve">, </w:t>
      </w:r>
      <w:r w:rsidRPr="00361BCF">
        <w:rPr>
          <w:rFonts w:ascii="Book Antiqua" w:hAnsi="Book Antiqua"/>
          <w:i/>
        </w:rPr>
        <w:t>Applied Cognitive Psychology</w:t>
      </w:r>
      <w:r w:rsidRPr="00361BCF">
        <w:rPr>
          <w:rFonts w:ascii="Book Antiqua" w:hAnsi="Book Antiqua"/>
        </w:rPr>
        <w:t>, 25: 917-926.</w:t>
      </w:r>
    </w:p>
    <w:p w14:paraId="57852AD0" w14:textId="3B62C9B7" w:rsidR="0020538A" w:rsidRDefault="0020538A" w:rsidP="0022152D">
      <w:pPr>
        <w:spacing w:line="360" w:lineRule="auto"/>
        <w:jc w:val="both"/>
        <w:rPr>
          <w:rFonts w:ascii="Book Antiqua" w:hAnsi="Book Antiqua"/>
          <w:b/>
          <w:i/>
        </w:rPr>
      </w:pPr>
    </w:p>
    <w:p w14:paraId="542A6273" w14:textId="108E766F" w:rsidR="00013D53" w:rsidRPr="00CE11C7" w:rsidRDefault="000E1521" w:rsidP="004A4CBA">
      <w:pPr>
        <w:spacing w:line="360" w:lineRule="auto"/>
        <w:jc w:val="both"/>
        <w:rPr>
          <w:rFonts w:ascii="Book Antiqua" w:hAnsi="Book Antiqua"/>
          <w:b/>
        </w:rPr>
      </w:pPr>
      <w:r w:rsidRPr="00CE11C7">
        <w:rPr>
          <w:rFonts w:ascii="Book Antiqua" w:hAnsi="Book Antiqua"/>
          <w:b/>
          <w:noProof/>
          <w:lang w:val="en-US"/>
        </w:rPr>
        <w:lastRenderedPageBreak/>
        <w:drawing>
          <wp:inline distT="0" distB="0" distL="0" distR="0" wp14:anchorId="44623F0B" wp14:editId="5FAF6173">
            <wp:extent cx="5943600" cy="4457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E3B4E16" w14:textId="790FC019" w:rsidR="006813B5" w:rsidRPr="00361BCF" w:rsidRDefault="006813B5" w:rsidP="004A4CBA">
      <w:pPr>
        <w:spacing w:line="360" w:lineRule="auto"/>
        <w:jc w:val="both"/>
        <w:rPr>
          <w:rFonts w:ascii="Book Antiqua" w:hAnsi="Book Antiqua"/>
          <w:b/>
        </w:rPr>
      </w:pPr>
      <w:r w:rsidRPr="007E6D39">
        <w:rPr>
          <w:rFonts w:ascii="Book Antiqua" w:hAnsi="Book Antiqua"/>
          <w:b/>
        </w:rPr>
        <w:t>Figure 1.</w:t>
      </w:r>
      <w:r w:rsidRPr="00361BCF">
        <w:rPr>
          <w:rFonts w:ascii="Book Antiqua" w:hAnsi="Book Antiqua"/>
        </w:rPr>
        <w:t xml:space="preserve"> </w:t>
      </w:r>
      <w:proofErr w:type="gramStart"/>
      <w:r w:rsidRPr="00361BCF">
        <w:rPr>
          <w:rFonts w:ascii="Book Antiqua" w:hAnsi="Book Antiqua"/>
        </w:rPr>
        <w:t>Conceptual model of pathways from</w:t>
      </w:r>
      <w:r w:rsidR="00C710A6" w:rsidRPr="00361BCF">
        <w:rPr>
          <w:rFonts w:ascii="Book Antiqua" w:hAnsi="Book Antiqua"/>
        </w:rPr>
        <w:t xml:space="preserve"> normal</w:t>
      </w:r>
      <w:r w:rsidRPr="00361BCF">
        <w:rPr>
          <w:rFonts w:ascii="Book Antiqua" w:hAnsi="Book Antiqua"/>
        </w:rPr>
        <w:t xml:space="preserve"> </w:t>
      </w:r>
      <w:r w:rsidR="00C710A6" w:rsidRPr="00361BCF">
        <w:rPr>
          <w:rFonts w:ascii="Book Antiqua" w:hAnsi="Book Antiqua"/>
        </w:rPr>
        <w:t xml:space="preserve">features </w:t>
      </w:r>
      <w:r w:rsidRPr="00361BCF">
        <w:rPr>
          <w:rFonts w:ascii="Book Antiqua" w:hAnsi="Book Antiqua"/>
        </w:rPr>
        <w:t>of memory to attrition.</w:t>
      </w:r>
      <w:proofErr w:type="gramEnd"/>
      <w:r w:rsidRPr="00361BCF">
        <w:rPr>
          <w:rFonts w:ascii="Book Antiqua" w:hAnsi="Book Antiqua"/>
        </w:rPr>
        <w:t xml:space="preserve"> </w:t>
      </w:r>
    </w:p>
    <w:p w14:paraId="142F5BEA" w14:textId="77777777" w:rsidR="003276DB" w:rsidRPr="00361BCF" w:rsidRDefault="003276DB" w:rsidP="004A4CBA">
      <w:pPr>
        <w:spacing w:line="360" w:lineRule="auto"/>
        <w:ind w:firstLine="567"/>
        <w:jc w:val="both"/>
        <w:rPr>
          <w:rFonts w:ascii="Book Antiqua" w:hAnsi="Book Antiqua"/>
          <w:b/>
        </w:rPr>
      </w:pPr>
      <w:r w:rsidRPr="00361BCF">
        <w:rPr>
          <w:rFonts w:ascii="Book Antiqua" w:hAnsi="Book Antiqua"/>
          <w:b/>
        </w:rPr>
        <w:br w:type="page"/>
      </w:r>
    </w:p>
    <w:p w14:paraId="77E5E324" w14:textId="0DFF5413" w:rsidR="006813B5" w:rsidRPr="00CE11C7" w:rsidRDefault="00296922" w:rsidP="004A4CBA">
      <w:pPr>
        <w:spacing w:line="360" w:lineRule="auto"/>
        <w:jc w:val="both"/>
        <w:rPr>
          <w:rFonts w:ascii="Book Antiqua" w:hAnsi="Book Antiqua"/>
          <w:b/>
        </w:rPr>
      </w:pPr>
      <w:r w:rsidRPr="00CE11C7">
        <w:rPr>
          <w:rFonts w:ascii="Book Antiqua" w:hAnsi="Book Antiqua"/>
          <w:b/>
          <w:noProof/>
          <w:lang w:val="en-US"/>
        </w:rPr>
        <w:lastRenderedPageBreak/>
        <w:drawing>
          <wp:inline distT="0" distB="0" distL="0" distR="0" wp14:anchorId="4CDCA835" wp14:editId="329BEC71">
            <wp:extent cx="5943600" cy="3644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44365"/>
                    </a:xfrm>
                    <a:prstGeom prst="rect">
                      <a:avLst/>
                    </a:prstGeom>
                    <a:noFill/>
                    <a:ln>
                      <a:noFill/>
                    </a:ln>
                  </pic:spPr>
                </pic:pic>
              </a:graphicData>
            </a:graphic>
          </wp:inline>
        </w:drawing>
      </w:r>
    </w:p>
    <w:p w14:paraId="464621D0" w14:textId="77777777" w:rsidR="000E7D6A" w:rsidRPr="00361BCF" w:rsidRDefault="000E7D6A" w:rsidP="004A4CBA">
      <w:pPr>
        <w:spacing w:line="360" w:lineRule="auto"/>
        <w:jc w:val="both"/>
        <w:rPr>
          <w:rFonts w:ascii="Book Antiqua" w:hAnsi="Book Antiqua"/>
          <w:b/>
        </w:rPr>
        <w:sectPr w:rsidR="000E7D6A" w:rsidRPr="00361BCF" w:rsidSect="00647A7E">
          <w:headerReference w:type="even" r:id="rId14"/>
          <w:headerReference w:type="default" r:id="rId15"/>
          <w:footerReference w:type="default" r:id="rId16"/>
          <w:footerReference w:type="first" r:id="rId17"/>
          <w:pgSz w:w="12240" w:h="15840"/>
          <w:pgMar w:top="1440" w:right="1440" w:bottom="1440" w:left="1440" w:header="708" w:footer="708" w:gutter="0"/>
          <w:cols w:space="708"/>
          <w:titlePg/>
          <w:docGrid w:linePitch="360"/>
        </w:sectPr>
      </w:pPr>
    </w:p>
    <w:p w14:paraId="5D367CB8" w14:textId="5A496C1A" w:rsidR="000E7D6A" w:rsidRPr="00013D53" w:rsidRDefault="0018377B" w:rsidP="004A4CBA">
      <w:pPr>
        <w:spacing w:line="360" w:lineRule="auto"/>
        <w:jc w:val="both"/>
        <w:rPr>
          <w:rFonts w:ascii="Book Antiqua" w:hAnsi="Book Antiqua"/>
          <w:b/>
        </w:rPr>
      </w:pPr>
      <w:r>
        <w:rPr>
          <w:rFonts w:ascii="Book Antiqua" w:hAnsi="Book Antiqua"/>
          <w:b/>
          <w:noProof/>
          <w:lang w:val="en-US"/>
        </w:rPr>
        <w:lastRenderedPageBreak/>
        <w:drawing>
          <wp:inline distT="0" distB="0" distL="0" distR="0" wp14:anchorId="761E6C07" wp14:editId="6ECA19B7">
            <wp:extent cx="5902960" cy="366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2960" cy="3667760"/>
                    </a:xfrm>
                    <a:prstGeom prst="rect">
                      <a:avLst/>
                    </a:prstGeom>
                    <a:noFill/>
                    <a:ln>
                      <a:noFill/>
                    </a:ln>
                  </pic:spPr>
                </pic:pic>
              </a:graphicData>
            </a:graphic>
          </wp:inline>
        </w:drawing>
      </w:r>
    </w:p>
    <w:sectPr w:rsidR="000E7D6A" w:rsidRPr="00013D53" w:rsidSect="00647A7E">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AB9A" w14:textId="77777777" w:rsidR="00FB7A2D" w:rsidRDefault="00FB7A2D" w:rsidP="00A93E08">
      <w:r>
        <w:separator/>
      </w:r>
    </w:p>
  </w:endnote>
  <w:endnote w:type="continuationSeparator" w:id="0">
    <w:p w14:paraId="56FE31FF" w14:textId="77777777" w:rsidR="00FB7A2D" w:rsidRDefault="00FB7A2D" w:rsidP="00A9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8B40F" w14:textId="675CBF70" w:rsidR="00FB7A2D" w:rsidRDefault="00FB7A2D">
    <w:pPr>
      <w:pStyle w:val="Footer"/>
      <w:jc w:val="right"/>
    </w:pPr>
  </w:p>
  <w:p w14:paraId="3F906ADB" w14:textId="77777777" w:rsidR="00FB7A2D" w:rsidRDefault="00FB7A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A6C2B" w14:textId="77777777" w:rsidR="00FB7A2D" w:rsidRDefault="00FB7A2D" w:rsidP="00291A7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CE3D1" w14:textId="77777777" w:rsidR="00FB7A2D" w:rsidRDefault="00FB7A2D" w:rsidP="00A93E08">
      <w:r>
        <w:separator/>
      </w:r>
    </w:p>
  </w:footnote>
  <w:footnote w:type="continuationSeparator" w:id="0">
    <w:p w14:paraId="752620B6" w14:textId="77777777" w:rsidR="00FB7A2D" w:rsidRDefault="00FB7A2D" w:rsidP="00A93E08">
      <w:r>
        <w:continuationSeparator/>
      </w:r>
    </w:p>
  </w:footnote>
  <w:footnote w:id="1">
    <w:p w14:paraId="6D7EADB5" w14:textId="6A8F480F" w:rsidR="00FB7A2D" w:rsidRPr="007E6D39" w:rsidRDefault="00FB7A2D" w:rsidP="00D93C64">
      <w:pPr>
        <w:ind w:firstLine="567"/>
        <w:jc w:val="both"/>
        <w:rPr>
          <w:rFonts w:ascii="Book Antiqua" w:hAnsi="Book Antiqua"/>
          <w:sz w:val="20"/>
          <w:szCs w:val="20"/>
        </w:rPr>
      </w:pPr>
      <w:r w:rsidRPr="007E6D39">
        <w:rPr>
          <w:rStyle w:val="FootnoteReference"/>
          <w:rFonts w:ascii="Book Antiqua" w:hAnsi="Book Antiqua"/>
          <w:sz w:val="20"/>
          <w:szCs w:val="20"/>
        </w:rPr>
        <w:footnoteRef/>
      </w:r>
      <w:r w:rsidRPr="007E6D39">
        <w:rPr>
          <w:rFonts w:ascii="Book Antiqua" w:hAnsi="Book Antiqua"/>
          <w:sz w:val="20"/>
          <w:szCs w:val="20"/>
        </w:rPr>
        <w:t>In the literature, the terms ‘victim account’, ‘victim evidence</w:t>
      </w:r>
      <w:r>
        <w:rPr>
          <w:rFonts w:ascii="Book Antiqua" w:hAnsi="Book Antiqua"/>
          <w:sz w:val="20"/>
          <w:szCs w:val="20"/>
        </w:rPr>
        <w:t>’</w:t>
      </w:r>
      <w:r w:rsidRPr="007E6D39">
        <w:rPr>
          <w:rFonts w:ascii="Book Antiqua" w:hAnsi="Book Antiqua"/>
          <w:sz w:val="20"/>
          <w:szCs w:val="20"/>
        </w:rPr>
        <w:t xml:space="preserve"> or ‘victim testimony’ </w:t>
      </w:r>
      <w:r>
        <w:rPr>
          <w:rFonts w:ascii="Book Antiqua" w:hAnsi="Book Antiqua"/>
          <w:sz w:val="20"/>
          <w:szCs w:val="20"/>
        </w:rPr>
        <w:t>may</w:t>
      </w:r>
      <w:r w:rsidRPr="007E6D39">
        <w:rPr>
          <w:rFonts w:ascii="Book Antiqua" w:hAnsi="Book Antiqua"/>
          <w:sz w:val="20"/>
          <w:szCs w:val="20"/>
        </w:rPr>
        <w:t xml:space="preserve"> refer to the full set of victim-related investigative material/evidence in court</w:t>
      </w:r>
      <w:r>
        <w:rPr>
          <w:rFonts w:ascii="Book Antiqua" w:hAnsi="Book Antiqua"/>
          <w:sz w:val="20"/>
          <w:szCs w:val="20"/>
        </w:rPr>
        <w:t>, rather than the narrow definition used here (i.e. victim account of the reported rape)</w:t>
      </w:r>
      <w:r w:rsidRPr="007E6D39">
        <w:rPr>
          <w:rFonts w:ascii="Book Antiqua" w:hAnsi="Book Antiqua"/>
          <w:sz w:val="20"/>
          <w:szCs w:val="20"/>
        </w:rPr>
        <w:t>. Th</w:t>
      </w:r>
      <w:r>
        <w:rPr>
          <w:rFonts w:ascii="Book Antiqua" w:hAnsi="Book Antiqua"/>
          <w:sz w:val="20"/>
          <w:szCs w:val="20"/>
        </w:rPr>
        <w:t xml:space="preserve">e more commonly used wider definition </w:t>
      </w:r>
      <w:r w:rsidRPr="007E6D39">
        <w:rPr>
          <w:rFonts w:ascii="Book Antiqua" w:hAnsi="Book Antiqua"/>
          <w:sz w:val="20"/>
          <w:szCs w:val="20"/>
        </w:rPr>
        <w:t>includes information on the victim’s personal background such as pri</w:t>
      </w:r>
      <w:r>
        <w:rPr>
          <w:rFonts w:ascii="Book Antiqua" w:hAnsi="Book Antiqua"/>
          <w:sz w:val="20"/>
          <w:szCs w:val="20"/>
        </w:rPr>
        <w:t>or allegations of rape, police and medical records</w:t>
      </w:r>
      <w:r w:rsidRPr="007E6D39">
        <w:rPr>
          <w:rFonts w:ascii="Book Antiqua" w:hAnsi="Book Antiqua"/>
          <w:sz w:val="20"/>
          <w:szCs w:val="20"/>
        </w:rPr>
        <w:t xml:space="preserve"> (</w:t>
      </w:r>
      <w:r w:rsidRPr="00521B7E">
        <w:rPr>
          <w:rFonts w:ascii="Book Antiqua" w:hAnsi="Book Antiqua"/>
          <w:sz w:val="20"/>
          <w:szCs w:val="20"/>
        </w:rPr>
        <w:t>including on mental heal</w:t>
      </w:r>
      <w:r>
        <w:rPr>
          <w:rFonts w:ascii="Book Antiqua" w:hAnsi="Book Antiqua"/>
          <w:sz w:val="20"/>
          <w:szCs w:val="20"/>
        </w:rPr>
        <w:t>th conditions), social services</w:t>
      </w:r>
      <w:r w:rsidRPr="00521B7E">
        <w:rPr>
          <w:rFonts w:ascii="Book Antiqua" w:hAnsi="Book Antiqua"/>
          <w:sz w:val="20"/>
          <w:szCs w:val="20"/>
        </w:rPr>
        <w:t xml:space="preserve"> and school records, as well as the </w:t>
      </w:r>
      <w:r>
        <w:rPr>
          <w:rFonts w:ascii="Book Antiqua" w:hAnsi="Book Antiqua"/>
          <w:sz w:val="20"/>
          <w:szCs w:val="20"/>
        </w:rPr>
        <w:t>victim account</w:t>
      </w:r>
      <w:r w:rsidRPr="00521B7E">
        <w:rPr>
          <w:rFonts w:ascii="Book Antiqua" w:hAnsi="Book Antiqua"/>
          <w:sz w:val="20"/>
          <w:szCs w:val="20"/>
        </w:rPr>
        <w:t xml:space="preserve"> of their lifestyle and</w:t>
      </w:r>
      <w:r w:rsidRPr="007E6D39">
        <w:rPr>
          <w:rFonts w:ascii="Book Antiqua" w:hAnsi="Book Antiqua"/>
          <w:sz w:val="20"/>
          <w:szCs w:val="20"/>
        </w:rPr>
        <w:t xml:space="preserve"> their relationship with the suspect(s)/defendant(s). </w:t>
      </w:r>
    </w:p>
    <w:p w14:paraId="2FDADFDB" w14:textId="77777777" w:rsidR="00FB7A2D" w:rsidRPr="00361BCF" w:rsidRDefault="00FB7A2D" w:rsidP="00D93C64">
      <w:pPr>
        <w:pStyle w:val="FootnoteText"/>
        <w:jc w:val="both"/>
        <w:rPr>
          <w:rFonts w:ascii="Book Antiqua" w:hAnsi="Book Antiqua"/>
        </w:rPr>
      </w:pPr>
    </w:p>
  </w:footnote>
  <w:footnote w:id="2">
    <w:p w14:paraId="53EE4A93" w14:textId="382108E1" w:rsidR="00FB7A2D" w:rsidRPr="00361BCF" w:rsidRDefault="00FB7A2D" w:rsidP="005A5AB7">
      <w:pPr>
        <w:pStyle w:val="FootnoteText"/>
        <w:jc w:val="both"/>
        <w:rPr>
          <w:rFonts w:ascii="Book Antiqua" w:hAnsi="Book Antiqua"/>
        </w:rPr>
      </w:pPr>
      <w:r w:rsidRPr="007E6D39">
        <w:rPr>
          <w:rStyle w:val="FootnoteReference"/>
          <w:rFonts w:ascii="Book Antiqua" w:hAnsi="Book Antiqua"/>
        </w:rPr>
        <w:footnoteRef/>
      </w:r>
      <w:r w:rsidRPr="00361BCF">
        <w:rPr>
          <w:rFonts w:ascii="Book Antiqua" w:hAnsi="Book Antiqua"/>
        </w:rPr>
        <w:t xml:space="preserve"> There are some narrowly defined exceptions, for example if the victim is under the age of 13 (under certain circumstances under the age of 15) or otherwise unable to give consent, e.g. due to a mental disorder impeding choice (Sexual Offences Act 2003). </w:t>
      </w:r>
    </w:p>
  </w:footnote>
  <w:footnote w:id="3">
    <w:p w14:paraId="685DD1A2" w14:textId="307F5AA5" w:rsidR="00FB7A2D" w:rsidRPr="00361BCF" w:rsidRDefault="00FB7A2D" w:rsidP="004A4CBA">
      <w:pPr>
        <w:pStyle w:val="FootnoteText"/>
        <w:rPr>
          <w:b/>
        </w:rPr>
      </w:pPr>
      <w:r w:rsidRPr="00361BCF">
        <w:rPr>
          <w:rStyle w:val="FootnoteReference"/>
        </w:rPr>
        <w:footnoteRef/>
      </w:r>
      <w:r w:rsidRPr="00361BCF">
        <w:t xml:space="preserve"> </w:t>
      </w:r>
      <w:r w:rsidRPr="00361BCF">
        <w:rPr>
          <w:rFonts w:ascii="Book Antiqua" w:hAnsi="Book Antiqua"/>
        </w:rPr>
        <w:t>The</w:t>
      </w:r>
      <w:r w:rsidRPr="00361BCF">
        <w:rPr>
          <w:rFonts w:ascii="Book Antiqua" w:hAnsi="Book Antiqua"/>
          <w:i/>
        </w:rPr>
        <w:t xml:space="preserve"> </w:t>
      </w:r>
      <w:r w:rsidRPr="00361BCF">
        <w:rPr>
          <w:rFonts w:ascii="Book Antiqua" w:hAnsi="Book Antiqua"/>
        </w:rPr>
        <w:t>term “the modern view of human memory” is an umbrella term used to cover various diverse findings relating to the process of memory construction. Thus, it is not</w:t>
      </w:r>
      <w:r>
        <w:rPr>
          <w:rFonts w:ascii="Book Antiqua" w:hAnsi="Book Antiqua"/>
        </w:rPr>
        <w:t xml:space="preserve"> so much</w:t>
      </w:r>
      <w:r w:rsidRPr="00361BCF">
        <w:rPr>
          <w:rFonts w:ascii="Book Antiqua" w:hAnsi="Book Antiqua"/>
        </w:rPr>
        <w:t xml:space="preserve"> </w:t>
      </w:r>
      <w:r>
        <w:rPr>
          <w:rFonts w:ascii="Book Antiqua" w:hAnsi="Book Antiqua"/>
        </w:rPr>
        <w:t>a</w:t>
      </w:r>
      <w:r w:rsidRPr="00361BCF">
        <w:rPr>
          <w:rFonts w:ascii="Book Antiqua" w:hAnsi="Book Antiqua"/>
        </w:rPr>
        <w:t xml:space="preserve"> ‘theory’ of memory but</w:t>
      </w:r>
      <w:r>
        <w:rPr>
          <w:rFonts w:ascii="Book Antiqua" w:hAnsi="Book Antiqua"/>
        </w:rPr>
        <w:t xml:space="preserve">, </w:t>
      </w:r>
      <w:r w:rsidRPr="00361BCF">
        <w:rPr>
          <w:rFonts w:ascii="Book Antiqua" w:hAnsi="Book Antiqua"/>
        </w:rPr>
        <w:t>rather, a way to conveniently summarise a</w:t>
      </w:r>
      <w:r>
        <w:rPr>
          <w:rFonts w:ascii="Book Antiqua" w:hAnsi="Book Antiqua"/>
        </w:rPr>
        <w:t xml:space="preserve"> </w:t>
      </w:r>
      <w:r w:rsidRPr="00361BCF">
        <w:rPr>
          <w:rFonts w:ascii="Book Antiqua" w:hAnsi="Book Antiqua"/>
        </w:rPr>
        <w:t>large body of findings from the behavioural, psychological, psychiatric, to the neuropsychological.</w:t>
      </w:r>
    </w:p>
    <w:p w14:paraId="72402464" w14:textId="77777777" w:rsidR="00FB7A2D" w:rsidRPr="007E6D39" w:rsidRDefault="00FB7A2D" w:rsidP="004A4CBA">
      <w:pPr>
        <w:pStyle w:val="FootnoteText"/>
      </w:pPr>
    </w:p>
  </w:footnote>
  <w:footnote w:id="4">
    <w:p w14:paraId="5DD5519E" w14:textId="53721F18" w:rsidR="00FB7A2D" w:rsidRPr="00361BCF" w:rsidRDefault="00FB7A2D">
      <w:pPr>
        <w:pStyle w:val="FootnoteText"/>
        <w:rPr>
          <w:rFonts w:ascii="Book Antiqua" w:hAnsi="Book Antiqua"/>
        </w:rPr>
      </w:pPr>
      <w:r w:rsidRPr="007E6D39">
        <w:rPr>
          <w:rStyle w:val="FootnoteReference"/>
        </w:rPr>
        <w:footnoteRef/>
      </w:r>
      <w:r w:rsidRPr="00361BCF">
        <w:t xml:space="preserve"> </w:t>
      </w:r>
      <w:r w:rsidRPr="00361BCF">
        <w:rPr>
          <w:rFonts w:ascii="Book Antiqua" w:hAnsi="Book Antiqua"/>
        </w:rPr>
        <w:t xml:space="preserve">This complexity is </w:t>
      </w:r>
      <w:r>
        <w:rPr>
          <w:rFonts w:ascii="Book Antiqua" w:hAnsi="Book Antiqua"/>
        </w:rPr>
        <w:t xml:space="preserve">also </w:t>
      </w:r>
      <w:r w:rsidRPr="00361BCF">
        <w:rPr>
          <w:rFonts w:ascii="Book Antiqua" w:hAnsi="Book Antiqua"/>
        </w:rPr>
        <w:t>strongly evident in studies of eyewitness testimony, see Wells and Olson (2003) for review, as well as in what has become the controversial study of memory for traumatic events in which false details have often been detected, see Morgan, et al. (2013) for review</w:t>
      </w:r>
      <w:r>
        <w:rPr>
          <w:rFonts w:ascii="Book Antiqua" w:hAnsi="Book Antiqua"/>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C74ED" w14:textId="77777777" w:rsidR="00FB7A2D" w:rsidRDefault="00FB7A2D" w:rsidP="003D61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E9D70" w14:textId="77777777" w:rsidR="00FB7A2D" w:rsidRDefault="00FB7A2D" w:rsidP="00647A7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DB20" w14:textId="118D29E1" w:rsidR="00FB7A2D" w:rsidRDefault="00FB7A2D" w:rsidP="000B4642">
    <w:pPr>
      <w:pStyle w:val="Header"/>
      <w:framePr w:wrap="around" w:vAnchor="text" w:hAnchor="margin" w:xAlign="right" w:y="13"/>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046D33">
      <w:rPr>
        <w:rStyle w:val="PageNumber"/>
        <w:noProof/>
      </w:rPr>
      <w:t>4</w:t>
    </w:r>
    <w:r>
      <w:rPr>
        <w:rStyle w:val="PageNumber"/>
      </w:rPr>
      <w:fldChar w:fldCharType="end"/>
    </w:r>
  </w:p>
  <w:p w14:paraId="3D48902F" w14:textId="77777777" w:rsidR="00FB7A2D" w:rsidRDefault="00FB7A2D" w:rsidP="000B4642">
    <w:pPr>
      <w:pStyle w:val="Header"/>
      <w:framePr w:wrap="around" w:vAnchor="text" w:hAnchor="margin" w:xAlign="right" w:y="13"/>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B677C"/>
    <w:multiLevelType w:val="hybridMultilevel"/>
    <w:tmpl w:val="A7F862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48368E"/>
    <w:multiLevelType w:val="hybridMultilevel"/>
    <w:tmpl w:val="C2AA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460B1"/>
    <w:multiLevelType w:val="hybridMultilevel"/>
    <w:tmpl w:val="50E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54142"/>
    <w:multiLevelType w:val="hybridMultilevel"/>
    <w:tmpl w:val="529A4D08"/>
    <w:lvl w:ilvl="0" w:tplc="F628002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079A0"/>
    <w:multiLevelType w:val="hybridMultilevel"/>
    <w:tmpl w:val="90129B1E"/>
    <w:lvl w:ilvl="0" w:tplc="00010409">
      <w:start w:val="1"/>
      <w:numFmt w:val="lowerRoman"/>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AA766AC"/>
    <w:multiLevelType w:val="hybridMultilevel"/>
    <w:tmpl w:val="4A2E2892"/>
    <w:lvl w:ilvl="0" w:tplc="2A94BD58">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2065D"/>
    <w:multiLevelType w:val="hybridMultilevel"/>
    <w:tmpl w:val="F1D89520"/>
    <w:lvl w:ilvl="0" w:tplc="8FAAED02">
      <w:start w:val="4"/>
      <w:numFmt w:val="bullet"/>
      <w:lvlText w:val="-"/>
      <w:lvlJc w:val="left"/>
      <w:pPr>
        <w:ind w:left="927" w:hanging="360"/>
      </w:pPr>
      <w:rPr>
        <w:rFonts w:ascii="Book Antiqua" w:eastAsia="Times New Roman" w:hAnsi="Book Antiqua"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55F56913"/>
    <w:multiLevelType w:val="hybridMultilevel"/>
    <w:tmpl w:val="806056FE"/>
    <w:lvl w:ilvl="0" w:tplc="2A94BD58">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7646B"/>
    <w:multiLevelType w:val="hybridMultilevel"/>
    <w:tmpl w:val="7EACFE44"/>
    <w:lvl w:ilvl="0" w:tplc="1140349A">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AF1376"/>
    <w:multiLevelType w:val="hybridMultilevel"/>
    <w:tmpl w:val="73700E8C"/>
    <w:lvl w:ilvl="0" w:tplc="2A94BD58">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A0EB8"/>
    <w:multiLevelType w:val="hybridMultilevel"/>
    <w:tmpl w:val="CB7E4D04"/>
    <w:lvl w:ilvl="0" w:tplc="00010409">
      <w:start w:val="1"/>
      <w:numFmt w:val="lowerRoman"/>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69FB1423"/>
    <w:multiLevelType w:val="hybridMultilevel"/>
    <w:tmpl w:val="735880C4"/>
    <w:lvl w:ilvl="0" w:tplc="2A94BD58">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9C5A1E"/>
    <w:multiLevelType w:val="hybridMultilevel"/>
    <w:tmpl w:val="14A2F4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3223A11"/>
    <w:multiLevelType w:val="hybridMultilevel"/>
    <w:tmpl w:val="52EC8B86"/>
    <w:lvl w:ilvl="0" w:tplc="2A94BD58">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97034F"/>
    <w:multiLevelType w:val="hybridMultilevel"/>
    <w:tmpl w:val="5D88C2F0"/>
    <w:lvl w:ilvl="0" w:tplc="8F1A404A">
      <w:start w:val="9"/>
      <w:numFmt w:val="decimal"/>
      <w:lvlText w:val="%1."/>
      <w:lvlJc w:val="left"/>
      <w:pPr>
        <w:ind w:left="720" w:hanging="360"/>
      </w:pPr>
      <w:rPr>
        <w:b w:val="0"/>
        <w:sz w:val="24"/>
        <w:szCs w:val="24"/>
      </w:rPr>
    </w:lvl>
    <w:lvl w:ilvl="1" w:tplc="00010409">
      <w:start w:val="1"/>
      <w:numFmt w:val="lowerRoman"/>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8208A"/>
    <w:multiLevelType w:val="hybridMultilevel"/>
    <w:tmpl w:val="052A931A"/>
    <w:lvl w:ilvl="0" w:tplc="1140349A">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96085"/>
    <w:multiLevelType w:val="hybridMultilevel"/>
    <w:tmpl w:val="D42C4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
  </w:num>
  <w:num w:numId="4">
    <w:abstractNumId w:val="9"/>
  </w:num>
  <w:num w:numId="5">
    <w:abstractNumId w:val="16"/>
  </w:num>
  <w:num w:numId="6">
    <w:abstractNumId w:val="3"/>
  </w:num>
  <w:num w:numId="7">
    <w:abstractNumId w:val="6"/>
  </w:num>
  <w:num w:numId="8">
    <w:abstractNumId w:val="12"/>
  </w:num>
  <w:num w:numId="9">
    <w:abstractNumId w:val="8"/>
  </w:num>
  <w:num w:numId="10">
    <w:abstractNumId w:val="10"/>
  </w:num>
  <w:num w:numId="11">
    <w:abstractNumId w:val="15"/>
  </w:num>
  <w:num w:numId="12">
    <w:abstractNumId w:val="5"/>
  </w:num>
  <w:num w:numId="13">
    <w:abstractNumId w:val="11"/>
  </w:num>
  <w:num w:numId="14">
    <w:abstractNumId w:val="1"/>
  </w:num>
  <w:num w:numId="15">
    <w:abstractNumId w:val="0"/>
  </w:num>
  <w:num w:numId="16">
    <w:abstractNumId w:val="1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8" w:nlCheck="1" w:checkStyle="1"/>
  <w:activeWritingStyle w:appName="MSWord" w:lang="en-US" w:vendorID="64" w:dllVersion="131078" w:nlCheck="1" w:checkStyle="1"/>
  <w:activeWritingStyle w:appName="MSWord" w:lang="en-GB" w:vendorID="2" w:dllVersion="6"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38D"/>
    <w:rsid w:val="000038EF"/>
    <w:rsid w:val="00003D4D"/>
    <w:rsid w:val="000047A7"/>
    <w:rsid w:val="00011EC0"/>
    <w:rsid w:val="00012AC2"/>
    <w:rsid w:val="00013D53"/>
    <w:rsid w:val="00013DE5"/>
    <w:rsid w:val="00013DFA"/>
    <w:rsid w:val="000153A7"/>
    <w:rsid w:val="00015438"/>
    <w:rsid w:val="00017B27"/>
    <w:rsid w:val="00023AA5"/>
    <w:rsid w:val="000245FD"/>
    <w:rsid w:val="000307C7"/>
    <w:rsid w:val="000315BE"/>
    <w:rsid w:val="000328E5"/>
    <w:rsid w:val="00036BDC"/>
    <w:rsid w:val="00036FA6"/>
    <w:rsid w:val="00037EC3"/>
    <w:rsid w:val="000413C2"/>
    <w:rsid w:val="00042CF5"/>
    <w:rsid w:val="00042E3C"/>
    <w:rsid w:val="0004351F"/>
    <w:rsid w:val="000451DF"/>
    <w:rsid w:val="00046279"/>
    <w:rsid w:val="00046D33"/>
    <w:rsid w:val="00046ECF"/>
    <w:rsid w:val="00047607"/>
    <w:rsid w:val="000529BC"/>
    <w:rsid w:val="00052E91"/>
    <w:rsid w:val="00054D07"/>
    <w:rsid w:val="000553D5"/>
    <w:rsid w:val="0005672A"/>
    <w:rsid w:val="00062AA8"/>
    <w:rsid w:val="00064352"/>
    <w:rsid w:val="00064717"/>
    <w:rsid w:val="00066B04"/>
    <w:rsid w:val="00067BE2"/>
    <w:rsid w:val="00067DB9"/>
    <w:rsid w:val="00071745"/>
    <w:rsid w:val="0007195F"/>
    <w:rsid w:val="000726A8"/>
    <w:rsid w:val="00073AB8"/>
    <w:rsid w:val="00073D16"/>
    <w:rsid w:val="00073FDA"/>
    <w:rsid w:val="00081245"/>
    <w:rsid w:val="000830BD"/>
    <w:rsid w:val="00086BE8"/>
    <w:rsid w:val="0008761C"/>
    <w:rsid w:val="00087B63"/>
    <w:rsid w:val="00090BE0"/>
    <w:rsid w:val="00090C6A"/>
    <w:rsid w:val="00090CBE"/>
    <w:rsid w:val="00091C0E"/>
    <w:rsid w:val="0009333F"/>
    <w:rsid w:val="000A0E29"/>
    <w:rsid w:val="000A3820"/>
    <w:rsid w:val="000A68FD"/>
    <w:rsid w:val="000B03D2"/>
    <w:rsid w:val="000B1374"/>
    <w:rsid w:val="000B372D"/>
    <w:rsid w:val="000B3A84"/>
    <w:rsid w:val="000B4642"/>
    <w:rsid w:val="000B6537"/>
    <w:rsid w:val="000B673D"/>
    <w:rsid w:val="000B6AA5"/>
    <w:rsid w:val="000C011F"/>
    <w:rsid w:val="000C451E"/>
    <w:rsid w:val="000C6E72"/>
    <w:rsid w:val="000D0E35"/>
    <w:rsid w:val="000D28D8"/>
    <w:rsid w:val="000D5ADA"/>
    <w:rsid w:val="000D6C2F"/>
    <w:rsid w:val="000D7FCA"/>
    <w:rsid w:val="000E0800"/>
    <w:rsid w:val="000E1521"/>
    <w:rsid w:val="000E1CAF"/>
    <w:rsid w:val="000E3AFB"/>
    <w:rsid w:val="000E4697"/>
    <w:rsid w:val="000E6E44"/>
    <w:rsid w:val="000E7442"/>
    <w:rsid w:val="000E7D6A"/>
    <w:rsid w:val="000F1E64"/>
    <w:rsid w:val="00104CCA"/>
    <w:rsid w:val="00110B10"/>
    <w:rsid w:val="001119D6"/>
    <w:rsid w:val="00112449"/>
    <w:rsid w:val="00112A0A"/>
    <w:rsid w:val="00113344"/>
    <w:rsid w:val="001158DE"/>
    <w:rsid w:val="00115E34"/>
    <w:rsid w:val="00120DBF"/>
    <w:rsid w:val="0013079B"/>
    <w:rsid w:val="00130D19"/>
    <w:rsid w:val="00133C89"/>
    <w:rsid w:val="00135073"/>
    <w:rsid w:val="00135402"/>
    <w:rsid w:val="001358F9"/>
    <w:rsid w:val="00135F44"/>
    <w:rsid w:val="0013681A"/>
    <w:rsid w:val="00137520"/>
    <w:rsid w:val="0014085F"/>
    <w:rsid w:val="001472DE"/>
    <w:rsid w:val="00150554"/>
    <w:rsid w:val="00154280"/>
    <w:rsid w:val="001543C0"/>
    <w:rsid w:val="00154F7F"/>
    <w:rsid w:val="00157FA3"/>
    <w:rsid w:val="00161E5E"/>
    <w:rsid w:val="0016406D"/>
    <w:rsid w:val="001653F2"/>
    <w:rsid w:val="00166C86"/>
    <w:rsid w:val="00167DEC"/>
    <w:rsid w:val="00170BDB"/>
    <w:rsid w:val="00171037"/>
    <w:rsid w:val="001730CD"/>
    <w:rsid w:val="001756ED"/>
    <w:rsid w:val="0017734E"/>
    <w:rsid w:val="00180DBF"/>
    <w:rsid w:val="00181653"/>
    <w:rsid w:val="00183289"/>
    <w:rsid w:val="00183677"/>
    <w:rsid w:val="0018377B"/>
    <w:rsid w:val="001847F4"/>
    <w:rsid w:val="00184E89"/>
    <w:rsid w:val="00185D4F"/>
    <w:rsid w:val="001872D8"/>
    <w:rsid w:val="001902B4"/>
    <w:rsid w:val="00190E62"/>
    <w:rsid w:val="00191E3C"/>
    <w:rsid w:val="001941C9"/>
    <w:rsid w:val="00194ED4"/>
    <w:rsid w:val="001962D0"/>
    <w:rsid w:val="001A255B"/>
    <w:rsid w:val="001A38BD"/>
    <w:rsid w:val="001A3F28"/>
    <w:rsid w:val="001A4064"/>
    <w:rsid w:val="001A4596"/>
    <w:rsid w:val="001A532F"/>
    <w:rsid w:val="001A58CF"/>
    <w:rsid w:val="001A618A"/>
    <w:rsid w:val="001B29C4"/>
    <w:rsid w:val="001C1DA7"/>
    <w:rsid w:val="001C277F"/>
    <w:rsid w:val="001C2993"/>
    <w:rsid w:val="001C40F3"/>
    <w:rsid w:val="001C4F18"/>
    <w:rsid w:val="001D0C27"/>
    <w:rsid w:val="001D1375"/>
    <w:rsid w:val="001D1F43"/>
    <w:rsid w:val="001D298C"/>
    <w:rsid w:val="001D4050"/>
    <w:rsid w:val="001D446B"/>
    <w:rsid w:val="001D5218"/>
    <w:rsid w:val="001D6715"/>
    <w:rsid w:val="001D7132"/>
    <w:rsid w:val="001E32E3"/>
    <w:rsid w:val="001F4AA0"/>
    <w:rsid w:val="001F4D02"/>
    <w:rsid w:val="001F53F3"/>
    <w:rsid w:val="0020538A"/>
    <w:rsid w:val="002053F9"/>
    <w:rsid w:val="0020746D"/>
    <w:rsid w:val="00211C6C"/>
    <w:rsid w:val="002125E0"/>
    <w:rsid w:val="00214A7A"/>
    <w:rsid w:val="00214AAD"/>
    <w:rsid w:val="00215AB0"/>
    <w:rsid w:val="00216F32"/>
    <w:rsid w:val="00217776"/>
    <w:rsid w:val="002177D7"/>
    <w:rsid w:val="00221136"/>
    <w:rsid w:val="0022152D"/>
    <w:rsid w:val="00223767"/>
    <w:rsid w:val="002238FC"/>
    <w:rsid w:val="00223CC7"/>
    <w:rsid w:val="0022548C"/>
    <w:rsid w:val="00230175"/>
    <w:rsid w:val="002319E8"/>
    <w:rsid w:val="002328EE"/>
    <w:rsid w:val="00234508"/>
    <w:rsid w:val="00235418"/>
    <w:rsid w:val="00236780"/>
    <w:rsid w:val="00236862"/>
    <w:rsid w:val="00237516"/>
    <w:rsid w:val="00237597"/>
    <w:rsid w:val="00240728"/>
    <w:rsid w:val="00241930"/>
    <w:rsid w:val="002427A3"/>
    <w:rsid w:val="00242E1A"/>
    <w:rsid w:val="0024309E"/>
    <w:rsid w:val="00244D11"/>
    <w:rsid w:val="00245A8C"/>
    <w:rsid w:val="002466BB"/>
    <w:rsid w:val="0024765E"/>
    <w:rsid w:val="002511B2"/>
    <w:rsid w:val="002517B0"/>
    <w:rsid w:val="00251B52"/>
    <w:rsid w:val="002528AC"/>
    <w:rsid w:val="00253B91"/>
    <w:rsid w:val="00257C99"/>
    <w:rsid w:val="002603BD"/>
    <w:rsid w:val="00262EE9"/>
    <w:rsid w:val="00263657"/>
    <w:rsid w:val="00266890"/>
    <w:rsid w:val="0026743F"/>
    <w:rsid w:val="00270A2C"/>
    <w:rsid w:val="00271859"/>
    <w:rsid w:val="00276643"/>
    <w:rsid w:val="00277130"/>
    <w:rsid w:val="0027765C"/>
    <w:rsid w:val="0028103F"/>
    <w:rsid w:val="00285675"/>
    <w:rsid w:val="0028641F"/>
    <w:rsid w:val="00291A76"/>
    <w:rsid w:val="00291AC2"/>
    <w:rsid w:val="00294BF4"/>
    <w:rsid w:val="00295EF3"/>
    <w:rsid w:val="00296188"/>
    <w:rsid w:val="00296922"/>
    <w:rsid w:val="0029723B"/>
    <w:rsid w:val="002A1DB2"/>
    <w:rsid w:val="002A25DE"/>
    <w:rsid w:val="002A35BB"/>
    <w:rsid w:val="002A614B"/>
    <w:rsid w:val="002A618F"/>
    <w:rsid w:val="002B2C7B"/>
    <w:rsid w:val="002B5B04"/>
    <w:rsid w:val="002B7EDE"/>
    <w:rsid w:val="002C5F8B"/>
    <w:rsid w:val="002C69F2"/>
    <w:rsid w:val="002C6E23"/>
    <w:rsid w:val="002C765F"/>
    <w:rsid w:val="002D0D1F"/>
    <w:rsid w:val="002D1237"/>
    <w:rsid w:val="002D141E"/>
    <w:rsid w:val="002D189E"/>
    <w:rsid w:val="002D1FB9"/>
    <w:rsid w:val="002E0B21"/>
    <w:rsid w:val="002E0BAB"/>
    <w:rsid w:val="002E28B4"/>
    <w:rsid w:val="002E3C0C"/>
    <w:rsid w:val="002E5982"/>
    <w:rsid w:val="002F0761"/>
    <w:rsid w:val="002F0FBD"/>
    <w:rsid w:val="002F46D9"/>
    <w:rsid w:val="002F529B"/>
    <w:rsid w:val="003005B7"/>
    <w:rsid w:val="00303030"/>
    <w:rsid w:val="00303B88"/>
    <w:rsid w:val="00305CD1"/>
    <w:rsid w:val="00305E3D"/>
    <w:rsid w:val="003113BE"/>
    <w:rsid w:val="0031247B"/>
    <w:rsid w:val="00312756"/>
    <w:rsid w:val="00313D30"/>
    <w:rsid w:val="00313E8A"/>
    <w:rsid w:val="00315EC0"/>
    <w:rsid w:val="00322C8B"/>
    <w:rsid w:val="00323615"/>
    <w:rsid w:val="00323E51"/>
    <w:rsid w:val="003276DB"/>
    <w:rsid w:val="00327B98"/>
    <w:rsid w:val="00327C15"/>
    <w:rsid w:val="00331FB2"/>
    <w:rsid w:val="00334361"/>
    <w:rsid w:val="00335E00"/>
    <w:rsid w:val="0033637C"/>
    <w:rsid w:val="00336B79"/>
    <w:rsid w:val="00336E1B"/>
    <w:rsid w:val="003371B0"/>
    <w:rsid w:val="003371ED"/>
    <w:rsid w:val="0034027F"/>
    <w:rsid w:val="00344C20"/>
    <w:rsid w:val="00345663"/>
    <w:rsid w:val="003530FA"/>
    <w:rsid w:val="00353827"/>
    <w:rsid w:val="0036162B"/>
    <w:rsid w:val="00361AE6"/>
    <w:rsid w:val="00361BCF"/>
    <w:rsid w:val="00361D3D"/>
    <w:rsid w:val="0036266C"/>
    <w:rsid w:val="00363D29"/>
    <w:rsid w:val="003640DA"/>
    <w:rsid w:val="0036435F"/>
    <w:rsid w:val="00367B36"/>
    <w:rsid w:val="00370D80"/>
    <w:rsid w:val="003712F0"/>
    <w:rsid w:val="00371C7D"/>
    <w:rsid w:val="00371CB8"/>
    <w:rsid w:val="00371DC9"/>
    <w:rsid w:val="003766F4"/>
    <w:rsid w:val="00376DBA"/>
    <w:rsid w:val="003771FE"/>
    <w:rsid w:val="0037792F"/>
    <w:rsid w:val="00380634"/>
    <w:rsid w:val="00381917"/>
    <w:rsid w:val="003823E8"/>
    <w:rsid w:val="003843CB"/>
    <w:rsid w:val="00384772"/>
    <w:rsid w:val="00385F76"/>
    <w:rsid w:val="00387164"/>
    <w:rsid w:val="00392CB9"/>
    <w:rsid w:val="00396B73"/>
    <w:rsid w:val="00397700"/>
    <w:rsid w:val="003A1150"/>
    <w:rsid w:val="003A3C58"/>
    <w:rsid w:val="003A3D8E"/>
    <w:rsid w:val="003A68F6"/>
    <w:rsid w:val="003A6E4B"/>
    <w:rsid w:val="003B05F5"/>
    <w:rsid w:val="003B16FF"/>
    <w:rsid w:val="003B2D77"/>
    <w:rsid w:val="003B410D"/>
    <w:rsid w:val="003B465B"/>
    <w:rsid w:val="003B6531"/>
    <w:rsid w:val="003C2F1B"/>
    <w:rsid w:val="003C3CE7"/>
    <w:rsid w:val="003C57FB"/>
    <w:rsid w:val="003C5CA7"/>
    <w:rsid w:val="003C6C29"/>
    <w:rsid w:val="003D02B9"/>
    <w:rsid w:val="003D1B7C"/>
    <w:rsid w:val="003D532F"/>
    <w:rsid w:val="003D5594"/>
    <w:rsid w:val="003D61E3"/>
    <w:rsid w:val="003D629E"/>
    <w:rsid w:val="003E2396"/>
    <w:rsid w:val="003E41A3"/>
    <w:rsid w:val="003E52DB"/>
    <w:rsid w:val="003E5DE0"/>
    <w:rsid w:val="003E73C9"/>
    <w:rsid w:val="003F3DB0"/>
    <w:rsid w:val="003F78CF"/>
    <w:rsid w:val="00401F75"/>
    <w:rsid w:val="004026F5"/>
    <w:rsid w:val="00405193"/>
    <w:rsid w:val="00406A2A"/>
    <w:rsid w:val="0041473D"/>
    <w:rsid w:val="0041559B"/>
    <w:rsid w:val="00416361"/>
    <w:rsid w:val="004207DD"/>
    <w:rsid w:val="00420E83"/>
    <w:rsid w:val="00421BAD"/>
    <w:rsid w:val="0042300E"/>
    <w:rsid w:val="00424CC3"/>
    <w:rsid w:val="004311AF"/>
    <w:rsid w:val="004326A3"/>
    <w:rsid w:val="00437B3A"/>
    <w:rsid w:val="00440164"/>
    <w:rsid w:val="004425AD"/>
    <w:rsid w:val="00443EA3"/>
    <w:rsid w:val="00450593"/>
    <w:rsid w:val="00450E82"/>
    <w:rsid w:val="00452045"/>
    <w:rsid w:val="00456134"/>
    <w:rsid w:val="00461A06"/>
    <w:rsid w:val="00462EDC"/>
    <w:rsid w:val="00470AB8"/>
    <w:rsid w:val="00471000"/>
    <w:rsid w:val="00471850"/>
    <w:rsid w:val="00472656"/>
    <w:rsid w:val="00473929"/>
    <w:rsid w:val="004768F7"/>
    <w:rsid w:val="00483209"/>
    <w:rsid w:val="004835AA"/>
    <w:rsid w:val="004837E0"/>
    <w:rsid w:val="00486890"/>
    <w:rsid w:val="00487864"/>
    <w:rsid w:val="00492584"/>
    <w:rsid w:val="00492678"/>
    <w:rsid w:val="00497568"/>
    <w:rsid w:val="00497F5B"/>
    <w:rsid w:val="004A0196"/>
    <w:rsid w:val="004A077B"/>
    <w:rsid w:val="004A21B1"/>
    <w:rsid w:val="004A3454"/>
    <w:rsid w:val="004A346C"/>
    <w:rsid w:val="004A49F6"/>
    <w:rsid w:val="004A4CBA"/>
    <w:rsid w:val="004A4E98"/>
    <w:rsid w:val="004A4FDB"/>
    <w:rsid w:val="004A7D04"/>
    <w:rsid w:val="004B00E1"/>
    <w:rsid w:val="004B200B"/>
    <w:rsid w:val="004B2ED7"/>
    <w:rsid w:val="004B3F9F"/>
    <w:rsid w:val="004B62DA"/>
    <w:rsid w:val="004B6AC4"/>
    <w:rsid w:val="004C08F8"/>
    <w:rsid w:val="004C38BF"/>
    <w:rsid w:val="004C3D1B"/>
    <w:rsid w:val="004C401E"/>
    <w:rsid w:val="004C46F8"/>
    <w:rsid w:val="004C5B03"/>
    <w:rsid w:val="004D0A9B"/>
    <w:rsid w:val="004D0DC1"/>
    <w:rsid w:val="004D5711"/>
    <w:rsid w:val="004D7273"/>
    <w:rsid w:val="004D791C"/>
    <w:rsid w:val="004D7F23"/>
    <w:rsid w:val="004E05D1"/>
    <w:rsid w:val="004E1B13"/>
    <w:rsid w:val="004E4E56"/>
    <w:rsid w:val="004E6199"/>
    <w:rsid w:val="004F0AF9"/>
    <w:rsid w:val="004F0B13"/>
    <w:rsid w:val="004F26EC"/>
    <w:rsid w:val="004F2EEC"/>
    <w:rsid w:val="004F39CF"/>
    <w:rsid w:val="004F47A0"/>
    <w:rsid w:val="004F4942"/>
    <w:rsid w:val="004F5287"/>
    <w:rsid w:val="004F5304"/>
    <w:rsid w:val="004F7146"/>
    <w:rsid w:val="00502682"/>
    <w:rsid w:val="00507783"/>
    <w:rsid w:val="00510B59"/>
    <w:rsid w:val="00513C83"/>
    <w:rsid w:val="00513D46"/>
    <w:rsid w:val="00514205"/>
    <w:rsid w:val="00515569"/>
    <w:rsid w:val="00517F71"/>
    <w:rsid w:val="00521B7E"/>
    <w:rsid w:val="00523BF5"/>
    <w:rsid w:val="00530D94"/>
    <w:rsid w:val="00531EF4"/>
    <w:rsid w:val="0053314B"/>
    <w:rsid w:val="00534116"/>
    <w:rsid w:val="00535C98"/>
    <w:rsid w:val="00536374"/>
    <w:rsid w:val="005363C2"/>
    <w:rsid w:val="0054245E"/>
    <w:rsid w:val="00543BA6"/>
    <w:rsid w:val="00543FA3"/>
    <w:rsid w:val="00544D4A"/>
    <w:rsid w:val="005548EB"/>
    <w:rsid w:val="00554E0B"/>
    <w:rsid w:val="00567FEC"/>
    <w:rsid w:val="00573CEC"/>
    <w:rsid w:val="00573F82"/>
    <w:rsid w:val="00574DEB"/>
    <w:rsid w:val="00575604"/>
    <w:rsid w:val="00583B79"/>
    <w:rsid w:val="00583C27"/>
    <w:rsid w:val="00584E05"/>
    <w:rsid w:val="00586592"/>
    <w:rsid w:val="00586ACC"/>
    <w:rsid w:val="0059113E"/>
    <w:rsid w:val="005939D1"/>
    <w:rsid w:val="00597DD2"/>
    <w:rsid w:val="00597F1E"/>
    <w:rsid w:val="005A0256"/>
    <w:rsid w:val="005A4FF3"/>
    <w:rsid w:val="005A5AB7"/>
    <w:rsid w:val="005A6AF4"/>
    <w:rsid w:val="005A7BC2"/>
    <w:rsid w:val="005B31CC"/>
    <w:rsid w:val="005B5411"/>
    <w:rsid w:val="005B56A4"/>
    <w:rsid w:val="005C4595"/>
    <w:rsid w:val="005D0A01"/>
    <w:rsid w:val="005D12D1"/>
    <w:rsid w:val="005D2AEE"/>
    <w:rsid w:val="005D40B1"/>
    <w:rsid w:val="005D50D0"/>
    <w:rsid w:val="005D5E1A"/>
    <w:rsid w:val="005D6409"/>
    <w:rsid w:val="005E1B76"/>
    <w:rsid w:val="005E2AC2"/>
    <w:rsid w:val="005F1EF1"/>
    <w:rsid w:val="005F641E"/>
    <w:rsid w:val="005F6C0A"/>
    <w:rsid w:val="006003BA"/>
    <w:rsid w:val="00600952"/>
    <w:rsid w:val="00600A1E"/>
    <w:rsid w:val="00601E77"/>
    <w:rsid w:val="00604D6E"/>
    <w:rsid w:val="00605263"/>
    <w:rsid w:val="006058DB"/>
    <w:rsid w:val="00606273"/>
    <w:rsid w:val="00607886"/>
    <w:rsid w:val="00610620"/>
    <w:rsid w:val="006146AC"/>
    <w:rsid w:val="00614E3A"/>
    <w:rsid w:val="00614F7F"/>
    <w:rsid w:val="006174CC"/>
    <w:rsid w:val="00621E57"/>
    <w:rsid w:val="00621F87"/>
    <w:rsid w:val="0062427B"/>
    <w:rsid w:val="0062549E"/>
    <w:rsid w:val="0063443B"/>
    <w:rsid w:val="00635F17"/>
    <w:rsid w:val="00636599"/>
    <w:rsid w:val="00636CF5"/>
    <w:rsid w:val="0064049A"/>
    <w:rsid w:val="00642A7F"/>
    <w:rsid w:val="0064313D"/>
    <w:rsid w:val="00643865"/>
    <w:rsid w:val="00643E2B"/>
    <w:rsid w:val="00647A7E"/>
    <w:rsid w:val="00647FC8"/>
    <w:rsid w:val="006523BB"/>
    <w:rsid w:val="00652719"/>
    <w:rsid w:val="00654C26"/>
    <w:rsid w:val="00662059"/>
    <w:rsid w:val="00665BDB"/>
    <w:rsid w:val="006706C3"/>
    <w:rsid w:val="0067247C"/>
    <w:rsid w:val="00676ADE"/>
    <w:rsid w:val="006813B5"/>
    <w:rsid w:val="00681BEF"/>
    <w:rsid w:val="00683666"/>
    <w:rsid w:val="0068414C"/>
    <w:rsid w:val="0068471C"/>
    <w:rsid w:val="00687019"/>
    <w:rsid w:val="00687C07"/>
    <w:rsid w:val="006908E6"/>
    <w:rsid w:val="00692E08"/>
    <w:rsid w:val="00693329"/>
    <w:rsid w:val="00693509"/>
    <w:rsid w:val="00693C9D"/>
    <w:rsid w:val="0069638B"/>
    <w:rsid w:val="00697672"/>
    <w:rsid w:val="006A034E"/>
    <w:rsid w:val="006A186D"/>
    <w:rsid w:val="006A222C"/>
    <w:rsid w:val="006A4E9B"/>
    <w:rsid w:val="006A6388"/>
    <w:rsid w:val="006A6687"/>
    <w:rsid w:val="006B29FB"/>
    <w:rsid w:val="006B3C97"/>
    <w:rsid w:val="006B4AE8"/>
    <w:rsid w:val="006B55FB"/>
    <w:rsid w:val="006C17C8"/>
    <w:rsid w:val="006C27AA"/>
    <w:rsid w:val="006C2AB6"/>
    <w:rsid w:val="006C4197"/>
    <w:rsid w:val="006C44A8"/>
    <w:rsid w:val="006C5442"/>
    <w:rsid w:val="006C5654"/>
    <w:rsid w:val="006D02F6"/>
    <w:rsid w:val="006D096B"/>
    <w:rsid w:val="006D0F16"/>
    <w:rsid w:val="006D1544"/>
    <w:rsid w:val="006D2359"/>
    <w:rsid w:val="006E3530"/>
    <w:rsid w:val="006E5EE1"/>
    <w:rsid w:val="006E61A0"/>
    <w:rsid w:val="006E73BE"/>
    <w:rsid w:val="006F133F"/>
    <w:rsid w:val="006F2BC2"/>
    <w:rsid w:val="006F3927"/>
    <w:rsid w:val="006F4938"/>
    <w:rsid w:val="006F60CC"/>
    <w:rsid w:val="006F72BB"/>
    <w:rsid w:val="00701E21"/>
    <w:rsid w:val="00702531"/>
    <w:rsid w:val="00703136"/>
    <w:rsid w:val="00703E8B"/>
    <w:rsid w:val="007053F9"/>
    <w:rsid w:val="00706676"/>
    <w:rsid w:val="0070710A"/>
    <w:rsid w:val="00707406"/>
    <w:rsid w:val="00707671"/>
    <w:rsid w:val="00714804"/>
    <w:rsid w:val="00714963"/>
    <w:rsid w:val="007166B3"/>
    <w:rsid w:val="007204CB"/>
    <w:rsid w:val="00722865"/>
    <w:rsid w:val="0072414B"/>
    <w:rsid w:val="00725A3D"/>
    <w:rsid w:val="00725D30"/>
    <w:rsid w:val="00725EE2"/>
    <w:rsid w:val="0072605C"/>
    <w:rsid w:val="00726702"/>
    <w:rsid w:val="00727B1F"/>
    <w:rsid w:val="00730C08"/>
    <w:rsid w:val="00732F86"/>
    <w:rsid w:val="007409CE"/>
    <w:rsid w:val="007429EF"/>
    <w:rsid w:val="00743E16"/>
    <w:rsid w:val="00744D97"/>
    <w:rsid w:val="00744F90"/>
    <w:rsid w:val="00747725"/>
    <w:rsid w:val="007501FF"/>
    <w:rsid w:val="00753223"/>
    <w:rsid w:val="00753677"/>
    <w:rsid w:val="007547E3"/>
    <w:rsid w:val="00755434"/>
    <w:rsid w:val="00756CFA"/>
    <w:rsid w:val="00756FF2"/>
    <w:rsid w:val="007630FE"/>
    <w:rsid w:val="00763D8D"/>
    <w:rsid w:val="0076417C"/>
    <w:rsid w:val="0076419A"/>
    <w:rsid w:val="00766AF4"/>
    <w:rsid w:val="00767A2D"/>
    <w:rsid w:val="00773B3B"/>
    <w:rsid w:val="00773E47"/>
    <w:rsid w:val="0077516C"/>
    <w:rsid w:val="00775D02"/>
    <w:rsid w:val="0077798B"/>
    <w:rsid w:val="00782009"/>
    <w:rsid w:val="007826D0"/>
    <w:rsid w:val="00790484"/>
    <w:rsid w:val="0079066D"/>
    <w:rsid w:val="00790789"/>
    <w:rsid w:val="00794241"/>
    <w:rsid w:val="00796C3D"/>
    <w:rsid w:val="00797287"/>
    <w:rsid w:val="007A1D92"/>
    <w:rsid w:val="007A345D"/>
    <w:rsid w:val="007A357B"/>
    <w:rsid w:val="007A6CE8"/>
    <w:rsid w:val="007B597D"/>
    <w:rsid w:val="007C1990"/>
    <w:rsid w:val="007C2151"/>
    <w:rsid w:val="007C4B0B"/>
    <w:rsid w:val="007C6FA1"/>
    <w:rsid w:val="007C70B8"/>
    <w:rsid w:val="007D0BCF"/>
    <w:rsid w:val="007D0CCF"/>
    <w:rsid w:val="007D1114"/>
    <w:rsid w:val="007D27AD"/>
    <w:rsid w:val="007D6475"/>
    <w:rsid w:val="007D680D"/>
    <w:rsid w:val="007D7B44"/>
    <w:rsid w:val="007E0445"/>
    <w:rsid w:val="007E0883"/>
    <w:rsid w:val="007E1906"/>
    <w:rsid w:val="007E1AED"/>
    <w:rsid w:val="007E2E17"/>
    <w:rsid w:val="007E6C14"/>
    <w:rsid w:val="007E6D39"/>
    <w:rsid w:val="007F1303"/>
    <w:rsid w:val="007F28AC"/>
    <w:rsid w:val="007F2B9F"/>
    <w:rsid w:val="008071E1"/>
    <w:rsid w:val="00807722"/>
    <w:rsid w:val="00821699"/>
    <w:rsid w:val="008225A1"/>
    <w:rsid w:val="00824ADF"/>
    <w:rsid w:val="008251DD"/>
    <w:rsid w:val="00826124"/>
    <w:rsid w:val="00826753"/>
    <w:rsid w:val="00830F04"/>
    <w:rsid w:val="00834670"/>
    <w:rsid w:val="00835274"/>
    <w:rsid w:val="00842990"/>
    <w:rsid w:val="00844BE5"/>
    <w:rsid w:val="00845DC1"/>
    <w:rsid w:val="00846ADB"/>
    <w:rsid w:val="00850198"/>
    <w:rsid w:val="00850B2F"/>
    <w:rsid w:val="00853213"/>
    <w:rsid w:val="00856A67"/>
    <w:rsid w:val="00860886"/>
    <w:rsid w:val="008616F5"/>
    <w:rsid w:val="008618E9"/>
    <w:rsid w:val="008645E9"/>
    <w:rsid w:val="00867D15"/>
    <w:rsid w:val="00873FA5"/>
    <w:rsid w:val="008811D9"/>
    <w:rsid w:val="008821BA"/>
    <w:rsid w:val="00884D01"/>
    <w:rsid w:val="00891276"/>
    <w:rsid w:val="00896C78"/>
    <w:rsid w:val="00896ECD"/>
    <w:rsid w:val="0089763E"/>
    <w:rsid w:val="008A2C73"/>
    <w:rsid w:val="008A7672"/>
    <w:rsid w:val="008B034D"/>
    <w:rsid w:val="008B1040"/>
    <w:rsid w:val="008B2E58"/>
    <w:rsid w:val="008B3088"/>
    <w:rsid w:val="008B3A11"/>
    <w:rsid w:val="008B4661"/>
    <w:rsid w:val="008B4B89"/>
    <w:rsid w:val="008B6EB4"/>
    <w:rsid w:val="008C14D2"/>
    <w:rsid w:val="008C1F0B"/>
    <w:rsid w:val="008C2F14"/>
    <w:rsid w:val="008C6707"/>
    <w:rsid w:val="008C79EE"/>
    <w:rsid w:val="008D0498"/>
    <w:rsid w:val="008D09F1"/>
    <w:rsid w:val="008D19F6"/>
    <w:rsid w:val="008D4E1E"/>
    <w:rsid w:val="008D55DC"/>
    <w:rsid w:val="008D5D31"/>
    <w:rsid w:val="008D6098"/>
    <w:rsid w:val="008E6A78"/>
    <w:rsid w:val="008F181A"/>
    <w:rsid w:val="008F2846"/>
    <w:rsid w:val="008F3DF6"/>
    <w:rsid w:val="008F4C9F"/>
    <w:rsid w:val="008F5E35"/>
    <w:rsid w:val="008F6F14"/>
    <w:rsid w:val="008F796D"/>
    <w:rsid w:val="00901D7B"/>
    <w:rsid w:val="009026FE"/>
    <w:rsid w:val="0090313C"/>
    <w:rsid w:val="009211D2"/>
    <w:rsid w:val="00921619"/>
    <w:rsid w:val="00921659"/>
    <w:rsid w:val="00922052"/>
    <w:rsid w:val="00924433"/>
    <w:rsid w:val="0093155F"/>
    <w:rsid w:val="00932C87"/>
    <w:rsid w:val="0093438E"/>
    <w:rsid w:val="0093795E"/>
    <w:rsid w:val="00940270"/>
    <w:rsid w:val="00940817"/>
    <w:rsid w:val="00941DC8"/>
    <w:rsid w:val="009441CA"/>
    <w:rsid w:val="0094438D"/>
    <w:rsid w:val="00945C66"/>
    <w:rsid w:val="009517AD"/>
    <w:rsid w:val="00956D3D"/>
    <w:rsid w:val="00961A58"/>
    <w:rsid w:val="00967722"/>
    <w:rsid w:val="00971D26"/>
    <w:rsid w:val="009742D4"/>
    <w:rsid w:val="0097483E"/>
    <w:rsid w:val="00974AE0"/>
    <w:rsid w:val="00975751"/>
    <w:rsid w:val="00976574"/>
    <w:rsid w:val="00976E7E"/>
    <w:rsid w:val="00980117"/>
    <w:rsid w:val="00983CCF"/>
    <w:rsid w:val="00983F3A"/>
    <w:rsid w:val="009842E9"/>
    <w:rsid w:val="00984A10"/>
    <w:rsid w:val="00984B36"/>
    <w:rsid w:val="009866F3"/>
    <w:rsid w:val="00992354"/>
    <w:rsid w:val="00992AEC"/>
    <w:rsid w:val="0099480E"/>
    <w:rsid w:val="0099600F"/>
    <w:rsid w:val="009966BA"/>
    <w:rsid w:val="00996FB0"/>
    <w:rsid w:val="0099734F"/>
    <w:rsid w:val="00997ED1"/>
    <w:rsid w:val="009A10A6"/>
    <w:rsid w:val="009A1B6D"/>
    <w:rsid w:val="009B151F"/>
    <w:rsid w:val="009C1ADB"/>
    <w:rsid w:val="009C4F95"/>
    <w:rsid w:val="009C6AC1"/>
    <w:rsid w:val="009C6B03"/>
    <w:rsid w:val="009C726B"/>
    <w:rsid w:val="009C74BC"/>
    <w:rsid w:val="009C75C5"/>
    <w:rsid w:val="009C7769"/>
    <w:rsid w:val="009C776F"/>
    <w:rsid w:val="009D2093"/>
    <w:rsid w:val="009D46C5"/>
    <w:rsid w:val="009D6DD4"/>
    <w:rsid w:val="009F0B0E"/>
    <w:rsid w:val="009F2684"/>
    <w:rsid w:val="009F3BE0"/>
    <w:rsid w:val="009F4665"/>
    <w:rsid w:val="009F4860"/>
    <w:rsid w:val="009F49EA"/>
    <w:rsid w:val="009F51F8"/>
    <w:rsid w:val="009F5AD9"/>
    <w:rsid w:val="00A01B12"/>
    <w:rsid w:val="00A03402"/>
    <w:rsid w:val="00A037F4"/>
    <w:rsid w:val="00A05323"/>
    <w:rsid w:val="00A05757"/>
    <w:rsid w:val="00A058F9"/>
    <w:rsid w:val="00A10EBE"/>
    <w:rsid w:val="00A14ED3"/>
    <w:rsid w:val="00A1789E"/>
    <w:rsid w:val="00A17C9A"/>
    <w:rsid w:val="00A20E28"/>
    <w:rsid w:val="00A21772"/>
    <w:rsid w:val="00A30292"/>
    <w:rsid w:val="00A3239A"/>
    <w:rsid w:val="00A35888"/>
    <w:rsid w:val="00A36153"/>
    <w:rsid w:val="00A364AC"/>
    <w:rsid w:val="00A3656E"/>
    <w:rsid w:val="00A37714"/>
    <w:rsid w:val="00A432C5"/>
    <w:rsid w:val="00A43F72"/>
    <w:rsid w:val="00A447C8"/>
    <w:rsid w:val="00A44B16"/>
    <w:rsid w:val="00A44DA8"/>
    <w:rsid w:val="00A4668D"/>
    <w:rsid w:val="00A46B28"/>
    <w:rsid w:val="00A47B10"/>
    <w:rsid w:val="00A532FC"/>
    <w:rsid w:val="00A64F86"/>
    <w:rsid w:val="00A65457"/>
    <w:rsid w:val="00A669AC"/>
    <w:rsid w:val="00A67CF1"/>
    <w:rsid w:val="00A732F9"/>
    <w:rsid w:val="00A73BCB"/>
    <w:rsid w:val="00A74CC0"/>
    <w:rsid w:val="00A75408"/>
    <w:rsid w:val="00A80947"/>
    <w:rsid w:val="00A815C2"/>
    <w:rsid w:val="00A82DF6"/>
    <w:rsid w:val="00A85CD4"/>
    <w:rsid w:val="00A92503"/>
    <w:rsid w:val="00A93B0A"/>
    <w:rsid w:val="00A93E08"/>
    <w:rsid w:val="00A960C3"/>
    <w:rsid w:val="00AA330B"/>
    <w:rsid w:val="00AA59FC"/>
    <w:rsid w:val="00AB2899"/>
    <w:rsid w:val="00AB2BF0"/>
    <w:rsid w:val="00AB76C3"/>
    <w:rsid w:val="00AB7C00"/>
    <w:rsid w:val="00AC0D8E"/>
    <w:rsid w:val="00AC1C0B"/>
    <w:rsid w:val="00AC1FD2"/>
    <w:rsid w:val="00AC351B"/>
    <w:rsid w:val="00AC40B9"/>
    <w:rsid w:val="00AC4EB6"/>
    <w:rsid w:val="00AC5F3D"/>
    <w:rsid w:val="00AD0415"/>
    <w:rsid w:val="00AD08A2"/>
    <w:rsid w:val="00AD0A44"/>
    <w:rsid w:val="00AD0C58"/>
    <w:rsid w:val="00AD4F6D"/>
    <w:rsid w:val="00AD7A56"/>
    <w:rsid w:val="00AD7A57"/>
    <w:rsid w:val="00AE43CB"/>
    <w:rsid w:val="00AE6161"/>
    <w:rsid w:val="00AE62DC"/>
    <w:rsid w:val="00AE744C"/>
    <w:rsid w:val="00AE77F1"/>
    <w:rsid w:val="00AF0474"/>
    <w:rsid w:val="00AF1B72"/>
    <w:rsid w:val="00AF44D8"/>
    <w:rsid w:val="00AF66C9"/>
    <w:rsid w:val="00AF6C37"/>
    <w:rsid w:val="00AF79DE"/>
    <w:rsid w:val="00B04033"/>
    <w:rsid w:val="00B127E2"/>
    <w:rsid w:val="00B12989"/>
    <w:rsid w:val="00B13AEE"/>
    <w:rsid w:val="00B16189"/>
    <w:rsid w:val="00B16AE9"/>
    <w:rsid w:val="00B213E3"/>
    <w:rsid w:val="00B2174A"/>
    <w:rsid w:val="00B24593"/>
    <w:rsid w:val="00B3107A"/>
    <w:rsid w:val="00B31732"/>
    <w:rsid w:val="00B33F7D"/>
    <w:rsid w:val="00B34344"/>
    <w:rsid w:val="00B3564F"/>
    <w:rsid w:val="00B35B16"/>
    <w:rsid w:val="00B35BD9"/>
    <w:rsid w:val="00B36215"/>
    <w:rsid w:val="00B36707"/>
    <w:rsid w:val="00B36A2E"/>
    <w:rsid w:val="00B37093"/>
    <w:rsid w:val="00B441E1"/>
    <w:rsid w:val="00B454A1"/>
    <w:rsid w:val="00B4566B"/>
    <w:rsid w:val="00B46909"/>
    <w:rsid w:val="00B52039"/>
    <w:rsid w:val="00B52066"/>
    <w:rsid w:val="00B61FE6"/>
    <w:rsid w:val="00B626FD"/>
    <w:rsid w:val="00B6317F"/>
    <w:rsid w:val="00B63321"/>
    <w:rsid w:val="00B648B3"/>
    <w:rsid w:val="00B65852"/>
    <w:rsid w:val="00B65DED"/>
    <w:rsid w:val="00B70459"/>
    <w:rsid w:val="00B73219"/>
    <w:rsid w:val="00B73B17"/>
    <w:rsid w:val="00B76BF0"/>
    <w:rsid w:val="00B801D9"/>
    <w:rsid w:val="00B81EE7"/>
    <w:rsid w:val="00B833B7"/>
    <w:rsid w:val="00B84F67"/>
    <w:rsid w:val="00B920CD"/>
    <w:rsid w:val="00B95624"/>
    <w:rsid w:val="00BA3378"/>
    <w:rsid w:val="00BA4D1C"/>
    <w:rsid w:val="00BB16AE"/>
    <w:rsid w:val="00BB1B14"/>
    <w:rsid w:val="00BB1E20"/>
    <w:rsid w:val="00BB46BC"/>
    <w:rsid w:val="00BB7538"/>
    <w:rsid w:val="00BB780E"/>
    <w:rsid w:val="00BC2393"/>
    <w:rsid w:val="00BC40A8"/>
    <w:rsid w:val="00BD3A43"/>
    <w:rsid w:val="00BE1B38"/>
    <w:rsid w:val="00BE23FA"/>
    <w:rsid w:val="00BE3288"/>
    <w:rsid w:val="00BE4EAF"/>
    <w:rsid w:val="00BE7742"/>
    <w:rsid w:val="00BE7FAA"/>
    <w:rsid w:val="00BF2095"/>
    <w:rsid w:val="00BF2420"/>
    <w:rsid w:val="00BF444E"/>
    <w:rsid w:val="00BF58AA"/>
    <w:rsid w:val="00BF7EF1"/>
    <w:rsid w:val="00C075ED"/>
    <w:rsid w:val="00C07E65"/>
    <w:rsid w:val="00C133EF"/>
    <w:rsid w:val="00C15DC2"/>
    <w:rsid w:val="00C2000A"/>
    <w:rsid w:val="00C213D5"/>
    <w:rsid w:val="00C226F3"/>
    <w:rsid w:val="00C22B05"/>
    <w:rsid w:val="00C23885"/>
    <w:rsid w:val="00C25968"/>
    <w:rsid w:val="00C259A0"/>
    <w:rsid w:val="00C2679F"/>
    <w:rsid w:val="00C267F1"/>
    <w:rsid w:val="00C30DF3"/>
    <w:rsid w:val="00C31C77"/>
    <w:rsid w:val="00C329D5"/>
    <w:rsid w:val="00C33083"/>
    <w:rsid w:val="00C35DCF"/>
    <w:rsid w:val="00C431BB"/>
    <w:rsid w:val="00C43645"/>
    <w:rsid w:val="00C43CA4"/>
    <w:rsid w:val="00C43E90"/>
    <w:rsid w:val="00C46551"/>
    <w:rsid w:val="00C46B4F"/>
    <w:rsid w:val="00C50C63"/>
    <w:rsid w:val="00C5187B"/>
    <w:rsid w:val="00C51A61"/>
    <w:rsid w:val="00C52947"/>
    <w:rsid w:val="00C53FFB"/>
    <w:rsid w:val="00C55D88"/>
    <w:rsid w:val="00C57834"/>
    <w:rsid w:val="00C629FD"/>
    <w:rsid w:val="00C6543C"/>
    <w:rsid w:val="00C67BE4"/>
    <w:rsid w:val="00C67F28"/>
    <w:rsid w:val="00C710A6"/>
    <w:rsid w:val="00C7579B"/>
    <w:rsid w:val="00C75921"/>
    <w:rsid w:val="00C75FBF"/>
    <w:rsid w:val="00C809C0"/>
    <w:rsid w:val="00C82D54"/>
    <w:rsid w:val="00C850E9"/>
    <w:rsid w:val="00C85D59"/>
    <w:rsid w:val="00C8768C"/>
    <w:rsid w:val="00C87F99"/>
    <w:rsid w:val="00C91A71"/>
    <w:rsid w:val="00C93AB4"/>
    <w:rsid w:val="00C94278"/>
    <w:rsid w:val="00C948D5"/>
    <w:rsid w:val="00C972E8"/>
    <w:rsid w:val="00CA13A3"/>
    <w:rsid w:val="00CA17E0"/>
    <w:rsid w:val="00CA2322"/>
    <w:rsid w:val="00CA3B53"/>
    <w:rsid w:val="00CA5218"/>
    <w:rsid w:val="00CA5D03"/>
    <w:rsid w:val="00CA5D25"/>
    <w:rsid w:val="00CB04A7"/>
    <w:rsid w:val="00CB04EA"/>
    <w:rsid w:val="00CB3A3C"/>
    <w:rsid w:val="00CB49FA"/>
    <w:rsid w:val="00CB6BA0"/>
    <w:rsid w:val="00CB6F1A"/>
    <w:rsid w:val="00CB7C4B"/>
    <w:rsid w:val="00CC0AB7"/>
    <w:rsid w:val="00CC23DA"/>
    <w:rsid w:val="00CC23F7"/>
    <w:rsid w:val="00CC4F75"/>
    <w:rsid w:val="00CC70B6"/>
    <w:rsid w:val="00CC76CF"/>
    <w:rsid w:val="00CD0323"/>
    <w:rsid w:val="00CD061E"/>
    <w:rsid w:val="00CD5A55"/>
    <w:rsid w:val="00CE11C7"/>
    <w:rsid w:val="00CE2D89"/>
    <w:rsid w:val="00CE62CD"/>
    <w:rsid w:val="00CF1187"/>
    <w:rsid w:val="00CF622C"/>
    <w:rsid w:val="00D01869"/>
    <w:rsid w:val="00D0198E"/>
    <w:rsid w:val="00D019F3"/>
    <w:rsid w:val="00D0319F"/>
    <w:rsid w:val="00D04B4C"/>
    <w:rsid w:val="00D0554F"/>
    <w:rsid w:val="00D059F9"/>
    <w:rsid w:val="00D10826"/>
    <w:rsid w:val="00D128C5"/>
    <w:rsid w:val="00D14D7D"/>
    <w:rsid w:val="00D2164A"/>
    <w:rsid w:val="00D23A98"/>
    <w:rsid w:val="00D244FB"/>
    <w:rsid w:val="00D24D5E"/>
    <w:rsid w:val="00D27F13"/>
    <w:rsid w:val="00D31D5A"/>
    <w:rsid w:val="00D3559E"/>
    <w:rsid w:val="00D36D23"/>
    <w:rsid w:val="00D37644"/>
    <w:rsid w:val="00D37CAF"/>
    <w:rsid w:val="00D37DEC"/>
    <w:rsid w:val="00D42D33"/>
    <w:rsid w:val="00D431BE"/>
    <w:rsid w:val="00D43241"/>
    <w:rsid w:val="00D444C5"/>
    <w:rsid w:val="00D46423"/>
    <w:rsid w:val="00D46AB9"/>
    <w:rsid w:val="00D507E0"/>
    <w:rsid w:val="00D55035"/>
    <w:rsid w:val="00D576CA"/>
    <w:rsid w:val="00D62029"/>
    <w:rsid w:val="00D62E7D"/>
    <w:rsid w:val="00D647E6"/>
    <w:rsid w:val="00D65ADE"/>
    <w:rsid w:val="00D66B04"/>
    <w:rsid w:val="00D713CD"/>
    <w:rsid w:val="00D72985"/>
    <w:rsid w:val="00D73EB4"/>
    <w:rsid w:val="00D8569B"/>
    <w:rsid w:val="00D86811"/>
    <w:rsid w:val="00D904A5"/>
    <w:rsid w:val="00D91D18"/>
    <w:rsid w:val="00D92D6B"/>
    <w:rsid w:val="00D93C64"/>
    <w:rsid w:val="00D9431A"/>
    <w:rsid w:val="00D9530F"/>
    <w:rsid w:val="00D95546"/>
    <w:rsid w:val="00DA0905"/>
    <w:rsid w:val="00DA1EEC"/>
    <w:rsid w:val="00DA367F"/>
    <w:rsid w:val="00DA499D"/>
    <w:rsid w:val="00DB0C3A"/>
    <w:rsid w:val="00DB248B"/>
    <w:rsid w:val="00DB341D"/>
    <w:rsid w:val="00DB67DC"/>
    <w:rsid w:val="00DB7548"/>
    <w:rsid w:val="00DB7FC9"/>
    <w:rsid w:val="00DC4A93"/>
    <w:rsid w:val="00DC68ED"/>
    <w:rsid w:val="00DC6997"/>
    <w:rsid w:val="00DD2234"/>
    <w:rsid w:val="00DD24F0"/>
    <w:rsid w:val="00DD3C04"/>
    <w:rsid w:val="00DD4255"/>
    <w:rsid w:val="00DD53EE"/>
    <w:rsid w:val="00DD616C"/>
    <w:rsid w:val="00DE1CAA"/>
    <w:rsid w:val="00DE42F3"/>
    <w:rsid w:val="00DF09BB"/>
    <w:rsid w:val="00DF3151"/>
    <w:rsid w:val="00DF6844"/>
    <w:rsid w:val="00DF71DD"/>
    <w:rsid w:val="00E00FC2"/>
    <w:rsid w:val="00E024ED"/>
    <w:rsid w:val="00E02872"/>
    <w:rsid w:val="00E02B37"/>
    <w:rsid w:val="00E03763"/>
    <w:rsid w:val="00E04A8E"/>
    <w:rsid w:val="00E07F23"/>
    <w:rsid w:val="00E11E5D"/>
    <w:rsid w:val="00E173A7"/>
    <w:rsid w:val="00E20BEB"/>
    <w:rsid w:val="00E243FF"/>
    <w:rsid w:val="00E26DFC"/>
    <w:rsid w:val="00E26FC7"/>
    <w:rsid w:val="00E31EC7"/>
    <w:rsid w:val="00E36190"/>
    <w:rsid w:val="00E41A14"/>
    <w:rsid w:val="00E424C8"/>
    <w:rsid w:val="00E42F85"/>
    <w:rsid w:val="00E43E4D"/>
    <w:rsid w:val="00E449D3"/>
    <w:rsid w:val="00E50775"/>
    <w:rsid w:val="00E51016"/>
    <w:rsid w:val="00E53DFC"/>
    <w:rsid w:val="00E54CF2"/>
    <w:rsid w:val="00E60DA6"/>
    <w:rsid w:val="00E61380"/>
    <w:rsid w:val="00E619BA"/>
    <w:rsid w:val="00E66BAA"/>
    <w:rsid w:val="00E67800"/>
    <w:rsid w:val="00E679D8"/>
    <w:rsid w:val="00E71947"/>
    <w:rsid w:val="00E730AE"/>
    <w:rsid w:val="00E73288"/>
    <w:rsid w:val="00E73F8C"/>
    <w:rsid w:val="00E741B7"/>
    <w:rsid w:val="00E74442"/>
    <w:rsid w:val="00E75457"/>
    <w:rsid w:val="00E779F8"/>
    <w:rsid w:val="00E8728C"/>
    <w:rsid w:val="00E9132B"/>
    <w:rsid w:val="00E92BC9"/>
    <w:rsid w:val="00E940C4"/>
    <w:rsid w:val="00E9518C"/>
    <w:rsid w:val="00E959A7"/>
    <w:rsid w:val="00E97675"/>
    <w:rsid w:val="00E9768E"/>
    <w:rsid w:val="00EA116C"/>
    <w:rsid w:val="00EA3491"/>
    <w:rsid w:val="00EA6355"/>
    <w:rsid w:val="00EA7093"/>
    <w:rsid w:val="00EB162B"/>
    <w:rsid w:val="00EB316E"/>
    <w:rsid w:val="00EB5715"/>
    <w:rsid w:val="00EB5996"/>
    <w:rsid w:val="00EB631F"/>
    <w:rsid w:val="00EB6783"/>
    <w:rsid w:val="00EC04E9"/>
    <w:rsid w:val="00EC215A"/>
    <w:rsid w:val="00EC22F6"/>
    <w:rsid w:val="00EC318F"/>
    <w:rsid w:val="00EC64C9"/>
    <w:rsid w:val="00ED0185"/>
    <w:rsid w:val="00ED325B"/>
    <w:rsid w:val="00ED4103"/>
    <w:rsid w:val="00EE126E"/>
    <w:rsid w:val="00EE2936"/>
    <w:rsid w:val="00EE2A5F"/>
    <w:rsid w:val="00EF75F4"/>
    <w:rsid w:val="00EF7FDE"/>
    <w:rsid w:val="00F01F6A"/>
    <w:rsid w:val="00F02A20"/>
    <w:rsid w:val="00F03A2D"/>
    <w:rsid w:val="00F04940"/>
    <w:rsid w:val="00F108A4"/>
    <w:rsid w:val="00F127F4"/>
    <w:rsid w:val="00F12EAC"/>
    <w:rsid w:val="00F140B2"/>
    <w:rsid w:val="00F146FC"/>
    <w:rsid w:val="00F151C2"/>
    <w:rsid w:val="00F1535A"/>
    <w:rsid w:val="00F15BF6"/>
    <w:rsid w:val="00F16CBD"/>
    <w:rsid w:val="00F17284"/>
    <w:rsid w:val="00F226D8"/>
    <w:rsid w:val="00F23D58"/>
    <w:rsid w:val="00F25105"/>
    <w:rsid w:val="00F25830"/>
    <w:rsid w:val="00F25B97"/>
    <w:rsid w:val="00F27C4D"/>
    <w:rsid w:val="00F30E3E"/>
    <w:rsid w:val="00F30F71"/>
    <w:rsid w:val="00F323C9"/>
    <w:rsid w:val="00F32726"/>
    <w:rsid w:val="00F37C97"/>
    <w:rsid w:val="00F413F4"/>
    <w:rsid w:val="00F4270C"/>
    <w:rsid w:val="00F42951"/>
    <w:rsid w:val="00F43CC8"/>
    <w:rsid w:val="00F44F91"/>
    <w:rsid w:val="00F521AD"/>
    <w:rsid w:val="00F52B52"/>
    <w:rsid w:val="00F547F0"/>
    <w:rsid w:val="00F5490E"/>
    <w:rsid w:val="00F56A49"/>
    <w:rsid w:val="00F60330"/>
    <w:rsid w:val="00F603AC"/>
    <w:rsid w:val="00F60AA3"/>
    <w:rsid w:val="00F634D7"/>
    <w:rsid w:val="00F63680"/>
    <w:rsid w:val="00F63DE6"/>
    <w:rsid w:val="00F65AB7"/>
    <w:rsid w:val="00F66060"/>
    <w:rsid w:val="00F6770B"/>
    <w:rsid w:val="00F732DC"/>
    <w:rsid w:val="00F73851"/>
    <w:rsid w:val="00F73D35"/>
    <w:rsid w:val="00F740F2"/>
    <w:rsid w:val="00F749EF"/>
    <w:rsid w:val="00F74CFF"/>
    <w:rsid w:val="00F75487"/>
    <w:rsid w:val="00F75DD5"/>
    <w:rsid w:val="00F8086F"/>
    <w:rsid w:val="00F82D87"/>
    <w:rsid w:val="00F82E18"/>
    <w:rsid w:val="00F82FD4"/>
    <w:rsid w:val="00F85C38"/>
    <w:rsid w:val="00F85FF8"/>
    <w:rsid w:val="00F86E50"/>
    <w:rsid w:val="00F91610"/>
    <w:rsid w:val="00F91F82"/>
    <w:rsid w:val="00F93F6D"/>
    <w:rsid w:val="00F947D2"/>
    <w:rsid w:val="00FA0C68"/>
    <w:rsid w:val="00FA14AD"/>
    <w:rsid w:val="00FA49B7"/>
    <w:rsid w:val="00FB045B"/>
    <w:rsid w:val="00FB3112"/>
    <w:rsid w:val="00FB47FA"/>
    <w:rsid w:val="00FB7A2D"/>
    <w:rsid w:val="00FC0E7B"/>
    <w:rsid w:val="00FC2C7D"/>
    <w:rsid w:val="00FC51F6"/>
    <w:rsid w:val="00FC609E"/>
    <w:rsid w:val="00FC704C"/>
    <w:rsid w:val="00FD0562"/>
    <w:rsid w:val="00FD0D97"/>
    <w:rsid w:val="00FD1DBA"/>
    <w:rsid w:val="00FD5267"/>
    <w:rsid w:val="00FD7EA1"/>
    <w:rsid w:val="00FE055B"/>
    <w:rsid w:val="00FE1620"/>
    <w:rsid w:val="00FE4D7A"/>
    <w:rsid w:val="00FE57A3"/>
    <w:rsid w:val="00FE5894"/>
    <w:rsid w:val="00FE6DE7"/>
    <w:rsid w:val="00FF0611"/>
    <w:rsid w:val="00FF39C3"/>
    <w:rsid w:val="00FF54E1"/>
    <w:rsid w:val="00FF5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86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4661"/>
    <w:rPr>
      <w:b/>
      <w:bCs/>
    </w:rPr>
  </w:style>
  <w:style w:type="paragraph" w:styleId="ListParagraph">
    <w:name w:val="List Paragraph"/>
    <w:basedOn w:val="Normal"/>
    <w:uiPriority w:val="34"/>
    <w:qFormat/>
    <w:rsid w:val="008B4661"/>
    <w:pPr>
      <w:ind w:left="720"/>
      <w:contextualSpacing/>
    </w:pPr>
    <w:rPr>
      <w:rFonts w:ascii="CG Times (W1)" w:hAnsi="CG Times (W1)"/>
      <w:szCs w:val="20"/>
    </w:rPr>
  </w:style>
  <w:style w:type="paragraph" w:styleId="FootnoteText">
    <w:name w:val="footnote text"/>
    <w:basedOn w:val="Normal"/>
    <w:link w:val="FootnoteTextChar"/>
    <w:uiPriority w:val="99"/>
    <w:unhideWhenUsed/>
    <w:rsid w:val="00A93E08"/>
    <w:rPr>
      <w:sz w:val="20"/>
      <w:szCs w:val="20"/>
    </w:rPr>
  </w:style>
  <w:style w:type="character" w:customStyle="1" w:styleId="FootnoteTextChar">
    <w:name w:val="Footnote Text Char"/>
    <w:basedOn w:val="DefaultParagraphFont"/>
    <w:link w:val="FootnoteText"/>
    <w:uiPriority w:val="99"/>
    <w:rsid w:val="00A93E08"/>
    <w:rPr>
      <w:lang w:eastAsia="en-US"/>
    </w:rPr>
  </w:style>
  <w:style w:type="character" w:styleId="FootnoteReference">
    <w:name w:val="footnote reference"/>
    <w:basedOn w:val="DefaultParagraphFont"/>
    <w:uiPriority w:val="99"/>
    <w:unhideWhenUsed/>
    <w:rsid w:val="00A93E08"/>
    <w:rPr>
      <w:vertAlign w:val="superscript"/>
    </w:rPr>
  </w:style>
  <w:style w:type="paragraph" w:styleId="Header">
    <w:name w:val="header"/>
    <w:basedOn w:val="Normal"/>
    <w:link w:val="HeaderChar"/>
    <w:uiPriority w:val="99"/>
    <w:unhideWhenUsed/>
    <w:rsid w:val="007053F9"/>
    <w:pPr>
      <w:tabs>
        <w:tab w:val="center" w:pos="4680"/>
        <w:tab w:val="right" w:pos="9360"/>
      </w:tabs>
    </w:pPr>
  </w:style>
  <w:style w:type="character" w:customStyle="1" w:styleId="HeaderChar">
    <w:name w:val="Header Char"/>
    <w:basedOn w:val="DefaultParagraphFont"/>
    <w:link w:val="Header"/>
    <w:uiPriority w:val="99"/>
    <w:rsid w:val="007053F9"/>
    <w:rPr>
      <w:sz w:val="24"/>
      <w:szCs w:val="24"/>
      <w:lang w:eastAsia="en-US"/>
    </w:rPr>
  </w:style>
  <w:style w:type="paragraph" w:styleId="Footer">
    <w:name w:val="footer"/>
    <w:basedOn w:val="Normal"/>
    <w:link w:val="FooterChar"/>
    <w:uiPriority w:val="99"/>
    <w:unhideWhenUsed/>
    <w:rsid w:val="007053F9"/>
    <w:pPr>
      <w:tabs>
        <w:tab w:val="center" w:pos="4680"/>
        <w:tab w:val="right" w:pos="9360"/>
      </w:tabs>
    </w:pPr>
  </w:style>
  <w:style w:type="character" w:customStyle="1" w:styleId="FooterChar">
    <w:name w:val="Footer Char"/>
    <w:basedOn w:val="DefaultParagraphFont"/>
    <w:link w:val="Footer"/>
    <w:uiPriority w:val="99"/>
    <w:rsid w:val="007053F9"/>
    <w:rPr>
      <w:sz w:val="24"/>
      <w:szCs w:val="24"/>
      <w:lang w:eastAsia="en-US"/>
    </w:rPr>
  </w:style>
  <w:style w:type="paragraph" w:styleId="BalloonText">
    <w:name w:val="Balloon Text"/>
    <w:basedOn w:val="Normal"/>
    <w:link w:val="BalloonTextChar"/>
    <w:uiPriority w:val="99"/>
    <w:semiHidden/>
    <w:unhideWhenUsed/>
    <w:rsid w:val="003B4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10D"/>
    <w:rPr>
      <w:rFonts w:ascii="Lucida Grande" w:hAnsi="Lucida Grande" w:cs="Lucida Grande"/>
      <w:sz w:val="18"/>
      <w:szCs w:val="18"/>
      <w:lang w:eastAsia="en-US"/>
    </w:rPr>
  </w:style>
  <w:style w:type="paragraph" w:styleId="NormalWeb">
    <w:name w:val="Normal (Web)"/>
    <w:basedOn w:val="Normal"/>
    <w:uiPriority w:val="99"/>
    <w:unhideWhenUsed/>
    <w:rsid w:val="00E92BC9"/>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8811D9"/>
    <w:rPr>
      <w:sz w:val="18"/>
      <w:szCs w:val="18"/>
    </w:rPr>
  </w:style>
  <w:style w:type="paragraph" w:styleId="CommentText">
    <w:name w:val="annotation text"/>
    <w:basedOn w:val="Normal"/>
    <w:link w:val="CommentTextChar"/>
    <w:uiPriority w:val="99"/>
    <w:semiHidden/>
    <w:unhideWhenUsed/>
    <w:rsid w:val="008811D9"/>
  </w:style>
  <w:style w:type="character" w:customStyle="1" w:styleId="CommentTextChar">
    <w:name w:val="Comment Text Char"/>
    <w:basedOn w:val="DefaultParagraphFont"/>
    <w:link w:val="CommentText"/>
    <w:uiPriority w:val="99"/>
    <w:semiHidden/>
    <w:rsid w:val="008811D9"/>
    <w:rPr>
      <w:sz w:val="24"/>
      <w:szCs w:val="24"/>
      <w:lang w:eastAsia="en-US"/>
    </w:rPr>
  </w:style>
  <w:style w:type="paragraph" w:styleId="CommentSubject">
    <w:name w:val="annotation subject"/>
    <w:basedOn w:val="CommentText"/>
    <w:next w:val="CommentText"/>
    <w:link w:val="CommentSubjectChar"/>
    <w:uiPriority w:val="99"/>
    <w:semiHidden/>
    <w:unhideWhenUsed/>
    <w:rsid w:val="008811D9"/>
    <w:rPr>
      <w:b/>
      <w:bCs/>
      <w:sz w:val="20"/>
      <w:szCs w:val="20"/>
    </w:rPr>
  </w:style>
  <w:style w:type="character" w:customStyle="1" w:styleId="CommentSubjectChar">
    <w:name w:val="Comment Subject Char"/>
    <w:basedOn w:val="CommentTextChar"/>
    <w:link w:val="CommentSubject"/>
    <w:uiPriority w:val="99"/>
    <w:semiHidden/>
    <w:rsid w:val="008811D9"/>
    <w:rPr>
      <w:b/>
      <w:bCs/>
      <w:sz w:val="24"/>
      <w:szCs w:val="24"/>
      <w:lang w:eastAsia="en-US"/>
    </w:rPr>
  </w:style>
  <w:style w:type="character" w:styleId="PageNumber">
    <w:name w:val="page number"/>
    <w:basedOn w:val="DefaultParagraphFont"/>
    <w:uiPriority w:val="99"/>
    <w:semiHidden/>
    <w:unhideWhenUsed/>
    <w:rsid w:val="008616F5"/>
  </w:style>
  <w:style w:type="paragraph" w:styleId="z-TopofForm">
    <w:name w:val="HTML Top of Form"/>
    <w:basedOn w:val="Normal"/>
    <w:link w:val="z-TopofFormChar"/>
    <w:rsid w:val="00597DD2"/>
    <w:rPr>
      <w:szCs w:val="20"/>
      <w:lang w:val="en-US"/>
    </w:rPr>
  </w:style>
  <w:style w:type="character" w:customStyle="1" w:styleId="z-TopofFormChar">
    <w:name w:val="z-Top of Form Char"/>
    <w:basedOn w:val="DefaultParagraphFont"/>
    <w:link w:val="z-TopofForm"/>
    <w:rsid w:val="00597DD2"/>
    <w:rPr>
      <w:sz w:val="24"/>
      <w:lang w:val="en-US" w:eastAsia="en-US"/>
    </w:rPr>
  </w:style>
  <w:style w:type="character" w:customStyle="1" w:styleId="latn">
    <w:name w:val="latn"/>
    <w:basedOn w:val="DefaultParagraphFont"/>
    <w:rsid w:val="00753223"/>
  </w:style>
  <w:style w:type="character" w:styleId="Emphasis">
    <w:name w:val="Emphasis"/>
    <w:basedOn w:val="DefaultParagraphFont"/>
    <w:uiPriority w:val="20"/>
    <w:qFormat/>
    <w:rsid w:val="00753223"/>
    <w:rPr>
      <w:i/>
      <w:iCs/>
    </w:rPr>
  </w:style>
  <w:style w:type="character" w:styleId="Hyperlink">
    <w:name w:val="Hyperlink"/>
    <w:basedOn w:val="DefaultParagraphFont"/>
    <w:uiPriority w:val="99"/>
    <w:unhideWhenUsed/>
    <w:rsid w:val="00753223"/>
    <w:rPr>
      <w:color w:val="0000FF" w:themeColor="hyperlink"/>
      <w:u w:val="single"/>
    </w:rPr>
  </w:style>
  <w:style w:type="paragraph" w:styleId="Revision">
    <w:name w:val="Revision"/>
    <w:hidden/>
    <w:uiPriority w:val="99"/>
    <w:semiHidden/>
    <w:rsid w:val="007A1D92"/>
    <w:rPr>
      <w:sz w:val="24"/>
      <w:szCs w:val="24"/>
      <w:lang w:eastAsia="en-US"/>
    </w:rPr>
  </w:style>
  <w:style w:type="paragraph" w:customStyle="1" w:styleId="REF">
    <w:name w:val="REF"/>
    <w:basedOn w:val="Normal"/>
    <w:rsid w:val="003B6531"/>
    <w:pPr>
      <w:spacing w:line="220" w:lineRule="exact"/>
      <w:ind w:left="240" w:hanging="240"/>
      <w:jc w:val="both"/>
    </w:pPr>
    <w:rPr>
      <w:rFonts w:eastAsia="Calibri"/>
      <w:sz w:val="18"/>
      <w:szCs w:val="20"/>
      <w:lang w:val="en-US"/>
    </w:rPr>
  </w:style>
  <w:style w:type="character" w:styleId="FollowedHyperlink">
    <w:name w:val="FollowedHyperlink"/>
    <w:basedOn w:val="DefaultParagraphFont"/>
    <w:uiPriority w:val="99"/>
    <w:semiHidden/>
    <w:unhideWhenUsed/>
    <w:rsid w:val="003B653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4661"/>
    <w:rPr>
      <w:b/>
      <w:bCs/>
    </w:rPr>
  </w:style>
  <w:style w:type="paragraph" w:styleId="ListParagraph">
    <w:name w:val="List Paragraph"/>
    <w:basedOn w:val="Normal"/>
    <w:uiPriority w:val="34"/>
    <w:qFormat/>
    <w:rsid w:val="008B4661"/>
    <w:pPr>
      <w:ind w:left="720"/>
      <w:contextualSpacing/>
    </w:pPr>
    <w:rPr>
      <w:rFonts w:ascii="CG Times (W1)" w:hAnsi="CG Times (W1)"/>
      <w:szCs w:val="20"/>
    </w:rPr>
  </w:style>
  <w:style w:type="paragraph" w:styleId="FootnoteText">
    <w:name w:val="footnote text"/>
    <w:basedOn w:val="Normal"/>
    <w:link w:val="FootnoteTextChar"/>
    <w:uiPriority w:val="99"/>
    <w:unhideWhenUsed/>
    <w:rsid w:val="00A93E08"/>
    <w:rPr>
      <w:sz w:val="20"/>
      <w:szCs w:val="20"/>
    </w:rPr>
  </w:style>
  <w:style w:type="character" w:customStyle="1" w:styleId="FootnoteTextChar">
    <w:name w:val="Footnote Text Char"/>
    <w:basedOn w:val="DefaultParagraphFont"/>
    <w:link w:val="FootnoteText"/>
    <w:uiPriority w:val="99"/>
    <w:rsid w:val="00A93E08"/>
    <w:rPr>
      <w:lang w:eastAsia="en-US"/>
    </w:rPr>
  </w:style>
  <w:style w:type="character" w:styleId="FootnoteReference">
    <w:name w:val="footnote reference"/>
    <w:basedOn w:val="DefaultParagraphFont"/>
    <w:uiPriority w:val="99"/>
    <w:unhideWhenUsed/>
    <w:rsid w:val="00A93E08"/>
    <w:rPr>
      <w:vertAlign w:val="superscript"/>
    </w:rPr>
  </w:style>
  <w:style w:type="paragraph" w:styleId="Header">
    <w:name w:val="header"/>
    <w:basedOn w:val="Normal"/>
    <w:link w:val="HeaderChar"/>
    <w:uiPriority w:val="99"/>
    <w:unhideWhenUsed/>
    <w:rsid w:val="007053F9"/>
    <w:pPr>
      <w:tabs>
        <w:tab w:val="center" w:pos="4680"/>
        <w:tab w:val="right" w:pos="9360"/>
      </w:tabs>
    </w:pPr>
  </w:style>
  <w:style w:type="character" w:customStyle="1" w:styleId="HeaderChar">
    <w:name w:val="Header Char"/>
    <w:basedOn w:val="DefaultParagraphFont"/>
    <w:link w:val="Header"/>
    <w:uiPriority w:val="99"/>
    <w:rsid w:val="007053F9"/>
    <w:rPr>
      <w:sz w:val="24"/>
      <w:szCs w:val="24"/>
      <w:lang w:eastAsia="en-US"/>
    </w:rPr>
  </w:style>
  <w:style w:type="paragraph" w:styleId="Footer">
    <w:name w:val="footer"/>
    <w:basedOn w:val="Normal"/>
    <w:link w:val="FooterChar"/>
    <w:uiPriority w:val="99"/>
    <w:unhideWhenUsed/>
    <w:rsid w:val="007053F9"/>
    <w:pPr>
      <w:tabs>
        <w:tab w:val="center" w:pos="4680"/>
        <w:tab w:val="right" w:pos="9360"/>
      </w:tabs>
    </w:pPr>
  </w:style>
  <w:style w:type="character" w:customStyle="1" w:styleId="FooterChar">
    <w:name w:val="Footer Char"/>
    <w:basedOn w:val="DefaultParagraphFont"/>
    <w:link w:val="Footer"/>
    <w:uiPriority w:val="99"/>
    <w:rsid w:val="007053F9"/>
    <w:rPr>
      <w:sz w:val="24"/>
      <w:szCs w:val="24"/>
      <w:lang w:eastAsia="en-US"/>
    </w:rPr>
  </w:style>
  <w:style w:type="paragraph" w:styleId="BalloonText">
    <w:name w:val="Balloon Text"/>
    <w:basedOn w:val="Normal"/>
    <w:link w:val="BalloonTextChar"/>
    <w:uiPriority w:val="99"/>
    <w:semiHidden/>
    <w:unhideWhenUsed/>
    <w:rsid w:val="003B4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10D"/>
    <w:rPr>
      <w:rFonts w:ascii="Lucida Grande" w:hAnsi="Lucida Grande" w:cs="Lucida Grande"/>
      <w:sz w:val="18"/>
      <w:szCs w:val="18"/>
      <w:lang w:eastAsia="en-US"/>
    </w:rPr>
  </w:style>
  <w:style w:type="paragraph" w:styleId="NormalWeb">
    <w:name w:val="Normal (Web)"/>
    <w:basedOn w:val="Normal"/>
    <w:uiPriority w:val="99"/>
    <w:unhideWhenUsed/>
    <w:rsid w:val="00E92BC9"/>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8811D9"/>
    <w:rPr>
      <w:sz w:val="18"/>
      <w:szCs w:val="18"/>
    </w:rPr>
  </w:style>
  <w:style w:type="paragraph" w:styleId="CommentText">
    <w:name w:val="annotation text"/>
    <w:basedOn w:val="Normal"/>
    <w:link w:val="CommentTextChar"/>
    <w:uiPriority w:val="99"/>
    <w:semiHidden/>
    <w:unhideWhenUsed/>
    <w:rsid w:val="008811D9"/>
  </w:style>
  <w:style w:type="character" w:customStyle="1" w:styleId="CommentTextChar">
    <w:name w:val="Comment Text Char"/>
    <w:basedOn w:val="DefaultParagraphFont"/>
    <w:link w:val="CommentText"/>
    <w:uiPriority w:val="99"/>
    <w:semiHidden/>
    <w:rsid w:val="008811D9"/>
    <w:rPr>
      <w:sz w:val="24"/>
      <w:szCs w:val="24"/>
      <w:lang w:eastAsia="en-US"/>
    </w:rPr>
  </w:style>
  <w:style w:type="paragraph" w:styleId="CommentSubject">
    <w:name w:val="annotation subject"/>
    <w:basedOn w:val="CommentText"/>
    <w:next w:val="CommentText"/>
    <w:link w:val="CommentSubjectChar"/>
    <w:uiPriority w:val="99"/>
    <w:semiHidden/>
    <w:unhideWhenUsed/>
    <w:rsid w:val="008811D9"/>
    <w:rPr>
      <w:b/>
      <w:bCs/>
      <w:sz w:val="20"/>
      <w:szCs w:val="20"/>
    </w:rPr>
  </w:style>
  <w:style w:type="character" w:customStyle="1" w:styleId="CommentSubjectChar">
    <w:name w:val="Comment Subject Char"/>
    <w:basedOn w:val="CommentTextChar"/>
    <w:link w:val="CommentSubject"/>
    <w:uiPriority w:val="99"/>
    <w:semiHidden/>
    <w:rsid w:val="008811D9"/>
    <w:rPr>
      <w:b/>
      <w:bCs/>
      <w:sz w:val="24"/>
      <w:szCs w:val="24"/>
      <w:lang w:eastAsia="en-US"/>
    </w:rPr>
  </w:style>
  <w:style w:type="character" w:styleId="PageNumber">
    <w:name w:val="page number"/>
    <w:basedOn w:val="DefaultParagraphFont"/>
    <w:uiPriority w:val="99"/>
    <w:semiHidden/>
    <w:unhideWhenUsed/>
    <w:rsid w:val="008616F5"/>
  </w:style>
  <w:style w:type="paragraph" w:styleId="z-TopofForm">
    <w:name w:val="HTML Top of Form"/>
    <w:basedOn w:val="Normal"/>
    <w:link w:val="z-TopofFormChar"/>
    <w:rsid w:val="00597DD2"/>
    <w:rPr>
      <w:szCs w:val="20"/>
      <w:lang w:val="en-US"/>
    </w:rPr>
  </w:style>
  <w:style w:type="character" w:customStyle="1" w:styleId="z-TopofFormChar">
    <w:name w:val="z-Top of Form Char"/>
    <w:basedOn w:val="DefaultParagraphFont"/>
    <w:link w:val="z-TopofForm"/>
    <w:rsid w:val="00597DD2"/>
    <w:rPr>
      <w:sz w:val="24"/>
      <w:lang w:val="en-US" w:eastAsia="en-US"/>
    </w:rPr>
  </w:style>
  <w:style w:type="character" w:customStyle="1" w:styleId="latn">
    <w:name w:val="latn"/>
    <w:basedOn w:val="DefaultParagraphFont"/>
    <w:rsid w:val="00753223"/>
  </w:style>
  <w:style w:type="character" w:styleId="Emphasis">
    <w:name w:val="Emphasis"/>
    <w:basedOn w:val="DefaultParagraphFont"/>
    <w:uiPriority w:val="20"/>
    <w:qFormat/>
    <w:rsid w:val="00753223"/>
    <w:rPr>
      <w:i/>
      <w:iCs/>
    </w:rPr>
  </w:style>
  <w:style w:type="character" w:styleId="Hyperlink">
    <w:name w:val="Hyperlink"/>
    <w:basedOn w:val="DefaultParagraphFont"/>
    <w:uiPriority w:val="99"/>
    <w:unhideWhenUsed/>
    <w:rsid w:val="00753223"/>
    <w:rPr>
      <w:color w:val="0000FF" w:themeColor="hyperlink"/>
      <w:u w:val="single"/>
    </w:rPr>
  </w:style>
  <w:style w:type="paragraph" w:styleId="Revision">
    <w:name w:val="Revision"/>
    <w:hidden/>
    <w:uiPriority w:val="99"/>
    <w:semiHidden/>
    <w:rsid w:val="007A1D92"/>
    <w:rPr>
      <w:sz w:val="24"/>
      <w:szCs w:val="24"/>
      <w:lang w:eastAsia="en-US"/>
    </w:rPr>
  </w:style>
  <w:style w:type="paragraph" w:customStyle="1" w:styleId="REF">
    <w:name w:val="REF"/>
    <w:basedOn w:val="Normal"/>
    <w:rsid w:val="003B6531"/>
    <w:pPr>
      <w:spacing w:line="220" w:lineRule="exact"/>
      <w:ind w:left="240" w:hanging="240"/>
      <w:jc w:val="both"/>
    </w:pPr>
    <w:rPr>
      <w:rFonts w:eastAsia="Calibri"/>
      <w:sz w:val="18"/>
      <w:szCs w:val="20"/>
      <w:lang w:val="en-US"/>
    </w:rPr>
  </w:style>
  <w:style w:type="character" w:styleId="FollowedHyperlink">
    <w:name w:val="FollowedHyperlink"/>
    <w:basedOn w:val="DefaultParagraphFont"/>
    <w:uiPriority w:val="99"/>
    <w:semiHidden/>
    <w:unhideWhenUsed/>
    <w:rsid w:val="003B65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00245">
      <w:bodyDiv w:val="1"/>
      <w:marLeft w:val="0"/>
      <w:marRight w:val="0"/>
      <w:marTop w:val="0"/>
      <w:marBottom w:val="0"/>
      <w:divBdr>
        <w:top w:val="none" w:sz="0" w:space="0" w:color="auto"/>
        <w:left w:val="none" w:sz="0" w:space="0" w:color="auto"/>
        <w:bottom w:val="none" w:sz="0" w:space="0" w:color="auto"/>
        <w:right w:val="none" w:sz="0" w:space="0" w:color="auto"/>
      </w:divBdr>
      <w:divsChild>
        <w:div w:id="1671060782">
          <w:marLeft w:val="0"/>
          <w:marRight w:val="0"/>
          <w:marTop w:val="0"/>
          <w:marBottom w:val="0"/>
          <w:divBdr>
            <w:top w:val="none" w:sz="0" w:space="0" w:color="auto"/>
            <w:left w:val="none" w:sz="0" w:space="0" w:color="auto"/>
            <w:bottom w:val="none" w:sz="0" w:space="0" w:color="auto"/>
            <w:right w:val="none" w:sz="0" w:space="0" w:color="auto"/>
          </w:divBdr>
          <w:divsChild>
            <w:div w:id="181407904">
              <w:marLeft w:val="0"/>
              <w:marRight w:val="0"/>
              <w:marTop w:val="0"/>
              <w:marBottom w:val="0"/>
              <w:divBdr>
                <w:top w:val="none" w:sz="0" w:space="0" w:color="auto"/>
                <w:left w:val="none" w:sz="0" w:space="0" w:color="auto"/>
                <w:bottom w:val="none" w:sz="0" w:space="0" w:color="auto"/>
                <w:right w:val="none" w:sz="0" w:space="0" w:color="auto"/>
              </w:divBdr>
              <w:divsChild>
                <w:div w:id="19743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347">
      <w:bodyDiv w:val="1"/>
      <w:marLeft w:val="0"/>
      <w:marRight w:val="0"/>
      <w:marTop w:val="0"/>
      <w:marBottom w:val="0"/>
      <w:divBdr>
        <w:top w:val="none" w:sz="0" w:space="0" w:color="auto"/>
        <w:left w:val="none" w:sz="0" w:space="0" w:color="auto"/>
        <w:bottom w:val="none" w:sz="0" w:space="0" w:color="auto"/>
        <w:right w:val="none" w:sz="0" w:space="0" w:color="auto"/>
      </w:divBdr>
    </w:div>
    <w:div w:id="21376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trin.Hohl.1@city.ac.uk" TargetMode="External"/><Relationship Id="rId20" Type="http://schemas.openxmlformats.org/officeDocument/2006/relationships/theme" Target="theme/theme1.xml"/><Relationship Id="rId10" Type="http://schemas.openxmlformats.org/officeDocument/2006/relationships/hyperlink" Target="https://www.gov.uk/government/uploads/system/uploads/attachment_data/file/299319/count-sexual-april-2014.pdf" TargetMode="External"/><Relationship Id="rId11" Type="http://schemas.openxmlformats.org/officeDocument/2006/relationships/hyperlink" Target="http://www.ons.gov.uk/ons/rel/crime-stats/crime-statistics/focus-on-violent-crime-and-sexual-offences--2013-14/index.html" TargetMode="External"/><Relationship Id="rId12" Type="http://schemas.openxmlformats.org/officeDocument/2006/relationships/image" Target="media/image1.jpg"/><Relationship Id="rId13" Type="http://schemas.openxmlformats.org/officeDocument/2006/relationships/image" Target="media/image2.emf"/><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3.emf"/><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D3FEA-03A7-034A-9396-B2624E19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8188</Words>
  <Characters>46674</Characters>
  <Application>Microsoft Macintosh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Hohl</dc:creator>
  <cp:lastModifiedBy>Katrin Hohl</cp:lastModifiedBy>
  <cp:revision>2</cp:revision>
  <cp:lastPrinted>2015-07-23T16:18:00Z</cp:lastPrinted>
  <dcterms:created xsi:type="dcterms:W3CDTF">2016-09-20T06:29:00Z</dcterms:created>
  <dcterms:modified xsi:type="dcterms:W3CDTF">2016-09-20T06:29:00Z</dcterms:modified>
</cp:coreProperties>
</file>