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AA66" w14:textId="77777777" w:rsidR="0063764D" w:rsidRPr="0063764D" w:rsidRDefault="0063764D" w:rsidP="0063764D">
      <w:pPr>
        <w:pStyle w:val="Bodystyle"/>
        <w:rPr>
          <w:rFonts w:ascii="Arial" w:hAnsi="Arial" w:cs="Arial"/>
        </w:rPr>
      </w:pPr>
      <w:r w:rsidRPr="0063764D">
        <w:rPr>
          <w:rFonts w:ascii="Arial" w:hAnsi="Arial" w:cs="Arial"/>
        </w:rPr>
        <w:t>Comparison between subjective fluorescein breakup time and automated tear breakup time measurements using the E300 corneal topographer</w:t>
      </w:r>
    </w:p>
    <w:p w14:paraId="183413A1" w14:textId="77777777" w:rsidR="00A27024" w:rsidRPr="0063764D" w:rsidRDefault="00A27024" w:rsidP="00A27024">
      <w:pPr>
        <w:pStyle w:val="Bodystyle"/>
        <w:rPr>
          <w:rFonts w:ascii="Arial" w:hAnsi="Arial" w:cs="Arial"/>
          <w:b w:val="0"/>
          <w:sz w:val="22"/>
        </w:rPr>
      </w:pPr>
    </w:p>
    <w:p w14:paraId="20E1C8AE" w14:textId="1421D169" w:rsidR="00A27024" w:rsidRPr="0063764D" w:rsidRDefault="004A1CC4" w:rsidP="00A27024">
      <w:pPr>
        <w:pStyle w:val="Bodystyle"/>
        <w:rPr>
          <w:rFonts w:ascii="Arial" w:hAnsi="Arial" w:cs="Arial"/>
          <w:sz w:val="22"/>
        </w:rPr>
      </w:pPr>
      <w:r w:rsidRPr="0063764D">
        <w:rPr>
          <w:rFonts w:ascii="Arial" w:hAnsi="Arial" w:cs="Arial"/>
          <w:sz w:val="22"/>
        </w:rPr>
        <w:t>B. Huntjens</w:t>
      </w:r>
      <w:r w:rsidRPr="0063764D">
        <w:rPr>
          <w:rFonts w:ascii="Arial" w:hAnsi="Arial" w:cs="Arial"/>
          <w:sz w:val="22"/>
          <w:vertAlign w:val="superscript"/>
        </w:rPr>
        <w:t>1</w:t>
      </w:r>
      <w:r w:rsidRPr="0063764D">
        <w:rPr>
          <w:rFonts w:ascii="Arial" w:hAnsi="Arial" w:cs="Arial"/>
          <w:sz w:val="22"/>
        </w:rPr>
        <w:t xml:space="preserve">, </w:t>
      </w:r>
      <w:r w:rsidR="00A27024" w:rsidRPr="0063764D">
        <w:rPr>
          <w:rFonts w:ascii="Arial" w:hAnsi="Arial" w:cs="Arial"/>
          <w:sz w:val="22"/>
        </w:rPr>
        <w:t>J.A. Mulder</w:t>
      </w:r>
      <w:r w:rsidR="00A27024" w:rsidRPr="0063764D">
        <w:rPr>
          <w:rFonts w:ascii="Arial" w:hAnsi="Arial" w:cs="Arial"/>
          <w:sz w:val="22"/>
          <w:vertAlign w:val="superscript"/>
        </w:rPr>
        <w:t>1,2</w:t>
      </w:r>
      <w:r w:rsidR="00A27024" w:rsidRPr="0063764D">
        <w:rPr>
          <w:rFonts w:ascii="Arial" w:hAnsi="Arial" w:cs="Arial"/>
          <w:sz w:val="22"/>
        </w:rPr>
        <w:t>, M.M. van Tilborg</w:t>
      </w:r>
      <w:r w:rsidR="00A27024" w:rsidRPr="0063764D">
        <w:rPr>
          <w:rFonts w:ascii="Arial" w:hAnsi="Arial" w:cs="Arial"/>
          <w:sz w:val="22"/>
          <w:vertAlign w:val="superscript"/>
        </w:rPr>
        <w:t>2</w:t>
      </w:r>
      <w:r w:rsidR="00A27024" w:rsidRPr="0063764D">
        <w:rPr>
          <w:rFonts w:ascii="Arial" w:hAnsi="Arial" w:cs="Arial"/>
          <w:sz w:val="22"/>
        </w:rPr>
        <w:t xml:space="preserve"> </w:t>
      </w:r>
    </w:p>
    <w:p w14:paraId="10DC6FBD" w14:textId="77777777" w:rsidR="00A27024" w:rsidRPr="0063764D" w:rsidRDefault="00A27024" w:rsidP="00A27024">
      <w:pPr>
        <w:pStyle w:val="Bodystyle"/>
        <w:rPr>
          <w:rFonts w:ascii="Arial" w:hAnsi="Arial" w:cs="Arial"/>
          <w:b w:val="0"/>
          <w:sz w:val="22"/>
        </w:rPr>
      </w:pPr>
      <w:r w:rsidRPr="0063764D">
        <w:rPr>
          <w:rFonts w:ascii="Arial" w:hAnsi="Arial" w:cs="Arial"/>
          <w:b w:val="0"/>
          <w:sz w:val="22"/>
        </w:rPr>
        <w:t>1. Centre of Applied Vision Research, City, University of London, Northampton Square, London, EC1V 0HB, United Kingdom</w:t>
      </w:r>
    </w:p>
    <w:p w14:paraId="73B765CC" w14:textId="77777777" w:rsidR="00A27024" w:rsidRPr="0063764D" w:rsidRDefault="00A27024" w:rsidP="00A27024">
      <w:pPr>
        <w:pStyle w:val="Bodystyle"/>
        <w:rPr>
          <w:rFonts w:ascii="Arial" w:hAnsi="Arial" w:cs="Arial"/>
          <w:b w:val="0"/>
          <w:sz w:val="22"/>
        </w:rPr>
      </w:pPr>
      <w:r w:rsidRPr="0063764D">
        <w:rPr>
          <w:rFonts w:ascii="Arial" w:hAnsi="Arial" w:cs="Arial"/>
          <w:b w:val="0"/>
          <w:sz w:val="22"/>
        </w:rPr>
        <w:t>2. University of Applied Sciences Utrecht, Postbus 12011, 3508 AA Utrecht, The Netherlands</w:t>
      </w:r>
    </w:p>
    <w:p w14:paraId="5DC92F87" w14:textId="77777777" w:rsidR="00A27024" w:rsidRPr="0063764D" w:rsidRDefault="00A27024" w:rsidP="00A27024">
      <w:pPr>
        <w:pStyle w:val="Bodystyle"/>
        <w:rPr>
          <w:rFonts w:ascii="Arial" w:hAnsi="Arial" w:cs="Arial"/>
          <w:b w:val="0"/>
          <w:sz w:val="22"/>
        </w:rPr>
      </w:pPr>
      <w:bookmarkStart w:id="0" w:name="_GoBack"/>
      <w:bookmarkEnd w:id="0"/>
    </w:p>
    <w:p w14:paraId="77FBF20C" w14:textId="77777777" w:rsidR="00B75E52" w:rsidRPr="0063764D" w:rsidRDefault="00B75E52" w:rsidP="00A27024">
      <w:pPr>
        <w:pStyle w:val="Bodystyle"/>
        <w:rPr>
          <w:rFonts w:ascii="Arial" w:hAnsi="Arial" w:cs="Arial"/>
        </w:rPr>
      </w:pPr>
    </w:p>
    <w:p w14:paraId="1FA2236D" w14:textId="77777777" w:rsidR="00A27024" w:rsidRPr="0063764D" w:rsidRDefault="00A27024" w:rsidP="00A27024">
      <w:pPr>
        <w:pStyle w:val="Bodystyle"/>
        <w:rPr>
          <w:rFonts w:ascii="Arial" w:hAnsi="Arial" w:cs="Arial"/>
          <w:sz w:val="22"/>
        </w:rPr>
      </w:pPr>
      <w:r w:rsidRPr="0063764D">
        <w:rPr>
          <w:rFonts w:ascii="Arial" w:hAnsi="Arial" w:cs="Arial"/>
          <w:sz w:val="22"/>
        </w:rPr>
        <w:t>Purpose</w:t>
      </w:r>
    </w:p>
    <w:p w14:paraId="39DF2516" w14:textId="68F7EE2B" w:rsidR="00DF0933" w:rsidRPr="0063764D" w:rsidRDefault="00A35995" w:rsidP="00A27024">
      <w:pPr>
        <w:pStyle w:val="Bodystyle"/>
        <w:rPr>
          <w:rFonts w:ascii="Arial" w:hAnsi="Arial" w:cs="Arial"/>
          <w:b w:val="0"/>
          <w:sz w:val="22"/>
        </w:rPr>
      </w:pPr>
      <w:r w:rsidRPr="0063764D">
        <w:rPr>
          <w:rFonts w:ascii="Arial" w:hAnsi="Arial" w:cs="Arial"/>
          <w:b w:val="0"/>
          <w:sz w:val="22"/>
        </w:rPr>
        <w:t>Comparison of</w:t>
      </w:r>
      <w:r w:rsidR="001457B6" w:rsidRPr="0063764D">
        <w:rPr>
          <w:rFonts w:ascii="Arial" w:hAnsi="Arial" w:cs="Arial"/>
          <w:b w:val="0"/>
          <w:sz w:val="22"/>
        </w:rPr>
        <w:t xml:space="preserve"> </w:t>
      </w:r>
      <w:r w:rsidR="00D45D1D" w:rsidRPr="0063764D">
        <w:rPr>
          <w:rFonts w:ascii="Arial" w:hAnsi="Arial" w:cs="Arial"/>
          <w:b w:val="0"/>
          <w:sz w:val="22"/>
        </w:rPr>
        <w:t>invasive</w:t>
      </w:r>
      <w:r w:rsidR="00F0559B" w:rsidRPr="0063764D">
        <w:rPr>
          <w:rFonts w:ascii="Arial" w:hAnsi="Arial" w:cs="Arial"/>
          <w:b w:val="0"/>
          <w:sz w:val="22"/>
        </w:rPr>
        <w:t xml:space="preserve"> </w:t>
      </w:r>
      <w:r w:rsidR="00D45D1D" w:rsidRPr="0063764D">
        <w:rPr>
          <w:rFonts w:ascii="Arial" w:hAnsi="Arial" w:cs="Arial"/>
          <w:b w:val="0"/>
          <w:sz w:val="22"/>
        </w:rPr>
        <w:t>fluorescein</w:t>
      </w:r>
      <w:r w:rsidR="00F0559B" w:rsidRPr="0063764D">
        <w:rPr>
          <w:rFonts w:ascii="Arial" w:hAnsi="Arial" w:cs="Arial"/>
          <w:b w:val="0"/>
          <w:sz w:val="22"/>
        </w:rPr>
        <w:t xml:space="preserve"> tear </w:t>
      </w:r>
      <w:r w:rsidR="002027E5" w:rsidRPr="0063764D">
        <w:rPr>
          <w:rFonts w:ascii="Arial" w:hAnsi="Arial" w:cs="Arial"/>
          <w:b w:val="0"/>
          <w:sz w:val="22"/>
        </w:rPr>
        <w:t xml:space="preserve">film </w:t>
      </w:r>
      <w:r w:rsidR="00F0559B" w:rsidRPr="0063764D">
        <w:rPr>
          <w:rFonts w:ascii="Arial" w:hAnsi="Arial" w:cs="Arial"/>
          <w:b w:val="0"/>
          <w:sz w:val="22"/>
        </w:rPr>
        <w:t xml:space="preserve">breakup time </w:t>
      </w:r>
      <w:r w:rsidR="00D45D1D" w:rsidRPr="0063764D">
        <w:rPr>
          <w:rFonts w:ascii="Arial" w:hAnsi="Arial" w:cs="Arial"/>
          <w:b w:val="0"/>
          <w:sz w:val="22"/>
        </w:rPr>
        <w:t xml:space="preserve">(FBUT) </w:t>
      </w:r>
      <w:r w:rsidR="00F0559B" w:rsidRPr="0063764D">
        <w:rPr>
          <w:rFonts w:ascii="Arial" w:hAnsi="Arial" w:cs="Arial"/>
          <w:b w:val="0"/>
          <w:sz w:val="22"/>
        </w:rPr>
        <w:t xml:space="preserve">and </w:t>
      </w:r>
      <w:r w:rsidR="001457B6" w:rsidRPr="0063764D">
        <w:rPr>
          <w:rFonts w:ascii="Arial" w:hAnsi="Arial" w:cs="Arial"/>
          <w:b w:val="0"/>
          <w:sz w:val="22"/>
        </w:rPr>
        <w:t xml:space="preserve">the automated measurement of tear film stability known as Tear Film Surface Quality (TFSQ) breakup </w:t>
      </w:r>
      <w:r w:rsidR="00BF29A1" w:rsidRPr="0063764D">
        <w:rPr>
          <w:rFonts w:ascii="Arial" w:hAnsi="Arial" w:cs="Arial"/>
          <w:b w:val="0"/>
          <w:sz w:val="22"/>
        </w:rPr>
        <w:t>time using</w:t>
      </w:r>
      <w:r w:rsidR="001457B6" w:rsidRPr="0063764D">
        <w:rPr>
          <w:rFonts w:ascii="Arial" w:hAnsi="Arial" w:cs="Arial"/>
          <w:b w:val="0"/>
          <w:sz w:val="22"/>
        </w:rPr>
        <w:t xml:space="preserve"> </w:t>
      </w:r>
      <w:proofErr w:type="spellStart"/>
      <w:r w:rsidR="001457B6" w:rsidRPr="0063764D">
        <w:rPr>
          <w:rFonts w:ascii="Arial" w:hAnsi="Arial" w:cs="Arial"/>
          <w:b w:val="0"/>
          <w:sz w:val="22"/>
        </w:rPr>
        <w:t>placido</w:t>
      </w:r>
      <w:proofErr w:type="spellEnd"/>
      <w:r w:rsidR="001457B6" w:rsidRPr="0063764D">
        <w:rPr>
          <w:rFonts w:ascii="Arial" w:hAnsi="Arial" w:cs="Arial"/>
          <w:b w:val="0"/>
          <w:sz w:val="22"/>
        </w:rPr>
        <w:t xml:space="preserve"> disc </w:t>
      </w:r>
      <w:proofErr w:type="spellStart"/>
      <w:r w:rsidR="001457B6" w:rsidRPr="0063764D">
        <w:rPr>
          <w:rFonts w:ascii="Arial" w:hAnsi="Arial" w:cs="Arial"/>
          <w:b w:val="0"/>
          <w:sz w:val="22"/>
        </w:rPr>
        <w:t>videokeratography</w:t>
      </w:r>
      <w:proofErr w:type="spellEnd"/>
      <w:r w:rsidR="00521E98" w:rsidRPr="0063764D">
        <w:rPr>
          <w:rFonts w:ascii="Arial" w:hAnsi="Arial" w:cs="Arial"/>
          <w:b w:val="0"/>
          <w:sz w:val="22"/>
        </w:rPr>
        <w:t xml:space="preserve"> measured with and without fluorescein sodium (NaFl)</w:t>
      </w:r>
      <w:r w:rsidR="00DF0933" w:rsidRPr="0063764D">
        <w:rPr>
          <w:rFonts w:ascii="Arial" w:hAnsi="Arial" w:cs="Arial"/>
          <w:b w:val="0"/>
          <w:sz w:val="22"/>
        </w:rPr>
        <w:t>.</w:t>
      </w:r>
    </w:p>
    <w:p w14:paraId="6B27A9CC" w14:textId="52F76158" w:rsidR="00A27024" w:rsidRPr="0063764D" w:rsidRDefault="00A27024" w:rsidP="00A27024">
      <w:pPr>
        <w:pStyle w:val="Bodystyle"/>
        <w:rPr>
          <w:rFonts w:ascii="Arial" w:hAnsi="Arial" w:cs="Arial"/>
          <w:sz w:val="22"/>
        </w:rPr>
      </w:pPr>
      <w:r w:rsidRPr="0063764D">
        <w:rPr>
          <w:rFonts w:ascii="Arial" w:hAnsi="Arial" w:cs="Arial"/>
          <w:sz w:val="22"/>
        </w:rPr>
        <w:t>Method</w:t>
      </w:r>
    </w:p>
    <w:p w14:paraId="4EE5352F" w14:textId="3711EB9D" w:rsidR="003057B2" w:rsidRPr="0063764D" w:rsidRDefault="003057B2" w:rsidP="00426E6F">
      <w:pPr>
        <w:rPr>
          <w:rFonts w:ascii="Arial" w:hAnsi="Arial" w:cs="Arial"/>
          <w:b/>
          <w:sz w:val="22"/>
        </w:rPr>
      </w:pPr>
      <w:r w:rsidRPr="0063764D">
        <w:rPr>
          <w:rFonts w:ascii="Arial" w:hAnsi="Arial" w:cs="Arial"/>
          <w:sz w:val="22"/>
        </w:rPr>
        <w:t>In 57 eyes of 57 subjects (males n=23, females n=34), FBUT using a single dose of NaFl was measured three times and automated TSFQ breakup time was measured twice under two different conditions: non-invasively (without NaFl), and using a single dose NaFl, using the E300 corneal topographer (</w:t>
      </w:r>
      <w:proofErr w:type="spellStart"/>
      <w:r w:rsidRPr="0063764D">
        <w:rPr>
          <w:rFonts w:ascii="Arial" w:hAnsi="Arial" w:cs="Arial"/>
          <w:sz w:val="22"/>
        </w:rPr>
        <w:t>Medmont</w:t>
      </w:r>
      <w:proofErr w:type="spellEnd"/>
      <w:r w:rsidRPr="0063764D">
        <w:rPr>
          <w:rFonts w:ascii="Arial" w:hAnsi="Arial" w:cs="Arial"/>
          <w:sz w:val="22"/>
        </w:rPr>
        <w:t xml:space="preserve"> International Pty Ltd., Victoria, Australia). Mean age (± SD) was 35.1±15.2 years ranging from 19 to 65 years. There was no history of ocular diseases, contact lens wear, or previously diagnosed dry eye. Subjects were grouped by age (</w:t>
      </w:r>
      <w:r w:rsidR="00106F9E" w:rsidRPr="0063764D">
        <w:rPr>
          <w:rFonts w:ascii="Arial" w:hAnsi="Arial" w:cs="Arial"/>
          <w:sz w:val="22"/>
        </w:rPr>
        <w:t>&lt;40</w:t>
      </w:r>
      <w:r w:rsidRPr="0063764D">
        <w:rPr>
          <w:rFonts w:ascii="Arial" w:hAnsi="Arial" w:cs="Arial"/>
          <w:sz w:val="22"/>
        </w:rPr>
        <w:t xml:space="preserve"> years [n=34] versus </w:t>
      </w:r>
      <w:r w:rsidR="00106F9E" w:rsidRPr="0063764D">
        <w:rPr>
          <w:rFonts w:ascii="Arial" w:hAnsi="Arial" w:cs="Arial"/>
          <w:sz w:val="22"/>
        </w:rPr>
        <w:t>≥</w:t>
      </w:r>
      <w:r w:rsidRPr="0063764D">
        <w:rPr>
          <w:rFonts w:ascii="Arial" w:hAnsi="Arial" w:cs="Arial"/>
          <w:sz w:val="22"/>
        </w:rPr>
        <w:t>40 years [n=23])</w:t>
      </w:r>
      <w:r w:rsidRPr="0063764D">
        <w:rPr>
          <w:rFonts w:ascii="Arial" w:hAnsi="Arial" w:cs="Arial"/>
          <w:b/>
          <w:sz w:val="22"/>
        </w:rPr>
        <w:t xml:space="preserve"> </w:t>
      </w:r>
      <w:r w:rsidRPr="0063764D">
        <w:rPr>
          <w:rFonts w:ascii="Arial" w:hAnsi="Arial" w:cs="Arial"/>
          <w:sz w:val="22"/>
        </w:rPr>
        <w:t>and Ocular Surface Disease Index (OSDI) score (</w:t>
      </w:r>
      <w:r w:rsidR="00106F9E" w:rsidRPr="0063764D">
        <w:rPr>
          <w:rFonts w:ascii="Arial" w:hAnsi="Arial" w:cs="Arial"/>
          <w:sz w:val="22"/>
        </w:rPr>
        <w:t>≤12 ‘</w:t>
      </w:r>
      <w:r w:rsidR="00106F9E" w:rsidRPr="0063764D">
        <w:rPr>
          <w:rFonts w:ascii="Arial" w:hAnsi="Arial" w:cs="Arial"/>
          <w:i/>
          <w:sz w:val="22"/>
        </w:rPr>
        <w:t>normal</w:t>
      </w:r>
      <w:r w:rsidR="00106F9E" w:rsidRPr="0063764D">
        <w:rPr>
          <w:rFonts w:ascii="Arial" w:hAnsi="Arial" w:cs="Arial"/>
          <w:sz w:val="22"/>
        </w:rPr>
        <w:t>’ [n=36] versus &gt;12 [n=21]</w:t>
      </w:r>
      <w:r w:rsidRPr="0063764D">
        <w:rPr>
          <w:rFonts w:ascii="Arial" w:hAnsi="Arial" w:cs="Arial"/>
          <w:sz w:val="22"/>
        </w:rPr>
        <w:t>)</w:t>
      </w:r>
      <w:r w:rsidRPr="0063764D">
        <w:rPr>
          <w:rFonts w:ascii="Arial" w:hAnsi="Arial" w:cs="Arial"/>
          <w:b/>
          <w:sz w:val="22"/>
        </w:rPr>
        <w:t>.</w:t>
      </w:r>
    </w:p>
    <w:p w14:paraId="6EBBB543" w14:textId="1C66031F" w:rsidR="00A27024" w:rsidRPr="0063764D" w:rsidRDefault="00A27024" w:rsidP="00426E6F">
      <w:pPr>
        <w:rPr>
          <w:rFonts w:ascii="Arial" w:hAnsi="Arial" w:cs="Arial"/>
          <w:b/>
          <w:sz w:val="22"/>
        </w:rPr>
      </w:pPr>
      <w:r w:rsidRPr="0063764D">
        <w:rPr>
          <w:rFonts w:ascii="Arial" w:hAnsi="Arial" w:cs="Arial"/>
          <w:b/>
          <w:sz w:val="22"/>
        </w:rPr>
        <w:t xml:space="preserve">Results </w:t>
      </w:r>
    </w:p>
    <w:p w14:paraId="32F6073A" w14:textId="64FD4B10" w:rsidR="00DE6F8C" w:rsidRPr="0063764D" w:rsidRDefault="003057B2" w:rsidP="00426E6F">
      <w:pPr>
        <w:rPr>
          <w:rFonts w:ascii="Arial" w:hAnsi="Arial" w:cs="Arial"/>
          <w:b/>
          <w:sz w:val="22"/>
        </w:rPr>
      </w:pPr>
      <w:r w:rsidRPr="0063764D">
        <w:rPr>
          <w:rFonts w:ascii="Arial" w:hAnsi="Arial" w:cs="Arial"/>
          <w:sz w:val="22"/>
        </w:rPr>
        <w:t>There were no significant differences between the three consecutive measures of FBUT (p=0.62), two measures of TFSQ breakup time without NaFl (p=0.67) or with NaFl (p=0.96). There were strong significant correlations between TFSQ without and with NaFl (r=0.709, p&lt;0.0005) and moderate significant correlations between the FBUT and TFSQ breakup time without NaFl (r=0.583, p&lt;0.0005) and with NaFl (r=0.432, p=0.001). Average FBUT was significantly shorter (8.1 ± 6.9 sec) compared to TFSQ breakup time without NaFl (12.6 ± 12.9 sec) and with</w:t>
      </w:r>
      <w:r w:rsidR="00426E6F" w:rsidRPr="0063764D">
        <w:rPr>
          <w:rFonts w:ascii="Arial" w:hAnsi="Arial" w:cs="Arial"/>
          <w:sz w:val="22"/>
        </w:rPr>
        <w:t xml:space="preserve"> NaFl (13.6 ± 12.6 sec; p=0.002,</w:t>
      </w:r>
      <w:r w:rsidRPr="0063764D">
        <w:rPr>
          <w:rFonts w:ascii="Arial" w:hAnsi="Arial" w:cs="Arial"/>
          <w:sz w:val="22"/>
        </w:rPr>
        <w:t xml:space="preserve"> partially eta squared=0.21), irrespective of age group (p=0.36) or gender (p=0.60) or OSDI score (p=0.67)</w:t>
      </w:r>
      <w:r w:rsidRPr="0063764D">
        <w:rPr>
          <w:rFonts w:ascii="Arial" w:hAnsi="Arial" w:cs="Arial"/>
          <w:b/>
          <w:sz w:val="22"/>
        </w:rPr>
        <w:t>.</w:t>
      </w:r>
    </w:p>
    <w:p w14:paraId="6AC595DE" w14:textId="04610CE6" w:rsidR="00A27024" w:rsidRPr="0063764D" w:rsidRDefault="00A27024" w:rsidP="00426E6F">
      <w:pPr>
        <w:rPr>
          <w:rFonts w:ascii="Arial" w:hAnsi="Arial" w:cs="Arial"/>
          <w:b/>
          <w:sz w:val="22"/>
        </w:rPr>
      </w:pPr>
      <w:r w:rsidRPr="0063764D">
        <w:rPr>
          <w:rFonts w:ascii="Arial" w:hAnsi="Arial" w:cs="Arial"/>
          <w:b/>
          <w:sz w:val="22"/>
        </w:rPr>
        <w:t>Conclusion</w:t>
      </w:r>
    </w:p>
    <w:p w14:paraId="73CC112D" w14:textId="2057086C" w:rsidR="003057B2" w:rsidRPr="0063764D" w:rsidRDefault="003057B2" w:rsidP="00426E6F">
      <w:pPr>
        <w:rPr>
          <w:rFonts w:ascii="Arial" w:hAnsi="Arial" w:cs="Arial"/>
          <w:color w:val="000000"/>
          <w:sz w:val="22"/>
        </w:rPr>
      </w:pPr>
      <w:r w:rsidRPr="0063764D">
        <w:rPr>
          <w:rFonts w:ascii="Arial" w:hAnsi="Arial" w:cs="Arial"/>
          <w:color w:val="000000"/>
          <w:sz w:val="22"/>
        </w:rPr>
        <w:t xml:space="preserve">Automated TFSQ break up time measured with the </w:t>
      </w:r>
      <w:proofErr w:type="spellStart"/>
      <w:r w:rsidRPr="0063764D">
        <w:rPr>
          <w:rFonts w:ascii="Arial" w:hAnsi="Arial" w:cs="Arial"/>
          <w:color w:val="000000"/>
          <w:sz w:val="22"/>
        </w:rPr>
        <w:t>Medmont</w:t>
      </w:r>
      <w:proofErr w:type="spellEnd"/>
      <w:r w:rsidRPr="0063764D">
        <w:rPr>
          <w:rFonts w:ascii="Arial" w:hAnsi="Arial" w:cs="Arial"/>
          <w:color w:val="000000"/>
          <w:sz w:val="22"/>
        </w:rPr>
        <w:t xml:space="preserve"> E300 topographer is repeatable when measured with and without the addition of NaFl dye; however, the TFSQ break up time is overall significantly increased compared to subjective FBUT. Both measures of tear breakup time are therefore not interchangeable.</w:t>
      </w:r>
    </w:p>
    <w:p w14:paraId="40A01A5B" w14:textId="77777777" w:rsidR="003057B2" w:rsidRPr="0063764D" w:rsidRDefault="003057B2" w:rsidP="00F0559B">
      <w:pPr>
        <w:pStyle w:val="Bodystyle"/>
        <w:rPr>
          <w:rFonts w:ascii="Arial" w:hAnsi="Arial" w:cs="Arial"/>
          <w:b w:val="0"/>
          <w:sz w:val="22"/>
        </w:rPr>
      </w:pPr>
    </w:p>
    <w:sectPr w:rsidR="003057B2" w:rsidRPr="0063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24"/>
    <w:rsid w:val="00003057"/>
    <w:rsid w:val="0000520C"/>
    <w:rsid w:val="00076EF9"/>
    <w:rsid w:val="00106F9E"/>
    <w:rsid w:val="0010786A"/>
    <w:rsid w:val="001457B6"/>
    <w:rsid w:val="00193662"/>
    <w:rsid w:val="001A03EA"/>
    <w:rsid w:val="001B55DD"/>
    <w:rsid w:val="0020207E"/>
    <w:rsid w:val="002027E5"/>
    <w:rsid w:val="00283114"/>
    <w:rsid w:val="003057B2"/>
    <w:rsid w:val="00316946"/>
    <w:rsid w:val="003630B4"/>
    <w:rsid w:val="003B4747"/>
    <w:rsid w:val="00426E6F"/>
    <w:rsid w:val="004560B8"/>
    <w:rsid w:val="004A1CC4"/>
    <w:rsid w:val="00521E98"/>
    <w:rsid w:val="00545FA8"/>
    <w:rsid w:val="00592BDD"/>
    <w:rsid w:val="0063764D"/>
    <w:rsid w:val="006A28DF"/>
    <w:rsid w:val="006B5FD8"/>
    <w:rsid w:val="00744010"/>
    <w:rsid w:val="00773BE3"/>
    <w:rsid w:val="0078614B"/>
    <w:rsid w:val="00792B38"/>
    <w:rsid w:val="008B6034"/>
    <w:rsid w:val="00927609"/>
    <w:rsid w:val="009558C8"/>
    <w:rsid w:val="009F6743"/>
    <w:rsid w:val="00A27024"/>
    <w:rsid w:val="00A35995"/>
    <w:rsid w:val="00A64E74"/>
    <w:rsid w:val="00A96DC2"/>
    <w:rsid w:val="00B75E52"/>
    <w:rsid w:val="00BB5188"/>
    <w:rsid w:val="00BD477E"/>
    <w:rsid w:val="00BF29A1"/>
    <w:rsid w:val="00C647F0"/>
    <w:rsid w:val="00D264B6"/>
    <w:rsid w:val="00D41A50"/>
    <w:rsid w:val="00D45D1D"/>
    <w:rsid w:val="00D46649"/>
    <w:rsid w:val="00D7049A"/>
    <w:rsid w:val="00D74D4E"/>
    <w:rsid w:val="00D93C64"/>
    <w:rsid w:val="00DD2A7A"/>
    <w:rsid w:val="00DE6F8C"/>
    <w:rsid w:val="00DF0933"/>
    <w:rsid w:val="00E41D6D"/>
    <w:rsid w:val="00E91E84"/>
    <w:rsid w:val="00E97098"/>
    <w:rsid w:val="00EE1450"/>
    <w:rsid w:val="00F0559B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D6B7"/>
  <w15:chartTrackingRefBased/>
  <w15:docId w15:val="{9B044394-CE6C-490E-A475-9C6D625C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4B"/>
    <w:rPr>
      <w:rFonts w:ascii="Calibri Light" w:hAnsi="Calibri 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D74D4E"/>
    <w:rPr>
      <w:b/>
    </w:rPr>
  </w:style>
  <w:style w:type="paragraph" w:customStyle="1" w:styleId="NormalCL">
    <w:name w:val="Normal CL"/>
    <w:basedOn w:val="Normal"/>
    <w:qFormat/>
    <w:rsid w:val="0078614B"/>
  </w:style>
  <w:style w:type="paragraph" w:customStyle="1" w:styleId="Bodystyle">
    <w:name w:val="Body style"/>
    <w:basedOn w:val="Style1"/>
    <w:qFormat/>
    <w:rsid w:val="0078614B"/>
  </w:style>
  <w:style w:type="paragraph" w:customStyle="1" w:styleId="Default">
    <w:name w:val="Default"/>
    <w:rsid w:val="00A27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024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024"/>
    <w:rPr>
      <w:rFonts w:ascii="Calibri Light" w:hAnsi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Huntjens, Byki</dc:creator>
  <cp:keywords/>
  <dc:description/>
  <cp:lastModifiedBy>Huntjens, Byki</cp:lastModifiedBy>
  <cp:revision>14</cp:revision>
  <dcterms:created xsi:type="dcterms:W3CDTF">2017-12-07T15:05:00Z</dcterms:created>
  <dcterms:modified xsi:type="dcterms:W3CDTF">2019-08-29T16:18:00Z</dcterms:modified>
</cp:coreProperties>
</file>