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39" w:rsidRDefault="00085424" w:rsidP="00604C98">
      <w:pPr>
        <w:shd w:val="clear" w:color="auto" w:fill="FFFFFF"/>
        <w:spacing w:after="0" w:line="240" w:lineRule="auto"/>
        <w:rPr>
          <w:rFonts w:eastAsia="Times New Roman"/>
          <w:b/>
          <w:sz w:val="28"/>
          <w:szCs w:val="28"/>
        </w:rPr>
      </w:pPr>
      <w:bookmarkStart w:id="0" w:name="_GoBack"/>
      <w:bookmarkEnd w:id="0"/>
      <w:r>
        <w:rPr>
          <w:rFonts w:eastAsia="Times New Roman"/>
          <w:b/>
          <w:sz w:val="28"/>
          <w:szCs w:val="28"/>
        </w:rPr>
        <w:t>Declarative memory and structural language impairment in autis</w:t>
      </w:r>
      <w:r w:rsidR="007B4539">
        <w:rPr>
          <w:rFonts w:eastAsia="Times New Roman"/>
          <w:b/>
          <w:sz w:val="28"/>
          <w:szCs w:val="28"/>
        </w:rPr>
        <w:t>tic children and adolescents</w:t>
      </w:r>
    </w:p>
    <w:p w:rsidR="007B4539" w:rsidRDefault="007B4539" w:rsidP="00604C98">
      <w:pPr>
        <w:shd w:val="clear" w:color="auto" w:fill="FFFFFF"/>
        <w:spacing w:after="0" w:line="240" w:lineRule="auto"/>
        <w:rPr>
          <w:rFonts w:eastAsia="Times New Roman"/>
          <w:b/>
          <w:sz w:val="28"/>
          <w:szCs w:val="28"/>
        </w:rPr>
      </w:pPr>
    </w:p>
    <w:p w:rsidR="007B4539" w:rsidRDefault="007B4539" w:rsidP="00604C98">
      <w:pPr>
        <w:shd w:val="clear" w:color="auto" w:fill="FFFFFF"/>
        <w:spacing w:after="0" w:line="240" w:lineRule="auto"/>
        <w:rPr>
          <w:rFonts w:eastAsia="Times New Roman"/>
          <w:b/>
          <w:sz w:val="28"/>
          <w:szCs w:val="28"/>
        </w:rPr>
      </w:pPr>
    </w:p>
    <w:p w:rsidR="007B4539" w:rsidRPr="00085424" w:rsidRDefault="007B4539" w:rsidP="00604C98">
      <w:pPr>
        <w:shd w:val="clear" w:color="auto" w:fill="FFFFFF"/>
        <w:spacing w:after="0" w:line="240" w:lineRule="auto"/>
        <w:jc w:val="center"/>
        <w:rPr>
          <w:rFonts w:eastAsia="Times New Roman"/>
          <w:b/>
        </w:rPr>
      </w:pPr>
      <w:r>
        <w:rPr>
          <w:rFonts w:eastAsia="Times New Roman"/>
          <w:b/>
        </w:rPr>
        <w:t xml:space="preserve">Running title: </w:t>
      </w:r>
      <w:r w:rsidRPr="00085424">
        <w:rPr>
          <w:rFonts w:eastAsia="Times New Roman"/>
        </w:rPr>
        <w:t>Declarative memory and structural language impairment in a</w:t>
      </w:r>
      <w:r>
        <w:rPr>
          <w:rFonts w:eastAsia="Times New Roman"/>
        </w:rPr>
        <w:t>utism</w:t>
      </w:r>
    </w:p>
    <w:p w:rsidR="007B4539" w:rsidRDefault="007B4539" w:rsidP="00604C98">
      <w:pPr>
        <w:shd w:val="clear" w:color="auto" w:fill="FFFFFF"/>
        <w:spacing w:after="0" w:line="240" w:lineRule="auto"/>
        <w:rPr>
          <w:rFonts w:eastAsia="Times New Roman"/>
          <w:b/>
          <w:sz w:val="28"/>
          <w:szCs w:val="28"/>
        </w:rPr>
      </w:pPr>
    </w:p>
    <w:p w:rsidR="007B4539" w:rsidRPr="00085424" w:rsidRDefault="007B4539" w:rsidP="00604C98">
      <w:pPr>
        <w:shd w:val="clear" w:color="auto" w:fill="FFFFFF"/>
        <w:spacing w:after="0" w:line="240" w:lineRule="auto"/>
        <w:rPr>
          <w:rFonts w:eastAsia="Times New Roman"/>
          <w:b/>
          <w:sz w:val="28"/>
          <w:szCs w:val="28"/>
        </w:rPr>
      </w:pPr>
    </w:p>
    <w:p w:rsidR="00085424" w:rsidRDefault="007B4539" w:rsidP="00604C98">
      <w:pPr>
        <w:shd w:val="clear" w:color="auto" w:fill="FFFFFF"/>
        <w:spacing w:after="0" w:line="240" w:lineRule="auto"/>
        <w:rPr>
          <w:rFonts w:eastAsia="Times New Roman"/>
          <w:b/>
        </w:rPr>
      </w:pPr>
      <w:r>
        <w:rPr>
          <w:rFonts w:eastAsia="Times New Roman"/>
          <w:b/>
        </w:rPr>
        <w:t>Authors</w:t>
      </w:r>
    </w:p>
    <w:p w:rsidR="007B4539" w:rsidRDefault="007B4539" w:rsidP="00604C98">
      <w:pPr>
        <w:shd w:val="clear" w:color="auto" w:fill="FFFFFF"/>
        <w:spacing w:after="0" w:line="240" w:lineRule="auto"/>
        <w:rPr>
          <w:rFonts w:eastAsia="Times New Roman"/>
          <w:b/>
        </w:rPr>
      </w:pPr>
    </w:p>
    <w:p w:rsidR="00085424" w:rsidRPr="007B4539" w:rsidRDefault="00085424" w:rsidP="00604C98">
      <w:pPr>
        <w:shd w:val="clear" w:color="auto" w:fill="FFFFFF"/>
        <w:spacing w:after="0" w:line="240" w:lineRule="auto"/>
        <w:rPr>
          <w:rFonts w:eastAsia="Times New Roman"/>
          <w:vertAlign w:val="superscript"/>
        </w:rPr>
      </w:pPr>
      <w:r>
        <w:rPr>
          <w:rFonts w:eastAsia="Times New Roman"/>
        </w:rPr>
        <w:t>Sophie Anns</w:t>
      </w:r>
      <w:r w:rsidR="007B4539">
        <w:rPr>
          <w:rFonts w:eastAsia="Times New Roman"/>
          <w:vertAlign w:val="superscript"/>
        </w:rPr>
        <w:t>1</w:t>
      </w:r>
      <w:r>
        <w:rPr>
          <w:rFonts w:eastAsia="Times New Roman"/>
        </w:rPr>
        <w:t>, Sebastian B Gaigg</w:t>
      </w:r>
      <w:r w:rsidR="007B4539">
        <w:rPr>
          <w:rFonts w:eastAsia="Times New Roman"/>
          <w:vertAlign w:val="superscript"/>
        </w:rPr>
        <w:t>2</w:t>
      </w:r>
      <w:r>
        <w:rPr>
          <w:rFonts w:eastAsia="Times New Roman"/>
        </w:rPr>
        <w:t>, James A. Hampton</w:t>
      </w:r>
      <w:r w:rsidR="00CC254D">
        <w:rPr>
          <w:rFonts w:eastAsia="Times New Roman"/>
          <w:vertAlign w:val="superscript"/>
        </w:rPr>
        <w:t>3</w:t>
      </w:r>
      <w:r>
        <w:rPr>
          <w:rFonts w:eastAsia="Times New Roman"/>
        </w:rPr>
        <w:t>, Dermot M. Bowler</w:t>
      </w:r>
      <w:r w:rsidR="007B4539">
        <w:rPr>
          <w:rFonts w:eastAsia="Times New Roman"/>
          <w:vertAlign w:val="superscript"/>
        </w:rPr>
        <w:t>2</w:t>
      </w:r>
      <w:r>
        <w:rPr>
          <w:rFonts w:eastAsia="Times New Roman"/>
        </w:rPr>
        <w:t xml:space="preserve"> &amp; Jill Boucher</w:t>
      </w:r>
      <w:r w:rsidR="007B4539">
        <w:rPr>
          <w:rFonts w:eastAsia="Times New Roman"/>
          <w:vertAlign w:val="superscript"/>
        </w:rPr>
        <w:t>2</w:t>
      </w:r>
    </w:p>
    <w:p w:rsidR="00085424" w:rsidRDefault="00085424" w:rsidP="00604C98">
      <w:pPr>
        <w:shd w:val="clear" w:color="auto" w:fill="FFFFFF"/>
        <w:spacing w:after="0" w:line="240" w:lineRule="auto"/>
        <w:rPr>
          <w:rFonts w:eastAsia="Times New Roman"/>
        </w:rPr>
      </w:pPr>
    </w:p>
    <w:p w:rsidR="007B4539" w:rsidRDefault="007B4539" w:rsidP="00604C98">
      <w:pPr>
        <w:shd w:val="clear" w:color="auto" w:fill="FFFFFF"/>
        <w:spacing w:after="0" w:line="240" w:lineRule="auto"/>
        <w:rPr>
          <w:rFonts w:eastAsia="Times New Roman"/>
          <w:b/>
          <w:bCs/>
        </w:rPr>
      </w:pPr>
    </w:p>
    <w:p w:rsidR="0013179C" w:rsidRDefault="0013179C" w:rsidP="00604C98">
      <w:pPr>
        <w:shd w:val="clear" w:color="auto" w:fill="FFFFFF"/>
        <w:spacing w:after="0" w:line="240" w:lineRule="auto"/>
        <w:rPr>
          <w:rFonts w:eastAsia="Times New Roman"/>
          <w:b/>
          <w:bCs/>
        </w:rPr>
      </w:pPr>
    </w:p>
    <w:p w:rsidR="0013179C" w:rsidRDefault="0013179C" w:rsidP="00604C98">
      <w:pPr>
        <w:shd w:val="clear" w:color="auto" w:fill="FFFFFF"/>
        <w:spacing w:after="0" w:line="240" w:lineRule="auto"/>
        <w:rPr>
          <w:rFonts w:eastAsia="Times New Roman"/>
          <w:b/>
          <w:bCs/>
        </w:rPr>
      </w:pPr>
    </w:p>
    <w:p w:rsidR="0013179C" w:rsidRDefault="0013179C" w:rsidP="00604C98">
      <w:pPr>
        <w:shd w:val="clear" w:color="auto" w:fill="FFFFFF"/>
        <w:spacing w:after="0" w:line="240" w:lineRule="auto"/>
        <w:rPr>
          <w:rFonts w:eastAsia="Times New Roman"/>
          <w:b/>
          <w:bCs/>
        </w:rPr>
      </w:pPr>
    </w:p>
    <w:p w:rsidR="0013179C" w:rsidRDefault="0013179C" w:rsidP="00604C98">
      <w:pPr>
        <w:shd w:val="clear" w:color="auto" w:fill="FFFFFF"/>
        <w:spacing w:after="0" w:line="240" w:lineRule="auto"/>
        <w:rPr>
          <w:rFonts w:eastAsia="Times New Roman"/>
          <w:b/>
          <w:bCs/>
        </w:rPr>
      </w:pPr>
    </w:p>
    <w:p w:rsidR="0013179C" w:rsidRDefault="0013179C" w:rsidP="00604C98">
      <w:pPr>
        <w:shd w:val="clear" w:color="auto" w:fill="FFFFFF"/>
        <w:spacing w:after="0" w:line="240" w:lineRule="auto"/>
        <w:rPr>
          <w:rFonts w:eastAsia="Times New Roman"/>
          <w:b/>
          <w:bCs/>
        </w:rPr>
      </w:pPr>
    </w:p>
    <w:p w:rsidR="0013179C" w:rsidRDefault="0013179C" w:rsidP="00604C98">
      <w:pPr>
        <w:shd w:val="clear" w:color="auto" w:fill="FFFFFF"/>
        <w:spacing w:after="0" w:line="240" w:lineRule="auto"/>
        <w:rPr>
          <w:rFonts w:eastAsia="Times New Roman"/>
          <w:b/>
          <w:bCs/>
        </w:rPr>
      </w:pPr>
    </w:p>
    <w:p w:rsidR="0013179C" w:rsidRDefault="0013179C" w:rsidP="00604C98">
      <w:pPr>
        <w:shd w:val="clear" w:color="auto" w:fill="FFFFFF"/>
        <w:spacing w:after="0" w:line="240" w:lineRule="auto"/>
        <w:rPr>
          <w:rFonts w:eastAsia="Times New Roman"/>
          <w:b/>
          <w:bCs/>
        </w:rPr>
      </w:pPr>
    </w:p>
    <w:p w:rsidR="00085424" w:rsidRPr="007B4539" w:rsidRDefault="007B4539" w:rsidP="00604C98">
      <w:pPr>
        <w:shd w:val="clear" w:color="auto" w:fill="FFFFFF"/>
        <w:spacing w:after="0" w:line="240" w:lineRule="auto"/>
        <w:rPr>
          <w:rFonts w:eastAsia="Times New Roman"/>
          <w:b/>
          <w:bCs/>
        </w:rPr>
      </w:pPr>
      <w:r w:rsidRPr="007B4539">
        <w:rPr>
          <w:rFonts w:eastAsia="Times New Roman"/>
          <w:b/>
          <w:bCs/>
        </w:rPr>
        <w:t>Authors’ Institutional affiliations</w:t>
      </w:r>
    </w:p>
    <w:p w:rsidR="007B4539" w:rsidRDefault="007B4539" w:rsidP="00604C98">
      <w:pPr>
        <w:shd w:val="clear" w:color="auto" w:fill="FFFFFF"/>
        <w:spacing w:after="0" w:line="240" w:lineRule="auto"/>
        <w:rPr>
          <w:rFonts w:eastAsia="Times New Roman"/>
        </w:rPr>
      </w:pPr>
    </w:p>
    <w:p w:rsidR="007B4539" w:rsidRDefault="007B4539" w:rsidP="00604C98">
      <w:pPr>
        <w:shd w:val="clear" w:color="auto" w:fill="FFFFFF"/>
        <w:spacing w:after="0" w:line="240" w:lineRule="auto"/>
        <w:rPr>
          <w:bCs/>
          <w:lang w:val="en-GB"/>
        </w:rPr>
      </w:pPr>
      <w:r>
        <w:rPr>
          <w:rFonts w:eastAsia="Times New Roman"/>
          <w:vertAlign w:val="superscript"/>
        </w:rPr>
        <w:t>1</w:t>
      </w:r>
      <w:r w:rsidRPr="007B4539">
        <w:rPr>
          <w:bCs/>
          <w:lang w:val="en-GB"/>
        </w:rPr>
        <w:t xml:space="preserve"> </w:t>
      </w:r>
      <w:r>
        <w:rPr>
          <w:bCs/>
          <w:lang w:val="en-GB"/>
        </w:rPr>
        <w:t>University of Sussex, UK</w:t>
      </w:r>
    </w:p>
    <w:p w:rsidR="007B4539" w:rsidRDefault="007B4539" w:rsidP="00604C98">
      <w:pPr>
        <w:shd w:val="clear" w:color="auto" w:fill="FFFFFF"/>
        <w:spacing w:after="0" w:line="240" w:lineRule="auto"/>
        <w:rPr>
          <w:bCs/>
          <w:lang w:val="en-GB"/>
        </w:rPr>
      </w:pPr>
    </w:p>
    <w:p w:rsidR="00085424" w:rsidRDefault="007B4539" w:rsidP="00604C98">
      <w:pPr>
        <w:shd w:val="clear" w:color="auto" w:fill="FFFFFF"/>
        <w:spacing w:after="0" w:line="240" w:lineRule="auto"/>
        <w:rPr>
          <w:rFonts w:eastAsia="Times New Roman"/>
        </w:rPr>
      </w:pPr>
      <w:r>
        <w:rPr>
          <w:bCs/>
          <w:vertAlign w:val="superscript"/>
          <w:lang w:val="en-GB"/>
        </w:rPr>
        <w:t>2</w:t>
      </w:r>
      <w:r w:rsidR="00085424" w:rsidRPr="00031B22">
        <w:rPr>
          <w:rFonts w:eastAsia="Times New Roman"/>
        </w:rPr>
        <w:t>Autism Research Group</w:t>
      </w:r>
      <w:r w:rsidR="00CC254D">
        <w:rPr>
          <w:rFonts w:eastAsia="Times New Roman"/>
          <w:vertAlign w:val="superscript"/>
        </w:rPr>
        <w:t xml:space="preserve">, </w:t>
      </w:r>
      <w:r w:rsidR="00085424" w:rsidRPr="00031B22">
        <w:rPr>
          <w:rFonts w:eastAsia="Times New Roman"/>
        </w:rPr>
        <w:t>City, University of London</w:t>
      </w:r>
      <w:r>
        <w:rPr>
          <w:rFonts w:eastAsia="Times New Roman"/>
        </w:rPr>
        <w:t>, UK</w:t>
      </w:r>
    </w:p>
    <w:p w:rsidR="00CC254D" w:rsidRDefault="00CC254D" w:rsidP="00604C98">
      <w:pPr>
        <w:shd w:val="clear" w:color="auto" w:fill="FFFFFF"/>
        <w:spacing w:after="0" w:line="240" w:lineRule="auto"/>
        <w:rPr>
          <w:rFonts w:eastAsia="Times New Roman"/>
        </w:rPr>
      </w:pPr>
    </w:p>
    <w:p w:rsidR="00CC254D" w:rsidRPr="00DB2A5D" w:rsidRDefault="00CC254D" w:rsidP="00604C98">
      <w:pPr>
        <w:shd w:val="clear" w:color="auto" w:fill="FFFFFF"/>
        <w:spacing w:after="0" w:line="240" w:lineRule="auto"/>
        <w:rPr>
          <w:rFonts w:eastAsia="Times New Roman"/>
        </w:rPr>
      </w:pPr>
      <w:r>
        <w:rPr>
          <w:rFonts w:eastAsia="Times New Roman"/>
          <w:vertAlign w:val="superscript"/>
        </w:rPr>
        <w:t>3</w:t>
      </w:r>
      <w:r>
        <w:rPr>
          <w:rFonts w:eastAsia="Times New Roman"/>
        </w:rPr>
        <w:t xml:space="preserve"> Dept. of Psychology, City, University of London, UK</w:t>
      </w:r>
    </w:p>
    <w:p w:rsidR="00085424" w:rsidRDefault="00085424" w:rsidP="00604C98">
      <w:pPr>
        <w:spacing w:after="0" w:line="240" w:lineRule="auto"/>
        <w:rPr>
          <w:b/>
          <w:sz w:val="28"/>
          <w:szCs w:val="28"/>
          <w:lang w:val="en-GB"/>
        </w:rPr>
      </w:pPr>
    </w:p>
    <w:p w:rsidR="0091644B" w:rsidRDefault="0091644B" w:rsidP="00604C98">
      <w:pPr>
        <w:spacing w:after="0" w:line="240" w:lineRule="auto"/>
        <w:rPr>
          <w:b/>
          <w:sz w:val="28"/>
          <w:szCs w:val="28"/>
          <w:lang w:val="en-GB"/>
        </w:rPr>
      </w:pPr>
    </w:p>
    <w:p w:rsidR="003E1A22" w:rsidRPr="00AA4959" w:rsidRDefault="003E1A22" w:rsidP="003E1A22">
      <w:pPr>
        <w:spacing w:line="240" w:lineRule="auto"/>
      </w:pPr>
      <w:r w:rsidRPr="003E1A22">
        <w:rPr>
          <w:b/>
        </w:rPr>
        <w:t>Correspondence to:</w:t>
      </w:r>
      <w:r w:rsidRPr="00AA4959">
        <w:rPr>
          <w:b/>
        </w:rPr>
        <w:t xml:space="preserve"> </w:t>
      </w:r>
      <w:r w:rsidRPr="00AA4959">
        <w:t>Sophie Anns, Department of Psychology, University of Sussex, Falmer, East Sussex, BN1 9QH. T: +44 (0)1273 876638 E: s.anns@sussex.ac.uk</w:t>
      </w:r>
    </w:p>
    <w:p w:rsidR="003E1A22" w:rsidRDefault="003E1A22" w:rsidP="00604C98">
      <w:pPr>
        <w:spacing w:after="0" w:line="240" w:lineRule="auto"/>
        <w:rPr>
          <w:b/>
          <w:sz w:val="28"/>
          <w:szCs w:val="28"/>
          <w:lang w:val="en-GB"/>
        </w:rPr>
      </w:pPr>
    </w:p>
    <w:p w:rsidR="003E1A22" w:rsidRDefault="003E1A22" w:rsidP="00604C98">
      <w:pPr>
        <w:spacing w:after="0" w:line="240" w:lineRule="auto"/>
        <w:rPr>
          <w:b/>
          <w:sz w:val="28"/>
          <w:szCs w:val="28"/>
          <w:lang w:val="en-GB"/>
        </w:rPr>
      </w:pPr>
    </w:p>
    <w:p w:rsidR="007B4539" w:rsidRDefault="007B4539" w:rsidP="00604C98">
      <w:pPr>
        <w:spacing w:after="0" w:line="240" w:lineRule="auto"/>
        <w:rPr>
          <w:b/>
          <w:sz w:val="28"/>
          <w:szCs w:val="28"/>
          <w:lang w:val="en-GB"/>
        </w:rPr>
      </w:pPr>
    </w:p>
    <w:p w:rsidR="00085424" w:rsidRDefault="00085424" w:rsidP="00604C98">
      <w:pPr>
        <w:spacing w:after="0" w:line="240" w:lineRule="auto"/>
        <w:rPr>
          <w:b/>
          <w:sz w:val="28"/>
          <w:szCs w:val="28"/>
          <w:lang w:val="en-GB"/>
        </w:rPr>
      </w:pPr>
    </w:p>
    <w:p w:rsidR="00085424" w:rsidRDefault="00085424" w:rsidP="00604C98">
      <w:pPr>
        <w:spacing w:after="0" w:line="240" w:lineRule="auto"/>
        <w:rPr>
          <w:b/>
          <w:sz w:val="28"/>
          <w:szCs w:val="28"/>
          <w:lang w:val="en-GB"/>
        </w:rPr>
      </w:pPr>
    </w:p>
    <w:p w:rsidR="00085424" w:rsidRDefault="00085424" w:rsidP="00604C98">
      <w:pPr>
        <w:spacing w:after="0" w:line="240" w:lineRule="auto"/>
        <w:rPr>
          <w:b/>
          <w:sz w:val="28"/>
          <w:szCs w:val="28"/>
          <w:lang w:val="en-GB"/>
        </w:rPr>
      </w:pPr>
    </w:p>
    <w:p w:rsidR="003E1A22" w:rsidRPr="001477A6" w:rsidRDefault="003E1A22" w:rsidP="003E1A22">
      <w:pPr>
        <w:spacing w:line="240" w:lineRule="auto"/>
        <w:rPr>
          <w:b/>
        </w:rPr>
      </w:pPr>
      <w:r w:rsidRPr="003E1A22">
        <w:rPr>
          <w:b/>
        </w:rPr>
        <w:t>Acknowledgements:</w:t>
      </w:r>
      <w:r w:rsidRPr="00AA4959">
        <w:rPr>
          <w:b/>
        </w:rPr>
        <w:t xml:space="preserve"> </w:t>
      </w:r>
      <w:r w:rsidRPr="00AA4959">
        <w:t>The first author was funded by a PhD Bursary from City, University of London.</w:t>
      </w:r>
      <w:r>
        <w:rPr>
          <w:b/>
        </w:rPr>
        <w:t xml:space="preserve"> </w:t>
      </w:r>
      <w:r w:rsidRPr="00AA4959">
        <w:t xml:space="preserve">The authors are extremely grateful to all the children, parents and teachers that were involved in this study. </w:t>
      </w:r>
    </w:p>
    <w:p w:rsidR="00085424" w:rsidRDefault="00085424" w:rsidP="00604C98">
      <w:pPr>
        <w:spacing w:after="0" w:line="240" w:lineRule="auto"/>
        <w:rPr>
          <w:b/>
          <w:sz w:val="28"/>
          <w:szCs w:val="28"/>
          <w:lang w:val="en-GB"/>
        </w:rPr>
      </w:pPr>
    </w:p>
    <w:p w:rsidR="003E1A22" w:rsidRPr="008D109E" w:rsidRDefault="003E1A22" w:rsidP="003E1A22">
      <w:pPr>
        <w:shd w:val="clear" w:color="auto" w:fill="FFFFFF"/>
        <w:spacing w:after="0" w:line="240" w:lineRule="auto"/>
        <w:rPr>
          <w:rFonts w:eastAsia="Times New Roman"/>
          <w:lang w:val="en-GB"/>
        </w:rPr>
      </w:pPr>
      <w:r w:rsidRPr="00A760C8">
        <w:rPr>
          <w:rFonts w:eastAsia="Times New Roman"/>
          <w:b/>
          <w:lang w:val="en-GB"/>
        </w:rPr>
        <w:t xml:space="preserve">Conflict of interest statement: </w:t>
      </w:r>
      <w:r w:rsidRPr="008D109E">
        <w:rPr>
          <w:rFonts w:eastAsia="Times New Roman"/>
          <w:lang w:val="en-GB"/>
        </w:rPr>
        <w:t xml:space="preserve">The authors declare that </w:t>
      </w:r>
      <w:r>
        <w:rPr>
          <w:rFonts w:eastAsia="Times New Roman"/>
          <w:lang w:val="en-GB"/>
        </w:rPr>
        <w:t>there are</w:t>
      </w:r>
      <w:r w:rsidRPr="008D109E">
        <w:rPr>
          <w:rFonts w:eastAsia="Times New Roman"/>
          <w:lang w:val="en-GB"/>
        </w:rPr>
        <w:t xml:space="preserve"> no competing or potential conflicts of interest.</w:t>
      </w:r>
    </w:p>
    <w:p w:rsidR="00604C98" w:rsidRDefault="00604C98" w:rsidP="00604C98">
      <w:pPr>
        <w:spacing w:after="0" w:line="240" w:lineRule="auto"/>
        <w:rPr>
          <w:b/>
          <w:sz w:val="28"/>
          <w:szCs w:val="28"/>
          <w:lang w:val="en-GB"/>
        </w:rPr>
      </w:pPr>
    </w:p>
    <w:p w:rsidR="00604C98" w:rsidRDefault="00604C98" w:rsidP="00604C98">
      <w:pPr>
        <w:spacing w:after="0" w:line="240" w:lineRule="auto"/>
        <w:rPr>
          <w:b/>
          <w:sz w:val="28"/>
          <w:szCs w:val="28"/>
          <w:lang w:val="en-GB"/>
        </w:rPr>
      </w:pPr>
    </w:p>
    <w:p w:rsidR="00604C98" w:rsidRDefault="00604C98" w:rsidP="00604C98">
      <w:pPr>
        <w:spacing w:after="0" w:line="240" w:lineRule="auto"/>
        <w:rPr>
          <w:b/>
          <w:sz w:val="28"/>
          <w:szCs w:val="28"/>
          <w:lang w:val="en-GB"/>
        </w:rPr>
      </w:pPr>
    </w:p>
    <w:p w:rsidR="0013179C" w:rsidRDefault="0013179C" w:rsidP="00604C98">
      <w:pPr>
        <w:spacing w:after="0" w:line="240" w:lineRule="auto"/>
        <w:rPr>
          <w:b/>
          <w:sz w:val="28"/>
          <w:szCs w:val="28"/>
          <w:lang w:val="en-GB"/>
        </w:rPr>
      </w:pPr>
    </w:p>
    <w:p w:rsidR="0013179C" w:rsidRDefault="0013179C" w:rsidP="00604C98">
      <w:pPr>
        <w:spacing w:after="0" w:line="240" w:lineRule="auto"/>
        <w:rPr>
          <w:b/>
          <w:sz w:val="28"/>
          <w:szCs w:val="28"/>
          <w:lang w:val="en-GB"/>
        </w:rPr>
      </w:pPr>
    </w:p>
    <w:p w:rsidR="003E1A22" w:rsidRDefault="000868B4" w:rsidP="00E77FB2">
      <w:pPr>
        <w:spacing w:after="0" w:line="480" w:lineRule="auto"/>
        <w:rPr>
          <w:b/>
          <w:sz w:val="28"/>
          <w:szCs w:val="28"/>
          <w:lang w:val="en-GB"/>
        </w:rPr>
      </w:pPr>
      <w:r>
        <w:rPr>
          <w:b/>
          <w:sz w:val="28"/>
          <w:szCs w:val="28"/>
          <w:lang w:val="en-GB"/>
        </w:rPr>
        <w:t>Lay Summary</w:t>
      </w:r>
    </w:p>
    <w:p w:rsidR="00FE1CC7" w:rsidRDefault="003E1A22" w:rsidP="00E77FB2">
      <w:pPr>
        <w:spacing w:line="480" w:lineRule="auto"/>
      </w:pPr>
      <w:r w:rsidRPr="00FE1CC7">
        <w:rPr>
          <w:bCs/>
          <w:lang w:val="en-GB"/>
        </w:rPr>
        <w:t xml:space="preserve">Language impairment and learning disability affect 45% of the autistic population yet </w:t>
      </w:r>
      <w:r w:rsidR="00FE1CC7" w:rsidRPr="00FE1CC7">
        <w:rPr>
          <w:bCs/>
          <w:lang w:val="en-GB"/>
        </w:rPr>
        <w:t>the</w:t>
      </w:r>
      <w:r w:rsidRPr="00FE1CC7">
        <w:rPr>
          <w:bCs/>
          <w:lang w:val="en-GB"/>
        </w:rPr>
        <w:t xml:space="preserve"> factors </w:t>
      </w:r>
      <w:r w:rsidR="00FE1CC7" w:rsidRPr="00FE1CC7">
        <w:rPr>
          <w:bCs/>
          <w:lang w:val="en-GB"/>
        </w:rPr>
        <w:t xml:space="preserve">that </w:t>
      </w:r>
      <w:r w:rsidRPr="00FE1CC7">
        <w:rPr>
          <w:bCs/>
          <w:lang w:val="en-GB"/>
        </w:rPr>
        <w:t xml:space="preserve">may be contributing to them </w:t>
      </w:r>
      <w:r w:rsidR="00FE1CC7" w:rsidRPr="00FE1CC7">
        <w:rPr>
          <w:bCs/>
          <w:lang w:val="en-GB"/>
        </w:rPr>
        <w:t xml:space="preserve">is remarkably under-researched. </w:t>
      </w:r>
      <w:r w:rsidR="00FE1CC7">
        <w:t xml:space="preserve">To date there are no explanations of the lexical semantic (word meaning) abnormalities observed in ASD. We found that declarative memory is associated with </w:t>
      </w:r>
      <w:r w:rsidR="0013179C">
        <w:t>lexical semantic knowledge</w:t>
      </w:r>
      <w:r w:rsidR="00FE1CC7">
        <w:t xml:space="preserve"> in autism and learning disability but not in typical development. </w:t>
      </w:r>
      <w:r w:rsidR="0013179C">
        <w:t>Difficulties with declarative memory may also be compensated for using visual-perceptual abilities by autistic and learning-disabled adolescents which has positive implications for educationalists.</w:t>
      </w:r>
    </w:p>
    <w:p w:rsidR="003E1A22" w:rsidRDefault="003E1A22" w:rsidP="00E77FB2">
      <w:pPr>
        <w:spacing w:after="0" w:line="480" w:lineRule="auto"/>
        <w:rPr>
          <w:b/>
          <w:sz w:val="28"/>
          <w:szCs w:val="28"/>
          <w:lang w:val="en-GB"/>
        </w:rPr>
      </w:pPr>
    </w:p>
    <w:p w:rsidR="005D374D" w:rsidRDefault="005D374D" w:rsidP="00E77FB2">
      <w:pPr>
        <w:spacing w:after="0" w:line="480" w:lineRule="auto"/>
        <w:rPr>
          <w:b/>
          <w:sz w:val="28"/>
          <w:szCs w:val="28"/>
          <w:lang w:val="en-GB"/>
        </w:rPr>
      </w:pPr>
      <w:r>
        <w:rPr>
          <w:b/>
          <w:sz w:val="28"/>
          <w:szCs w:val="28"/>
          <w:lang w:val="en-GB"/>
        </w:rPr>
        <w:t>Abstract</w:t>
      </w:r>
    </w:p>
    <w:p w:rsidR="005C244E" w:rsidRPr="00031B22" w:rsidRDefault="00131DCB" w:rsidP="00E77FB2">
      <w:pPr>
        <w:spacing w:after="0" w:line="480" w:lineRule="auto"/>
        <w:rPr>
          <w:lang w:val="en-GB"/>
        </w:rPr>
      </w:pPr>
      <w:r>
        <w:rPr>
          <w:lang w:val="en-GB"/>
        </w:rPr>
        <w:t xml:space="preserve">Two experiments tested </w:t>
      </w:r>
      <w:r w:rsidR="005D374D">
        <w:rPr>
          <w:lang w:val="en-GB"/>
        </w:rPr>
        <w:t xml:space="preserve">the hypothesis that a </w:t>
      </w:r>
      <w:r w:rsidR="000868B4">
        <w:rPr>
          <w:lang w:val="en-GB"/>
        </w:rPr>
        <w:t xml:space="preserve">plausible </w:t>
      </w:r>
      <w:r w:rsidR="009F7CA2">
        <w:rPr>
          <w:lang w:val="en-GB"/>
        </w:rPr>
        <w:t>contributory factor</w:t>
      </w:r>
      <w:r w:rsidR="005D374D">
        <w:rPr>
          <w:lang w:val="en-GB"/>
        </w:rPr>
        <w:t xml:space="preserve"> of </w:t>
      </w:r>
      <w:r w:rsidR="00591D4C">
        <w:rPr>
          <w:lang w:val="en-GB"/>
        </w:rPr>
        <w:t xml:space="preserve">structural </w:t>
      </w:r>
      <w:r w:rsidR="005D374D">
        <w:rPr>
          <w:lang w:val="en-GB"/>
        </w:rPr>
        <w:t>language impairment in</w:t>
      </w:r>
      <w:r w:rsidR="003E5F48">
        <w:rPr>
          <w:lang w:val="en-GB"/>
        </w:rPr>
        <w:t xml:space="preserve"> Autism</w:t>
      </w:r>
      <w:r w:rsidR="005D374D">
        <w:rPr>
          <w:lang w:val="en-GB"/>
        </w:rPr>
        <w:t xml:space="preserve"> </w:t>
      </w:r>
      <w:r w:rsidR="003E5F48">
        <w:rPr>
          <w:lang w:val="en-GB"/>
        </w:rPr>
        <w:t xml:space="preserve">Spectrum Disorder (ASD) </w:t>
      </w:r>
      <w:r w:rsidR="005D374D">
        <w:rPr>
          <w:lang w:val="en-GB"/>
        </w:rPr>
        <w:t>is impaired declarative memory.</w:t>
      </w:r>
      <w:r w:rsidR="00A32138">
        <w:rPr>
          <w:lang w:val="en-GB"/>
        </w:rPr>
        <w:t xml:space="preserve"> </w:t>
      </w:r>
      <w:r w:rsidR="00F1248B">
        <w:rPr>
          <w:lang w:val="en-GB"/>
        </w:rPr>
        <w:t>We</w:t>
      </w:r>
      <w:r w:rsidR="005D374D">
        <w:rPr>
          <w:lang w:val="en-GB"/>
        </w:rPr>
        <w:t xml:space="preserve"> hypothesised that familiarity and recollection (subserving semantic and episodic memory, respectively) are both impaired in autistic individuals with clinically significant language impairment and learning disability (</w:t>
      </w:r>
      <w:r w:rsidR="00B226BC">
        <w:rPr>
          <w:lang w:eastAsia="en-GB"/>
        </w:rPr>
        <w:t>ASD</w:t>
      </w:r>
      <w:r w:rsidR="00B226BC">
        <w:rPr>
          <w:vertAlign w:val="superscript"/>
          <w:lang w:eastAsia="en-GB"/>
        </w:rPr>
        <w:t>LI/LD</w:t>
      </w:r>
      <w:r w:rsidR="005D374D">
        <w:rPr>
          <w:lang w:val="en-GB"/>
        </w:rPr>
        <w:t>); whereas recollection is selectively impaired in autistic individuals with typical language (</w:t>
      </w:r>
      <w:r w:rsidR="00B226BC">
        <w:rPr>
          <w:lang w:eastAsia="en-GB"/>
        </w:rPr>
        <w:t>ASD</w:t>
      </w:r>
      <w:r w:rsidR="00B226BC">
        <w:rPr>
          <w:vertAlign w:val="superscript"/>
          <w:lang w:eastAsia="en-GB"/>
        </w:rPr>
        <w:t>TL</w:t>
      </w:r>
      <w:r w:rsidR="005D374D">
        <w:rPr>
          <w:lang w:val="en-GB"/>
        </w:rPr>
        <w:t xml:space="preserve">). </w:t>
      </w:r>
      <w:r w:rsidR="00A32138">
        <w:rPr>
          <w:lang w:val="en-GB"/>
        </w:rPr>
        <w:t>T</w:t>
      </w:r>
      <w:r w:rsidR="005D374D">
        <w:rPr>
          <w:lang w:val="en-GB"/>
        </w:rPr>
        <w:t xml:space="preserve">eenagers with </w:t>
      </w:r>
      <w:r w:rsidR="00B226BC">
        <w:rPr>
          <w:lang w:eastAsia="en-GB"/>
        </w:rPr>
        <w:t>ASD</w:t>
      </w:r>
      <w:r w:rsidR="00B226BC">
        <w:rPr>
          <w:vertAlign w:val="superscript"/>
          <w:lang w:eastAsia="en-GB"/>
        </w:rPr>
        <w:t>LI/LD</w:t>
      </w:r>
      <w:r w:rsidR="00B226BC">
        <w:rPr>
          <w:lang w:eastAsia="en-GB"/>
        </w:rPr>
        <w:t xml:space="preserve"> </w:t>
      </w:r>
      <w:r w:rsidR="007D0CCE">
        <w:rPr>
          <w:lang w:eastAsia="en-GB"/>
        </w:rPr>
        <w:t>(</w:t>
      </w:r>
      <w:r w:rsidR="007D0CCE" w:rsidRPr="007D0CCE">
        <w:rPr>
          <w:i/>
          <w:lang w:eastAsia="en-GB"/>
        </w:rPr>
        <w:t>n</w:t>
      </w:r>
      <w:r w:rsidR="007D0CCE">
        <w:rPr>
          <w:lang w:eastAsia="en-GB"/>
        </w:rPr>
        <w:t xml:space="preserve"> = 19) </w:t>
      </w:r>
      <w:r w:rsidR="005D374D">
        <w:rPr>
          <w:lang w:val="en-GB"/>
        </w:rPr>
        <w:t xml:space="preserve">and primary school age children with </w:t>
      </w:r>
      <w:r w:rsidRPr="00DF0224">
        <w:rPr>
          <w:lang w:eastAsia="en-GB"/>
        </w:rPr>
        <w:t>ASD</w:t>
      </w:r>
      <w:r w:rsidRPr="00DF0224">
        <w:rPr>
          <w:vertAlign w:val="superscript"/>
          <w:lang w:eastAsia="en-GB"/>
        </w:rPr>
        <w:t>TL</w:t>
      </w:r>
      <w:r w:rsidRPr="00DF0224">
        <w:t xml:space="preserve"> </w:t>
      </w:r>
      <w:r w:rsidR="007D0CCE">
        <w:t>(</w:t>
      </w:r>
      <w:r w:rsidR="007D0CCE" w:rsidRPr="007D0CCE">
        <w:rPr>
          <w:i/>
        </w:rPr>
        <w:t>n</w:t>
      </w:r>
      <w:r w:rsidR="007D0CCE">
        <w:t xml:space="preserve"> = 26) </w:t>
      </w:r>
      <w:r w:rsidR="005D374D">
        <w:rPr>
          <w:lang w:val="en-GB"/>
        </w:rPr>
        <w:t>were compared with teenagers with</w:t>
      </w:r>
      <w:r>
        <w:rPr>
          <w:lang w:val="en-GB"/>
        </w:rPr>
        <w:t xml:space="preserve"> learning disability</w:t>
      </w:r>
      <w:r w:rsidR="005D374D">
        <w:rPr>
          <w:lang w:val="en-GB"/>
        </w:rPr>
        <w:t xml:space="preserve"> </w:t>
      </w:r>
      <w:r>
        <w:rPr>
          <w:lang w:val="en-GB"/>
        </w:rPr>
        <w:t>(</w:t>
      </w:r>
      <w:r w:rsidR="005D374D">
        <w:rPr>
          <w:lang w:val="en-GB"/>
        </w:rPr>
        <w:t>LD</w:t>
      </w:r>
      <w:r>
        <w:rPr>
          <w:lang w:val="en-GB"/>
        </w:rPr>
        <w:t>)</w:t>
      </w:r>
      <w:r w:rsidR="005D374D">
        <w:rPr>
          <w:lang w:val="en-GB"/>
        </w:rPr>
        <w:t xml:space="preserve"> </w:t>
      </w:r>
      <w:r w:rsidR="007D0CCE">
        <w:rPr>
          <w:lang w:val="en-GB"/>
        </w:rPr>
        <w:t>(</w:t>
      </w:r>
      <w:r w:rsidR="007D0CCE" w:rsidRPr="007D0CCE">
        <w:rPr>
          <w:i/>
          <w:lang w:val="en-GB"/>
        </w:rPr>
        <w:t>n</w:t>
      </w:r>
      <w:r w:rsidR="007D0CCE">
        <w:rPr>
          <w:lang w:val="en-GB"/>
        </w:rPr>
        <w:t xml:space="preserve"> = 26) </w:t>
      </w:r>
      <w:r w:rsidR="005D374D">
        <w:rPr>
          <w:lang w:val="en-GB"/>
        </w:rPr>
        <w:t>without autism, and primary school aged typically developing (TD) children</w:t>
      </w:r>
      <w:r w:rsidR="007D0CCE">
        <w:rPr>
          <w:lang w:val="en-GB"/>
        </w:rPr>
        <w:t xml:space="preserve"> (</w:t>
      </w:r>
      <w:r w:rsidR="007D0CCE" w:rsidRPr="007D0CCE">
        <w:rPr>
          <w:i/>
          <w:lang w:val="en-GB"/>
        </w:rPr>
        <w:t>n</w:t>
      </w:r>
      <w:r w:rsidR="007D0CCE">
        <w:rPr>
          <w:lang w:val="en-GB"/>
        </w:rPr>
        <w:t xml:space="preserve"> = 32)</w:t>
      </w:r>
      <w:r w:rsidR="005D374D">
        <w:rPr>
          <w:lang w:val="en-GB"/>
        </w:rPr>
        <w:t xml:space="preserve">. </w:t>
      </w:r>
      <w:r w:rsidR="005A4C9C">
        <w:rPr>
          <w:lang w:val="en-GB"/>
        </w:rPr>
        <w:t xml:space="preserve"> </w:t>
      </w:r>
      <w:r w:rsidR="00F1248B">
        <w:rPr>
          <w:lang w:val="en-GB"/>
        </w:rPr>
        <w:t>Both</w:t>
      </w:r>
      <w:r w:rsidR="005D374D">
        <w:rPr>
          <w:lang w:val="en-GB"/>
        </w:rPr>
        <w:t xml:space="preserve"> experiments provided strong support for the hypothesised links between declarative memory processes and lexical-semantic facets of language in </w:t>
      </w:r>
      <w:r w:rsidR="00F1248B">
        <w:rPr>
          <w:lang w:val="en-GB"/>
        </w:rPr>
        <w:t xml:space="preserve">the two </w:t>
      </w:r>
      <w:r w:rsidR="005D374D">
        <w:rPr>
          <w:lang w:val="en-GB"/>
        </w:rPr>
        <w:t>autistic groups, but not in the TD group. Additional findings of interest were</w:t>
      </w:r>
      <w:r w:rsidR="003E5F48">
        <w:rPr>
          <w:lang w:val="en-GB"/>
        </w:rPr>
        <w:t xml:space="preserve"> that</w:t>
      </w:r>
      <w:r w:rsidR="005D374D">
        <w:rPr>
          <w:lang w:val="en-GB"/>
        </w:rPr>
        <w:t xml:space="preserve"> declarative memory processes and lexical-semantic knowledge were also linked in the LD group</w:t>
      </w:r>
      <w:r w:rsidR="003E5F48">
        <w:rPr>
          <w:lang w:val="en-GB"/>
        </w:rPr>
        <w:t xml:space="preserve"> and that</w:t>
      </w:r>
      <w:r w:rsidR="005D374D">
        <w:rPr>
          <w:lang w:val="en-GB"/>
        </w:rPr>
        <w:t xml:space="preserve"> the ASD groups –and to a lesser extent the LD group </w:t>
      </w:r>
      <w:r w:rsidR="000868B4">
        <w:rPr>
          <w:lang w:val="en-GB"/>
        </w:rPr>
        <w:t>–</w:t>
      </w:r>
      <w:r w:rsidR="005D374D">
        <w:rPr>
          <w:lang w:val="en-GB"/>
        </w:rPr>
        <w:t xml:space="preserve"> </w:t>
      </w:r>
      <w:r w:rsidR="000868B4">
        <w:rPr>
          <w:lang w:val="en-GB"/>
        </w:rPr>
        <w:t xml:space="preserve">may have </w:t>
      </w:r>
      <w:r w:rsidR="005D374D">
        <w:rPr>
          <w:lang w:val="en-GB"/>
        </w:rPr>
        <w:lastRenderedPageBreak/>
        <w:t xml:space="preserve">compensated for declarative memory impairments using </w:t>
      </w:r>
      <w:r w:rsidR="003E5F48">
        <w:rPr>
          <w:lang w:val="en-GB"/>
        </w:rPr>
        <w:t xml:space="preserve">spared </w:t>
      </w:r>
      <w:r w:rsidR="005D374D">
        <w:rPr>
          <w:lang w:val="en-GB"/>
        </w:rPr>
        <w:t>visual-</w:t>
      </w:r>
      <w:r w:rsidR="00A169D2">
        <w:rPr>
          <w:lang w:val="en-GB"/>
        </w:rPr>
        <w:t>perceptual</w:t>
      </w:r>
      <w:r w:rsidR="005D374D">
        <w:rPr>
          <w:lang w:val="en-GB"/>
        </w:rPr>
        <w:t xml:space="preserve"> abilities, a finding with potential educational implications</w:t>
      </w:r>
      <w:r w:rsidR="005D374D" w:rsidRPr="00031B22">
        <w:rPr>
          <w:lang w:val="en-GB"/>
        </w:rPr>
        <w:t xml:space="preserve">. </w:t>
      </w:r>
      <w:r w:rsidR="00591D4C">
        <w:rPr>
          <w:lang w:val="en-GB"/>
        </w:rPr>
        <w:t>Relative difficulties with</w:t>
      </w:r>
      <w:r w:rsidR="007D0CCE">
        <w:rPr>
          <w:lang w:val="en-GB"/>
        </w:rPr>
        <w:t xml:space="preserve"> familiarity and recollection in </w:t>
      </w:r>
      <w:r w:rsidR="007D0CCE">
        <w:rPr>
          <w:lang w:eastAsia="en-GB"/>
        </w:rPr>
        <w:t>ASD</w:t>
      </w:r>
      <w:r w:rsidR="007D0CCE">
        <w:rPr>
          <w:vertAlign w:val="superscript"/>
          <w:lang w:eastAsia="en-GB"/>
        </w:rPr>
        <w:t>LI/LD</w:t>
      </w:r>
      <w:r w:rsidR="007D0CCE">
        <w:rPr>
          <w:lang w:val="en-GB"/>
        </w:rPr>
        <w:t xml:space="preserve"> and LD may help explain</w:t>
      </w:r>
      <w:r w:rsidR="00591D4C">
        <w:rPr>
          <w:lang w:val="en-GB"/>
        </w:rPr>
        <w:t xml:space="preserve"> structural</w:t>
      </w:r>
      <w:r w:rsidR="007D0CCE">
        <w:rPr>
          <w:lang w:val="en-GB"/>
        </w:rPr>
        <w:t xml:space="preserve"> </w:t>
      </w:r>
      <w:r w:rsidR="00591D4C">
        <w:rPr>
          <w:lang w:val="en-GB"/>
        </w:rPr>
        <w:t>language impairment, as investigated here, but also the broader learning disabilities found in these populations.</w:t>
      </w:r>
    </w:p>
    <w:p w:rsidR="000C47F1" w:rsidRDefault="000C47F1" w:rsidP="00E77FB2">
      <w:pPr>
        <w:shd w:val="clear" w:color="auto" w:fill="FFFFFF"/>
        <w:spacing w:after="0" w:line="480" w:lineRule="auto"/>
        <w:rPr>
          <w:rFonts w:eastAsia="Times New Roman"/>
          <w:b/>
        </w:rPr>
      </w:pPr>
    </w:p>
    <w:p w:rsidR="000C47F1" w:rsidRDefault="000C47F1" w:rsidP="00E77FB2">
      <w:pPr>
        <w:shd w:val="clear" w:color="auto" w:fill="FFFFFF"/>
        <w:spacing w:after="0" w:line="480" w:lineRule="auto"/>
        <w:rPr>
          <w:rFonts w:eastAsia="Times New Roman"/>
          <w:b/>
        </w:rPr>
      </w:pPr>
    </w:p>
    <w:p w:rsidR="000C47F1" w:rsidRDefault="000C47F1" w:rsidP="00E77FB2">
      <w:pPr>
        <w:shd w:val="clear" w:color="auto" w:fill="FFFFFF"/>
        <w:spacing w:after="0" w:line="480" w:lineRule="auto"/>
        <w:rPr>
          <w:rFonts w:eastAsia="Times New Roman"/>
        </w:rPr>
      </w:pPr>
      <w:r w:rsidRPr="00A760C8">
        <w:rPr>
          <w:rFonts w:eastAsia="Times New Roman"/>
          <w:b/>
        </w:rPr>
        <w:t>Keywords</w:t>
      </w:r>
      <w:r>
        <w:rPr>
          <w:rFonts w:eastAsia="Times New Roman"/>
        </w:rPr>
        <w:t>: Autism Spectrum Disorder, Language Impairment, Memory, Familiarity, Recollection</w:t>
      </w:r>
    </w:p>
    <w:p w:rsidR="005D374D" w:rsidRDefault="005D374D" w:rsidP="00E77FB2">
      <w:pPr>
        <w:spacing w:after="0" w:line="480" w:lineRule="auto"/>
        <w:rPr>
          <w:b/>
          <w:sz w:val="28"/>
          <w:szCs w:val="28"/>
          <w:lang w:val="en-GB"/>
        </w:rPr>
      </w:pPr>
    </w:p>
    <w:p w:rsidR="000868B4" w:rsidRDefault="000868B4" w:rsidP="00E77FB2">
      <w:pPr>
        <w:spacing w:after="0" w:line="480" w:lineRule="auto"/>
        <w:rPr>
          <w:b/>
          <w:sz w:val="28"/>
          <w:szCs w:val="28"/>
          <w:lang w:val="en-GB"/>
        </w:rPr>
      </w:pPr>
    </w:p>
    <w:p w:rsidR="0013179C" w:rsidRDefault="0013179C" w:rsidP="00E77FB2">
      <w:pPr>
        <w:spacing w:after="0" w:line="480" w:lineRule="auto"/>
        <w:rPr>
          <w:b/>
          <w:sz w:val="28"/>
          <w:szCs w:val="28"/>
          <w:lang w:val="en-GB"/>
        </w:rPr>
      </w:pPr>
    </w:p>
    <w:p w:rsidR="0013179C" w:rsidRDefault="0013179C" w:rsidP="00E77FB2">
      <w:pPr>
        <w:spacing w:after="0" w:line="480" w:lineRule="auto"/>
        <w:rPr>
          <w:b/>
          <w:sz w:val="28"/>
          <w:szCs w:val="28"/>
          <w:lang w:val="en-GB"/>
        </w:rPr>
      </w:pPr>
    </w:p>
    <w:p w:rsidR="0013179C" w:rsidRDefault="0013179C" w:rsidP="00E77FB2">
      <w:pPr>
        <w:spacing w:after="0" w:line="480" w:lineRule="auto"/>
        <w:rPr>
          <w:b/>
          <w:sz w:val="28"/>
          <w:szCs w:val="28"/>
          <w:lang w:val="en-GB"/>
        </w:rPr>
      </w:pPr>
    </w:p>
    <w:p w:rsidR="0013179C" w:rsidRDefault="0013179C" w:rsidP="00E77FB2">
      <w:pPr>
        <w:spacing w:after="0" w:line="480" w:lineRule="auto"/>
        <w:rPr>
          <w:b/>
          <w:sz w:val="28"/>
          <w:szCs w:val="28"/>
          <w:lang w:val="en-GB"/>
        </w:rPr>
      </w:pPr>
    </w:p>
    <w:p w:rsidR="0013179C" w:rsidRDefault="0013179C" w:rsidP="00E77FB2">
      <w:pPr>
        <w:spacing w:after="0" w:line="480" w:lineRule="auto"/>
        <w:rPr>
          <w:b/>
          <w:sz w:val="28"/>
          <w:szCs w:val="28"/>
          <w:lang w:val="en-GB"/>
        </w:rPr>
      </w:pPr>
    </w:p>
    <w:p w:rsidR="0013179C" w:rsidRDefault="0013179C" w:rsidP="00E77FB2">
      <w:pPr>
        <w:spacing w:after="0" w:line="480" w:lineRule="auto"/>
        <w:rPr>
          <w:b/>
          <w:sz w:val="28"/>
          <w:szCs w:val="28"/>
          <w:lang w:val="en-GB"/>
        </w:rPr>
      </w:pPr>
    </w:p>
    <w:p w:rsidR="0013179C" w:rsidRDefault="0013179C" w:rsidP="00E77FB2">
      <w:pPr>
        <w:spacing w:after="0" w:line="480" w:lineRule="auto"/>
        <w:rPr>
          <w:b/>
          <w:sz w:val="28"/>
          <w:szCs w:val="28"/>
          <w:lang w:val="en-GB"/>
        </w:rPr>
      </w:pPr>
    </w:p>
    <w:p w:rsidR="0013179C" w:rsidRDefault="0013179C" w:rsidP="00E77FB2">
      <w:pPr>
        <w:spacing w:after="0" w:line="480" w:lineRule="auto"/>
        <w:rPr>
          <w:b/>
          <w:sz w:val="28"/>
          <w:szCs w:val="28"/>
          <w:lang w:val="en-GB"/>
        </w:rPr>
      </w:pPr>
    </w:p>
    <w:p w:rsidR="0013179C" w:rsidRDefault="0013179C" w:rsidP="00E77FB2">
      <w:pPr>
        <w:spacing w:after="0" w:line="480" w:lineRule="auto"/>
        <w:rPr>
          <w:b/>
          <w:sz w:val="28"/>
          <w:szCs w:val="28"/>
          <w:lang w:val="en-GB"/>
        </w:rPr>
      </w:pPr>
    </w:p>
    <w:p w:rsidR="0013179C" w:rsidRDefault="0013179C" w:rsidP="00E77FB2">
      <w:pPr>
        <w:spacing w:after="0" w:line="480" w:lineRule="auto"/>
        <w:rPr>
          <w:b/>
          <w:sz w:val="28"/>
          <w:szCs w:val="28"/>
          <w:lang w:val="en-GB"/>
        </w:rPr>
      </w:pPr>
    </w:p>
    <w:p w:rsidR="0013179C" w:rsidRDefault="0013179C" w:rsidP="00E77FB2">
      <w:pPr>
        <w:spacing w:after="0" w:line="480" w:lineRule="auto"/>
        <w:rPr>
          <w:b/>
          <w:sz w:val="28"/>
          <w:szCs w:val="28"/>
          <w:lang w:val="en-GB"/>
        </w:rPr>
      </w:pPr>
    </w:p>
    <w:p w:rsidR="00F22931" w:rsidRDefault="00F22931" w:rsidP="00E77FB2">
      <w:pPr>
        <w:spacing w:after="0" w:line="480" w:lineRule="auto"/>
        <w:rPr>
          <w:b/>
          <w:sz w:val="28"/>
          <w:szCs w:val="28"/>
          <w:lang w:val="en-GB"/>
        </w:rPr>
      </w:pPr>
    </w:p>
    <w:p w:rsidR="00F22931" w:rsidRDefault="00F22931" w:rsidP="00E77FB2">
      <w:pPr>
        <w:spacing w:after="0" w:line="480" w:lineRule="auto"/>
        <w:rPr>
          <w:b/>
          <w:sz w:val="28"/>
          <w:szCs w:val="28"/>
          <w:lang w:val="en-GB"/>
        </w:rPr>
      </w:pPr>
    </w:p>
    <w:p w:rsidR="00E77FB2" w:rsidRDefault="00E77FB2" w:rsidP="00E77FB2">
      <w:pPr>
        <w:spacing w:after="0" w:line="480" w:lineRule="auto"/>
        <w:rPr>
          <w:b/>
          <w:sz w:val="28"/>
          <w:szCs w:val="28"/>
          <w:lang w:val="en-GB"/>
        </w:rPr>
      </w:pPr>
    </w:p>
    <w:p w:rsidR="0013179C" w:rsidRDefault="000868B4" w:rsidP="00E77FB2">
      <w:pPr>
        <w:spacing w:after="0" w:line="480" w:lineRule="auto"/>
        <w:rPr>
          <w:b/>
          <w:sz w:val="28"/>
          <w:szCs w:val="28"/>
          <w:lang w:val="en-GB"/>
        </w:rPr>
      </w:pPr>
      <w:r>
        <w:rPr>
          <w:b/>
          <w:sz w:val="28"/>
          <w:szCs w:val="28"/>
          <w:lang w:val="en-GB"/>
        </w:rPr>
        <w:t>Introduction</w:t>
      </w:r>
    </w:p>
    <w:p w:rsidR="00670F87" w:rsidRPr="00F64D90" w:rsidRDefault="00670F87" w:rsidP="00E77FB2">
      <w:pPr>
        <w:spacing w:after="0" w:line="480" w:lineRule="auto"/>
        <w:rPr>
          <w:color w:val="FF0000"/>
          <w:lang w:eastAsia="en-GB"/>
        </w:rPr>
      </w:pPr>
      <w:r>
        <w:rPr>
          <w:lang w:eastAsia="en-GB"/>
        </w:rPr>
        <w:t>Approximately 45% of individuals with Autism Spectrum Disorder (ASD) have significant language impairment</w:t>
      </w:r>
      <w:r w:rsidR="00B226BC">
        <w:rPr>
          <w:lang w:eastAsia="en-GB"/>
        </w:rPr>
        <w:t>s</w:t>
      </w:r>
      <w:r>
        <w:rPr>
          <w:lang w:eastAsia="en-GB"/>
        </w:rPr>
        <w:t xml:space="preserve"> (LI) </w:t>
      </w:r>
      <w:r w:rsidR="004D2795">
        <w:rPr>
          <w:lang w:eastAsia="en-GB"/>
        </w:rPr>
        <w:t xml:space="preserve">or </w:t>
      </w:r>
      <w:r>
        <w:rPr>
          <w:lang w:eastAsia="en-GB"/>
        </w:rPr>
        <w:t>learning disability (LD)</w:t>
      </w:r>
      <w:r w:rsidR="003E5F48">
        <w:rPr>
          <w:lang w:eastAsia="en-GB"/>
        </w:rPr>
        <w:t xml:space="preserve"> in addition</w:t>
      </w:r>
      <w:r>
        <w:rPr>
          <w:lang w:eastAsia="en-GB"/>
        </w:rPr>
        <w:t xml:space="preserve"> to the</w:t>
      </w:r>
      <w:r w:rsidR="0094520D">
        <w:rPr>
          <w:lang w:eastAsia="en-GB"/>
        </w:rPr>
        <w:t>ir</w:t>
      </w:r>
      <w:r>
        <w:rPr>
          <w:lang w:eastAsia="en-GB"/>
        </w:rPr>
        <w:t xml:space="preserve"> </w:t>
      </w:r>
      <w:r w:rsidR="003E5F48">
        <w:rPr>
          <w:lang w:eastAsia="en-GB"/>
        </w:rPr>
        <w:t xml:space="preserve">clinically defining </w:t>
      </w:r>
      <w:r>
        <w:rPr>
          <w:lang w:eastAsia="en-GB"/>
        </w:rPr>
        <w:t>social communication impairments and repetitive beha</w:t>
      </w:r>
      <w:r w:rsidR="00D03C9F">
        <w:rPr>
          <w:lang w:eastAsia="en-GB"/>
        </w:rPr>
        <w:t>viours (Baird</w:t>
      </w:r>
      <w:r>
        <w:rPr>
          <w:lang w:eastAsia="en-GB"/>
        </w:rPr>
        <w:t xml:space="preserve"> et al., 2006; Charman et al., 2011). </w:t>
      </w:r>
      <w:r w:rsidR="004D2795">
        <w:rPr>
          <w:lang w:eastAsia="en-GB"/>
        </w:rPr>
        <w:t>A</w:t>
      </w:r>
      <w:r>
        <w:rPr>
          <w:lang w:eastAsia="en-GB"/>
        </w:rPr>
        <w:t>round 30% remain minimally verbal even following targeted interventions (</w:t>
      </w:r>
      <w:r w:rsidRPr="004D7BD8">
        <w:rPr>
          <w:lang w:eastAsia="en-GB"/>
        </w:rPr>
        <w:t>Tager-Flusberg &amp; Kasari, 2013</w:t>
      </w:r>
      <w:r>
        <w:rPr>
          <w:lang w:eastAsia="en-GB"/>
        </w:rPr>
        <w:t>)</w:t>
      </w:r>
      <w:r w:rsidR="0094520D">
        <w:rPr>
          <w:lang w:eastAsia="en-GB"/>
        </w:rPr>
        <w:t>.</w:t>
      </w:r>
      <w:r w:rsidR="003E5F48">
        <w:rPr>
          <w:lang w:eastAsia="en-GB"/>
        </w:rPr>
        <w:t xml:space="preserve"> </w:t>
      </w:r>
      <w:r w:rsidR="0094520D">
        <w:rPr>
          <w:lang w:eastAsia="en-GB"/>
        </w:rPr>
        <w:t>T</w:t>
      </w:r>
      <w:r>
        <w:rPr>
          <w:lang w:eastAsia="en-GB"/>
        </w:rPr>
        <w:t xml:space="preserve">he causes of LI and LD </w:t>
      </w:r>
      <w:r w:rsidR="0094520D">
        <w:rPr>
          <w:lang w:eastAsia="en-GB"/>
        </w:rPr>
        <w:t>in</w:t>
      </w:r>
      <w:r>
        <w:rPr>
          <w:lang w:eastAsia="en-GB"/>
        </w:rPr>
        <w:t xml:space="preserve"> autism have been little researched and are poorly understood. The two experiments reported here tested the hypothesis that a </w:t>
      </w:r>
      <w:r w:rsidR="00151082">
        <w:rPr>
          <w:lang w:eastAsia="en-GB"/>
        </w:rPr>
        <w:t>correlate</w:t>
      </w:r>
      <w:r>
        <w:rPr>
          <w:lang w:eastAsia="en-GB"/>
        </w:rPr>
        <w:t xml:space="preserve"> of LI in people with what </w:t>
      </w:r>
      <w:r w:rsidR="00A32138">
        <w:rPr>
          <w:lang w:eastAsia="en-GB"/>
        </w:rPr>
        <w:t xml:space="preserve">we </w:t>
      </w:r>
      <w:r>
        <w:rPr>
          <w:lang w:eastAsia="en-GB"/>
        </w:rPr>
        <w:t>refer to as ASD</w:t>
      </w:r>
      <w:r>
        <w:rPr>
          <w:vertAlign w:val="superscript"/>
          <w:lang w:eastAsia="en-GB"/>
        </w:rPr>
        <w:t>LI/LD</w:t>
      </w:r>
      <w:r>
        <w:rPr>
          <w:lang w:eastAsia="en-GB"/>
        </w:rPr>
        <w:t xml:space="preserve">, is impaired declarative memory.  </w:t>
      </w:r>
    </w:p>
    <w:p w:rsidR="00670F87" w:rsidRDefault="00687331" w:rsidP="00E77FB2">
      <w:pPr>
        <w:pStyle w:val="ListParagraph"/>
        <w:spacing w:after="0" w:line="480" w:lineRule="auto"/>
        <w:ind w:left="0"/>
        <w:rPr>
          <w:color w:val="FF0000"/>
          <w:lang w:eastAsia="en-GB"/>
        </w:rPr>
      </w:pPr>
      <w:r>
        <w:rPr>
          <w:lang w:eastAsia="en-GB"/>
        </w:rPr>
        <w:tab/>
      </w:r>
      <w:r w:rsidR="00670F87">
        <w:rPr>
          <w:lang w:eastAsia="en-GB"/>
        </w:rPr>
        <w:t>Reviews of language development in ASD (Rapin</w:t>
      </w:r>
      <w:r w:rsidR="004D7BD8">
        <w:rPr>
          <w:lang w:eastAsia="en-GB"/>
        </w:rPr>
        <w:t xml:space="preserve"> et al., </w:t>
      </w:r>
      <w:r w:rsidR="00670F87">
        <w:rPr>
          <w:lang w:eastAsia="en-GB"/>
        </w:rPr>
        <w:t>2009</w:t>
      </w:r>
      <w:r w:rsidR="00670F87">
        <w:rPr>
          <w:strike/>
          <w:lang w:eastAsia="en-GB"/>
        </w:rPr>
        <w:t>;</w:t>
      </w:r>
      <w:r w:rsidR="004D7BD8">
        <w:rPr>
          <w:lang w:eastAsia="en-GB"/>
        </w:rPr>
        <w:t xml:space="preserve"> Eigsti et al., </w:t>
      </w:r>
      <w:r w:rsidR="00670F87">
        <w:rPr>
          <w:lang w:eastAsia="en-GB"/>
        </w:rPr>
        <w:t xml:space="preserve">2011; Kelley, 2011; Boucher, 2012; Kim et al., 2014) indicate that despite considerable </w:t>
      </w:r>
      <w:r w:rsidR="00A32138">
        <w:rPr>
          <w:lang w:eastAsia="en-GB"/>
        </w:rPr>
        <w:t xml:space="preserve">inter-individual </w:t>
      </w:r>
      <w:r w:rsidR="00670F87">
        <w:rPr>
          <w:lang w:eastAsia="en-GB"/>
        </w:rPr>
        <w:t>heterogeneity, ASD</w:t>
      </w:r>
      <w:r w:rsidR="00670F87">
        <w:rPr>
          <w:vertAlign w:val="superscript"/>
          <w:lang w:eastAsia="en-GB"/>
        </w:rPr>
        <w:t>LI/LD</w:t>
      </w:r>
      <w:r w:rsidR="00670F87">
        <w:rPr>
          <w:lang w:eastAsia="en-GB"/>
        </w:rPr>
        <w:t xml:space="preserve"> is</w:t>
      </w:r>
      <w:r w:rsidR="00C73F79">
        <w:rPr>
          <w:lang w:eastAsia="en-GB"/>
        </w:rPr>
        <w:t xml:space="preserve"> most commonly</w:t>
      </w:r>
      <w:r w:rsidR="00670F87">
        <w:rPr>
          <w:lang w:eastAsia="en-GB"/>
        </w:rPr>
        <w:t xml:space="preserve"> characterized by a profile of linguistic strengths and weaknesses that emerges from age 7;0 – 8;0 years and persists into adulthood. Key features of this profile are that speech (phonology and articulation) and grammar (syntax and morphosy</w:t>
      </w:r>
      <w:r w:rsidR="00733F0A">
        <w:rPr>
          <w:lang w:eastAsia="en-GB"/>
        </w:rPr>
        <w:t>ntax) are mental-age appropriate;</w:t>
      </w:r>
      <w:r w:rsidR="00670F87">
        <w:rPr>
          <w:lang w:eastAsia="en-GB"/>
        </w:rPr>
        <w:t xml:space="preserve"> whereas lexical semantics, comprising vocabulary and meaning, is </w:t>
      </w:r>
      <w:r w:rsidR="00CD3DDE">
        <w:rPr>
          <w:lang w:eastAsia="en-GB"/>
        </w:rPr>
        <w:t>characterised by</w:t>
      </w:r>
      <w:r w:rsidR="00670F87">
        <w:rPr>
          <w:lang w:eastAsia="en-GB"/>
        </w:rPr>
        <w:t xml:space="preserve"> impaired comprehension and </w:t>
      </w:r>
      <w:r w:rsidR="00CD3DDE">
        <w:rPr>
          <w:lang w:eastAsia="en-GB"/>
        </w:rPr>
        <w:t>a</w:t>
      </w:r>
      <w:r w:rsidR="00670F87">
        <w:rPr>
          <w:lang w:eastAsia="en-GB"/>
        </w:rPr>
        <w:t xml:space="preserve"> narrowed, denotative, and sometimes idiosyncratic use of meanings of words and phrases in expressive language. Although autistic individuals </w:t>
      </w:r>
      <w:r w:rsidR="00CD3DDE">
        <w:rPr>
          <w:lang w:eastAsia="en-GB"/>
        </w:rPr>
        <w:t>with typical language</w:t>
      </w:r>
      <w:r w:rsidR="00670F87">
        <w:rPr>
          <w:lang w:eastAsia="en-GB"/>
        </w:rPr>
        <w:t xml:space="preserve"> (hereafter ASD</w:t>
      </w:r>
      <w:r w:rsidR="00670F87">
        <w:rPr>
          <w:vertAlign w:val="superscript"/>
          <w:lang w:eastAsia="en-GB"/>
        </w:rPr>
        <w:t>TL</w:t>
      </w:r>
      <w:r w:rsidR="00670F87">
        <w:rPr>
          <w:lang w:eastAsia="en-GB"/>
        </w:rPr>
        <w:t>) have</w:t>
      </w:r>
      <w:r w:rsidR="00CD3DDE">
        <w:rPr>
          <w:lang w:eastAsia="en-GB"/>
        </w:rPr>
        <w:t xml:space="preserve"> </w:t>
      </w:r>
      <w:r w:rsidR="00670F87">
        <w:rPr>
          <w:lang w:eastAsia="en-GB"/>
        </w:rPr>
        <w:t>no clinically significant language impairments, their language is nevertheless also often described as ‘</w:t>
      </w:r>
      <w:r w:rsidR="00670F87">
        <w:t>idiosyncratic’ and ‘pedanti</w:t>
      </w:r>
      <w:r w:rsidR="003B2A33">
        <w:t xml:space="preserve">c’ (Asperger, 1994, translated </w:t>
      </w:r>
      <w:r w:rsidR="00670F87">
        <w:t xml:space="preserve">in Frith, 1991; Tantam, 1988; Volden &amp; Lord, 1991; Mayes &amp; </w:t>
      </w:r>
      <w:r w:rsidR="00670F87" w:rsidRPr="000957EB">
        <w:t>Ca</w:t>
      </w:r>
      <w:r w:rsidR="000957EB" w:rsidRPr="000957EB">
        <w:t>l</w:t>
      </w:r>
      <w:r w:rsidR="00670F87" w:rsidRPr="000957EB">
        <w:t>houn,</w:t>
      </w:r>
      <w:r w:rsidR="00670F87">
        <w:t xml:space="preserve"> 2001)</w:t>
      </w:r>
      <w:r w:rsidR="00CD3DDE">
        <w:t xml:space="preserve"> and there are </w:t>
      </w:r>
      <w:r w:rsidR="00670F87">
        <w:t>differences in how individual</w:t>
      </w:r>
      <w:r w:rsidR="00CD3DDE">
        <w:t>s relate</w:t>
      </w:r>
      <w:r w:rsidR="00670F87">
        <w:t xml:space="preserve"> word</w:t>
      </w:r>
      <w:r w:rsidR="00CD3DDE">
        <w:t xml:space="preserve"> meanings</w:t>
      </w:r>
      <w:r w:rsidR="00670F87">
        <w:t xml:space="preserve"> to one another to constitute higher-order </w:t>
      </w:r>
      <w:r w:rsidR="00A32138">
        <w:t>concepts</w:t>
      </w:r>
      <w:r w:rsidR="00670F87">
        <w:t xml:space="preserve"> (Bowler, Matthews &amp; Gardiner, 1997; Minshew, Meyer &amp; Goldstein, 2002; Dunn &amp; Bates, 2005; Bowler, Gaigg &amp; Gardiner, 2008). These characteristic abnormalities in lexical </w:t>
      </w:r>
      <w:r w:rsidR="00670F87">
        <w:lastRenderedPageBreak/>
        <w:t xml:space="preserve">semantics appear to be </w:t>
      </w:r>
      <w:r w:rsidR="00670F87" w:rsidRPr="00886367">
        <w:t xml:space="preserve">unique to </w:t>
      </w:r>
      <w:r w:rsidR="00CD3DDE">
        <w:t>autism</w:t>
      </w:r>
      <w:r w:rsidR="00670F87" w:rsidRPr="00886367">
        <w:t xml:space="preserve">: specific language impairment (SLI) is predominantly characterized by grammatical and phonological abnormalities </w:t>
      </w:r>
      <w:r w:rsidR="00670F87" w:rsidRPr="00C54AAD">
        <w:t>(</w:t>
      </w:r>
      <w:r w:rsidR="00C54AAD">
        <w:t>Williams, Botting &amp; Boucher, 2008; Leonard, 2014</w:t>
      </w:r>
      <w:r w:rsidR="00670F87" w:rsidRPr="00C54AAD">
        <w:t>);</w:t>
      </w:r>
      <w:r w:rsidR="00670F87" w:rsidRPr="00886367">
        <w:t xml:space="preserve"> and language impairments in individuals with LD without autism tend to be global </w:t>
      </w:r>
      <w:r w:rsidR="00670F87">
        <w:t>(Dockrell et</w:t>
      </w:r>
      <w:r w:rsidR="00D03C9F">
        <w:t xml:space="preserve"> </w:t>
      </w:r>
      <w:r w:rsidR="00670F87">
        <w:t>al., 2012a; Dockrell et al.,2012b). It is note</w:t>
      </w:r>
      <w:r w:rsidR="00A32138">
        <w:t>worthy</w:t>
      </w:r>
      <w:r w:rsidR="00670F87">
        <w:t>, however, that both SLI and also LD of socio-cultural or syndromic origin can co-occur with ASD, complicating the linguistic</w:t>
      </w:r>
      <w:r w:rsidR="00A60FE2">
        <w:t xml:space="preserve"> profile in a minority of cases </w:t>
      </w:r>
      <w:r w:rsidR="00CC3FA2">
        <w:t xml:space="preserve">(Boucher, </w:t>
      </w:r>
      <w:r w:rsidR="00A60FE2" w:rsidRPr="00DA6CBC">
        <w:t>2012).</w:t>
      </w:r>
      <w:r w:rsidR="00670F87">
        <w:t xml:space="preserve"> </w:t>
      </w:r>
      <w:r w:rsidR="00670F87">
        <w:rPr>
          <w:color w:val="FF0000"/>
        </w:rPr>
        <w:t xml:space="preserve">  </w:t>
      </w:r>
    </w:p>
    <w:p w:rsidR="00B3113C" w:rsidRDefault="00687331" w:rsidP="00E77FB2">
      <w:pPr>
        <w:spacing w:after="0" w:line="480" w:lineRule="auto"/>
      </w:pPr>
      <w:r>
        <w:tab/>
      </w:r>
      <w:r w:rsidR="00A60FE2">
        <w:t>A</w:t>
      </w:r>
      <w:r w:rsidR="00670F87">
        <w:t xml:space="preserve">ttempts to explain LI in </w:t>
      </w:r>
      <w:r w:rsidR="00CD3DDE">
        <w:t>autism</w:t>
      </w:r>
      <w:r w:rsidR="00670F87">
        <w:rPr>
          <w:vertAlign w:val="superscript"/>
          <w:lang w:eastAsia="en-GB"/>
        </w:rPr>
        <w:t xml:space="preserve"> </w:t>
      </w:r>
      <w:r w:rsidR="00670F87">
        <w:t>focused initially on co-morbid SLI (</w:t>
      </w:r>
      <w:r w:rsidR="00E11614" w:rsidRPr="007E7323">
        <w:rPr>
          <w:lang w:val="en-GB"/>
        </w:rPr>
        <w:t>Bart</w:t>
      </w:r>
      <w:r w:rsidR="00D9591C" w:rsidRPr="007E7323">
        <w:rPr>
          <w:lang w:val="en-GB"/>
        </w:rPr>
        <w:t xml:space="preserve">ak et al., 1975, 1977; Cantwell, Baker &amp; Rutter, </w:t>
      </w:r>
      <w:r w:rsidR="00E11614" w:rsidRPr="007E7323">
        <w:rPr>
          <w:lang w:val="en-GB"/>
        </w:rPr>
        <w:t>1978</w:t>
      </w:r>
      <w:r w:rsidR="00670F87">
        <w:t xml:space="preserve">) and later on the role of impaired ’theory of mind’ (Bloom, </w:t>
      </w:r>
      <w:r w:rsidR="00E728F4">
        <w:t>2000</w:t>
      </w:r>
      <w:r w:rsidR="00670F87">
        <w:t xml:space="preserve">). </w:t>
      </w:r>
      <w:r w:rsidR="00CD3DDE">
        <w:t>Co</w:t>
      </w:r>
      <w:r w:rsidR="00670F87">
        <w:t>-morbid SLI is undoubtedly a contributory factor in a minority of cases</w:t>
      </w:r>
      <w:r w:rsidR="00CD3DDE">
        <w:t xml:space="preserve"> and it </w:t>
      </w:r>
      <w:r w:rsidR="00670F87">
        <w:t xml:space="preserve">is equally </w:t>
      </w:r>
      <w:r w:rsidR="00CD3DDE">
        <w:t xml:space="preserve">uncontroversial </w:t>
      </w:r>
      <w:r w:rsidR="00670F87">
        <w:t>that diminished socio-</w:t>
      </w:r>
      <w:r w:rsidR="00FD0913">
        <w:t xml:space="preserve">cognitive </w:t>
      </w:r>
      <w:r w:rsidR="00670F87">
        <w:t xml:space="preserve">abilities will have some specific effects on language acquisition. As noted by Bloom, however, these hypotheses cannot </w:t>
      </w:r>
      <w:r w:rsidR="00733F0A">
        <w:t>individually</w:t>
      </w:r>
      <w:r w:rsidR="00670F87">
        <w:t xml:space="preserve"> </w:t>
      </w:r>
      <w:r w:rsidR="00733F0A">
        <w:t xml:space="preserve">or jointly </w:t>
      </w:r>
      <w:r w:rsidR="00670F87">
        <w:t xml:space="preserve">explain the syndrome-specific profile of significant lexical-semantic abnormalities observed in </w:t>
      </w:r>
      <w:r w:rsidR="00670F87">
        <w:rPr>
          <w:lang w:eastAsia="en-GB"/>
        </w:rPr>
        <w:t>ASD</w:t>
      </w:r>
      <w:r w:rsidR="00670F87">
        <w:rPr>
          <w:vertAlign w:val="superscript"/>
          <w:lang w:eastAsia="en-GB"/>
        </w:rPr>
        <w:t>LI/LD</w:t>
      </w:r>
      <w:r w:rsidR="00733F0A">
        <w:t>.  This argument led</w:t>
      </w:r>
      <w:r w:rsidR="00FD0913">
        <w:t xml:space="preserve"> </w:t>
      </w:r>
      <w:r w:rsidR="000D6D57">
        <w:t xml:space="preserve">Mayes and Boucher </w:t>
      </w:r>
      <w:r w:rsidR="00733F0A">
        <w:t xml:space="preserve">(2008) </w:t>
      </w:r>
      <w:r w:rsidR="00FD0913">
        <w:t xml:space="preserve">to </w:t>
      </w:r>
      <w:r w:rsidR="000D6D57">
        <w:t>propose</w:t>
      </w:r>
      <w:r w:rsidR="00FD0913">
        <w:t xml:space="preserve"> </w:t>
      </w:r>
      <w:r w:rsidR="000D6D57">
        <w:t xml:space="preserve">impaired declarative memory </w:t>
      </w:r>
      <w:r w:rsidR="002C67A7">
        <w:t xml:space="preserve">as an </w:t>
      </w:r>
      <w:r w:rsidR="00733F0A">
        <w:t xml:space="preserve">additional and critical </w:t>
      </w:r>
      <w:r w:rsidR="002C67A7">
        <w:t>explanation of</w:t>
      </w:r>
      <w:r w:rsidR="000D6D57">
        <w:t xml:space="preserve"> </w:t>
      </w:r>
      <w:r w:rsidR="00FD0913">
        <w:t>LI and LD</w:t>
      </w:r>
      <w:r w:rsidR="000D6D57">
        <w:t xml:space="preserve"> in what was then termed ‘lower-functioning autism’</w:t>
      </w:r>
      <w:r w:rsidR="003347F7">
        <w:t>.</w:t>
      </w:r>
      <w:r w:rsidR="000D6D57">
        <w:t xml:space="preserve"> This hypothesis was based on the</w:t>
      </w:r>
      <w:r w:rsidR="006F2D1F">
        <w:t xml:space="preserve"> dual-</w:t>
      </w:r>
      <w:r w:rsidR="0061383C">
        <w:t>systems model of language acquisition as proposed by Chomsky (1965) and Pinker (</w:t>
      </w:r>
      <w:r w:rsidR="00DD5A46">
        <w:t>1994</w:t>
      </w:r>
      <w:r w:rsidR="003347F7">
        <w:t>), and</w:t>
      </w:r>
      <w:r w:rsidR="0061383C">
        <w:t xml:space="preserve"> </w:t>
      </w:r>
      <w:r w:rsidR="003347F7">
        <w:t xml:space="preserve">later </w:t>
      </w:r>
      <w:r w:rsidR="0061383C">
        <w:t>ar</w:t>
      </w:r>
      <w:r w:rsidR="003347F7">
        <w:t xml:space="preserve">gued for by </w:t>
      </w:r>
      <w:r w:rsidR="005557AB">
        <w:t xml:space="preserve">Ullman </w:t>
      </w:r>
      <w:r w:rsidR="003347F7">
        <w:t>(</w:t>
      </w:r>
      <w:r w:rsidR="005557AB">
        <w:t>2001</w:t>
      </w:r>
      <w:r w:rsidR="003347F7">
        <w:t>).</w:t>
      </w:r>
      <w:r w:rsidR="0061383C">
        <w:t xml:space="preserve"> </w:t>
      </w:r>
      <w:r w:rsidR="003347F7">
        <w:t>According to this model,</w:t>
      </w:r>
      <w:r w:rsidR="0061383C">
        <w:t xml:space="preserve"> declarative memory is critically involved in the acquisition of a ‘mental lexicon’ whereas non-declarative memory is critically involved in the acquisition of a ‘mental grammar’. </w:t>
      </w:r>
      <w:r w:rsidR="003347F7">
        <w:t xml:space="preserve"> </w:t>
      </w:r>
    </w:p>
    <w:p w:rsidR="00497CAE" w:rsidRDefault="00552F99" w:rsidP="00E77FB2">
      <w:pPr>
        <w:spacing w:after="0" w:line="480" w:lineRule="auto"/>
      </w:pPr>
      <w:r>
        <w:tab/>
      </w:r>
      <w:r w:rsidR="007E3F0B">
        <w:t xml:space="preserve">Declarative memory encompasses two partially distinct processes – recollection and familiarity (Aggleton &amp; Brown, 1999; Yonelinas et al., 2005; Migo et al., 2009). </w:t>
      </w:r>
      <w:r w:rsidR="007E3F0B">
        <w:rPr>
          <w:lang w:eastAsia="en-GB"/>
        </w:rPr>
        <w:t xml:space="preserve">’Recollection’ is the process of remembering past experiences including </w:t>
      </w:r>
      <w:r w:rsidR="00497CAE">
        <w:rPr>
          <w:lang w:eastAsia="en-GB"/>
        </w:rPr>
        <w:t xml:space="preserve">rich </w:t>
      </w:r>
      <w:r w:rsidR="007E3F0B">
        <w:rPr>
          <w:lang w:eastAsia="en-GB"/>
        </w:rPr>
        <w:t>contextual detail</w:t>
      </w:r>
      <w:r w:rsidR="00497CAE">
        <w:rPr>
          <w:lang w:eastAsia="en-GB"/>
        </w:rPr>
        <w:t xml:space="preserve"> (where, when, how etc.), whereas</w:t>
      </w:r>
      <w:r w:rsidR="007E3F0B">
        <w:rPr>
          <w:lang w:eastAsia="en-GB"/>
        </w:rPr>
        <w:t xml:space="preserve"> ‘</w:t>
      </w:r>
      <w:r w:rsidR="00497CAE">
        <w:t>f</w:t>
      </w:r>
      <w:r w:rsidR="007E3F0B">
        <w:t xml:space="preserve">amiliarity’ describes the feeling of having experienced a stimulus before without necessarily recalling any contextual information. </w:t>
      </w:r>
      <w:r w:rsidR="00831A4E">
        <w:t>Mayes and Boucher</w:t>
      </w:r>
      <w:r w:rsidR="003506A8">
        <w:t xml:space="preserve"> </w:t>
      </w:r>
      <w:r w:rsidR="003A787F">
        <w:t>(</w:t>
      </w:r>
      <w:r w:rsidR="009B6A49">
        <w:t xml:space="preserve">2008; </w:t>
      </w:r>
      <w:r w:rsidR="003A787F">
        <w:t xml:space="preserve">see also </w:t>
      </w:r>
      <w:r w:rsidR="00A60FE2">
        <w:t xml:space="preserve">Boucher &amp; Mayes, 2011; </w:t>
      </w:r>
      <w:r w:rsidR="00921900">
        <w:t xml:space="preserve">Boucher, 2012; </w:t>
      </w:r>
      <w:r w:rsidR="003A787F">
        <w:t xml:space="preserve">Boucher &amp; Anns, 2018) </w:t>
      </w:r>
      <w:r w:rsidR="003506A8">
        <w:t xml:space="preserve">argued that </w:t>
      </w:r>
      <w:r w:rsidR="0054416B">
        <w:lastRenderedPageBreak/>
        <w:t xml:space="preserve">evidence of selectively impaired </w:t>
      </w:r>
      <w:r w:rsidR="007E3F0B">
        <w:t>recollection</w:t>
      </w:r>
      <w:r w:rsidR="0054416B">
        <w:t xml:space="preserve"> in ASD</w:t>
      </w:r>
      <w:r w:rsidR="0054416B">
        <w:rPr>
          <w:vertAlign w:val="superscript"/>
        </w:rPr>
        <w:t>TL</w:t>
      </w:r>
      <w:r w:rsidR="0054416B">
        <w:t xml:space="preserve"> (</w:t>
      </w:r>
      <w:r w:rsidR="0054416B" w:rsidRPr="008C7006">
        <w:t>BenShalom, 2003</w:t>
      </w:r>
      <w:r w:rsidR="0054416B">
        <w:t>; Bowler, Gaigg, &amp; Lind, 2011; Boucher, Mayes &amp; Bigham, 2012</w:t>
      </w:r>
      <w:r w:rsidR="009D2E1B">
        <w:t xml:space="preserve">; </w:t>
      </w:r>
      <w:r w:rsidR="00EB2FE9">
        <w:t xml:space="preserve">Bigham, Boucher, Mayes &amp; Anns, 2010; </w:t>
      </w:r>
      <w:r w:rsidR="009D2E1B" w:rsidRPr="00966774">
        <w:t>Cooper &amp; Simons, 2018</w:t>
      </w:r>
      <w:r w:rsidR="0054416B">
        <w:t xml:space="preserve">) is consistent with the mild lexical-semantic anomalies noted by Asperger and others; whereas more pervasive declarative memory impairments </w:t>
      </w:r>
      <w:r w:rsidR="00E74301">
        <w:t>in ASD</w:t>
      </w:r>
      <w:r w:rsidR="00E74301">
        <w:rPr>
          <w:vertAlign w:val="superscript"/>
        </w:rPr>
        <w:t>LI</w:t>
      </w:r>
      <w:r w:rsidR="00FD0913">
        <w:rPr>
          <w:vertAlign w:val="superscript"/>
        </w:rPr>
        <w:t>/</w:t>
      </w:r>
      <w:r w:rsidR="00E74301">
        <w:rPr>
          <w:vertAlign w:val="superscript"/>
        </w:rPr>
        <w:t>LD</w:t>
      </w:r>
      <w:r w:rsidR="007E3F0B">
        <w:t xml:space="preserve"> </w:t>
      </w:r>
      <w:r w:rsidR="009B6A49">
        <w:t>affecting</w:t>
      </w:r>
      <w:r w:rsidR="0054416B">
        <w:t xml:space="preserve"> </w:t>
      </w:r>
      <w:r w:rsidR="003174F6" w:rsidRPr="009B6A49">
        <w:t>both</w:t>
      </w:r>
      <w:r w:rsidR="003174F6">
        <w:t xml:space="preserve"> </w:t>
      </w:r>
      <w:r w:rsidR="007E3F0B">
        <w:t xml:space="preserve">recollection </w:t>
      </w:r>
      <w:r w:rsidR="00497CAE">
        <w:t>and</w:t>
      </w:r>
      <w:r w:rsidR="007E3F0B">
        <w:t xml:space="preserve"> familiarity</w:t>
      </w:r>
      <w:r w:rsidR="0054416B">
        <w:t xml:space="preserve"> could explain the </w:t>
      </w:r>
      <w:r w:rsidR="004A2364">
        <w:t>increasingly severe</w:t>
      </w:r>
      <w:r w:rsidR="0054416B">
        <w:t xml:space="preserve"> lexical-semantic impairments in </w:t>
      </w:r>
      <w:r w:rsidR="00E74301">
        <w:t>this group</w:t>
      </w:r>
      <w:r w:rsidR="00BF781D">
        <w:t xml:space="preserve">.  </w:t>
      </w:r>
      <w:r w:rsidR="004A2364">
        <w:t xml:space="preserve">It was further </w:t>
      </w:r>
      <w:r w:rsidR="0054416B">
        <w:t xml:space="preserve">argued that </w:t>
      </w:r>
      <w:r w:rsidR="00BF781D">
        <w:t xml:space="preserve">the substantial body of evidence indicating mental-age appropriate </w:t>
      </w:r>
      <w:r w:rsidR="0054416B">
        <w:t xml:space="preserve">procedural memory </w:t>
      </w:r>
      <w:r w:rsidR="00020A39">
        <w:t>across the spectrum</w:t>
      </w:r>
      <w:r w:rsidR="00FA574D">
        <w:t xml:space="preserve"> (</w:t>
      </w:r>
      <w:r w:rsidR="00FA574D">
        <w:rPr>
          <w:rFonts w:eastAsia="AdvTimes"/>
        </w:rPr>
        <w:t>Foti</w:t>
      </w:r>
      <w:r w:rsidR="00086F29">
        <w:rPr>
          <w:rFonts w:eastAsia="AdvTimes"/>
        </w:rPr>
        <w:t xml:space="preserve"> et al., </w:t>
      </w:r>
      <w:r w:rsidR="00831A4E">
        <w:rPr>
          <w:rFonts w:eastAsia="AdvTimes"/>
        </w:rPr>
        <w:t>2015</w:t>
      </w:r>
      <w:r w:rsidR="00C06387">
        <w:rPr>
          <w:rFonts w:eastAsia="AdvTimes"/>
        </w:rPr>
        <w:t xml:space="preserve">; </w:t>
      </w:r>
      <w:r w:rsidR="00B34123">
        <w:rPr>
          <w:rFonts w:eastAsia="AdvTimes"/>
        </w:rPr>
        <w:t xml:space="preserve">Obeid et al., 2016; </w:t>
      </w:r>
      <w:r w:rsidR="00C06387">
        <w:rPr>
          <w:rFonts w:eastAsia="AdvTimes"/>
        </w:rPr>
        <w:t>Clark &amp; Lum, 2017</w:t>
      </w:r>
      <w:r w:rsidR="00831A4E">
        <w:t>)</w:t>
      </w:r>
      <w:r w:rsidR="00366F08">
        <w:t xml:space="preserve"> is consistent with evidence of mental-age-appropriate phonology and grammar</w:t>
      </w:r>
      <w:r w:rsidR="00BF781D">
        <w:t xml:space="preserve"> across the spectrum</w:t>
      </w:r>
      <w:r w:rsidR="00366F08">
        <w:t xml:space="preserve"> </w:t>
      </w:r>
      <w:r w:rsidR="005829BF">
        <w:t>(Boucher &amp; Anns, 2018)</w:t>
      </w:r>
      <w:r w:rsidR="00A754C2">
        <w:t xml:space="preserve">. </w:t>
      </w:r>
    </w:p>
    <w:p w:rsidR="003666BB" w:rsidRDefault="00FF405E" w:rsidP="00E77FB2">
      <w:pPr>
        <w:spacing w:after="0" w:line="480" w:lineRule="auto"/>
        <w:ind w:firstLine="720"/>
      </w:pPr>
      <w:r>
        <w:t xml:space="preserve">A </w:t>
      </w:r>
      <w:r w:rsidR="00A60FE2">
        <w:t xml:space="preserve">preliminary </w:t>
      </w:r>
      <w:r>
        <w:t>test of</w:t>
      </w:r>
      <w:r w:rsidR="00803F67">
        <w:t xml:space="preserve"> the impaired declarative memory</w:t>
      </w:r>
      <w:r w:rsidR="002C67A7">
        <w:t xml:space="preserve"> hypothesis</w:t>
      </w:r>
      <w:r>
        <w:t xml:space="preserve"> </w:t>
      </w:r>
      <w:r w:rsidR="007E3F0B">
        <w:t xml:space="preserve">confirmed that recognition memory </w:t>
      </w:r>
      <w:r w:rsidR="00497CAE">
        <w:t>was indeed associated with measures of lexical semantics in autism</w:t>
      </w:r>
      <w:r w:rsidR="00890018">
        <w:t xml:space="preserve">.  However, </w:t>
      </w:r>
      <w:r w:rsidR="00803F67">
        <w:t>the ASD g</w:t>
      </w:r>
      <w:r w:rsidR="009D1B70" w:rsidRPr="00886367">
        <w:t>roup</w:t>
      </w:r>
      <w:r w:rsidR="00344305">
        <w:t>s</w:t>
      </w:r>
      <w:r w:rsidR="00497CAE">
        <w:t xml:space="preserve"> performed more similarly</w:t>
      </w:r>
      <w:r w:rsidR="009D1B70" w:rsidRPr="00886367">
        <w:t xml:space="preserve"> than </w:t>
      </w:r>
      <w:r w:rsidR="005838F0" w:rsidRPr="00886367">
        <w:t>expected (Boucher, Bigham, May</w:t>
      </w:r>
      <w:r w:rsidR="009D1B70" w:rsidRPr="00886367">
        <w:t>es &amp; Muskett, 2008)</w:t>
      </w:r>
      <w:r w:rsidR="00803F67">
        <w:t>.  In addition,</w:t>
      </w:r>
      <w:r w:rsidR="00497CAE">
        <w:t xml:space="preserve"> the recognition memory test used was not designed to distinguish between the unique contributions of recollection and familiarity to performance. </w:t>
      </w:r>
      <w:r w:rsidR="00092FDF">
        <w:t>T</w:t>
      </w:r>
      <w:r w:rsidR="00921900">
        <w:t xml:space="preserve">he </w:t>
      </w:r>
      <w:r w:rsidR="00B10854">
        <w:t>aim of</w:t>
      </w:r>
      <w:r w:rsidR="00890018">
        <w:t xml:space="preserve"> the </w:t>
      </w:r>
      <w:r w:rsidR="000B52D1">
        <w:t xml:space="preserve">experiments </w:t>
      </w:r>
      <w:r w:rsidR="00921900">
        <w:t xml:space="preserve">reported </w:t>
      </w:r>
      <w:r w:rsidR="00890018">
        <w:t>here w</w:t>
      </w:r>
      <w:r w:rsidR="00B10854">
        <w:t>as</w:t>
      </w:r>
      <w:r w:rsidR="00890018">
        <w:t xml:space="preserve"> to extend</w:t>
      </w:r>
      <w:r w:rsidR="00DB5E30">
        <w:t xml:space="preserve"> this earlier work by </w:t>
      </w:r>
      <w:r w:rsidR="003666BB">
        <w:t>assess</w:t>
      </w:r>
      <w:r w:rsidR="00DB5E30">
        <w:t>ing both</w:t>
      </w:r>
      <w:r w:rsidR="003666BB">
        <w:t xml:space="preserve"> </w:t>
      </w:r>
      <w:r w:rsidR="008B6B0E">
        <w:t xml:space="preserve">recollection and familiarity in </w:t>
      </w:r>
      <w:r w:rsidR="00D04199">
        <w:t xml:space="preserve">groups of </w:t>
      </w:r>
      <w:r w:rsidR="008B6B0E">
        <w:t>participants with ASD</w:t>
      </w:r>
      <w:r w:rsidR="008B6B0E">
        <w:rPr>
          <w:vertAlign w:val="superscript"/>
        </w:rPr>
        <w:t>TL</w:t>
      </w:r>
      <w:r w:rsidR="008B6B0E">
        <w:t xml:space="preserve"> </w:t>
      </w:r>
      <w:r w:rsidR="00DA5873">
        <w:t xml:space="preserve">and </w:t>
      </w:r>
      <w:r w:rsidR="00D04199">
        <w:t xml:space="preserve">with </w:t>
      </w:r>
      <w:r w:rsidR="008B6B0E">
        <w:t>ASD</w:t>
      </w:r>
      <w:r w:rsidR="008B6B0E">
        <w:rPr>
          <w:vertAlign w:val="superscript"/>
        </w:rPr>
        <w:t>LI</w:t>
      </w:r>
      <w:r w:rsidR="00DA5873">
        <w:rPr>
          <w:vertAlign w:val="superscript"/>
        </w:rPr>
        <w:t>/</w:t>
      </w:r>
      <w:r w:rsidR="008B6B0E">
        <w:rPr>
          <w:vertAlign w:val="superscript"/>
        </w:rPr>
        <w:t>LD</w:t>
      </w:r>
      <w:r w:rsidR="00B10854">
        <w:t>, predicting that the results would show the following:</w:t>
      </w:r>
    </w:p>
    <w:p w:rsidR="00ED0286" w:rsidRDefault="00ED0286" w:rsidP="00E77FB2">
      <w:pPr>
        <w:spacing w:after="0" w:line="480" w:lineRule="auto"/>
      </w:pPr>
    </w:p>
    <w:p w:rsidR="00ED0286" w:rsidRPr="00B71F5C" w:rsidRDefault="00B71F5C" w:rsidP="00E77FB2">
      <w:pPr>
        <w:spacing w:after="0" w:line="480" w:lineRule="auto"/>
        <w:ind w:left="567" w:hanging="567"/>
      </w:pPr>
      <w:r>
        <w:t xml:space="preserve">1) </w:t>
      </w:r>
      <w:r>
        <w:tab/>
        <w:t xml:space="preserve">(a) </w:t>
      </w:r>
      <w:r w:rsidR="00520A93">
        <w:t xml:space="preserve">impairments in </w:t>
      </w:r>
      <w:r w:rsidR="00ED0286">
        <w:rPr>
          <w:lang w:eastAsia="en-GB"/>
        </w:rPr>
        <w:t>ASD</w:t>
      </w:r>
      <w:r w:rsidR="00ED0286">
        <w:rPr>
          <w:vertAlign w:val="superscript"/>
          <w:lang w:eastAsia="en-GB"/>
        </w:rPr>
        <w:t>LI/LD</w:t>
      </w:r>
      <w:r w:rsidR="00ED0286">
        <w:rPr>
          <w:lang w:eastAsia="en-GB"/>
        </w:rPr>
        <w:t xml:space="preserve"> teenagers </w:t>
      </w:r>
      <w:r w:rsidR="00ED0286">
        <w:t xml:space="preserve">on tests of familiarity and recollection relative to </w:t>
      </w:r>
      <w:r w:rsidR="00FD6E4A">
        <w:t>primary</w:t>
      </w:r>
      <w:r w:rsidR="005829BF">
        <w:t>-scho</w:t>
      </w:r>
      <w:r w:rsidR="00D11A62">
        <w:t>o</w:t>
      </w:r>
      <w:r w:rsidR="005829BF">
        <w:t>l-aged</w:t>
      </w:r>
      <w:r w:rsidR="00195005">
        <w:t xml:space="preserve"> TD children</w:t>
      </w:r>
      <w:r>
        <w:t>;</w:t>
      </w:r>
      <w:r w:rsidR="00ED0286">
        <w:t xml:space="preserve"> </w:t>
      </w:r>
      <w:r w:rsidR="00ED0286" w:rsidRPr="00DF0224">
        <w:t xml:space="preserve">and </w:t>
      </w:r>
      <w:r>
        <w:t xml:space="preserve">(b) </w:t>
      </w:r>
      <w:r w:rsidR="00ED0286" w:rsidRPr="00DF0224">
        <w:t>relative to teenagers with LD</w:t>
      </w:r>
      <w:r>
        <w:t xml:space="preserve"> </w:t>
      </w:r>
      <w:r w:rsidRPr="00DF0224">
        <w:t xml:space="preserve">(following </w:t>
      </w:r>
      <w:r w:rsidR="00AB4497">
        <w:t xml:space="preserve">Ni </w:t>
      </w:r>
      <w:r w:rsidRPr="00DF0224">
        <w:t>Chuileann &amp; Quigley</w:t>
      </w:r>
      <w:r w:rsidR="00DB5E30">
        <w:t>, 2013</w:t>
      </w:r>
      <w:r w:rsidRPr="00DF0224">
        <w:t>)</w:t>
      </w:r>
      <w:r w:rsidR="00ED0286" w:rsidRPr="00DF0224">
        <w:t>.</w:t>
      </w:r>
    </w:p>
    <w:p w:rsidR="00ED0286" w:rsidRDefault="00B71F5C" w:rsidP="00E77FB2">
      <w:pPr>
        <w:spacing w:after="0" w:line="480" w:lineRule="auto"/>
        <w:ind w:left="567" w:hanging="567"/>
      </w:pPr>
      <w:r>
        <w:t xml:space="preserve">2) </w:t>
      </w:r>
      <w:r>
        <w:tab/>
      </w:r>
      <w:r w:rsidR="00520A93">
        <w:t xml:space="preserve">impairments in </w:t>
      </w:r>
      <w:r w:rsidR="00ED0286">
        <w:rPr>
          <w:lang w:eastAsia="en-GB"/>
        </w:rPr>
        <w:t>ASD</w:t>
      </w:r>
      <w:r w:rsidR="00ED0286">
        <w:rPr>
          <w:vertAlign w:val="superscript"/>
          <w:lang w:eastAsia="en-GB"/>
        </w:rPr>
        <w:t>TL</w:t>
      </w:r>
      <w:r w:rsidR="00ED0286">
        <w:t xml:space="preserve"> </w:t>
      </w:r>
      <w:r w:rsidR="005829BF">
        <w:t>children</w:t>
      </w:r>
      <w:r w:rsidR="00ED0286">
        <w:t xml:space="preserve"> relative to TD children only on tests of </w:t>
      </w:r>
      <w:r w:rsidR="00520A93">
        <w:t xml:space="preserve">recollection, </w:t>
      </w:r>
      <w:r w:rsidR="00ED0286">
        <w:t>demonstrat</w:t>
      </w:r>
      <w:r w:rsidR="00520A93">
        <w:t>ing</w:t>
      </w:r>
      <w:r w:rsidR="00ED0286">
        <w:t xml:space="preserve"> superior familiarity </w:t>
      </w:r>
      <w:r w:rsidR="005829BF">
        <w:t xml:space="preserve">compared to teenagers with </w:t>
      </w:r>
      <w:r w:rsidR="00ED0286">
        <w:rPr>
          <w:lang w:eastAsia="en-GB"/>
        </w:rPr>
        <w:t>ASD</w:t>
      </w:r>
      <w:r w:rsidR="00ED0286">
        <w:rPr>
          <w:vertAlign w:val="superscript"/>
          <w:lang w:eastAsia="en-GB"/>
        </w:rPr>
        <w:t>LI/LD</w:t>
      </w:r>
      <w:r w:rsidR="00ED0286">
        <w:rPr>
          <w:lang w:eastAsia="en-GB"/>
        </w:rPr>
        <w:t>.</w:t>
      </w:r>
    </w:p>
    <w:p w:rsidR="00ED0286" w:rsidRDefault="00B71F5C" w:rsidP="00E77FB2">
      <w:pPr>
        <w:spacing w:after="0" w:line="480" w:lineRule="auto"/>
        <w:ind w:left="567" w:hanging="567"/>
      </w:pPr>
      <w:r>
        <w:t xml:space="preserve">3) </w:t>
      </w:r>
      <w:r>
        <w:tab/>
      </w:r>
      <w:r w:rsidR="00ED0286">
        <w:t xml:space="preserve">familiarity and recollection scores will correlate with measures of lexical-semantic knowledge in the </w:t>
      </w:r>
      <w:r w:rsidR="00ED0286">
        <w:rPr>
          <w:lang w:eastAsia="en-GB"/>
        </w:rPr>
        <w:t>ASD</w:t>
      </w:r>
      <w:r w:rsidR="00ED0286">
        <w:rPr>
          <w:vertAlign w:val="superscript"/>
          <w:lang w:eastAsia="en-GB"/>
        </w:rPr>
        <w:t>LI/LD</w:t>
      </w:r>
      <w:r w:rsidR="00ED0286">
        <w:rPr>
          <w:lang w:eastAsia="en-GB"/>
        </w:rPr>
        <w:t xml:space="preserve"> and ASD</w:t>
      </w:r>
      <w:r w:rsidR="00ED0286">
        <w:rPr>
          <w:vertAlign w:val="superscript"/>
          <w:lang w:eastAsia="en-GB"/>
        </w:rPr>
        <w:t>TL</w:t>
      </w:r>
      <w:r w:rsidR="00ED0286">
        <w:t xml:space="preserve"> groups but not the TD or LD groups.</w:t>
      </w:r>
    </w:p>
    <w:p w:rsidR="000F7CFF" w:rsidRDefault="000F7CFF" w:rsidP="00E77FB2">
      <w:pPr>
        <w:spacing w:after="0" w:line="480" w:lineRule="auto"/>
      </w:pPr>
    </w:p>
    <w:p w:rsidR="00DE7FF1" w:rsidRPr="00DF0224" w:rsidRDefault="00E90D48" w:rsidP="00E77FB2">
      <w:pPr>
        <w:pStyle w:val="Heading3"/>
        <w:numPr>
          <w:ilvl w:val="0"/>
          <w:numId w:val="0"/>
        </w:numPr>
        <w:spacing w:before="0"/>
        <w:rPr>
          <w:rFonts w:ascii="Times New Roman" w:hAnsi="Times New Roman" w:cs="Times New Roman"/>
          <w:sz w:val="28"/>
          <w:szCs w:val="28"/>
        </w:rPr>
      </w:pPr>
      <w:r w:rsidRPr="00DF0224">
        <w:rPr>
          <w:rFonts w:ascii="Times New Roman" w:hAnsi="Times New Roman" w:cs="Times New Roman"/>
          <w:sz w:val="28"/>
          <w:szCs w:val="28"/>
        </w:rPr>
        <w:t>Experiment</w:t>
      </w:r>
      <w:r w:rsidR="00DE7FF1" w:rsidRPr="00DF0224">
        <w:rPr>
          <w:rFonts w:ascii="Times New Roman" w:hAnsi="Times New Roman" w:cs="Times New Roman"/>
          <w:sz w:val="28"/>
          <w:szCs w:val="28"/>
        </w:rPr>
        <w:t xml:space="preserve"> 1</w:t>
      </w:r>
      <w:r w:rsidR="00F30FF0" w:rsidRPr="00DF0224">
        <w:rPr>
          <w:rFonts w:ascii="Times New Roman" w:hAnsi="Times New Roman" w:cs="Times New Roman"/>
          <w:sz w:val="28"/>
          <w:szCs w:val="28"/>
        </w:rPr>
        <w:t xml:space="preserve"> – Shape Recognition and Action Recall</w:t>
      </w:r>
    </w:p>
    <w:p w:rsidR="00ED0286" w:rsidRPr="00DF0224" w:rsidRDefault="00ED0286" w:rsidP="00E77FB2">
      <w:pPr>
        <w:pStyle w:val="Heading3"/>
        <w:numPr>
          <w:ilvl w:val="0"/>
          <w:numId w:val="0"/>
        </w:numPr>
        <w:spacing w:before="0"/>
        <w:rPr>
          <w:rFonts w:ascii="Times New Roman" w:hAnsi="Times New Roman" w:cs="Times New Roman"/>
        </w:rPr>
      </w:pPr>
      <w:r w:rsidRPr="00DF0224">
        <w:rPr>
          <w:rFonts w:ascii="Times New Roman" w:hAnsi="Times New Roman" w:cs="Times New Roman"/>
        </w:rPr>
        <w:t>Method</w:t>
      </w:r>
    </w:p>
    <w:p w:rsidR="00ED0286" w:rsidRPr="00DF0224" w:rsidRDefault="00ED0286" w:rsidP="00E77FB2">
      <w:pPr>
        <w:pStyle w:val="Heading4"/>
        <w:numPr>
          <w:ilvl w:val="0"/>
          <w:numId w:val="0"/>
        </w:numPr>
        <w:spacing w:before="0"/>
        <w:rPr>
          <w:rFonts w:ascii="Times New Roman" w:hAnsi="Times New Roman"/>
        </w:rPr>
      </w:pPr>
      <w:r w:rsidRPr="00DF0224">
        <w:rPr>
          <w:rFonts w:ascii="Times New Roman" w:hAnsi="Times New Roman"/>
        </w:rPr>
        <w:t>Participants</w:t>
      </w:r>
    </w:p>
    <w:p w:rsidR="00ED0286" w:rsidRPr="00DF0224" w:rsidRDefault="00ED0286" w:rsidP="00E77FB2">
      <w:pPr>
        <w:spacing w:after="0" w:line="480" w:lineRule="auto"/>
      </w:pPr>
      <w:r w:rsidRPr="00DF0224">
        <w:t xml:space="preserve">Four participant groups were recruited from mainstream and specialist schools/units in southern England: 19 </w:t>
      </w:r>
      <w:r w:rsidRPr="00DF0224">
        <w:rPr>
          <w:lang w:eastAsia="en-GB"/>
        </w:rPr>
        <w:t>ASD</w:t>
      </w:r>
      <w:r w:rsidRPr="00DF0224">
        <w:rPr>
          <w:vertAlign w:val="superscript"/>
          <w:lang w:eastAsia="en-GB"/>
        </w:rPr>
        <w:t>LI/LD</w:t>
      </w:r>
      <w:r w:rsidRPr="00DF0224">
        <w:t xml:space="preserve"> teenagers; 26 primary school age </w:t>
      </w:r>
      <w:r w:rsidRPr="00DF0224">
        <w:rPr>
          <w:lang w:eastAsia="en-GB"/>
        </w:rPr>
        <w:t>ASD</w:t>
      </w:r>
      <w:r w:rsidRPr="00DF0224">
        <w:rPr>
          <w:vertAlign w:val="superscript"/>
          <w:lang w:eastAsia="en-GB"/>
        </w:rPr>
        <w:t>TL</w:t>
      </w:r>
      <w:r w:rsidRPr="00DF0224">
        <w:t xml:space="preserve"> children; 32 primary school age TD children, and 26 LD teenagers. Participants in the two ASD groups </w:t>
      </w:r>
      <w:r w:rsidR="002033AB">
        <w:t>had</w:t>
      </w:r>
      <w:r w:rsidR="00FD6E4A">
        <w:t xml:space="preserve"> </w:t>
      </w:r>
      <w:r w:rsidR="00037815">
        <w:t xml:space="preserve">confirmation of their diagnosis </w:t>
      </w:r>
      <w:r w:rsidR="00894A30">
        <w:t xml:space="preserve">in their </w:t>
      </w:r>
      <w:r w:rsidRPr="00DF0224">
        <w:t>Statements of S</w:t>
      </w:r>
      <w:r w:rsidR="00894A30">
        <w:t>pecial Educational Needs (SSENs</w:t>
      </w:r>
      <w:r w:rsidR="002033AB">
        <w:t>)</w:t>
      </w:r>
      <w:r w:rsidRPr="00DF0224">
        <w:t xml:space="preserve">. SSENs of children in the LD group were reviewed to confirm no mention of autism and that learning disability was </w:t>
      </w:r>
      <w:r w:rsidR="00211D6E">
        <w:t>named as their core difficulty</w:t>
      </w:r>
      <w:r w:rsidRPr="00DF0224">
        <w:t xml:space="preserve">. Children in the TD group were described by their teachers as having ‘no significant </w:t>
      </w:r>
      <w:r w:rsidR="00211D6E">
        <w:t>difficulties</w:t>
      </w:r>
      <w:r w:rsidRPr="00DF0224">
        <w:t>’. The two teenage groups (</w:t>
      </w:r>
      <w:r w:rsidRPr="00DF0224">
        <w:rPr>
          <w:lang w:eastAsia="en-GB"/>
        </w:rPr>
        <w:t>ASD</w:t>
      </w:r>
      <w:r w:rsidRPr="00DF0224">
        <w:rPr>
          <w:vertAlign w:val="superscript"/>
          <w:lang w:eastAsia="en-GB"/>
        </w:rPr>
        <w:t>LI/LD</w:t>
      </w:r>
      <w:r w:rsidRPr="00DF0224">
        <w:rPr>
          <w:lang w:eastAsia="en-GB"/>
        </w:rPr>
        <w:t xml:space="preserve"> and LD)</w:t>
      </w:r>
      <w:r w:rsidRPr="00DF0224">
        <w:t xml:space="preserve"> were </w:t>
      </w:r>
      <w:r w:rsidR="00037815">
        <w:t>matched</w:t>
      </w:r>
      <w:r w:rsidR="00037815" w:rsidRPr="00DF0224">
        <w:t xml:space="preserve"> </w:t>
      </w:r>
      <w:r w:rsidRPr="00DF0224">
        <w:t>for age and VIQ as assessed by the Wechsler Abbreviated Scale of Intelligence (WASI, Wechsler, 1999)</w:t>
      </w:r>
      <w:r w:rsidRPr="00DF0224">
        <w:rPr>
          <w:lang w:eastAsia="en-GB"/>
        </w:rPr>
        <w:t>, with maximum VIQ of 75. The two younger groups (ASD</w:t>
      </w:r>
      <w:r w:rsidRPr="00DF0224">
        <w:rPr>
          <w:vertAlign w:val="superscript"/>
          <w:lang w:eastAsia="en-GB"/>
        </w:rPr>
        <w:t>TL</w:t>
      </w:r>
      <w:r w:rsidRPr="00DF0224">
        <w:rPr>
          <w:lang w:eastAsia="en-GB"/>
        </w:rPr>
        <w:t xml:space="preserve"> and TD) were also </w:t>
      </w:r>
      <w:r w:rsidR="00037815">
        <w:rPr>
          <w:lang w:eastAsia="en-GB"/>
        </w:rPr>
        <w:t>matched</w:t>
      </w:r>
      <w:r w:rsidR="00037815" w:rsidRPr="00DF0224">
        <w:rPr>
          <w:lang w:eastAsia="en-GB"/>
        </w:rPr>
        <w:t xml:space="preserve"> </w:t>
      </w:r>
      <w:r w:rsidRPr="00DF0224">
        <w:rPr>
          <w:lang w:eastAsia="en-GB"/>
        </w:rPr>
        <w:t>for age and VIQ, with minimum VIQ of 90</w:t>
      </w:r>
      <w:r w:rsidRPr="00FB69D4">
        <w:rPr>
          <w:lang w:eastAsia="en-GB"/>
        </w:rPr>
        <w:t xml:space="preserve">. </w:t>
      </w:r>
      <w:r w:rsidR="000F63A0" w:rsidRPr="00FB69D4">
        <w:rPr>
          <w:lang w:eastAsia="en-GB"/>
        </w:rPr>
        <w:t xml:space="preserve">Mean verbal ages for all four groups were between 9.0 and 10.0 years. </w:t>
      </w:r>
      <w:r w:rsidRPr="00DF0224">
        <w:rPr>
          <w:lang w:eastAsia="en-GB"/>
        </w:rPr>
        <w:t>Non-verbal IQ (NVIQ) w</w:t>
      </w:r>
      <w:r w:rsidRPr="00DF0224">
        <w:t>as assessed using Raven’s Coloured Pr</w:t>
      </w:r>
      <w:r w:rsidR="003D5630">
        <w:t>ogressive Matrices (CPM</w:t>
      </w:r>
      <w:r w:rsidR="00037815">
        <w:t xml:space="preserve">; </w:t>
      </w:r>
      <w:r w:rsidR="003D5630">
        <w:t>Raven et al.,</w:t>
      </w:r>
      <w:r w:rsidRPr="00DF0224">
        <w:t xml:space="preserve"> 1998), </w:t>
      </w:r>
      <w:r w:rsidRPr="00DF0224">
        <w:rPr>
          <w:lang w:eastAsia="en-GB"/>
        </w:rPr>
        <w:t xml:space="preserve">and visual-perceptual ability was assessed by the </w:t>
      </w:r>
      <w:r w:rsidRPr="00DF0224">
        <w:t>Children’s Embedded Figures Test (CEFT</w:t>
      </w:r>
      <w:r w:rsidR="00037815">
        <w:t xml:space="preserve">; </w:t>
      </w:r>
      <w:r w:rsidRPr="00DF0224">
        <w:t>Witkin</w:t>
      </w:r>
      <w:r w:rsidR="00637F12">
        <w:t xml:space="preserve"> et al.</w:t>
      </w:r>
      <w:r w:rsidRPr="00DF0224">
        <w:t>,1971).</w:t>
      </w:r>
      <w:r w:rsidRPr="00DF0224">
        <w:rPr>
          <w:lang w:eastAsia="en-GB"/>
        </w:rPr>
        <w:t xml:space="preserve"> </w:t>
      </w:r>
      <w:r w:rsidRPr="00DF0224">
        <w:t>Summary statistics are shown in Table 1.</w:t>
      </w:r>
    </w:p>
    <w:p w:rsidR="00ED0286" w:rsidRDefault="00ED0286" w:rsidP="00E77FB2">
      <w:pPr>
        <w:spacing w:after="0" w:line="480" w:lineRule="auto"/>
      </w:pPr>
    </w:p>
    <w:p w:rsidR="00ED0286" w:rsidRDefault="00031056" w:rsidP="00E77FB2">
      <w:pPr>
        <w:spacing w:after="0" w:line="480" w:lineRule="auto"/>
        <w:jc w:val="center"/>
        <w:rPr>
          <w:lang w:eastAsia="en-GB"/>
        </w:rPr>
      </w:pPr>
      <w:r>
        <w:rPr>
          <w:lang w:eastAsia="en-GB"/>
        </w:rPr>
        <w:t>(</w:t>
      </w:r>
      <w:r w:rsidR="00674DE9">
        <w:rPr>
          <w:lang w:eastAsia="en-GB"/>
        </w:rPr>
        <w:t>Table 1 about here</w:t>
      </w:r>
      <w:r>
        <w:rPr>
          <w:lang w:eastAsia="en-GB"/>
        </w:rPr>
        <w:t>)</w:t>
      </w:r>
    </w:p>
    <w:p w:rsidR="009A3911" w:rsidRDefault="009A3911" w:rsidP="00E77FB2">
      <w:pPr>
        <w:spacing w:after="0" w:line="480" w:lineRule="auto"/>
      </w:pPr>
    </w:p>
    <w:p w:rsidR="00E77FB2" w:rsidRDefault="00E77FB2" w:rsidP="00E77FB2">
      <w:pPr>
        <w:spacing w:after="0" w:line="480" w:lineRule="auto"/>
        <w:rPr>
          <w:b/>
          <w:i/>
        </w:rPr>
      </w:pPr>
    </w:p>
    <w:p w:rsidR="009A3911" w:rsidRPr="009A3911" w:rsidRDefault="009A3911" w:rsidP="00E77FB2">
      <w:pPr>
        <w:spacing w:after="0" w:line="480" w:lineRule="auto"/>
        <w:rPr>
          <w:b/>
          <w:i/>
        </w:rPr>
      </w:pPr>
      <w:r w:rsidRPr="009A3911">
        <w:rPr>
          <w:b/>
          <w:i/>
        </w:rPr>
        <w:t>Ethical Considerations</w:t>
      </w:r>
    </w:p>
    <w:p w:rsidR="00ED0286" w:rsidRDefault="00ED0286" w:rsidP="00E77FB2">
      <w:pPr>
        <w:spacing w:after="0" w:line="480" w:lineRule="auto"/>
      </w:pPr>
      <w:r>
        <w:lastRenderedPageBreak/>
        <w:t xml:space="preserve">Parental consent was obtained for all participants </w:t>
      </w:r>
      <w:r w:rsidR="009A3911">
        <w:t xml:space="preserve">in both experiments </w:t>
      </w:r>
      <w:r>
        <w:t>and the participants’ assent was confirmed throughout the session. No participant declined at any point</w:t>
      </w:r>
      <w:r w:rsidR="00037815">
        <w:t xml:space="preserve"> and</w:t>
      </w:r>
      <w:r>
        <w:t xml:space="preserve"> </w:t>
      </w:r>
      <w:r w:rsidR="00037815">
        <w:t>s</w:t>
      </w:r>
      <w:r>
        <w:t>tudy methods were approved by City, University of London’s Senate Ethics Committee.</w:t>
      </w:r>
    </w:p>
    <w:p w:rsidR="00DF0224" w:rsidRDefault="00DF0224" w:rsidP="00E77FB2">
      <w:pPr>
        <w:pStyle w:val="Heading4"/>
        <w:numPr>
          <w:ilvl w:val="0"/>
          <w:numId w:val="0"/>
        </w:numPr>
        <w:spacing w:before="0"/>
        <w:rPr>
          <w:rFonts w:ascii="Times New Roman" w:eastAsiaTheme="minorHAnsi" w:hAnsi="Times New Roman"/>
          <w:b w:val="0"/>
          <w:bCs w:val="0"/>
          <w:i w:val="0"/>
          <w:szCs w:val="24"/>
          <w:lang w:val="en-US"/>
        </w:rPr>
      </w:pPr>
    </w:p>
    <w:p w:rsidR="00ED0286" w:rsidRPr="00DF0224" w:rsidRDefault="00ED0286" w:rsidP="00E77FB2">
      <w:pPr>
        <w:pStyle w:val="Heading4"/>
        <w:numPr>
          <w:ilvl w:val="0"/>
          <w:numId w:val="0"/>
        </w:numPr>
        <w:spacing w:before="0"/>
        <w:rPr>
          <w:rFonts w:ascii="Times New Roman" w:hAnsi="Times New Roman"/>
        </w:rPr>
      </w:pPr>
      <w:r w:rsidRPr="00DF0224">
        <w:rPr>
          <w:rFonts w:ascii="Times New Roman" w:hAnsi="Times New Roman"/>
        </w:rPr>
        <w:t>Materials</w:t>
      </w:r>
    </w:p>
    <w:p w:rsidR="009B41F3" w:rsidRPr="009B41F3" w:rsidRDefault="00ED0286" w:rsidP="00E77FB2">
      <w:pPr>
        <w:pStyle w:val="FootnoteText"/>
        <w:rPr>
          <w:color w:val="auto"/>
          <w:sz w:val="24"/>
          <w:szCs w:val="24"/>
        </w:rPr>
      </w:pPr>
      <w:r w:rsidRPr="009B41F3">
        <w:rPr>
          <w:color w:val="auto"/>
          <w:sz w:val="24"/>
          <w:szCs w:val="24"/>
        </w:rPr>
        <w:t xml:space="preserve">For the shape recognition (SR) task, </w:t>
      </w:r>
      <w:r w:rsidR="00AC24C2" w:rsidRPr="009B41F3">
        <w:rPr>
          <w:color w:val="auto"/>
          <w:sz w:val="24"/>
          <w:szCs w:val="24"/>
        </w:rPr>
        <w:t>all</w:t>
      </w:r>
      <w:r w:rsidR="009B41F3" w:rsidRPr="009B41F3">
        <w:rPr>
          <w:color w:val="auto"/>
          <w:sz w:val="24"/>
          <w:szCs w:val="24"/>
        </w:rPr>
        <w:t xml:space="preserve"> shape</w:t>
      </w:r>
      <w:r w:rsidR="00AC24C2" w:rsidRPr="009B41F3">
        <w:rPr>
          <w:color w:val="auto"/>
          <w:sz w:val="24"/>
          <w:szCs w:val="24"/>
        </w:rPr>
        <w:t xml:space="preserve"> materials were identical to those</w:t>
      </w:r>
      <w:r w:rsidR="00037815" w:rsidRPr="009B41F3">
        <w:rPr>
          <w:color w:val="auto"/>
          <w:sz w:val="24"/>
          <w:szCs w:val="24"/>
        </w:rPr>
        <w:t xml:space="preserve"> described</w:t>
      </w:r>
      <w:r w:rsidR="00AC24C2" w:rsidRPr="009B41F3">
        <w:rPr>
          <w:color w:val="auto"/>
          <w:sz w:val="24"/>
          <w:szCs w:val="24"/>
        </w:rPr>
        <w:t xml:space="preserve"> in </w:t>
      </w:r>
      <w:r w:rsidR="00037815" w:rsidRPr="009B41F3">
        <w:rPr>
          <w:color w:val="auto"/>
          <w:sz w:val="24"/>
          <w:szCs w:val="24"/>
        </w:rPr>
        <w:t>a</w:t>
      </w:r>
      <w:r w:rsidR="00AC24C2" w:rsidRPr="009B41F3">
        <w:rPr>
          <w:color w:val="auto"/>
          <w:sz w:val="24"/>
          <w:szCs w:val="24"/>
        </w:rPr>
        <w:t xml:space="preserve"> pilot study by Bigham et al. (2010</w:t>
      </w:r>
      <w:r w:rsidR="009B41F3" w:rsidRPr="009B41F3">
        <w:rPr>
          <w:color w:val="auto"/>
          <w:sz w:val="24"/>
          <w:szCs w:val="24"/>
        </w:rPr>
        <w:t>, experiment 2</w:t>
      </w:r>
      <w:r w:rsidR="00AC24C2" w:rsidRPr="009B41F3">
        <w:rPr>
          <w:color w:val="auto"/>
          <w:sz w:val="24"/>
          <w:szCs w:val="24"/>
        </w:rPr>
        <w:t>) and stimul</w:t>
      </w:r>
      <w:r w:rsidR="004D3C04" w:rsidRPr="009B41F3">
        <w:rPr>
          <w:color w:val="auto"/>
          <w:sz w:val="24"/>
          <w:szCs w:val="24"/>
        </w:rPr>
        <w:t>us</w:t>
      </w:r>
      <w:r w:rsidR="00AC24C2" w:rsidRPr="009B41F3">
        <w:rPr>
          <w:color w:val="auto"/>
          <w:sz w:val="24"/>
          <w:szCs w:val="24"/>
        </w:rPr>
        <w:t xml:space="preserve"> examples are shown in Figure 1 (</w:t>
      </w:r>
      <w:r w:rsidR="00D429C4">
        <w:rPr>
          <w:color w:val="auto"/>
          <w:sz w:val="24"/>
          <w:szCs w:val="24"/>
        </w:rPr>
        <w:t>a</w:t>
      </w:r>
      <w:r w:rsidR="00AC24C2" w:rsidRPr="009B41F3">
        <w:rPr>
          <w:color w:val="auto"/>
          <w:sz w:val="24"/>
          <w:szCs w:val="24"/>
        </w:rPr>
        <w:t xml:space="preserve">). </w:t>
      </w:r>
      <w:r w:rsidR="009B41F3" w:rsidRPr="009B41F3">
        <w:rPr>
          <w:color w:val="auto"/>
          <w:sz w:val="24"/>
          <w:szCs w:val="24"/>
        </w:rPr>
        <w:t>For the action recall (AR) task, stimuli were identical to Bigham et al.,</w:t>
      </w:r>
      <w:r w:rsidR="009B41F3">
        <w:rPr>
          <w:color w:val="auto"/>
          <w:sz w:val="24"/>
          <w:szCs w:val="24"/>
        </w:rPr>
        <w:t xml:space="preserve"> (2010, experiment 3),</w:t>
      </w:r>
      <w:r w:rsidR="009B41F3" w:rsidRPr="009B41F3">
        <w:rPr>
          <w:color w:val="auto"/>
          <w:sz w:val="24"/>
          <w:szCs w:val="24"/>
        </w:rPr>
        <w:t xml:space="preserve"> </w:t>
      </w:r>
      <w:r w:rsidR="009B41F3">
        <w:rPr>
          <w:color w:val="auto"/>
          <w:sz w:val="24"/>
          <w:szCs w:val="24"/>
        </w:rPr>
        <w:t>although</w:t>
      </w:r>
      <w:r w:rsidR="009B41F3" w:rsidRPr="009B41F3">
        <w:rPr>
          <w:color w:val="auto"/>
          <w:sz w:val="24"/>
          <w:szCs w:val="24"/>
        </w:rPr>
        <w:t xml:space="preserve"> 3 hand actions were altered to be more stimulus directed to ensure cued- recall</w:t>
      </w:r>
      <w:r w:rsidR="009B41F3">
        <w:rPr>
          <w:color w:val="auto"/>
          <w:sz w:val="24"/>
          <w:szCs w:val="24"/>
        </w:rPr>
        <w:t>; examples are shown in</w:t>
      </w:r>
      <w:r w:rsidR="009B41F3" w:rsidRPr="009B41F3">
        <w:rPr>
          <w:color w:val="auto"/>
          <w:sz w:val="24"/>
          <w:szCs w:val="24"/>
        </w:rPr>
        <w:t xml:space="preserve"> Figure 1 (</w:t>
      </w:r>
      <w:r w:rsidR="00D429C4">
        <w:rPr>
          <w:color w:val="auto"/>
          <w:sz w:val="24"/>
          <w:szCs w:val="24"/>
        </w:rPr>
        <w:t>b</w:t>
      </w:r>
      <w:r w:rsidR="009B41F3" w:rsidRPr="009B41F3">
        <w:rPr>
          <w:color w:val="auto"/>
          <w:sz w:val="24"/>
          <w:szCs w:val="24"/>
        </w:rPr>
        <w:t xml:space="preserve">). </w:t>
      </w:r>
    </w:p>
    <w:p w:rsidR="00ED0286" w:rsidRDefault="00ED0286" w:rsidP="00E77FB2">
      <w:pPr>
        <w:spacing w:after="0" w:line="480" w:lineRule="auto"/>
      </w:pPr>
    </w:p>
    <w:p w:rsidR="00ED0286" w:rsidRDefault="00ED0286" w:rsidP="00E77FB2">
      <w:pPr>
        <w:spacing w:after="0" w:line="480" w:lineRule="auto"/>
      </w:pPr>
    </w:p>
    <w:p w:rsidR="00ED0286" w:rsidRDefault="00031056" w:rsidP="00E77FB2">
      <w:pPr>
        <w:pStyle w:val="FootnoteText"/>
        <w:jc w:val="center"/>
        <w:rPr>
          <w:color w:val="auto"/>
          <w:sz w:val="24"/>
        </w:rPr>
      </w:pPr>
      <w:r>
        <w:rPr>
          <w:color w:val="auto"/>
          <w:sz w:val="24"/>
        </w:rPr>
        <w:t>(</w:t>
      </w:r>
      <w:r w:rsidRPr="00031056">
        <w:rPr>
          <w:color w:val="auto"/>
          <w:sz w:val="24"/>
        </w:rPr>
        <w:t>Figure 1 about here</w:t>
      </w:r>
      <w:r>
        <w:rPr>
          <w:color w:val="auto"/>
          <w:sz w:val="24"/>
        </w:rPr>
        <w:t>)</w:t>
      </w:r>
    </w:p>
    <w:p w:rsidR="00ED0286" w:rsidRDefault="00ED0286" w:rsidP="00E77FB2">
      <w:pPr>
        <w:pStyle w:val="FootnoteText"/>
        <w:rPr>
          <w:color w:val="auto"/>
          <w:sz w:val="24"/>
        </w:rPr>
      </w:pPr>
    </w:p>
    <w:p w:rsidR="00AC24C2" w:rsidRDefault="00AC24C2" w:rsidP="00E77FB2">
      <w:pPr>
        <w:pStyle w:val="FootnoteText"/>
        <w:rPr>
          <w:color w:val="auto"/>
          <w:sz w:val="24"/>
          <w:szCs w:val="24"/>
        </w:rPr>
      </w:pPr>
    </w:p>
    <w:p w:rsidR="00740737" w:rsidRPr="00740737" w:rsidRDefault="00AC24C2" w:rsidP="00E77FB2">
      <w:pPr>
        <w:pStyle w:val="FootnoteText"/>
        <w:rPr>
          <w:color w:val="auto"/>
          <w:sz w:val="24"/>
          <w:szCs w:val="24"/>
        </w:rPr>
      </w:pPr>
      <w:r>
        <w:rPr>
          <w:color w:val="auto"/>
          <w:sz w:val="24"/>
          <w:szCs w:val="24"/>
        </w:rPr>
        <w:t xml:space="preserve">In line with </w:t>
      </w:r>
      <w:r w:rsidR="00ED0286" w:rsidRPr="00E9113B">
        <w:rPr>
          <w:color w:val="auto"/>
          <w:sz w:val="24"/>
          <w:szCs w:val="24"/>
          <w:lang w:eastAsia="en-GB"/>
        </w:rPr>
        <w:t>Bigham et al.,</w:t>
      </w:r>
      <w:r w:rsidR="00ED0286" w:rsidRPr="00740737">
        <w:rPr>
          <w:color w:val="auto"/>
          <w:sz w:val="24"/>
          <w:szCs w:val="24"/>
          <w:lang w:eastAsia="en-GB"/>
        </w:rPr>
        <w:t xml:space="preserve"> the </w:t>
      </w:r>
      <w:r>
        <w:rPr>
          <w:color w:val="auto"/>
          <w:sz w:val="24"/>
          <w:szCs w:val="24"/>
          <w:lang w:eastAsia="en-GB"/>
        </w:rPr>
        <w:t>P</w:t>
      </w:r>
      <w:r w:rsidR="00ED0286" w:rsidRPr="00740737">
        <w:rPr>
          <w:color w:val="auto"/>
          <w:sz w:val="24"/>
          <w:szCs w:val="24"/>
        </w:rPr>
        <w:t xml:space="preserve">yramids and Palm Trees </w:t>
      </w:r>
      <w:r w:rsidR="003D5630">
        <w:rPr>
          <w:color w:val="auto"/>
          <w:sz w:val="24"/>
          <w:szCs w:val="24"/>
        </w:rPr>
        <w:t>Test (PPT) (Howard &amp; Patterson,</w:t>
      </w:r>
      <w:r w:rsidR="00ED0286" w:rsidRPr="00740737">
        <w:rPr>
          <w:color w:val="auto"/>
          <w:sz w:val="24"/>
          <w:szCs w:val="24"/>
        </w:rPr>
        <w:t xml:space="preserve"> 1992) was used as </w:t>
      </w:r>
      <w:r w:rsidR="00520A93">
        <w:rPr>
          <w:color w:val="auto"/>
          <w:sz w:val="24"/>
          <w:szCs w:val="24"/>
        </w:rPr>
        <w:t>a</w:t>
      </w:r>
      <w:r w:rsidR="00ED0286" w:rsidRPr="00740737">
        <w:rPr>
          <w:color w:val="auto"/>
          <w:sz w:val="24"/>
          <w:szCs w:val="24"/>
        </w:rPr>
        <w:t xml:space="preserve"> measure of lexical semantic knowledge</w:t>
      </w:r>
      <w:r w:rsidR="00ED0286" w:rsidRPr="00740737">
        <w:rPr>
          <w:color w:val="auto"/>
          <w:sz w:val="24"/>
          <w:szCs w:val="24"/>
          <w:lang w:eastAsia="en-GB"/>
        </w:rPr>
        <w:t xml:space="preserve">. </w:t>
      </w:r>
      <w:r w:rsidR="00740737">
        <w:rPr>
          <w:color w:val="auto"/>
          <w:sz w:val="24"/>
          <w:szCs w:val="24"/>
          <w:lang w:eastAsia="en-GB"/>
        </w:rPr>
        <w:t xml:space="preserve">The PPT is a 40-item </w:t>
      </w:r>
      <w:r w:rsidR="00740737">
        <w:rPr>
          <w:color w:val="auto"/>
          <w:sz w:val="24"/>
          <w:szCs w:val="24"/>
        </w:rPr>
        <w:t xml:space="preserve">forced-choice test </w:t>
      </w:r>
      <w:r w:rsidR="009B41F3">
        <w:rPr>
          <w:color w:val="auto"/>
          <w:sz w:val="24"/>
          <w:szCs w:val="24"/>
        </w:rPr>
        <w:t xml:space="preserve">that asks participants to point out which </w:t>
      </w:r>
      <w:r w:rsidR="00C3017D">
        <w:rPr>
          <w:color w:val="auto"/>
          <w:sz w:val="24"/>
          <w:szCs w:val="24"/>
        </w:rPr>
        <w:t>of two</w:t>
      </w:r>
      <w:r w:rsidR="0026120D">
        <w:rPr>
          <w:color w:val="auto"/>
          <w:sz w:val="24"/>
          <w:szCs w:val="24"/>
        </w:rPr>
        <w:t xml:space="preserve"> pictures</w:t>
      </w:r>
      <w:r w:rsidR="00655C15">
        <w:rPr>
          <w:color w:val="auto"/>
          <w:sz w:val="24"/>
          <w:szCs w:val="24"/>
        </w:rPr>
        <w:t xml:space="preserve"> </w:t>
      </w:r>
      <w:r w:rsidR="0026120D">
        <w:rPr>
          <w:color w:val="auto"/>
          <w:sz w:val="24"/>
          <w:szCs w:val="24"/>
        </w:rPr>
        <w:t xml:space="preserve">relates most closely to </w:t>
      </w:r>
      <w:r w:rsidR="00655C15">
        <w:rPr>
          <w:color w:val="auto"/>
          <w:sz w:val="24"/>
          <w:szCs w:val="24"/>
        </w:rPr>
        <w:t>a target picture</w:t>
      </w:r>
      <w:r w:rsidR="0026120D">
        <w:rPr>
          <w:color w:val="auto"/>
          <w:sz w:val="24"/>
          <w:szCs w:val="24"/>
        </w:rPr>
        <w:t xml:space="preserve">. </w:t>
      </w:r>
      <w:r w:rsidR="00655C15">
        <w:rPr>
          <w:color w:val="auto"/>
          <w:sz w:val="24"/>
          <w:szCs w:val="24"/>
        </w:rPr>
        <w:t>Since it</w:t>
      </w:r>
      <w:r w:rsidR="00740737" w:rsidRPr="00740737">
        <w:rPr>
          <w:color w:val="auto"/>
          <w:sz w:val="24"/>
          <w:szCs w:val="24"/>
        </w:rPr>
        <w:t xml:space="preserve"> requires no overt language</w:t>
      </w:r>
      <w:r w:rsidR="00520A93">
        <w:rPr>
          <w:color w:val="auto"/>
          <w:sz w:val="24"/>
          <w:szCs w:val="24"/>
        </w:rPr>
        <w:t xml:space="preserve"> </w:t>
      </w:r>
      <w:r w:rsidR="00655C15">
        <w:rPr>
          <w:color w:val="auto"/>
          <w:sz w:val="24"/>
          <w:szCs w:val="24"/>
        </w:rPr>
        <w:t xml:space="preserve">it is </w:t>
      </w:r>
      <w:r w:rsidR="00740737" w:rsidRPr="00740737">
        <w:rPr>
          <w:color w:val="auto"/>
          <w:sz w:val="24"/>
          <w:szCs w:val="24"/>
        </w:rPr>
        <w:t>considered a relatively pure measure of</w:t>
      </w:r>
      <w:r w:rsidR="0026120D">
        <w:rPr>
          <w:color w:val="auto"/>
          <w:sz w:val="24"/>
          <w:szCs w:val="24"/>
        </w:rPr>
        <w:t xml:space="preserve"> conceptual semantic processing.</w:t>
      </w:r>
    </w:p>
    <w:p w:rsidR="00D368B7" w:rsidRPr="00D368B7" w:rsidRDefault="00D368B7" w:rsidP="00E77FB2">
      <w:pPr>
        <w:spacing w:after="0" w:line="480" w:lineRule="auto"/>
        <w:rPr>
          <w:i/>
        </w:rPr>
      </w:pPr>
    </w:p>
    <w:p w:rsidR="00ED0286" w:rsidRPr="00DF0224" w:rsidRDefault="00ED0286" w:rsidP="00E77FB2">
      <w:pPr>
        <w:pStyle w:val="Heading4"/>
        <w:numPr>
          <w:ilvl w:val="0"/>
          <w:numId w:val="0"/>
        </w:numPr>
        <w:spacing w:before="0"/>
        <w:rPr>
          <w:rFonts w:ascii="Times New Roman" w:hAnsi="Times New Roman"/>
        </w:rPr>
      </w:pPr>
      <w:r w:rsidRPr="00DF0224">
        <w:rPr>
          <w:rFonts w:ascii="Times New Roman" w:hAnsi="Times New Roman"/>
        </w:rPr>
        <w:t>Procedure</w:t>
      </w:r>
    </w:p>
    <w:p w:rsidR="00ED0286" w:rsidRDefault="00C3017D" w:rsidP="00E77FB2">
      <w:pPr>
        <w:spacing w:after="0" w:line="480" w:lineRule="auto"/>
      </w:pPr>
      <w:r>
        <w:t xml:space="preserve">All procedures for </w:t>
      </w:r>
      <w:r w:rsidR="007B55C3">
        <w:t>the shape recognition (</w:t>
      </w:r>
      <w:r>
        <w:t>SR</w:t>
      </w:r>
      <w:r w:rsidR="007B55C3">
        <w:t>)</w:t>
      </w:r>
      <w:r>
        <w:t xml:space="preserve"> and </w:t>
      </w:r>
      <w:r w:rsidR="007B55C3">
        <w:t>action recall (</w:t>
      </w:r>
      <w:r>
        <w:t>AR</w:t>
      </w:r>
      <w:r w:rsidR="007B55C3">
        <w:t>)</w:t>
      </w:r>
      <w:r>
        <w:t xml:space="preserve"> </w:t>
      </w:r>
      <w:r w:rsidR="007B55C3">
        <w:t xml:space="preserve">tasks </w:t>
      </w:r>
      <w:r>
        <w:t xml:space="preserve">strictly followed </w:t>
      </w:r>
      <w:r w:rsidR="009B41F3">
        <w:t xml:space="preserve">those described </w:t>
      </w:r>
      <w:r>
        <w:t>in Bigham et al.</w:t>
      </w:r>
      <w:r w:rsidR="009B41F3">
        <w:t xml:space="preserve"> (2010).</w:t>
      </w:r>
      <w:r>
        <w:t xml:space="preserve"> </w:t>
      </w:r>
      <w:r w:rsidR="009B41F3">
        <w:t>Very briefly, for SR</w:t>
      </w:r>
      <w:r w:rsidR="00151082">
        <w:t xml:space="preserve">, </w:t>
      </w:r>
      <w:r w:rsidR="00655C15">
        <w:t>16</w:t>
      </w:r>
      <w:r w:rsidR="009B41F3">
        <w:t xml:space="preserve"> shapes were presented one-by-one</w:t>
      </w:r>
      <w:r w:rsidR="00655C15">
        <w:t xml:space="preserve"> at a rate of 3 seconds per picture before presenting a four-alternative-forced choice </w:t>
      </w:r>
      <w:r w:rsidR="00655C15">
        <w:lastRenderedPageBreak/>
        <w:t>recognition test in which children were asked to point out the pictures they had just seen. For AR 10 shapes were presented with accompanying hand gestures that children were subsequently asked to reproduce when cued with the shapes (the procedure ensured that shape memory here was at ceiling for all children).</w:t>
      </w:r>
      <w:r w:rsidR="009B41F3">
        <w:t xml:space="preserve"> </w:t>
      </w:r>
    </w:p>
    <w:p w:rsidR="00ED0286" w:rsidRDefault="00ED0286" w:rsidP="00E77FB2">
      <w:pPr>
        <w:spacing w:after="0" w:line="480" w:lineRule="auto"/>
        <w:rPr>
          <w:b/>
        </w:rPr>
      </w:pPr>
    </w:p>
    <w:p w:rsidR="00ED0286" w:rsidRDefault="00ED0286" w:rsidP="00E77FB2">
      <w:pPr>
        <w:spacing w:after="0" w:line="480" w:lineRule="auto"/>
        <w:rPr>
          <w:b/>
        </w:rPr>
      </w:pPr>
      <w:r>
        <w:rPr>
          <w:b/>
        </w:rPr>
        <w:t xml:space="preserve">Results </w:t>
      </w:r>
    </w:p>
    <w:p w:rsidR="00ED0286" w:rsidRDefault="00ED0286" w:rsidP="00E77FB2">
      <w:pPr>
        <w:spacing w:after="0" w:line="480" w:lineRule="auto"/>
      </w:pPr>
      <w:r>
        <w:t xml:space="preserve">Figure 2 </w:t>
      </w:r>
      <w:r w:rsidR="004D3C04">
        <w:t>shows</w:t>
      </w:r>
      <w:r>
        <w:t xml:space="preserve"> average proportions of correct responses for the two memory tests </w:t>
      </w:r>
      <w:r w:rsidR="000B52D1">
        <w:t>in both</w:t>
      </w:r>
      <w:r>
        <w:t xml:space="preserve"> participant group</w:t>
      </w:r>
      <w:r w:rsidR="000B52D1">
        <w:t>s</w:t>
      </w:r>
      <w:r>
        <w:t>. In line with prediction</w:t>
      </w:r>
      <w:r w:rsidR="002B116D">
        <w:t xml:space="preserve"> 1(a)</w:t>
      </w:r>
      <w:r>
        <w:t xml:space="preserve">, the </w:t>
      </w:r>
      <w:r>
        <w:rPr>
          <w:lang w:eastAsia="en-GB"/>
        </w:rPr>
        <w:t>ASD</w:t>
      </w:r>
      <w:r>
        <w:rPr>
          <w:vertAlign w:val="superscript"/>
          <w:lang w:eastAsia="en-GB"/>
        </w:rPr>
        <w:t>LI/LD</w:t>
      </w:r>
      <w:r>
        <w:t xml:space="preserve"> group performed worse than the TD group on shape recognition</w:t>
      </w:r>
      <w:r w:rsidR="00BD4305">
        <w:t xml:space="preserve"> (SR)</w:t>
      </w:r>
      <w:r>
        <w:t xml:space="preserve"> (t = 2.82; df = 49; p = 0.007; Cohen’s d = 0.78) and </w:t>
      </w:r>
      <w:r w:rsidR="000B0531">
        <w:t xml:space="preserve">on </w:t>
      </w:r>
      <w:r>
        <w:t>action recall</w:t>
      </w:r>
      <w:r w:rsidR="00BD4305">
        <w:t xml:space="preserve"> (AR)</w:t>
      </w:r>
      <w:r>
        <w:t xml:space="preserve"> (t = 2.38; df = 49; p = 0.021; Cohen’s d = .64</w:t>
      </w:r>
      <w:r w:rsidRPr="000E2DBE">
        <w:t>). Contrary to prediction</w:t>
      </w:r>
      <w:r w:rsidR="002B116D">
        <w:t xml:space="preserve"> 1(b)</w:t>
      </w:r>
      <w:r w:rsidRPr="000E2DBE">
        <w:t xml:space="preserve">, however, </w:t>
      </w:r>
      <w:r>
        <w:t xml:space="preserve">differences between </w:t>
      </w:r>
      <w:r>
        <w:rPr>
          <w:lang w:eastAsia="en-GB"/>
        </w:rPr>
        <w:t>ASD</w:t>
      </w:r>
      <w:r>
        <w:rPr>
          <w:vertAlign w:val="superscript"/>
          <w:lang w:eastAsia="en-GB"/>
        </w:rPr>
        <w:t xml:space="preserve">LI/LD </w:t>
      </w:r>
      <w:r>
        <w:t>and LD groups were not significant (</w:t>
      </w:r>
      <w:r w:rsidR="00BD4305">
        <w:t>SR</w:t>
      </w:r>
      <w:r>
        <w:t xml:space="preserve">: t = 1.37; df = 43; p = 0.178; Cohen’s d = 0.41; </w:t>
      </w:r>
      <w:r w:rsidR="00BD4305">
        <w:t>AR</w:t>
      </w:r>
      <w:r>
        <w:t xml:space="preserve">: t = 0.46; df = 43; p = 0.645; Cohen’s d = 0.14). </w:t>
      </w:r>
    </w:p>
    <w:p w:rsidR="00ED0286" w:rsidRDefault="00ED0286" w:rsidP="00E77FB2">
      <w:pPr>
        <w:spacing w:after="0" w:line="480" w:lineRule="auto"/>
      </w:pPr>
    </w:p>
    <w:p w:rsidR="00ED0286" w:rsidRDefault="00031056" w:rsidP="0061188D">
      <w:pPr>
        <w:spacing w:line="480" w:lineRule="auto"/>
        <w:jc w:val="center"/>
        <w:rPr>
          <w:i/>
        </w:rPr>
      </w:pPr>
      <w:r>
        <w:rPr>
          <w:noProof/>
        </w:rPr>
        <w:t>(Figure 2 about here)</w:t>
      </w:r>
    </w:p>
    <w:p w:rsidR="0061188D" w:rsidRPr="0061188D" w:rsidRDefault="0061188D" w:rsidP="0061188D">
      <w:pPr>
        <w:spacing w:line="480" w:lineRule="auto"/>
        <w:jc w:val="center"/>
        <w:rPr>
          <w:i/>
        </w:rPr>
      </w:pPr>
    </w:p>
    <w:p w:rsidR="00ED0286" w:rsidRDefault="00151082" w:rsidP="00E77FB2">
      <w:pPr>
        <w:spacing w:after="0" w:line="480" w:lineRule="auto"/>
      </w:pPr>
      <w:r>
        <w:t>Prediction 2</w:t>
      </w:r>
      <w:r w:rsidR="00ED0286">
        <w:t xml:space="preserve"> </w:t>
      </w:r>
      <w:r w:rsidR="003E74BE">
        <w:t>was not confirmed</w:t>
      </w:r>
      <w:r w:rsidR="002447C3">
        <w:t xml:space="preserve"> in that t</w:t>
      </w:r>
      <w:r w:rsidR="001B75EB">
        <w:t xml:space="preserve">here was no difference between the </w:t>
      </w:r>
      <w:r w:rsidR="001B75EB">
        <w:rPr>
          <w:lang w:eastAsia="en-GB"/>
        </w:rPr>
        <w:t>ASD</w:t>
      </w:r>
      <w:r w:rsidR="001B75EB">
        <w:rPr>
          <w:vertAlign w:val="superscript"/>
          <w:lang w:eastAsia="en-GB"/>
        </w:rPr>
        <w:t>TL</w:t>
      </w:r>
      <w:r w:rsidR="001B75EB">
        <w:t xml:space="preserve"> and TD groups on the </w:t>
      </w:r>
      <w:r w:rsidR="007B55C3">
        <w:t>action recall (</w:t>
      </w:r>
      <w:r w:rsidR="00BD4305">
        <w:t>AR</w:t>
      </w:r>
      <w:r w:rsidR="007B55C3">
        <w:t>)</w:t>
      </w:r>
      <w:r w:rsidR="001B75EB">
        <w:t xml:space="preserve"> task</w:t>
      </w:r>
      <w:r w:rsidR="006500F3">
        <w:t xml:space="preserve"> </w:t>
      </w:r>
      <w:r w:rsidR="00ED0286">
        <w:t>(</w:t>
      </w:r>
      <w:r w:rsidR="00ED0286" w:rsidRPr="00211D6E">
        <w:t xml:space="preserve">t = </w:t>
      </w:r>
      <w:r w:rsidR="00ED0286">
        <w:t>1.08; df = 56; p = 0.283; Cohen’</w:t>
      </w:r>
      <w:r w:rsidR="000B0531">
        <w:t xml:space="preserve">s d = 0.25). </w:t>
      </w:r>
      <w:r w:rsidR="001B75EB">
        <w:t>Instead,</w:t>
      </w:r>
      <w:r w:rsidR="00ED0286">
        <w:t xml:space="preserve"> the </w:t>
      </w:r>
      <w:r w:rsidR="00ED0286">
        <w:rPr>
          <w:lang w:eastAsia="en-GB"/>
        </w:rPr>
        <w:t>ASD</w:t>
      </w:r>
      <w:r w:rsidR="00ED0286">
        <w:rPr>
          <w:vertAlign w:val="superscript"/>
          <w:lang w:eastAsia="en-GB"/>
        </w:rPr>
        <w:t>TL</w:t>
      </w:r>
      <w:r w:rsidR="00ED0286">
        <w:t xml:space="preserve"> group performed worse than the TD group on </w:t>
      </w:r>
      <w:r w:rsidR="007B55C3">
        <w:t>shape recognition (</w:t>
      </w:r>
      <w:r w:rsidR="00BD4305">
        <w:t>SR</w:t>
      </w:r>
      <w:r w:rsidR="007B55C3">
        <w:t>)</w:t>
      </w:r>
      <w:r w:rsidR="00ED0286">
        <w:t xml:space="preserve"> (t = 2.02; df = 5</w:t>
      </w:r>
      <w:r w:rsidR="00827C5E">
        <w:t>6; p = 0.048; Cohen’s d = 0.57), indicati</w:t>
      </w:r>
      <w:r w:rsidR="004D3C04">
        <w:t>ng</w:t>
      </w:r>
      <w:r w:rsidR="00827C5E">
        <w:t xml:space="preserve"> impaired familiarity.</w:t>
      </w:r>
      <w:r w:rsidR="00ED0286">
        <w:t xml:space="preserve"> </w:t>
      </w:r>
      <w:r w:rsidR="000B0531">
        <w:t xml:space="preserve">Moreover, although the </w:t>
      </w:r>
      <w:r w:rsidR="000B0531">
        <w:rPr>
          <w:lang w:eastAsia="en-GB"/>
        </w:rPr>
        <w:t>ASD</w:t>
      </w:r>
      <w:r w:rsidR="000B0531">
        <w:rPr>
          <w:vertAlign w:val="superscript"/>
          <w:lang w:eastAsia="en-GB"/>
        </w:rPr>
        <w:t>TL</w:t>
      </w:r>
      <w:r w:rsidR="000B0531">
        <w:t xml:space="preserve"> </w:t>
      </w:r>
      <w:r w:rsidR="00ED0286">
        <w:t xml:space="preserve">group </w:t>
      </w:r>
      <w:r w:rsidR="000B52D1">
        <w:t>scored higher</w:t>
      </w:r>
      <w:r w:rsidR="000B0531">
        <w:t xml:space="preserve"> than the </w:t>
      </w:r>
      <w:r w:rsidR="000B0531">
        <w:rPr>
          <w:lang w:eastAsia="en-GB"/>
        </w:rPr>
        <w:t>ASD</w:t>
      </w:r>
      <w:r w:rsidR="000B0531">
        <w:rPr>
          <w:vertAlign w:val="superscript"/>
          <w:lang w:eastAsia="en-GB"/>
        </w:rPr>
        <w:t>LI/LD</w:t>
      </w:r>
      <w:r w:rsidR="002D6781">
        <w:t xml:space="preserve"> </w:t>
      </w:r>
      <w:r w:rsidR="000B0531">
        <w:t>group on SR, as predicted, the difference was</w:t>
      </w:r>
      <w:r w:rsidR="00ED0286">
        <w:t xml:space="preserve"> no</w:t>
      </w:r>
      <w:r w:rsidR="00340D4E">
        <w:t xml:space="preserve">t </w:t>
      </w:r>
      <w:r w:rsidR="00ED0286">
        <w:t>significant (</w:t>
      </w:r>
      <w:r w:rsidR="00ED0286" w:rsidRPr="00096579">
        <w:rPr>
          <w:i/>
        </w:rPr>
        <w:t xml:space="preserve">t = </w:t>
      </w:r>
      <w:r w:rsidR="00ED0286">
        <w:t>0.66; df = 4</w:t>
      </w:r>
      <w:r w:rsidR="002D6781">
        <w:t xml:space="preserve">3; p = 0.510; Cohen’s d = 0.21). </w:t>
      </w:r>
    </w:p>
    <w:p w:rsidR="00ED0286" w:rsidRDefault="00340D4E" w:rsidP="00E77FB2">
      <w:pPr>
        <w:spacing w:line="480" w:lineRule="auto"/>
        <w:ind w:firstLine="567"/>
      </w:pPr>
      <w:r>
        <w:t>For</w:t>
      </w:r>
      <w:r w:rsidR="00ED0286">
        <w:t xml:space="preserve"> prediction</w:t>
      </w:r>
      <w:r w:rsidR="000B52D1">
        <w:t xml:space="preserve"> 3</w:t>
      </w:r>
      <w:r w:rsidR="00ED0286">
        <w:t>, Figure 3 illustrates</w:t>
      </w:r>
      <w:r>
        <w:t xml:space="preserve"> and Table 2 summarises</w:t>
      </w:r>
      <w:r w:rsidR="00ED0286">
        <w:t xml:space="preserve"> the correlations between the </w:t>
      </w:r>
      <w:r w:rsidR="00BD4305">
        <w:t>SR</w:t>
      </w:r>
      <w:r w:rsidR="00ED0286">
        <w:t>/</w:t>
      </w:r>
      <w:r w:rsidR="00BD4305">
        <w:t>AR</w:t>
      </w:r>
      <w:r w:rsidR="00ED0286">
        <w:t xml:space="preserve"> measures and the PPT measure of lexical semantic knowledge. The pattern of results was generally as predicted.</w:t>
      </w:r>
      <w:r>
        <w:t xml:space="preserve"> P</w:t>
      </w:r>
      <w:r w:rsidR="00ED0286">
        <w:t xml:space="preserve">erformance on both memory tests correlated positively with the PPT in the two ASD groups </w:t>
      </w:r>
      <w:r w:rsidR="002447C3">
        <w:t xml:space="preserve">but not the TD group </w:t>
      </w:r>
      <w:r>
        <w:t>although</w:t>
      </w:r>
      <w:r w:rsidR="00ED0286">
        <w:t xml:space="preserve"> the association between </w:t>
      </w:r>
      <w:r w:rsidR="00BD4305">
        <w:lastRenderedPageBreak/>
        <w:t>AR</w:t>
      </w:r>
      <w:r w:rsidR="00ED0286">
        <w:t xml:space="preserve"> and PPT in the </w:t>
      </w:r>
      <w:r w:rsidR="00ED0286">
        <w:rPr>
          <w:lang w:eastAsia="en-GB"/>
        </w:rPr>
        <w:t>ASD</w:t>
      </w:r>
      <w:r w:rsidR="00ED0286">
        <w:rPr>
          <w:vertAlign w:val="superscript"/>
          <w:lang w:eastAsia="en-GB"/>
        </w:rPr>
        <w:t xml:space="preserve">LI/LD </w:t>
      </w:r>
      <w:r w:rsidR="00ED0286">
        <w:t xml:space="preserve">group was </w:t>
      </w:r>
      <w:r w:rsidR="00151082">
        <w:t>not quite</w:t>
      </w:r>
      <w:r w:rsidR="00ED0286">
        <w:t xml:space="preserve"> significant (r(19) = 0.42; p = .071). </w:t>
      </w:r>
      <w:r w:rsidR="002447C3">
        <w:t xml:space="preserve">Unexpectedly, </w:t>
      </w:r>
      <w:r w:rsidR="00ED0286">
        <w:t>PPT also correlated</w:t>
      </w:r>
      <w:r w:rsidR="00520A93">
        <w:t xml:space="preserve"> </w:t>
      </w:r>
      <w:r w:rsidR="00ED0286">
        <w:t xml:space="preserve">with </w:t>
      </w:r>
      <w:r w:rsidR="00BD4305">
        <w:t>SR</w:t>
      </w:r>
      <w:r w:rsidR="00ED0286">
        <w:t xml:space="preserve"> in the LD group al</w:t>
      </w:r>
      <w:r w:rsidR="001A7EAC">
        <w:t xml:space="preserve">though </w:t>
      </w:r>
      <w:r w:rsidR="00BD4305">
        <w:t>AR</w:t>
      </w:r>
      <w:r w:rsidR="001A7EAC">
        <w:t xml:space="preserve"> did not</w:t>
      </w:r>
      <w:r w:rsidR="002447C3">
        <w:t xml:space="preserve">. </w:t>
      </w:r>
    </w:p>
    <w:p w:rsidR="00FA179D" w:rsidRDefault="00FA179D" w:rsidP="00E77FB2">
      <w:pPr>
        <w:spacing w:line="480" w:lineRule="auto"/>
        <w:ind w:firstLine="567"/>
        <w:jc w:val="center"/>
        <w:rPr>
          <w:i/>
        </w:rPr>
      </w:pPr>
      <w:r>
        <w:t xml:space="preserve"> (Figure 3 about here)</w:t>
      </w:r>
    </w:p>
    <w:p w:rsidR="00ED0286" w:rsidRPr="007E7323" w:rsidRDefault="00ED0286" w:rsidP="00E77FB2">
      <w:pPr>
        <w:spacing w:line="480" w:lineRule="auto"/>
      </w:pPr>
      <w:r>
        <w:t>As Table 2 indicates, visual</w:t>
      </w:r>
      <w:r w:rsidR="00A169D2">
        <w:t>-</w:t>
      </w:r>
      <w:r>
        <w:t>perceptual ability (measured by the CEFT), and fluid intelligence (</w:t>
      </w:r>
      <w:r w:rsidR="007B55C3">
        <w:t xml:space="preserve">Ravens </w:t>
      </w:r>
      <w:r>
        <w:t>CPM</w:t>
      </w:r>
      <w:r w:rsidR="000142D1">
        <w:t xml:space="preserve"> score)</w:t>
      </w:r>
      <w:r>
        <w:t xml:space="preserve"> consistently correlated with </w:t>
      </w:r>
      <w:r w:rsidR="007B55C3">
        <w:t>shape recognition (</w:t>
      </w:r>
      <w:r w:rsidR="00BD4305">
        <w:t>SR</w:t>
      </w:r>
      <w:r w:rsidR="007B55C3">
        <w:t>)</w:t>
      </w:r>
      <w:r>
        <w:t xml:space="preserve"> in all groups except TD. To</w:t>
      </w:r>
      <w:r w:rsidR="002447C3">
        <w:t xml:space="preserve"> </w:t>
      </w:r>
      <w:r w:rsidR="007E529E">
        <w:t>identify</w:t>
      </w:r>
      <w:r w:rsidR="002447C3">
        <w:t xml:space="preserve"> </w:t>
      </w:r>
      <w:r w:rsidR="002636BD">
        <w:t>any</w:t>
      </w:r>
      <w:r>
        <w:t xml:space="preserve"> unique </w:t>
      </w:r>
      <w:r w:rsidR="002447C3">
        <w:t xml:space="preserve">contribution </w:t>
      </w:r>
      <w:r w:rsidR="007E529E">
        <w:t xml:space="preserve">of </w:t>
      </w:r>
      <w:r>
        <w:t xml:space="preserve">familiarity </w:t>
      </w:r>
      <w:r w:rsidR="007E529E">
        <w:t>to</w:t>
      </w:r>
      <w:r>
        <w:t xml:space="preserve"> lexical semantic</w:t>
      </w:r>
      <w:r w:rsidR="007E529E">
        <w:t>s</w:t>
      </w:r>
      <w:r>
        <w:t xml:space="preserve"> across the autism spectrum, a multiple regression was carried out with PPT as the dependent variable and </w:t>
      </w:r>
      <w:r w:rsidR="00BD4305">
        <w:t>SR</w:t>
      </w:r>
      <w:r>
        <w:t>, CEFT and CPM as predictors. For the combined ASD group, the resulting model was significant (F(3,41) = 6.06; p = .002) with an R</w:t>
      </w:r>
      <w:r>
        <w:rPr>
          <w:vertAlign w:val="superscript"/>
        </w:rPr>
        <w:t>2</w:t>
      </w:r>
      <w:r>
        <w:t xml:space="preserve"> of 0.31, and only </w:t>
      </w:r>
      <w:r w:rsidR="00BD4305">
        <w:t>SR</w:t>
      </w:r>
      <w:r>
        <w:t xml:space="preserve"> (β = 0.35; t = 1.97; p = 0.055)</w:t>
      </w:r>
      <w:r w:rsidR="00C87BD9">
        <w:t xml:space="preserve"> </w:t>
      </w:r>
      <w:r w:rsidR="007E529E">
        <w:t xml:space="preserve">as </w:t>
      </w:r>
      <w:r>
        <w:t xml:space="preserve">a reliable predictor. </w:t>
      </w:r>
      <w:r w:rsidR="00C87BD9">
        <w:t>Neither CEFT (β = 0.22; t = 1.21; p = 0.235) nor CPM (β = 0.05; t = .31; p = 0.755)</w:t>
      </w:r>
      <w:r w:rsidR="00321D03">
        <w:t xml:space="preserve"> were </w:t>
      </w:r>
      <w:r w:rsidR="007E529E">
        <w:t>independent</w:t>
      </w:r>
      <w:r w:rsidR="00321D03">
        <w:t xml:space="preserve"> predictors.</w:t>
      </w:r>
      <w:r w:rsidR="00C87BD9">
        <w:t xml:space="preserve"> </w:t>
      </w:r>
      <w:r>
        <w:t>By contrast, the same analysis in the combined TD and LD group yielded a significant model (F(3,54) = 12.20; p &lt; 001) with an R</w:t>
      </w:r>
      <w:r>
        <w:rPr>
          <w:vertAlign w:val="superscript"/>
        </w:rPr>
        <w:t xml:space="preserve">2 </w:t>
      </w:r>
      <w:r>
        <w:t xml:space="preserve">of .40 but, here CEFT (β = 0.30; t = 1.99; p = 0.051) and CPM (β = 0.30; t = 1.93; p = 0.059) rather than </w:t>
      </w:r>
      <w:r w:rsidR="00BD4305">
        <w:t>SR</w:t>
      </w:r>
      <w:r>
        <w:t xml:space="preserve"> (β = 0.14; t = 1.11; p = 0.274) were the most significant predictors.</w:t>
      </w:r>
    </w:p>
    <w:p w:rsidR="004E0F42" w:rsidRDefault="004E0F42" w:rsidP="00E77FB2">
      <w:pPr>
        <w:spacing w:line="480" w:lineRule="auto"/>
        <w:jc w:val="center"/>
      </w:pPr>
      <w:r w:rsidRPr="004E0F42">
        <w:t>(Table 2 about here)</w:t>
      </w:r>
    </w:p>
    <w:p w:rsidR="00E77FB2" w:rsidRPr="00E77FB2" w:rsidRDefault="00E77FB2" w:rsidP="00E77FB2">
      <w:pPr>
        <w:spacing w:line="480" w:lineRule="auto"/>
        <w:jc w:val="center"/>
      </w:pPr>
    </w:p>
    <w:p w:rsidR="00ED0286" w:rsidRDefault="00ED0286" w:rsidP="00E77FB2">
      <w:pPr>
        <w:spacing w:line="480" w:lineRule="auto"/>
        <w:rPr>
          <w:b/>
        </w:rPr>
      </w:pPr>
      <w:r>
        <w:rPr>
          <w:b/>
        </w:rPr>
        <w:t>Summary and Discussion of Experiment 1</w:t>
      </w:r>
    </w:p>
    <w:p w:rsidR="00ED0286" w:rsidRDefault="00ED0286" w:rsidP="00E77FB2">
      <w:pPr>
        <w:spacing w:line="480" w:lineRule="auto"/>
      </w:pPr>
      <w:r>
        <w:t>Experiment 1 employed a shape-recognition</w:t>
      </w:r>
      <w:r w:rsidR="007B55C3">
        <w:t xml:space="preserve"> (SR)</w:t>
      </w:r>
      <w:r>
        <w:t>/action recall</w:t>
      </w:r>
      <w:r w:rsidR="007B55C3">
        <w:t xml:space="preserve"> (AR)</w:t>
      </w:r>
      <w:r>
        <w:t xml:space="preserve"> paradigm previously piloted by Bigham et al., (2010) to tease apart familiarity and recollection components of declarative memory</w:t>
      </w:r>
      <w:r w:rsidR="00B97DAB">
        <w:t>,</w:t>
      </w:r>
      <w:r>
        <w:t xml:space="preserve"> and to examine their role in lexical semantic language function in ASD. In line with predictions, </w:t>
      </w:r>
      <w:r>
        <w:rPr>
          <w:lang w:eastAsia="en-GB"/>
        </w:rPr>
        <w:t>ASD</w:t>
      </w:r>
      <w:r>
        <w:rPr>
          <w:vertAlign w:val="superscript"/>
          <w:lang w:eastAsia="en-GB"/>
        </w:rPr>
        <w:t xml:space="preserve">LI/LD </w:t>
      </w:r>
      <w:r>
        <w:t xml:space="preserve">teenagers were </w:t>
      </w:r>
      <w:r w:rsidR="009404AE">
        <w:t xml:space="preserve">relatively </w:t>
      </w:r>
      <w:r>
        <w:t xml:space="preserve">impaired </w:t>
      </w:r>
      <w:r w:rsidR="009404AE">
        <w:t>to</w:t>
      </w:r>
      <w:r>
        <w:t xml:space="preserve"> TD children on measures of familiarity and recollection</w:t>
      </w:r>
      <w:r w:rsidRPr="005845EC">
        <w:t xml:space="preserve">. </w:t>
      </w:r>
      <w:r w:rsidRPr="00FB69D4">
        <w:t>Contrary to the prediction, however, they were not impaired relative to LD teenagers.</w:t>
      </w:r>
      <w:r w:rsidRPr="005845EC">
        <w:t xml:space="preserve"> </w:t>
      </w:r>
      <w:r>
        <w:t xml:space="preserve"> </w:t>
      </w:r>
      <w:r w:rsidR="00D14F05">
        <w:t>U</w:t>
      </w:r>
      <w:r>
        <w:t xml:space="preserve">nexpectedly, the </w:t>
      </w:r>
      <w:r>
        <w:rPr>
          <w:lang w:eastAsia="en-GB"/>
        </w:rPr>
        <w:t>ASD</w:t>
      </w:r>
      <w:r>
        <w:rPr>
          <w:vertAlign w:val="superscript"/>
          <w:lang w:eastAsia="en-GB"/>
        </w:rPr>
        <w:t xml:space="preserve">TL </w:t>
      </w:r>
      <w:r>
        <w:rPr>
          <w:lang w:eastAsia="en-GB"/>
        </w:rPr>
        <w:t>group</w:t>
      </w:r>
      <w:r>
        <w:rPr>
          <w:vertAlign w:val="superscript"/>
          <w:lang w:eastAsia="en-GB"/>
        </w:rPr>
        <w:t xml:space="preserve"> </w:t>
      </w:r>
      <w:r>
        <w:t xml:space="preserve">were impaired on the </w:t>
      </w:r>
      <w:r w:rsidR="009404AE">
        <w:t>SR</w:t>
      </w:r>
      <w:r>
        <w:t xml:space="preserve"> </w:t>
      </w:r>
      <w:r>
        <w:lastRenderedPageBreak/>
        <w:t xml:space="preserve">measure of familiarity rather than on the </w:t>
      </w:r>
      <w:r w:rsidR="009404AE">
        <w:t>AR</w:t>
      </w:r>
      <w:r>
        <w:t xml:space="preserve"> measure of recollection, contradicting much of the existing literature. </w:t>
      </w:r>
      <w:r w:rsidR="00D14F05">
        <w:t>Nonetheless</w:t>
      </w:r>
      <w:r w:rsidRPr="00321D03">
        <w:t xml:space="preserve">, </w:t>
      </w:r>
      <w:r w:rsidR="009404AE">
        <w:t xml:space="preserve">SR </w:t>
      </w:r>
      <w:r w:rsidRPr="00321D03">
        <w:t xml:space="preserve">performance </w:t>
      </w:r>
      <w:r w:rsidR="00582128" w:rsidRPr="00321D03">
        <w:t>was the major predictor of</w:t>
      </w:r>
      <w:r w:rsidRPr="00321D03">
        <w:t xml:space="preserve"> PPT </w:t>
      </w:r>
      <w:r w:rsidR="00D11A62" w:rsidRPr="00321D03">
        <w:t xml:space="preserve">in </w:t>
      </w:r>
      <w:r w:rsidR="00582128" w:rsidRPr="00321D03">
        <w:t xml:space="preserve">the combined </w:t>
      </w:r>
      <w:r w:rsidR="00D11A62" w:rsidRPr="00321D03">
        <w:t>ASD groups</w:t>
      </w:r>
      <w:r w:rsidR="00582128" w:rsidRPr="00321D03">
        <w:t>,</w:t>
      </w:r>
      <w:r w:rsidR="00D11A62" w:rsidRPr="00321D03">
        <w:t xml:space="preserve"> </w:t>
      </w:r>
      <w:r w:rsidRPr="00321D03">
        <w:t xml:space="preserve">whereas in the non-autistic groups </w:t>
      </w:r>
      <w:r w:rsidR="007B55C3">
        <w:t>vis</w:t>
      </w:r>
      <w:r w:rsidR="0028431A">
        <w:t>ual</w:t>
      </w:r>
      <w:r w:rsidR="007B55C3">
        <w:t>-</w:t>
      </w:r>
      <w:r w:rsidRPr="00321D03">
        <w:t xml:space="preserve">perceptual skills (CEFT) and fluid intelligence (CPM) </w:t>
      </w:r>
      <w:r w:rsidR="00582128" w:rsidRPr="00321D03">
        <w:t>were</w:t>
      </w:r>
      <w:r w:rsidRPr="00321D03">
        <w:t xml:space="preserve"> the </w:t>
      </w:r>
      <w:r w:rsidR="00D14F05">
        <w:t>strongest</w:t>
      </w:r>
      <w:r w:rsidRPr="00321D03">
        <w:t xml:space="preserve"> predictors of PPT. </w:t>
      </w:r>
      <w:r w:rsidR="00D14F05">
        <w:t>E</w:t>
      </w:r>
      <w:r>
        <w:t>xperiment</w:t>
      </w:r>
      <w:r w:rsidR="00D14F05">
        <w:t xml:space="preserve"> 2</w:t>
      </w:r>
      <w:r>
        <w:t xml:space="preserve"> extend</w:t>
      </w:r>
      <w:r w:rsidR="005845EC">
        <w:t>ed</w:t>
      </w:r>
      <w:r>
        <w:t xml:space="preserve"> these findings to another paradigm that employs more closely matched procedure</w:t>
      </w:r>
      <w:r w:rsidR="005845EC">
        <w:t>s</w:t>
      </w:r>
      <w:r>
        <w:t xml:space="preserve"> </w:t>
      </w:r>
      <w:r w:rsidR="005845EC">
        <w:t>to assess</w:t>
      </w:r>
      <w:r>
        <w:t xml:space="preserve"> familiarity and recollection.</w:t>
      </w:r>
    </w:p>
    <w:p w:rsidR="00AD1908" w:rsidRDefault="00AD1908" w:rsidP="00E77FB2">
      <w:pPr>
        <w:spacing w:line="480" w:lineRule="auto"/>
      </w:pPr>
    </w:p>
    <w:p w:rsidR="00ED0286" w:rsidRPr="002705DA" w:rsidRDefault="00ED0286" w:rsidP="00E77FB2">
      <w:pPr>
        <w:pStyle w:val="Heading3"/>
        <w:numPr>
          <w:ilvl w:val="0"/>
          <w:numId w:val="0"/>
        </w:numPr>
        <w:spacing w:before="0" w:after="0"/>
        <w:rPr>
          <w:rFonts w:ascii="Times New Roman" w:hAnsi="Times New Roman" w:cs="Times New Roman"/>
          <w:sz w:val="28"/>
          <w:szCs w:val="28"/>
        </w:rPr>
      </w:pPr>
      <w:r w:rsidRPr="002705DA">
        <w:rPr>
          <w:rFonts w:ascii="Times New Roman" w:hAnsi="Times New Roman" w:cs="Times New Roman"/>
          <w:sz w:val="28"/>
          <w:szCs w:val="28"/>
        </w:rPr>
        <w:t>Experiment 2 – Forced Choice Recognition in Two Contrasting Conditions</w:t>
      </w:r>
    </w:p>
    <w:p w:rsidR="00ED0286" w:rsidRPr="002705DA" w:rsidRDefault="00ED0286" w:rsidP="00E77FB2">
      <w:pPr>
        <w:pStyle w:val="Heading3"/>
        <w:numPr>
          <w:ilvl w:val="0"/>
          <w:numId w:val="0"/>
        </w:numPr>
        <w:spacing w:before="0"/>
        <w:rPr>
          <w:rFonts w:ascii="Times New Roman" w:hAnsi="Times New Roman" w:cs="Times New Roman"/>
          <w:b w:val="0"/>
          <w:szCs w:val="24"/>
        </w:rPr>
      </w:pPr>
      <w:r w:rsidRPr="002705DA">
        <w:rPr>
          <w:rFonts w:ascii="Times New Roman" w:hAnsi="Times New Roman" w:cs="Times New Roman"/>
          <w:b w:val="0"/>
        </w:rPr>
        <w:t xml:space="preserve">This experiment was based on </w:t>
      </w:r>
      <w:r w:rsidRPr="00CF7B61">
        <w:rPr>
          <w:rFonts w:ascii="Times New Roman" w:hAnsi="Times New Roman" w:cs="Times New Roman"/>
          <w:b w:val="0"/>
        </w:rPr>
        <w:t>Migo et al. (2009</w:t>
      </w:r>
      <w:r w:rsidR="00454C71" w:rsidRPr="00CF7B61">
        <w:rPr>
          <w:rFonts w:ascii="Times New Roman" w:hAnsi="Times New Roman" w:cs="Times New Roman"/>
          <w:b w:val="0"/>
        </w:rPr>
        <w:t>; 2013</w:t>
      </w:r>
      <w:r w:rsidRPr="00CF7B61">
        <w:rPr>
          <w:rFonts w:ascii="Times New Roman" w:hAnsi="Times New Roman" w:cs="Times New Roman"/>
          <w:b w:val="0"/>
        </w:rPr>
        <w:t>),</w:t>
      </w:r>
      <w:r w:rsidRPr="002705DA">
        <w:rPr>
          <w:rFonts w:ascii="Times New Roman" w:hAnsi="Times New Roman" w:cs="Times New Roman"/>
          <w:b w:val="0"/>
        </w:rPr>
        <w:t xml:space="preserve"> who showed that the specific conditions under which forced choice recognition decision</w:t>
      </w:r>
      <w:r w:rsidR="005714E8">
        <w:rPr>
          <w:rFonts w:ascii="Times New Roman" w:hAnsi="Times New Roman" w:cs="Times New Roman"/>
          <w:b w:val="0"/>
        </w:rPr>
        <w:t>s</w:t>
      </w:r>
      <w:r w:rsidRPr="002705DA">
        <w:rPr>
          <w:rFonts w:ascii="Times New Roman" w:hAnsi="Times New Roman" w:cs="Times New Roman"/>
          <w:b w:val="0"/>
        </w:rPr>
        <w:t xml:space="preserve"> are made dictate </w:t>
      </w:r>
      <w:r w:rsidR="00D14F05">
        <w:rPr>
          <w:rFonts w:ascii="Times New Roman" w:hAnsi="Times New Roman" w:cs="Times New Roman"/>
          <w:b w:val="0"/>
        </w:rPr>
        <w:t xml:space="preserve">to what </w:t>
      </w:r>
      <w:r w:rsidRPr="002705DA">
        <w:rPr>
          <w:rFonts w:ascii="Times New Roman" w:hAnsi="Times New Roman" w:cs="Times New Roman"/>
          <w:b w:val="0"/>
        </w:rPr>
        <w:t xml:space="preserve">extent familiarity and recollection </w:t>
      </w:r>
      <w:r w:rsidR="0002146A">
        <w:rPr>
          <w:rFonts w:ascii="Times New Roman" w:hAnsi="Times New Roman" w:cs="Times New Roman"/>
          <w:b w:val="0"/>
        </w:rPr>
        <w:t>contribute to</w:t>
      </w:r>
      <w:r w:rsidRPr="002705DA">
        <w:rPr>
          <w:rFonts w:ascii="Times New Roman" w:hAnsi="Times New Roman" w:cs="Times New Roman"/>
          <w:b w:val="0"/>
        </w:rPr>
        <w:t xml:space="preserve"> </w:t>
      </w:r>
      <w:r w:rsidR="007E529E">
        <w:rPr>
          <w:rFonts w:ascii="Times New Roman" w:hAnsi="Times New Roman" w:cs="Times New Roman"/>
          <w:b w:val="0"/>
        </w:rPr>
        <w:t xml:space="preserve">retrieval </w:t>
      </w:r>
      <w:r w:rsidRPr="002705DA">
        <w:rPr>
          <w:rFonts w:ascii="Times New Roman" w:hAnsi="Times New Roman" w:cs="Times New Roman"/>
          <w:b w:val="0"/>
        </w:rPr>
        <w:t xml:space="preserve">success. </w:t>
      </w:r>
      <w:r w:rsidR="00D14F05">
        <w:rPr>
          <w:rFonts w:ascii="Times New Roman" w:hAnsi="Times New Roman" w:cs="Times New Roman"/>
          <w:b w:val="0"/>
        </w:rPr>
        <w:t>I</w:t>
      </w:r>
      <w:r w:rsidRPr="002705DA">
        <w:rPr>
          <w:rFonts w:ascii="Times New Roman" w:hAnsi="Times New Roman" w:cs="Times New Roman"/>
          <w:b w:val="0"/>
        </w:rPr>
        <w:t>n a ‘forced choice corresponding’ (FCC) condition, foils used at test differ from target</w:t>
      </w:r>
      <w:r w:rsidR="000A23AA">
        <w:rPr>
          <w:rFonts w:ascii="Times New Roman" w:hAnsi="Times New Roman" w:cs="Times New Roman"/>
          <w:b w:val="0"/>
        </w:rPr>
        <w:t xml:space="preserve"> stimuli only</w:t>
      </w:r>
      <w:r w:rsidRPr="002705DA">
        <w:rPr>
          <w:rFonts w:ascii="Times New Roman" w:hAnsi="Times New Roman" w:cs="Times New Roman"/>
          <w:b w:val="0"/>
        </w:rPr>
        <w:t xml:space="preserve"> in visual detail (e.g., a target apple</w:t>
      </w:r>
      <w:r w:rsidRPr="002705DA">
        <w:rPr>
          <w:rFonts w:ascii="Times New Roman" w:hAnsi="Times New Roman" w:cs="Times New Roman"/>
          <w:b w:val="0"/>
          <w:i/>
        </w:rPr>
        <w:t xml:space="preserve"> </w:t>
      </w:r>
      <w:r w:rsidRPr="002705DA">
        <w:rPr>
          <w:rFonts w:ascii="Times New Roman" w:hAnsi="Times New Roman" w:cs="Times New Roman"/>
          <w:b w:val="0"/>
        </w:rPr>
        <w:t xml:space="preserve">needs to be discriminated from 3 foil apples). Performance in this condition depends disproportionately on familiarity </w:t>
      </w:r>
      <w:r w:rsidR="000A23AA">
        <w:rPr>
          <w:rFonts w:ascii="Times New Roman" w:hAnsi="Times New Roman" w:cs="Times New Roman"/>
          <w:b w:val="0"/>
        </w:rPr>
        <w:t>because</w:t>
      </w:r>
      <w:r w:rsidR="00E057D4">
        <w:rPr>
          <w:rFonts w:ascii="Times New Roman" w:hAnsi="Times New Roman" w:cs="Times New Roman"/>
          <w:b w:val="0"/>
        </w:rPr>
        <w:t xml:space="preserve"> there is </w:t>
      </w:r>
      <w:r w:rsidR="005714E8">
        <w:rPr>
          <w:rFonts w:ascii="Times New Roman" w:hAnsi="Times New Roman" w:cs="Times New Roman"/>
          <w:b w:val="0"/>
        </w:rPr>
        <w:t xml:space="preserve">little unique contextual detail </w:t>
      </w:r>
      <w:r w:rsidR="00F504C0">
        <w:rPr>
          <w:rFonts w:ascii="Times New Roman" w:hAnsi="Times New Roman" w:cs="Times New Roman"/>
          <w:b w:val="0"/>
        </w:rPr>
        <w:t>that</w:t>
      </w:r>
      <w:r w:rsidR="00E057D4">
        <w:rPr>
          <w:rFonts w:ascii="Times New Roman" w:hAnsi="Times New Roman" w:cs="Times New Roman"/>
          <w:b w:val="0"/>
        </w:rPr>
        <w:t xml:space="preserve"> could </w:t>
      </w:r>
      <w:r w:rsidR="000A23AA">
        <w:rPr>
          <w:rFonts w:ascii="Times New Roman" w:hAnsi="Times New Roman" w:cs="Times New Roman"/>
          <w:b w:val="0"/>
        </w:rPr>
        <w:t xml:space="preserve">help discriminate the target from the foils on the basis of </w:t>
      </w:r>
      <w:r w:rsidR="00E057D4">
        <w:rPr>
          <w:rFonts w:ascii="Times New Roman" w:hAnsi="Times New Roman" w:cs="Times New Roman"/>
          <w:b w:val="0"/>
        </w:rPr>
        <w:t>recollection</w:t>
      </w:r>
      <w:r w:rsidR="000A23AA">
        <w:rPr>
          <w:rFonts w:ascii="Times New Roman" w:hAnsi="Times New Roman" w:cs="Times New Roman"/>
          <w:b w:val="0"/>
        </w:rPr>
        <w:t>; one ite</w:t>
      </w:r>
      <w:r w:rsidR="00031B22">
        <w:rPr>
          <w:rFonts w:ascii="Times New Roman" w:hAnsi="Times New Roman" w:cs="Times New Roman"/>
          <w:b w:val="0"/>
        </w:rPr>
        <w:t xml:space="preserve">m, however, would look </w:t>
      </w:r>
      <w:r w:rsidR="000A23AA">
        <w:rPr>
          <w:rFonts w:ascii="Times New Roman" w:hAnsi="Times New Roman" w:cs="Times New Roman"/>
          <w:b w:val="0"/>
        </w:rPr>
        <w:t>more familiar than the others</w:t>
      </w:r>
      <w:r w:rsidR="00E057D4">
        <w:rPr>
          <w:rFonts w:ascii="Times New Roman" w:hAnsi="Times New Roman" w:cs="Times New Roman"/>
          <w:b w:val="0"/>
        </w:rPr>
        <w:t xml:space="preserve">. </w:t>
      </w:r>
      <w:r w:rsidRPr="002705DA">
        <w:rPr>
          <w:rFonts w:ascii="Times New Roman" w:hAnsi="Times New Roman" w:cs="Times New Roman"/>
          <w:b w:val="0"/>
        </w:rPr>
        <w:t xml:space="preserve">By contrast in a ‘forced choice non-corresponding’ (FCNC) condition, the foils used at test closely resemble three of the target stimuli presented on other trials (e.g., a target apple needs to be discriminated from a shoe, guitar and aeroplane that are similar to items that had been studied). Performance </w:t>
      </w:r>
      <w:r w:rsidR="000A23AA">
        <w:rPr>
          <w:rFonts w:ascii="Times New Roman" w:hAnsi="Times New Roman" w:cs="Times New Roman"/>
          <w:b w:val="0"/>
        </w:rPr>
        <w:t>here</w:t>
      </w:r>
      <w:r w:rsidRPr="002705DA">
        <w:rPr>
          <w:rFonts w:ascii="Times New Roman" w:hAnsi="Times New Roman" w:cs="Times New Roman"/>
          <w:b w:val="0"/>
        </w:rPr>
        <w:t xml:space="preserve"> depends dis</w:t>
      </w:r>
      <w:r w:rsidR="0002146A">
        <w:rPr>
          <w:rFonts w:ascii="Times New Roman" w:hAnsi="Times New Roman" w:cs="Times New Roman"/>
          <w:b w:val="0"/>
        </w:rPr>
        <w:t>proportionately on recollect</w:t>
      </w:r>
      <w:r w:rsidR="000A23AA">
        <w:rPr>
          <w:rFonts w:ascii="Times New Roman" w:hAnsi="Times New Roman" w:cs="Times New Roman"/>
          <w:b w:val="0"/>
        </w:rPr>
        <w:t>ion</w:t>
      </w:r>
      <w:r w:rsidR="0002146A">
        <w:rPr>
          <w:rFonts w:ascii="Times New Roman" w:hAnsi="Times New Roman" w:cs="Times New Roman"/>
          <w:b w:val="0"/>
        </w:rPr>
        <w:t xml:space="preserve"> </w:t>
      </w:r>
      <w:r w:rsidR="000A23AA">
        <w:rPr>
          <w:rFonts w:ascii="Times New Roman" w:hAnsi="Times New Roman" w:cs="Times New Roman"/>
          <w:b w:val="0"/>
        </w:rPr>
        <w:t>because</w:t>
      </w:r>
      <w:r w:rsidRPr="002705DA">
        <w:rPr>
          <w:rFonts w:ascii="Times New Roman" w:hAnsi="Times New Roman" w:cs="Times New Roman"/>
          <w:b w:val="0"/>
        </w:rPr>
        <w:t>, without a direct contrast of the different exemplars of the same object (i.e., the four apples), each of the test items will appear similarly familiar.</w:t>
      </w:r>
      <w:r w:rsidR="002A3ABB">
        <w:rPr>
          <w:rFonts w:ascii="Times New Roman" w:hAnsi="Times New Roman" w:cs="Times New Roman"/>
          <w:b w:val="0"/>
        </w:rPr>
        <w:t xml:space="preserve"> The FCNC </w:t>
      </w:r>
      <w:r w:rsidR="002A3ABB">
        <w:rPr>
          <w:rFonts w:ascii="Times New Roman" w:hAnsi="Times New Roman" w:cs="Times New Roman"/>
          <w:b w:val="0"/>
        </w:rPr>
        <w:lastRenderedPageBreak/>
        <w:t>task of recollection is therefore considered to be relatively more difficult than the familiarity task of FCC.</w:t>
      </w:r>
    </w:p>
    <w:p w:rsidR="00ED0286" w:rsidRPr="002705DA" w:rsidRDefault="00ED0286" w:rsidP="00E77FB2">
      <w:pPr>
        <w:pStyle w:val="Heading3"/>
        <w:numPr>
          <w:ilvl w:val="0"/>
          <w:numId w:val="0"/>
        </w:numPr>
        <w:spacing w:before="0"/>
        <w:rPr>
          <w:rFonts w:ascii="Times New Roman" w:hAnsi="Times New Roman" w:cs="Times New Roman"/>
        </w:rPr>
      </w:pPr>
    </w:p>
    <w:p w:rsidR="00D368B7" w:rsidRPr="002705DA" w:rsidRDefault="00ED0286" w:rsidP="00E77FB2">
      <w:pPr>
        <w:pStyle w:val="Heading3"/>
        <w:numPr>
          <w:ilvl w:val="0"/>
          <w:numId w:val="0"/>
        </w:numPr>
        <w:spacing w:before="0"/>
        <w:rPr>
          <w:rFonts w:ascii="Times New Roman" w:hAnsi="Times New Roman" w:cs="Times New Roman"/>
        </w:rPr>
      </w:pPr>
      <w:r w:rsidRPr="002705DA">
        <w:rPr>
          <w:rFonts w:ascii="Times New Roman" w:hAnsi="Times New Roman" w:cs="Times New Roman"/>
        </w:rPr>
        <w:t>Method</w:t>
      </w:r>
    </w:p>
    <w:p w:rsidR="00ED0286" w:rsidRPr="002705DA" w:rsidRDefault="00ED0286" w:rsidP="00E77FB2">
      <w:pPr>
        <w:pStyle w:val="Heading3"/>
        <w:numPr>
          <w:ilvl w:val="0"/>
          <w:numId w:val="0"/>
        </w:numPr>
        <w:spacing w:before="0"/>
        <w:rPr>
          <w:rFonts w:ascii="Times New Roman" w:hAnsi="Times New Roman" w:cs="Times New Roman"/>
          <w:i/>
        </w:rPr>
      </w:pPr>
      <w:r w:rsidRPr="002705DA">
        <w:rPr>
          <w:rFonts w:ascii="Times New Roman" w:hAnsi="Times New Roman" w:cs="Times New Roman"/>
          <w:i/>
        </w:rPr>
        <w:t xml:space="preserve">Participants </w:t>
      </w:r>
    </w:p>
    <w:p w:rsidR="00ED0286" w:rsidRDefault="00ED0286" w:rsidP="00E77FB2">
      <w:pPr>
        <w:spacing w:after="0" w:line="480" w:lineRule="auto"/>
      </w:pPr>
      <w:r w:rsidRPr="002705DA">
        <w:t xml:space="preserve">Eighteen </w:t>
      </w:r>
      <w:r w:rsidRPr="002705DA">
        <w:rPr>
          <w:lang w:eastAsia="en-GB"/>
        </w:rPr>
        <w:t>ASD</w:t>
      </w:r>
      <w:r w:rsidRPr="002705DA">
        <w:rPr>
          <w:vertAlign w:val="superscript"/>
          <w:lang w:eastAsia="en-GB"/>
        </w:rPr>
        <w:t xml:space="preserve">LI/LD </w:t>
      </w:r>
      <w:r w:rsidRPr="002705DA">
        <w:t xml:space="preserve">teenagers, 26 primary school age </w:t>
      </w:r>
      <w:r w:rsidRPr="002705DA">
        <w:rPr>
          <w:lang w:eastAsia="en-GB"/>
        </w:rPr>
        <w:t>ASD</w:t>
      </w:r>
      <w:r w:rsidRPr="002705DA">
        <w:rPr>
          <w:vertAlign w:val="superscript"/>
          <w:lang w:eastAsia="en-GB"/>
        </w:rPr>
        <w:t xml:space="preserve">TL </w:t>
      </w:r>
      <w:r w:rsidR="00315D6F">
        <w:t xml:space="preserve">children, </w:t>
      </w:r>
      <w:r w:rsidRPr="002705DA">
        <w:t xml:space="preserve">24 primary school age TD children, and 23 LD teenagers took part in this experiment. All but one of the participants (in the LD group) also participated in Experiment </w:t>
      </w:r>
      <w:r w:rsidR="007B55C3">
        <w:t xml:space="preserve">1 and were tested on </w:t>
      </w:r>
      <w:r w:rsidR="002A3ABB">
        <w:t xml:space="preserve">the additional </w:t>
      </w:r>
      <w:r w:rsidR="007B55C3">
        <w:t>Experiment 2 tasks within one month</w:t>
      </w:r>
      <w:r w:rsidRPr="002705DA">
        <w:t>. Groups in Experiment 2 were slightly smaller than in the previous experiment, because not all those previously tested were available at the</w:t>
      </w:r>
      <w:r>
        <w:t xml:space="preserve"> later date. </w:t>
      </w:r>
      <w:r w:rsidR="0079033D">
        <w:t>Inclusion criteria were the same as those reported for Experiment 1 and s</w:t>
      </w:r>
      <w:r>
        <w:t>ummary descriptive statistics for participant groups are shown in Table 3.</w:t>
      </w:r>
      <w:r w:rsidR="007B55C3">
        <w:t xml:space="preserve"> </w:t>
      </w:r>
    </w:p>
    <w:p w:rsidR="00BF590E" w:rsidRDefault="00BF590E" w:rsidP="00E77FB2">
      <w:pPr>
        <w:spacing w:after="0" w:line="480" w:lineRule="auto"/>
      </w:pPr>
    </w:p>
    <w:p w:rsidR="00ED0286" w:rsidRDefault="00404921" w:rsidP="00E77FB2">
      <w:pPr>
        <w:spacing w:after="0" w:line="480" w:lineRule="auto"/>
        <w:jc w:val="center"/>
      </w:pPr>
      <w:r>
        <w:t>(Table 3 about here)</w:t>
      </w:r>
    </w:p>
    <w:p w:rsidR="0013179C" w:rsidRDefault="0013179C" w:rsidP="00E77FB2">
      <w:pPr>
        <w:pStyle w:val="Heading4"/>
        <w:numPr>
          <w:ilvl w:val="0"/>
          <w:numId w:val="0"/>
        </w:numPr>
        <w:spacing w:before="0"/>
        <w:rPr>
          <w:rFonts w:ascii="Times New Roman" w:hAnsi="Times New Roman"/>
        </w:rPr>
      </w:pPr>
    </w:p>
    <w:p w:rsidR="00ED0286" w:rsidRPr="00DF0224" w:rsidRDefault="00ED0286" w:rsidP="00E77FB2">
      <w:pPr>
        <w:pStyle w:val="Heading4"/>
        <w:numPr>
          <w:ilvl w:val="0"/>
          <w:numId w:val="0"/>
        </w:numPr>
        <w:spacing w:before="0"/>
        <w:rPr>
          <w:rFonts w:ascii="Times New Roman" w:hAnsi="Times New Roman"/>
        </w:rPr>
      </w:pPr>
      <w:r w:rsidRPr="00DF0224">
        <w:rPr>
          <w:rFonts w:ascii="Times New Roman" w:hAnsi="Times New Roman"/>
        </w:rPr>
        <w:t>Materials</w:t>
      </w:r>
    </w:p>
    <w:p w:rsidR="00561FBD" w:rsidRPr="006761A8" w:rsidRDefault="00ED0286" w:rsidP="00E77FB2">
      <w:pPr>
        <w:spacing w:after="0" w:line="480" w:lineRule="auto"/>
        <w:rPr>
          <w:vertAlign w:val="superscript"/>
        </w:rPr>
      </w:pPr>
      <w:r>
        <w:t xml:space="preserve">Stimuli used in both the </w:t>
      </w:r>
      <w:r w:rsidR="005B1929" w:rsidRPr="002705DA">
        <w:rPr>
          <w:b/>
        </w:rPr>
        <w:t xml:space="preserve">‘forced choice corresponding’ </w:t>
      </w:r>
      <w:r w:rsidR="005B1929">
        <w:rPr>
          <w:b/>
        </w:rPr>
        <w:t>(</w:t>
      </w:r>
      <w:r>
        <w:t>FCC</w:t>
      </w:r>
      <w:r w:rsidR="005B1929">
        <w:t>)</w:t>
      </w:r>
      <w:r>
        <w:t xml:space="preserve"> and the </w:t>
      </w:r>
      <w:r w:rsidR="005B1929" w:rsidRPr="002705DA">
        <w:rPr>
          <w:b/>
        </w:rPr>
        <w:t>‘forced choice non-corresponding’</w:t>
      </w:r>
      <w:r w:rsidR="005B1929">
        <w:rPr>
          <w:b/>
        </w:rPr>
        <w:t xml:space="preserve"> (</w:t>
      </w:r>
      <w:r>
        <w:t>FCNC</w:t>
      </w:r>
      <w:r w:rsidR="005B1929">
        <w:t>)</w:t>
      </w:r>
      <w:r>
        <w:t xml:space="preserve"> conditions were taken from the picture sets use</w:t>
      </w:r>
      <w:r w:rsidR="00D14F05">
        <w:t>d</w:t>
      </w:r>
      <w:r>
        <w:t xml:space="preserve"> </w:t>
      </w:r>
      <w:r w:rsidR="00D14F05">
        <w:t xml:space="preserve">by </w:t>
      </w:r>
      <w:r w:rsidR="00D14F05" w:rsidRPr="00CF7B61">
        <w:t>Migo et al., (2013)</w:t>
      </w:r>
      <w:r w:rsidR="00D14F05">
        <w:t xml:space="preserve"> </w:t>
      </w:r>
      <w:r>
        <w:t>with adult</w:t>
      </w:r>
      <w:r w:rsidR="00454C71">
        <w:t>s</w:t>
      </w:r>
      <w:r w:rsidRPr="00CF7B61">
        <w:t>.</w:t>
      </w:r>
      <w:r>
        <w:t xml:space="preserve"> Twenty-eight of Migo et al.’s sets – 14 for use in the FCC condition, 14 for use in the FCNC condition - were selected on the basis of their appropriateness for use with young children and learning</w:t>
      </w:r>
      <w:r w:rsidR="00672FD4">
        <w:t>-</w:t>
      </w:r>
      <w:r>
        <w:t>disabled teenagers. In each condition, twelve sets were used as test material, and two set</w:t>
      </w:r>
      <w:r w:rsidR="00E72A8B">
        <w:t xml:space="preserve">s were used for practice. Each </w:t>
      </w:r>
      <w:r>
        <w:t>picture set consisted of a target stimulus to be shown at study, and a quartet consisting of the target stimulus and three foils to be used at test. In the FCC</w:t>
      </w:r>
      <w:r w:rsidR="005B1929">
        <w:t xml:space="preserve"> (familiarity)</w:t>
      </w:r>
      <w:r>
        <w:t xml:space="preserve"> condition, the 3 foils were representations of the same everyday object as the target stimulus but differing in </w:t>
      </w:r>
      <w:r w:rsidR="00561FBD">
        <w:t>minor</w:t>
      </w:r>
      <w:r>
        <w:t xml:space="preserve"> details (see Figure 4). In the </w:t>
      </w:r>
      <w:r>
        <w:lastRenderedPageBreak/>
        <w:t>FCNC</w:t>
      </w:r>
      <w:r w:rsidR="005B1929">
        <w:t xml:space="preserve"> (recollection)</w:t>
      </w:r>
      <w:r>
        <w:t xml:space="preserve"> condition, the foils were representations of three of the everyday objects that had appeared as target stimuli on other FCNC trials but differing from the originals in certain details (see Figure 4). In the study phases, </w:t>
      </w:r>
      <w:r w:rsidR="006657ED" w:rsidRPr="00916A46">
        <w:t>target stimuli measuring 40 x 40mm were presented individually in the centre of a 15-inch screen on a white background. In the test phases, target and foil items measuring 40mm each were presented as a 2 x 2 grid centre screen on a white background.</w:t>
      </w:r>
      <w:r>
        <w:t xml:space="preserve"> Within the grid, the position of the target was randomised across trials with the constraint that it would appear equally often in each of the four possible locations. A pack of playing cards was used for a ‘filler task’ (see below). Pre-prepared score sheets were used to record responses</w:t>
      </w:r>
      <w:r w:rsidR="0079033D">
        <w:t xml:space="preserve"> and </w:t>
      </w:r>
      <w:r w:rsidR="00561FBD">
        <w:rPr>
          <w:lang w:eastAsia="en-GB"/>
        </w:rPr>
        <w:t xml:space="preserve">the </w:t>
      </w:r>
      <w:r w:rsidR="00561FBD">
        <w:t xml:space="preserve">Pyramids and Palm Trees Test (PPT) was </w:t>
      </w:r>
      <w:r w:rsidR="0079033D">
        <w:t xml:space="preserve">again </w:t>
      </w:r>
      <w:r w:rsidR="00561FBD">
        <w:t>used as the measure of lexical semantic knowledge.</w:t>
      </w:r>
    </w:p>
    <w:p w:rsidR="00ED0286" w:rsidRDefault="00ED0286" w:rsidP="00E77FB2">
      <w:pPr>
        <w:spacing w:after="0" w:line="480" w:lineRule="auto"/>
      </w:pPr>
    </w:p>
    <w:p w:rsidR="00ED0286" w:rsidRDefault="004E0F42" w:rsidP="00E77FB2">
      <w:pPr>
        <w:spacing w:after="0" w:line="480" w:lineRule="auto"/>
        <w:jc w:val="center"/>
      </w:pPr>
      <w:r>
        <w:t>(</w:t>
      </w:r>
      <w:r w:rsidR="00ED0286">
        <w:t>Figure 4 about here</w:t>
      </w:r>
      <w:r>
        <w:t>)</w:t>
      </w:r>
    </w:p>
    <w:p w:rsidR="00ED0286" w:rsidRDefault="00ED0286" w:rsidP="00E77FB2">
      <w:pPr>
        <w:spacing w:after="0" w:line="480" w:lineRule="auto"/>
      </w:pPr>
      <w:r>
        <w:tab/>
      </w:r>
      <w:r>
        <w:tab/>
        <w:t xml:space="preserve"> </w:t>
      </w:r>
    </w:p>
    <w:p w:rsidR="00ED0286" w:rsidRDefault="00ED0286" w:rsidP="00E77FB2">
      <w:pPr>
        <w:spacing w:after="0" w:line="480" w:lineRule="auto"/>
        <w:rPr>
          <w:i/>
        </w:rPr>
      </w:pPr>
      <w:r>
        <w:t xml:space="preserve">Pilot testing with learning disabled children not included as participants in this study indicated </w:t>
      </w:r>
      <w:r w:rsidR="003E1F27">
        <w:t>the need</w:t>
      </w:r>
      <w:r>
        <w:t xml:space="preserve"> to familiarise participants with the procedures over and above the two practice trials immediately preceding experimental testing in each condition.</w:t>
      </w:r>
      <w:r w:rsidR="00672FD4">
        <w:t xml:space="preserve"> W</w:t>
      </w:r>
      <w:r>
        <w:t>e wanted to ensure that participants understood that their memory would be tested in two different ways, so that any incorrect responses would not simply reflect a participant’s uncertainty as to what was expected of them. Two sets of supplementary material were therefore prepared, to be used in an introductory training phase</w:t>
      </w:r>
      <w:r w:rsidR="0079033D">
        <w:t xml:space="preserve"> for each condition, in which </w:t>
      </w:r>
      <w:r>
        <w:t>3 laminated A4 cards with coloured pictures of a single item (such as a bird or a shirt) constituted the to-be-remembered target stimuli</w:t>
      </w:r>
      <w:r w:rsidR="0079033D">
        <w:t xml:space="preserve"> and laminated test cards were prepared as described above. </w:t>
      </w:r>
    </w:p>
    <w:p w:rsidR="00ED0286" w:rsidRDefault="00ED0286" w:rsidP="00E77FB2">
      <w:pPr>
        <w:spacing w:after="0" w:line="480" w:lineRule="auto"/>
        <w:rPr>
          <w:i/>
        </w:rPr>
      </w:pPr>
    </w:p>
    <w:p w:rsidR="00CC254D" w:rsidRDefault="00CC254D" w:rsidP="00E77FB2">
      <w:pPr>
        <w:spacing w:after="0" w:line="480" w:lineRule="auto"/>
        <w:rPr>
          <w:i/>
        </w:rPr>
      </w:pPr>
    </w:p>
    <w:p w:rsidR="00CC254D" w:rsidRDefault="00CC254D" w:rsidP="00E77FB2">
      <w:pPr>
        <w:spacing w:after="0" w:line="480" w:lineRule="auto"/>
        <w:rPr>
          <w:i/>
        </w:rPr>
      </w:pPr>
    </w:p>
    <w:p w:rsidR="00ED0286" w:rsidRPr="00BB31BE" w:rsidRDefault="00ED0286" w:rsidP="00E77FB2">
      <w:pPr>
        <w:spacing w:after="0" w:line="480" w:lineRule="auto"/>
        <w:rPr>
          <w:b/>
        </w:rPr>
      </w:pPr>
      <w:r w:rsidRPr="00BB31BE">
        <w:rPr>
          <w:b/>
          <w:i/>
        </w:rPr>
        <w:lastRenderedPageBreak/>
        <w:t xml:space="preserve">Procedure  </w:t>
      </w:r>
    </w:p>
    <w:p w:rsidR="00ED0286" w:rsidRDefault="00ED0286" w:rsidP="00E77FB2">
      <w:pPr>
        <w:spacing w:after="0" w:line="480" w:lineRule="auto"/>
      </w:pPr>
      <w:r>
        <w:t>Participants were assessed individually over two sessions on different days in a quiet room in their school. Each session lasted 20-30 minutes. In each of the two sessions, recognition was assessed in one of the experimental conditions</w:t>
      </w:r>
      <w:r w:rsidR="00E96657">
        <w:t xml:space="preserve"> (FCC or FCNC)</w:t>
      </w:r>
      <w:r>
        <w:t xml:space="preserve">, preceded by </w:t>
      </w:r>
      <w:r w:rsidR="00E96657">
        <w:t xml:space="preserve">the appropriate </w:t>
      </w:r>
      <w:r>
        <w:t xml:space="preserve">training/practice stage. </w:t>
      </w:r>
      <w:r w:rsidR="00E96657">
        <w:t>The</w:t>
      </w:r>
      <w:r>
        <w:t xml:space="preserve"> order of conditions across the testing sessions</w:t>
      </w:r>
      <w:r w:rsidR="00E96657">
        <w:t xml:space="preserve"> was counterbalanced across participants</w:t>
      </w:r>
      <w:r>
        <w:t>.</w:t>
      </w:r>
    </w:p>
    <w:p w:rsidR="00ED0286" w:rsidRDefault="00ED0286" w:rsidP="00E77FB2">
      <w:pPr>
        <w:spacing w:after="0" w:line="480" w:lineRule="auto"/>
      </w:pPr>
      <w:r>
        <w:tab/>
        <w:t>In the training phase, participant</w:t>
      </w:r>
      <w:r w:rsidR="00672FD4">
        <w:t>s</w:t>
      </w:r>
      <w:r>
        <w:t xml:space="preserve"> </w:t>
      </w:r>
      <w:r w:rsidR="00672FD4">
        <w:t xml:space="preserve">were </w:t>
      </w:r>
      <w:r>
        <w:t xml:space="preserve">told that they </w:t>
      </w:r>
      <w:r w:rsidR="00672FD4">
        <w:t>would</w:t>
      </w:r>
      <w:r>
        <w:t xml:space="preserve"> be given some memory tests, preceded by practice. The</w:t>
      </w:r>
      <w:r w:rsidR="00E96657">
        <w:t xml:space="preserve"> training</w:t>
      </w:r>
      <w:r>
        <w:t xml:space="preserve"> coloured picture</w:t>
      </w:r>
      <w:r w:rsidR="00672FD4">
        <w:t>-</w:t>
      </w:r>
      <w:r>
        <w:t>card</w:t>
      </w:r>
      <w:r w:rsidR="00E96657">
        <w:t>s</w:t>
      </w:r>
      <w:r>
        <w:t xml:space="preserve"> were presented </w:t>
      </w:r>
      <w:r w:rsidR="00672FD4">
        <w:t>singly</w:t>
      </w:r>
      <w:r>
        <w:t xml:space="preserve"> with the instruction to look carefully at the picture and try to remember it. After a short interval during which the Tester explained that </w:t>
      </w:r>
      <w:r w:rsidR="009404AE">
        <w:t>they were</w:t>
      </w:r>
      <w:r>
        <w:t xml:space="preserve"> going to see how many of the pictures the child could remember, the relevant test cards were presented one at a time, </w:t>
      </w:r>
      <w:r w:rsidR="00672FD4">
        <w:t>with the</w:t>
      </w:r>
      <w:r>
        <w:t xml:space="preserve"> </w:t>
      </w:r>
      <w:r w:rsidR="00672FD4">
        <w:t>request</w:t>
      </w:r>
      <w:r>
        <w:t xml:space="preserve"> to point to the picture they had </w:t>
      </w:r>
      <w:r w:rsidR="009404AE">
        <w:t xml:space="preserve">just </w:t>
      </w:r>
      <w:r>
        <w:t xml:space="preserve">seen. Help was given if necessary, and the Tester commented on why that was the correct picture to point to, whereas pointing to any of the foils would have been incorrect. </w:t>
      </w:r>
      <w:r w:rsidR="006719C8">
        <w:t>None</w:t>
      </w:r>
      <w:r w:rsidR="00B4234B">
        <w:t xml:space="preserve"> of the participants </w:t>
      </w:r>
      <w:r>
        <w:t>had difficulty with this stage.</w:t>
      </w:r>
    </w:p>
    <w:p w:rsidR="00ED0286" w:rsidRDefault="00B4234B" w:rsidP="00E77FB2">
      <w:pPr>
        <w:spacing w:after="0" w:line="480" w:lineRule="auto"/>
      </w:pPr>
      <w:r>
        <w:tab/>
        <w:t xml:space="preserve"> The st</w:t>
      </w:r>
      <w:r w:rsidR="00ED0286">
        <w:t>udy phase for each recognition test</w:t>
      </w:r>
      <w:r>
        <w:t xml:space="preserve"> consisted of two </w:t>
      </w:r>
      <w:r w:rsidR="003E6D26">
        <w:t>successive presentations of each target stimulus.  On the first presentation (</w:t>
      </w:r>
      <w:r>
        <w:t>Study</w:t>
      </w:r>
      <w:r w:rsidR="003E6D26">
        <w:t xml:space="preserve"> </w:t>
      </w:r>
      <w:r>
        <w:t>Phase 1)</w:t>
      </w:r>
      <w:r w:rsidR="003E6D26">
        <w:t xml:space="preserve"> </w:t>
      </w:r>
      <w:r w:rsidR="00ED0286">
        <w:t xml:space="preserve">pictures of the 12 target stimuli were presented </w:t>
      </w:r>
      <w:r w:rsidR="003E6D26">
        <w:t xml:space="preserve">for 3 seconds </w:t>
      </w:r>
      <w:r w:rsidR="00ED0286">
        <w:t xml:space="preserve">one by one in a pre-determined order followed by the question ‘Could you eat that?’ Participants were instructed to answer </w:t>
      </w:r>
      <w:r w:rsidR="00BF590E">
        <w:t>‘</w:t>
      </w:r>
      <w:r w:rsidR="00ED0286">
        <w:t>yes</w:t>
      </w:r>
      <w:r w:rsidR="00BF590E">
        <w:t>’</w:t>
      </w:r>
      <w:r w:rsidR="00ED0286">
        <w:t xml:space="preserve"> or </w:t>
      </w:r>
      <w:r w:rsidR="00BF590E">
        <w:t>‘</w:t>
      </w:r>
      <w:r w:rsidR="00ED0286">
        <w:t>no</w:t>
      </w:r>
      <w:r w:rsidR="00BF590E">
        <w:t>’</w:t>
      </w:r>
      <w:r w:rsidR="00ED0286">
        <w:t xml:space="preserve">. This was done to ensure that attention was paid to each target stimulus. </w:t>
      </w:r>
      <w:r w:rsidR="003E6D26">
        <w:t xml:space="preserve">On the second presentation (Study Phase 2) stimuli were presented one by one </w:t>
      </w:r>
      <w:r w:rsidR="00ED0286">
        <w:t>in the same order as pre</w:t>
      </w:r>
      <w:r w:rsidR="003E6D26">
        <w:t>viously, and for 3 seconds each</w:t>
      </w:r>
      <w:r w:rsidR="00ED0286">
        <w:t>, but without the attention-directing question</w:t>
      </w:r>
      <w:r w:rsidR="003E6D26">
        <w:t>. In Study Phase 2, p</w:t>
      </w:r>
      <w:r w:rsidR="00ED0286">
        <w:t xml:space="preserve">articipants were instructed to look at each picture carefully, because their memory would be tested later. </w:t>
      </w:r>
    </w:p>
    <w:p w:rsidR="00ED0286" w:rsidRDefault="00ED0286" w:rsidP="00E77FB2">
      <w:pPr>
        <w:spacing w:after="0" w:line="480" w:lineRule="auto"/>
      </w:pPr>
      <w:r>
        <w:tab/>
        <w:t xml:space="preserve">In the filler task which immediately followed the study phase, the pack of playing cards was introduced, and children were encouraged to play a game of ‘Snap’ with the </w:t>
      </w:r>
      <w:r w:rsidR="00FE2873">
        <w:t>Tester</w:t>
      </w:r>
      <w:r>
        <w:t xml:space="preserve"> for a timed interval of 5 minutes. In the test phase which immediately followed the filler task, </w:t>
      </w:r>
      <w:r>
        <w:lastRenderedPageBreak/>
        <w:t xml:space="preserve">participants were presented with the 12 test quartets for that experimental condition, one at a time in a predetermined different order to presentation and were instructed to point to the picture that they had seen before. If the participant failed to respond, they were encouraged to ‘Have a guess’. Testing did not proceed until a response had been made.  </w:t>
      </w:r>
    </w:p>
    <w:p w:rsidR="00ED0286" w:rsidRDefault="00ED0286" w:rsidP="00E77FB2">
      <w:pPr>
        <w:spacing w:after="0" w:line="480" w:lineRule="auto"/>
        <w:rPr>
          <w:b/>
        </w:rPr>
      </w:pPr>
    </w:p>
    <w:p w:rsidR="00ED0286" w:rsidRDefault="00ED0286" w:rsidP="00E77FB2">
      <w:pPr>
        <w:spacing w:after="0" w:line="480" w:lineRule="auto"/>
        <w:rPr>
          <w:b/>
        </w:rPr>
      </w:pPr>
      <w:r>
        <w:rPr>
          <w:b/>
        </w:rPr>
        <w:t>Results</w:t>
      </w:r>
    </w:p>
    <w:p w:rsidR="00ED0286" w:rsidRDefault="00ED0286" w:rsidP="00E77FB2">
      <w:pPr>
        <w:spacing w:line="480" w:lineRule="auto"/>
      </w:pPr>
      <w:r>
        <w:t xml:space="preserve">Figure 5 shows the mean performance on the two memory tests </w:t>
      </w:r>
      <w:r w:rsidR="003E1F27">
        <w:t>for each</w:t>
      </w:r>
      <w:r>
        <w:t xml:space="preserve"> group. </w:t>
      </w:r>
    </w:p>
    <w:p w:rsidR="00BB31BE" w:rsidRDefault="004E0F42" w:rsidP="00E77FB2">
      <w:pPr>
        <w:spacing w:line="480" w:lineRule="auto"/>
        <w:jc w:val="center"/>
      </w:pPr>
      <w:r>
        <w:rPr>
          <w:noProof/>
        </w:rPr>
        <w:t>(Figure 5 about here)</w:t>
      </w:r>
    </w:p>
    <w:p w:rsidR="00ED0286" w:rsidRDefault="00ED0286" w:rsidP="00E77FB2">
      <w:pPr>
        <w:spacing w:line="480" w:lineRule="auto"/>
      </w:pPr>
      <w:r>
        <w:t xml:space="preserve">Unlike in Experiment 1, where the </w:t>
      </w:r>
      <w:r>
        <w:rPr>
          <w:lang w:eastAsia="en-GB"/>
        </w:rPr>
        <w:t>ASD</w:t>
      </w:r>
      <w:r>
        <w:rPr>
          <w:vertAlign w:val="superscript"/>
          <w:lang w:eastAsia="en-GB"/>
        </w:rPr>
        <w:t>LI/LD</w:t>
      </w:r>
      <w:r>
        <w:t xml:space="preserve"> group showed the expected </w:t>
      </w:r>
      <w:r w:rsidR="00095486">
        <w:t xml:space="preserve">reduced performance </w:t>
      </w:r>
      <w:r>
        <w:t xml:space="preserve">on measures of familiarity and recollection </w:t>
      </w:r>
      <w:r w:rsidR="00095486">
        <w:t>in comparison to</w:t>
      </w:r>
      <w:r>
        <w:t xml:space="preserve"> the TD but not the LD group, performance by the </w:t>
      </w:r>
      <w:r>
        <w:rPr>
          <w:lang w:eastAsia="en-GB"/>
        </w:rPr>
        <w:t>ASD</w:t>
      </w:r>
      <w:r>
        <w:rPr>
          <w:vertAlign w:val="superscript"/>
          <w:lang w:eastAsia="en-GB"/>
        </w:rPr>
        <w:t>LI/LD</w:t>
      </w:r>
      <w:r>
        <w:t xml:space="preserve"> group in the current experiment was only compromised vis-à-vis the TD group on the </w:t>
      </w:r>
      <w:r w:rsidR="005B1929" w:rsidRPr="002705DA">
        <w:rPr>
          <w:b/>
        </w:rPr>
        <w:t>‘forced choice non-corresponding’</w:t>
      </w:r>
      <w:r w:rsidR="005B1929">
        <w:rPr>
          <w:b/>
        </w:rPr>
        <w:t xml:space="preserve"> (</w:t>
      </w:r>
      <w:r>
        <w:t>FCNC</w:t>
      </w:r>
      <w:r w:rsidR="005B1929">
        <w:t>)</w:t>
      </w:r>
      <w:r>
        <w:t xml:space="preserve"> measure of recollection (t = 2.45; df = 40; p = 0.019; Cohen’s d = 0.76)</w:t>
      </w:r>
      <w:r w:rsidR="001D7429">
        <w:t>.</w:t>
      </w:r>
      <w:r>
        <w:t xml:space="preserve"> </w:t>
      </w:r>
      <w:r w:rsidR="001D7429">
        <w:t>On</w:t>
      </w:r>
      <w:r>
        <w:t xml:space="preserve"> the </w:t>
      </w:r>
      <w:r w:rsidR="005B1929" w:rsidRPr="002705DA">
        <w:rPr>
          <w:b/>
        </w:rPr>
        <w:t>‘forced choice corresponding’</w:t>
      </w:r>
      <w:r w:rsidR="005B1929">
        <w:rPr>
          <w:b/>
        </w:rPr>
        <w:t xml:space="preserve"> (</w:t>
      </w:r>
      <w:r>
        <w:t>FCC</w:t>
      </w:r>
      <w:r w:rsidR="005B1929">
        <w:t>)</w:t>
      </w:r>
      <w:r>
        <w:t xml:space="preserve"> measure of familiarity</w:t>
      </w:r>
      <w:r w:rsidR="000C4331">
        <w:t>,</w:t>
      </w:r>
      <w:r>
        <w:t xml:space="preserve"> they actually tended to perform better than TD participants (t = 1.74; df = 40; p = 0.090; Cohen’s d = 0.53). Compared to the LD group, </w:t>
      </w:r>
      <w:r>
        <w:rPr>
          <w:lang w:eastAsia="en-GB"/>
        </w:rPr>
        <w:t>ASD</w:t>
      </w:r>
      <w:r>
        <w:rPr>
          <w:vertAlign w:val="superscript"/>
          <w:lang w:eastAsia="en-GB"/>
        </w:rPr>
        <w:t>LI/LD</w:t>
      </w:r>
      <w:r>
        <w:t xml:space="preserve"> children also performed significantly </w:t>
      </w:r>
      <w:r w:rsidR="00095486">
        <w:t xml:space="preserve">higher </w:t>
      </w:r>
      <w:r>
        <w:t xml:space="preserve">on the familiarity measure (t = 2.96; df = 39; p = 0.005; Cohen’s d = 0.93) and marginally also on the recollection measure (t = 1.77; df = 39; p = 0.085; Cohen’s d = 0.55). Thus, instead of </w:t>
      </w:r>
      <w:r w:rsidR="003E1F27">
        <w:t xml:space="preserve">showing diminished </w:t>
      </w:r>
      <w:r>
        <w:t xml:space="preserve">familiarity and recollection, </w:t>
      </w:r>
      <w:r>
        <w:rPr>
          <w:lang w:eastAsia="en-GB"/>
        </w:rPr>
        <w:t>ASD</w:t>
      </w:r>
      <w:r>
        <w:rPr>
          <w:vertAlign w:val="superscript"/>
          <w:lang w:eastAsia="en-GB"/>
        </w:rPr>
        <w:t xml:space="preserve">LI/LD </w:t>
      </w:r>
      <w:r>
        <w:t xml:space="preserve">children demonstrated the kind of circumscribed recollection </w:t>
      </w:r>
      <w:r w:rsidR="00095486">
        <w:t xml:space="preserve">difficulty </w:t>
      </w:r>
      <w:r>
        <w:t xml:space="preserve">in this experiment that we predicted for the </w:t>
      </w:r>
      <w:r>
        <w:rPr>
          <w:lang w:eastAsia="en-GB"/>
        </w:rPr>
        <w:t>ASD</w:t>
      </w:r>
      <w:r>
        <w:rPr>
          <w:vertAlign w:val="superscript"/>
          <w:lang w:eastAsia="en-GB"/>
        </w:rPr>
        <w:t xml:space="preserve">TL </w:t>
      </w:r>
      <w:r>
        <w:t xml:space="preserve">group. If </w:t>
      </w:r>
      <w:r w:rsidR="00074200">
        <w:t>anything,</w:t>
      </w:r>
      <w:r>
        <w:t xml:space="preserve"> familiarity appeared to be an area of strength for this group.</w:t>
      </w:r>
    </w:p>
    <w:p w:rsidR="00ED0286" w:rsidRDefault="00ED0286" w:rsidP="00E77FB2">
      <w:pPr>
        <w:spacing w:after="0" w:line="480" w:lineRule="auto"/>
      </w:pPr>
      <w:r>
        <w:rPr>
          <w:lang w:val="en-GB"/>
        </w:rPr>
        <w:tab/>
      </w:r>
      <w:r w:rsidR="006719C8">
        <w:rPr>
          <w:lang w:val="en-GB"/>
        </w:rPr>
        <w:t>T</w:t>
      </w:r>
      <w:r>
        <w:rPr>
          <w:lang w:val="en-GB"/>
        </w:rPr>
        <w:t xml:space="preserve">he second prediction, that </w:t>
      </w:r>
      <w:r>
        <w:rPr>
          <w:lang w:eastAsia="en-GB"/>
        </w:rPr>
        <w:t>ASD</w:t>
      </w:r>
      <w:r>
        <w:rPr>
          <w:vertAlign w:val="superscript"/>
          <w:lang w:eastAsia="en-GB"/>
        </w:rPr>
        <w:t xml:space="preserve">TL </w:t>
      </w:r>
      <w:r>
        <w:rPr>
          <w:lang w:val="en-GB"/>
        </w:rPr>
        <w:t xml:space="preserve">participants would demonstrate selective difficulties in recollection as compared to the TD group, was confirmed with nearly identical performance between these groups on the FCC measure of familiarity </w:t>
      </w:r>
      <w:r>
        <w:t xml:space="preserve">(t = 0.01; df = 48; p = </w:t>
      </w:r>
      <w:r>
        <w:lastRenderedPageBreak/>
        <w:t xml:space="preserve">0.996; Cohen’s d = 0.00) but significantly </w:t>
      </w:r>
      <w:r w:rsidR="00095486">
        <w:t>lower</w:t>
      </w:r>
      <w:r>
        <w:t xml:space="preserve"> performance by the </w:t>
      </w:r>
      <w:r>
        <w:rPr>
          <w:lang w:eastAsia="en-GB"/>
        </w:rPr>
        <w:t>ASD</w:t>
      </w:r>
      <w:r>
        <w:rPr>
          <w:vertAlign w:val="superscript"/>
          <w:lang w:eastAsia="en-GB"/>
        </w:rPr>
        <w:t>TL</w:t>
      </w:r>
      <w:r>
        <w:t xml:space="preserve"> group on the FCNC measure of recollection (t = 2.36; df = 48; p = 0.022; Cohen’s d = 0.67).</w:t>
      </w:r>
    </w:p>
    <w:p w:rsidR="00ED0286" w:rsidRPr="00FB69D4" w:rsidRDefault="00ED0286" w:rsidP="00E77FB2">
      <w:pPr>
        <w:spacing w:after="0" w:line="480" w:lineRule="auto"/>
      </w:pPr>
      <w:r>
        <w:tab/>
      </w:r>
      <w:r w:rsidR="006719C8">
        <w:t>As</w:t>
      </w:r>
      <w:r>
        <w:t xml:space="preserve"> for Experiment 1, the final set of analyses examined the associations between the memory tests and the PPT</w:t>
      </w:r>
      <w:r w:rsidR="005B1929">
        <w:t xml:space="preserve"> test of lexical semantic knowledge</w:t>
      </w:r>
      <w:r>
        <w:t>, along with oth</w:t>
      </w:r>
      <w:r w:rsidR="001D7429">
        <w:t xml:space="preserve">er relevant measures (VIQ, </w:t>
      </w:r>
      <w:r w:rsidR="005B1929">
        <w:t>Ravens (</w:t>
      </w:r>
      <w:r w:rsidR="001D7429">
        <w:t>CPM</w:t>
      </w:r>
      <w:r w:rsidR="005B1929">
        <w:t>)</w:t>
      </w:r>
      <w:r w:rsidR="001D7429">
        <w:t xml:space="preserve"> and</w:t>
      </w:r>
      <w:r>
        <w:t xml:space="preserve"> CEFT</w:t>
      </w:r>
      <w:r w:rsidR="005B1929">
        <w:t xml:space="preserve"> (visu</w:t>
      </w:r>
      <w:r w:rsidR="0028431A">
        <w:t>al</w:t>
      </w:r>
      <w:r w:rsidR="005B1929">
        <w:t>-perceptual ability)</w:t>
      </w:r>
      <w:r>
        <w:t xml:space="preserve">). </w:t>
      </w:r>
      <w:r w:rsidR="00531920">
        <w:t>Table 4 summarises</w:t>
      </w:r>
      <w:r w:rsidR="00E96657">
        <w:t>,</w:t>
      </w:r>
      <w:r w:rsidR="00531920">
        <w:t xml:space="preserve"> and </w:t>
      </w:r>
      <w:r>
        <w:t>Figure 6 illustrates</w:t>
      </w:r>
      <w:r w:rsidR="00E96657">
        <w:t>,</w:t>
      </w:r>
      <w:r>
        <w:t xml:space="preserve"> </w:t>
      </w:r>
      <w:r w:rsidR="00531920">
        <w:t xml:space="preserve">the relevant bivariate correlations </w:t>
      </w:r>
      <w:r>
        <w:t>between the measures of familiarity</w:t>
      </w:r>
      <w:r w:rsidR="005B1929">
        <w:t xml:space="preserve"> (FCC)</w:t>
      </w:r>
      <w:r>
        <w:t xml:space="preserve"> / recollection</w:t>
      </w:r>
      <w:r w:rsidR="005B1929">
        <w:t xml:space="preserve"> (FCNC)</w:t>
      </w:r>
      <w:r>
        <w:t xml:space="preserve"> and PPT which are of most interest</w:t>
      </w:r>
      <w:r w:rsidR="00531920">
        <w:t xml:space="preserve"> </w:t>
      </w:r>
      <w:r>
        <w:t xml:space="preserve">within each participant group. Consistent with predictions and with the observations of Experiment 1, both memory measures correlated significantly with the PPT in the two ASD groups, whereas no such correlations were observed in the TD group.  </w:t>
      </w:r>
      <w:r w:rsidRPr="00FB69D4">
        <w:t>However, the familiarity measure (FCC) but not the recollection measure (FCNC) was associated with PPT in the LD group.</w:t>
      </w:r>
    </w:p>
    <w:p w:rsidR="00ED0286" w:rsidRDefault="00ED0286" w:rsidP="00E77FB2">
      <w:pPr>
        <w:spacing w:after="0" w:line="480" w:lineRule="auto"/>
      </w:pPr>
    </w:p>
    <w:p w:rsidR="00ED0286" w:rsidRPr="00DD57D4" w:rsidRDefault="00DD57D4" w:rsidP="00E77FB2">
      <w:pPr>
        <w:spacing w:line="480" w:lineRule="auto"/>
        <w:ind w:firstLine="567"/>
        <w:jc w:val="center"/>
      </w:pPr>
      <w:r>
        <w:rPr>
          <w:noProof/>
        </w:rPr>
        <w:t>(Figure 6 about here)</w:t>
      </w:r>
    </w:p>
    <w:p w:rsidR="00ED0286" w:rsidRDefault="00ED0286" w:rsidP="00E77FB2">
      <w:pPr>
        <w:spacing w:after="0" w:line="480" w:lineRule="auto"/>
        <w:rPr>
          <w:lang w:val="en-GB"/>
        </w:rPr>
      </w:pPr>
    </w:p>
    <w:p w:rsidR="005B097A" w:rsidRPr="007E7323" w:rsidRDefault="00531920" w:rsidP="00E77FB2">
      <w:pPr>
        <w:spacing w:line="480" w:lineRule="auto"/>
        <w:rPr>
          <w:lang w:val="en-GB"/>
        </w:rPr>
      </w:pPr>
      <w:r>
        <w:rPr>
          <w:lang w:val="en-GB"/>
        </w:rPr>
        <w:t>Inspection of</w:t>
      </w:r>
      <w:r w:rsidR="00ED0286">
        <w:rPr>
          <w:lang w:val="en-GB"/>
        </w:rPr>
        <w:t xml:space="preserve"> Table 4 </w:t>
      </w:r>
      <w:r>
        <w:rPr>
          <w:lang w:val="en-GB"/>
        </w:rPr>
        <w:t>shows that</w:t>
      </w:r>
      <w:r w:rsidR="00ED0286">
        <w:rPr>
          <w:lang w:val="en-GB"/>
        </w:rPr>
        <w:t xml:space="preserve"> fluid intelligence (CPM) and visu</w:t>
      </w:r>
      <w:r w:rsidR="0028431A">
        <w:rPr>
          <w:lang w:val="en-GB"/>
        </w:rPr>
        <w:t>al</w:t>
      </w:r>
      <w:r w:rsidR="00A169D2">
        <w:rPr>
          <w:lang w:val="en-GB"/>
        </w:rPr>
        <w:t>-</w:t>
      </w:r>
      <w:r w:rsidR="00ED0286">
        <w:rPr>
          <w:lang w:val="en-GB"/>
        </w:rPr>
        <w:t xml:space="preserve">perceptual skills (CEFT) correlated with memory </w:t>
      </w:r>
      <w:r>
        <w:rPr>
          <w:lang w:val="en-GB"/>
        </w:rPr>
        <w:t>performance</w:t>
      </w:r>
      <w:r w:rsidR="00ED0286">
        <w:rPr>
          <w:lang w:val="en-GB"/>
        </w:rPr>
        <w:t xml:space="preserve">, particularly familiarity. </w:t>
      </w:r>
      <w:r>
        <w:rPr>
          <w:lang w:val="en-GB"/>
        </w:rPr>
        <w:t>Consequently</w:t>
      </w:r>
      <w:r w:rsidR="00ED0286">
        <w:rPr>
          <w:lang w:val="en-GB"/>
        </w:rPr>
        <w:t xml:space="preserve">, </w:t>
      </w:r>
      <w:r w:rsidR="00ED0286">
        <w:t>multiple regression was carried out with PPT as the dependent variable and FCC (familiarity), CEFT and CPM as predictors. The results in the combined ASD group, replicated the findings of Experiment 1 with an overall significant model (F(3,40) = 8.12; p &lt; .001 R</w:t>
      </w:r>
      <w:r w:rsidR="00ED0286">
        <w:rPr>
          <w:vertAlign w:val="superscript"/>
        </w:rPr>
        <w:t>2</w:t>
      </w:r>
      <w:r w:rsidR="00ED0286">
        <w:t xml:space="preserve"> = 0.38) in which only the FCC measure of familiarity (β = 0.62; t = 3.56; p = 0.001) but not CEFT (β = 0.01; t = 0.04; p = 0.971) or CPM (β = -0.02; t = 0.15; p = 0.884) was a reliable predictor</w:t>
      </w:r>
      <w:r w:rsidR="00F6544E">
        <w:t xml:space="preserve"> of PPT</w:t>
      </w:r>
      <w:r w:rsidR="00ED0286">
        <w:t xml:space="preserve">. </w:t>
      </w:r>
      <w:r w:rsidR="00ED0286" w:rsidRPr="00997127">
        <w:t xml:space="preserve">By contrast, </w:t>
      </w:r>
      <w:r w:rsidR="00DB4C00">
        <w:t xml:space="preserve">and as in Experiment 1, </w:t>
      </w:r>
      <w:r w:rsidR="00ED0286" w:rsidRPr="00997127">
        <w:t>the combined TD and LD group yielded a significant model (F(3,43) = 5.18; p = .004; R</w:t>
      </w:r>
      <w:r w:rsidR="00ED0286" w:rsidRPr="00997127">
        <w:rPr>
          <w:vertAlign w:val="superscript"/>
        </w:rPr>
        <w:t xml:space="preserve">2 </w:t>
      </w:r>
      <w:r w:rsidR="00ED0286" w:rsidRPr="00997127">
        <w:t xml:space="preserve">= .26) in which CEFT </w:t>
      </w:r>
      <w:r w:rsidR="005B097A">
        <w:t xml:space="preserve">was the most reliable predictor of PPT </w:t>
      </w:r>
      <w:r w:rsidR="00ED0286" w:rsidRPr="00997127">
        <w:t xml:space="preserve">(β = 0.32; t = 1.88; p = 0.067) </w:t>
      </w:r>
      <w:r w:rsidR="005B097A">
        <w:t>rather than FCC</w:t>
      </w:r>
      <w:r w:rsidR="00ED0286" w:rsidRPr="00997127">
        <w:t xml:space="preserve"> </w:t>
      </w:r>
      <w:r w:rsidR="005B097A">
        <w:t xml:space="preserve">(β = 0.05; t = </w:t>
      </w:r>
      <w:r w:rsidR="005B097A">
        <w:lastRenderedPageBreak/>
        <w:t xml:space="preserve">0.34; p = 0.734). However, in this experiment, </w:t>
      </w:r>
      <w:r w:rsidR="00ED0286" w:rsidRPr="00997127">
        <w:t>CPM</w:t>
      </w:r>
      <w:r w:rsidR="00587EC0">
        <w:t xml:space="preserve"> was not a major predictor of</w:t>
      </w:r>
      <w:r w:rsidR="005B097A">
        <w:t xml:space="preserve"> PPT in the combined non-autistic groups.</w:t>
      </w:r>
      <w:r w:rsidR="00ED0286" w:rsidRPr="00997127">
        <w:t xml:space="preserve"> (β = 0.21; t = 1.23; p = 0.226). </w:t>
      </w:r>
    </w:p>
    <w:p w:rsidR="0061188D" w:rsidRDefault="0061188D" w:rsidP="00E77FB2">
      <w:pPr>
        <w:spacing w:line="480" w:lineRule="auto"/>
        <w:jc w:val="center"/>
      </w:pPr>
    </w:p>
    <w:p w:rsidR="00825C9D" w:rsidRDefault="00825C9D" w:rsidP="00E77FB2">
      <w:pPr>
        <w:spacing w:line="480" w:lineRule="auto"/>
        <w:jc w:val="center"/>
        <w:rPr>
          <w:lang w:val="en-GB"/>
        </w:rPr>
      </w:pPr>
      <w:r>
        <w:t>(Table 4 about here)</w:t>
      </w:r>
    </w:p>
    <w:p w:rsidR="005F7335" w:rsidRDefault="005F7335" w:rsidP="00E77FB2">
      <w:pPr>
        <w:spacing w:after="0" w:line="480" w:lineRule="auto"/>
        <w:rPr>
          <w:b/>
          <w:sz w:val="28"/>
          <w:szCs w:val="28"/>
        </w:rPr>
      </w:pPr>
    </w:p>
    <w:p w:rsidR="0061188D" w:rsidRDefault="0061188D" w:rsidP="00E77FB2">
      <w:pPr>
        <w:spacing w:after="0" w:line="480" w:lineRule="auto"/>
        <w:rPr>
          <w:b/>
          <w:sz w:val="28"/>
          <w:szCs w:val="28"/>
        </w:rPr>
      </w:pPr>
    </w:p>
    <w:p w:rsidR="002705DA" w:rsidRPr="002705DA" w:rsidRDefault="00ED0286" w:rsidP="00E77FB2">
      <w:pPr>
        <w:spacing w:after="0" w:line="480" w:lineRule="auto"/>
        <w:rPr>
          <w:b/>
          <w:sz w:val="28"/>
          <w:szCs w:val="28"/>
        </w:rPr>
      </w:pPr>
      <w:r w:rsidRPr="002705DA">
        <w:rPr>
          <w:b/>
          <w:sz w:val="28"/>
          <w:szCs w:val="28"/>
        </w:rPr>
        <w:t>General Discussion</w:t>
      </w:r>
    </w:p>
    <w:p w:rsidR="00ED0286" w:rsidRPr="002705DA" w:rsidRDefault="00ED0286" w:rsidP="00E77FB2">
      <w:pPr>
        <w:spacing w:after="0" w:line="480" w:lineRule="auto"/>
        <w:rPr>
          <w:b/>
        </w:rPr>
      </w:pPr>
      <w:r>
        <w:t>Two experiments test</w:t>
      </w:r>
      <w:r w:rsidR="00531920">
        <w:t>ed</w:t>
      </w:r>
      <w:r>
        <w:t xml:space="preserve"> predictions concerning the role of declarative memory in the lexical semantic language </w:t>
      </w:r>
      <w:r w:rsidR="00054BF2">
        <w:t xml:space="preserve">anomalies </w:t>
      </w:r>
      <w:r w:rsidR="00F64102">
        <w:t>co-occurring with</w:t>
      </w:r>
      <w:r>
        <w:t xml:space="preserve"> ASD.</w:t>
      </w:r>
      <w:r w:rsidR="00531920">
        <w:t xml:space="preserve"> W</w:t>
      </w:r>
      <w:r>
        <w:t xml:space="preserve">e predicted that </w:t>
      </w:r>
      <w:r>
        <w:rPr>
          <w:lang w:eastAsia="en-GB"/>
        </w:rPr>
        <w:t>ASD</w:t>
      </w:r>
      <w:r>
        <w:rPr>
          <w:vertAlign w:val="superscript"/>
          <w:lang w:eastAsia="en-GB"/>
        </w:rPr>
        <w:t xml:space="preserve">LI/LD </w:t>
      </w:r>
      <w:r>
        <w:t xml:space="preserve">children would be impaired on measures of both familiarity and recollection vis-a-vis TD children </w:t>
      </w:r>
      <w:r w:rsidR="00ED2B8F">
        <w:t>(predic</w:t>
      </w:r>
      <w:r w:rsidR="005825FA">
        <w:t xml:space="preserve">tion 1a), </w:t>
      </w:r>
      <w:r w:rsidRPr="00D3127D">
        <w:t>and also vis-à-vis teenagers with LD</w:t>
      </w:r>
      <w:r>
        <w:t xml:space="preserve"> (prediction 1</w:t>
      </w:r>
      <w:r w:rsidR="005825FA">
        <w:t>b</w:t>
      </w:r>
      <w:r w:rsidR="00ED2B8F">
        <w:t>);</w:t>
      </w:r>
      <w:r>
        <w:t xml:space="preserve"> whereas </w:t>
      </w:r>
      <w:r>
        <w:rPr>
          <w:lang w:eastAsia="en-GB"/>
        </w:rPr>
        <w:t>ASD</w:t>
      </w:r>
      <w:r>
        <w:rPr>
          <w:vertAlign w:val="superscript"/>
          <w:lang w:eastAsia="en-GB"/>
        </w:rPr>
        <w:t>TL</w:t>
      </w:r>
      <w:r>
        <w:t xml:space="preserve"> children woul</w:t>
      </w:r>
      <w:r w:rsidR="007E0394">
        <w:t>d demonstrate impairments only o</w:t>
      </w:r>
      <w:r>
        <w:t>n measures of recollection</w:t>
      </w:r>
      <w:r w:rsidR="00ED2B8F">
        <w:t xml:space="preserve"> when compared with TD children</w:t>
      </w:r>
      <w:r>
        <w:t xml:space="preserve"> (prediction 2). </w:t>
      </w:r>
      <w:r w:rsidR="007E0394">
        <w:t>Most importantly,</w:t>
      </w:r>
      <w:r>
        <w:t xml:space="preserve"> the memory difficulties </w:t>
      </w:r>
      <w:r w:rsidR="001F21F3">
        <w:t xml:space="preserve">predicted </w:t>
      </w:r>
      <w:r w:rsidR="003E1F27">
        <w:t>for</w:t>
      </w:r>
      <w:r w:rsidR="001F21F3">
        <w:t xml:space="preserve"> the ASD group</w:t>
      </w:r>
      <w:r>
        <w:t xml:space="preserve"> were expected to correlate reliably with th</w:t>
      </w:r>
      <w:r w:rsidR="00587EC0">
        <w:t>eir lexical semantic abilities, as assessed by the PPT</w:t>
      </w:r>
      <w:r w:rsidR="001F21F3">
        <w:t>,</w:t>
      </w:r>
      <w:r>
        <w:t xml:space="preserve"> whereas no such associations were predicted for TD or LD children (prediction 3). </w:t>
      </w:r>
    </w:p>
    <w:p w:rsidR="000540DC" w:rsidRDefault="00240EEA" w:rsidP="00E77FB2">
      <w:pPr>
        <w:spacing w:after="0" w:line="480" w:lineRule="auto"/>
        <w:ind w:firstLine="720"/>
      </w:pPr>
      <w:r w:rsidRPr="00A37930">
        <w:rPr>
          <w:i/>
        </w:rPr>
        <w:t xml:space="preserve">Regarding prediction </w:t>
      </w:r>
      <w:r w:rsidR="00D04302" w:rsidRPr="00A37930">
        <w:rPr>
          <w:i/>
        </w:rPr>
        <w:t>(1a)</w:t>
      </w:r>
      <w:r w:rsidR="003F66C9">
        <w:rPr>
          <w:i/>
        </w:rPr>
        <w:t xml:space="preserve">, </w:t>
      </w:r>
      <w:r w:rsidR="00D04302">
        <w:t>t</w:t>
      </w:r>
      <w:r w:rsidR="00ED0286">
        <w:t>he two experiments yielded conflicting results</w:t>
      </w:r>
      <w:r w:rsidR="003F66C9">
        <w:t>.</w:t>
      </w:r>
      <w:r w:rsidR="00ED0286">
        <w:t xml:space="preserve"> </w:t>
      </w:r>
      <w:r w:rsidR="003F66C9">
        <w:t>I</w:t>
      </w:r>
      <w:r w:rsidR="00ED0286">
        <w:t xml:space="preserve">n Experiment 1 the </w:t>
      </w:r>
      <w:r w:rsidR="00ED0286">
        <w:rPr>
          <w:lang w:eastAsia="en-GB"/>
        </w:rPr>
        <w:t>ASD</w:t>
      </w:r>
      <w:r w:rsidR="00ED0286">
        <w:rPr>
          <w:vertAlign w:val="superscript"/>
          <w:lang w:eastAsia="en-GB"/>
        </w:rPr>
        <w:t xml:space="preserve">LI/LD </w:t>
      </w:r>
      <w:r w:rsidR="00ED0286">
        <w:rPr>
          <w:lang w:eastAsia="en-GB"/>
        </w:rPr>
        <w:t xml:space="preserve">group </w:t>
      </w:r>
      <w:r w:rsidR="00ED0286">
        <w:t>performed worse than the TD group on the measures of familiarity</w:t>
      </w:r>
      <w:r w:rsidR="00912068">
        <w:t xml:space="preserve"> and recollection, as predicted</w:t>
      </w:r>
      <w:r w:rsidR="00D04302">
        <w:t xml:space="preserve">. </w:t>
      </w:r>
      <w:r w:rsidR="00ED0286">
        <w:t xml:space="preserve">By contrast, in Experiment 2 the </w:t>
      </w:r>
      <w:r w:rsidR="00ED0286">
        <w:rPr>
          <w:lang w:eastAsia="en-GB"/>
        </w:rPr>
        <w:t>ASD</w:t>
      </w:r>
      <w:r w:rsidR="00ED0286">
        <w:rPr>
          <w:vertAlign w:val="superscript"/>
          <w:lang w:eastAsia="en-GB"/>
        </w:rPr>
        <w:t>LI/LD</w:t>
      </w:r>
      <w:r w:rsidR="00ED0286">
        <w:t xml:space="preserve"> </w:t>
      </w:r>
      <w:r w:rsidR="002241C0">
        <w:t>group was</w:t>
      </w:r>
      <w:r w:rsidR="00ED0286">
        <w:t xml:space="preserve"> impaired on recollection but not familiarity, where they tended to outperform the TD group.</w:t>
      </w:r>
      <w:r w:rsidR="00D3127D">
        <w:t xml:space="preserve"> </w:t>
      </w:r>
      <w:r w:rsidR="00ED0286">
        <w:t>This discrepancy is surprising considering that the measures of familiarity in the two experiments both required participants to discriminate a previously stud</w:t>
      </w:r>
      <w:r w:rsidR="002476CF">
        <w:t>ied stimulus from 3 foils</w:t>
      </w:r>
      <w:r w:rsidR="00ED0286">
        <w:t xml:space="preserve">. </w:t>
      </w:r>
      <w:r w:rsidR="00506DBC">
        <w:t>H</w:t>
      </w:r>
      <w:r w:rsidR="00ED0286">
        <w:t>owever</w:t>
      </w:r>
      <w:r w:rsidR="00506DBC">
        <w:t>, in both experiments</w:t>
      </w:r>
      <w:r w:rsidR="00ED0286">
        <w:t xml:space="preserve"> the measures of familiarity </w:t>
      </w:r>
      <w:r w:rsidR="00DD50C3">
        <w:t xml:space="preserve">correlated highly with the measure of </w:t>
      </w:r>
      <w:r w:rsidR="00ED0286">
        <w:t>visual</w:t>
      </w:r>
      <w:r w:rsidR="00A169D2">
        <w:t>-</w:t>
      </w:r>
      <w:r w:rsidR="00ED0286">
        <w:t>perceptual skills (CEFT</w:t>
      </w:r>
      <w:r w:rsidR="007776CD">
        <w:t>)</w:t>
      </w:r>
      <w:r w:rsidR="00A37930">
        <w:t xml:space="preserve"> in the </w:t>
      </w:r>
      <w:r w:rsidR="00BE6944">
        <w:t>ASD</w:t>
      </w:r>
      <w:r w:rsidR="00BE6944">
        <w:rPr>
          <w:vertAlign w:val="superscript"/>
        </w:rPr>
        <w:t>LILD</w:t>
      </w:r>
      <w:r w:rsidR="00A37930">
        <w:t xml:space="preserve"> group</w:t>
      </w:r>
      <w:r w:rsidR="007776CD">
        <w:t xml:space="preserve">, </w:t>
      </w:r>
      <w:r w:rsidR="00DD50C3">
        <w:t xml:space="preserve">which was not the case for </w:t>
      </w:r>
      <w:r w:rsidR="00DD50C3">
        <w:lastRenderedPageBreak/>
        <w:t>the TD group (see Table</w:t>
      </w:r>
      <w:r w:rsidR="00AF7299">
        <w:t>s</w:t>
      </w:r>
      <w:r w:rsidR="00DD50C3">
        <w:t xml:space="preserve"> </w:t>
      </w:r>
      <w:r w:rsidR="00AF7299">
        <w:t>2</w:t>
      </w:r>
      <w:r w:rsidR="000540DC">
        <w:t xml:space="preserve"> and 4</w:t>
      </w:r>
      <w:r w:rsidR="00AF7299">
        <w:t xml:space="preserve">). </w:t>
      </w:r>
      <w:r w:rsidR="000540DC">
        <w:t xml:space="preserve">This suggests that the </w:t>
      </w:r>
      <w:r w:rsidR="00BE6944">
        <w:t>ASD</w:t>
      </w:r>
      <w:r w:rsidR="00BE6944">
        <w:rPr>
          <w:vertAlign w:val="superscript"/>
        </w:rPr>
        <w:t>LILD</w:t>
      </w:r>
      <w:r w:rsidR="000540DC">
        <w:t xml:space="preserve"> group, but not the TD group,</w:t>
      </w:r>
      <w:r w:rsidR="007D2137">
        <w:t xml:space="preserve"> </w:t>
      </w:r>
      <w:r w:rsidR="00ED0286">
        <w:t xml:space="preserve">relied heavily on their </w:t>
      </w:r>
      <w:r w:rsidR="00A169D2">
        <w:t>visual-</w:t>
      </w:r>
      <w:r w:rsidR="00ED0286">
        <w:t xml:space="preserve">perceptual abilities to tackle the task demands. Such reliance on </w:t>
      </w:r>
      <w:r w:rsidR="00A169D2">
        <w:t>visual-</w:t>
      </w:r>
      <w:r w:rsidR="00ED0286">
        <w:t>p</w:t>
      </w:r>
      <w:r w:rsidR="00C76686">
        <w:t xml:space="preserve">erceptual skills </w:t>
      </w:r>
      <w:r w:rsidR="0082138F">
        <w:t>would</w:t>
      </w:r>
      <w:r w:rsidR="00C76686">
        <w:t xml:space="preserve"> confer a particular</w:t>
      </w:r>
      <w:r w:rsidR="00ED0286">
        <w:t xml:space="preserve"> advantage in the FCC </w:t>
      </w:r>
      <w:r w:rsidR="0028431A">
        <w:t xml:space="preserve">familiarity </w:t>
      </w:r>
      <w:r w:rsidR="00ED0286">
        <w:t xml:space="preserve">test of Experiment 2 </w:t>
      </w:r>
      <w:r w:rsidR="00A37930">
        <w:t>but not in</w:t>
      </w:r>
      <w:r w:rsidR="00ED0286">
        <w:t xml:space="preserve"> the </w:t>
      </w:r>
      <w:r w:rsidR="00815EDE">
        <w:t>SR</w:t>
      </w:r>
      <w:r w:rsidR="00ED0286">
        <w:t xml:space="preserve"> </w:t>
      </w:r>
      <w:r w:rsidR="0028431A">
        <w:t xml:space="preserve">familiarity </w:t>
      </w:r>
      <w:r w:rsidR="00ED0286">
        <w:t xml:space="preserve">test of Experiment 1, </w:t>
      </w:r>
      <w:r w:rsidR="00506DBC">
        <w:t xml:space="preserve">because </w:t>
      </w:r>
      <w:r w:rsidR="002476CF">
        <w:t>i</w:t>
      </w:r>
      <w:r w:rsidR="00815EDE">
        <w:t xml:space="preserve">n the SR condition target and foils </w:t>
      </w:r>
      <w:r w:rsidR="002476CF">
        <w:t xml:space="preserve">on any trial </w:t>
      </w:r>
      <w:r w:rsidR="00815EDE">
        <w:t>were abstract shapes</w:t>
      </w:r>
      <w:r w:rsidR="002476CF">
        <w:t xml:space="preserve"> </w:t>
      </w:r>
      <w:r w:rsidR="0082138F">
        <w:t>that did not closely resemble</w:t>
      </w:r>
      <w:r w:rsidR="00E71999">
        <w:t xml:space="preserve"> each other</w:t>
      </w:r>
      <w:r w:rsidR="007C5DFD">
        <w:t xml:space="preserve"> (see Figure 1</w:t>
      </w:r>
      <w:r w:rsidR="002476CF">
        <w:t>)</w:t>
      </w:r>
      <w:r w:rsidR="00E96657">
        <w:t>, whereas i</w:t>
      </w:r>
      <w:r w:rsidR="002476CF">
        <w:t>n</w:t>
      </w:r>
      <w:r w:rsidR="00815EDE">
        <w:t xml:space="preserve"> the FCC condition target and foils on any trial were pictures of the same common object differing only in </w:t>
      </w:r>
      <w:r w:rsidR="00D3127D">
        <w:t>some small</w:t>
      </w:r>
      <w:r w:rsidR="00815EDE">
        <w:t xml:space="preserve"> detail</w:t>
      </w:r>
      <w:r w:rsidR="007C5DFD">
        <w:t xml:space="preserve"> (see Figure 4</w:t>
      </w:r>
      <w:r w:rsidR="002476CF">
        <w:t xml:space="preserve">). </w:t>
      </w:r>
      <w:r w:rsidR="00A1744B">
        <w:t>The enhanced discrimination abilities of</w:t>
      </w:r>
      <w:r w:rsidR="00E96657">
        <w:t xml:space="preserve"> autistic</w:t>
      </w:r>
      <w:r w:rsidR="00A1744B">
        <w:t xml:space="preserve"> individuals are well known </w:t>
      </w:r>
      <w:r w:rsidR="00E71999">
        <w:t>(</w:t>
      </w:r>
      <w:r w:rsidR="00E71999" w:rsidRPr="00BF590E">
        <w:t>Plaisted et al., 1998;</w:t>
      </w:r>
      <w:r w:rsidR="00E71999">
        <w:t xml:space="preserve"> </w:t>
      </w:r>
      <w:r w:rsidR="00E71999" w:rsidRPr="007C5188">
        <w:t>Mottron et al., 2006</w:t>
      </w:r>
      <w:r w:rsidR="00E71999">
        <w:t>)</w:t>
      </w:r>
      <w:r w:rsidR="0082138F">
        <w:t xml:space="preserve">, and can explain the unexpectedly good performance of the </w:t>
      </w:r>
      <w:r w:rsidR="00BE6944">
        <w:t>ASD</w:t>
      </w:r>
      <w:r w:rsidR="00BE6944">
        <w:rPr>
          <w:vertAlign w:val="superscript"/>
        </w:rPr>
        <w:t>LILD</w:t>
      </w:r>
      <w:r w:rsidR="0082138F">
        <w:t xml:space="preserve"> gr</w:t>
      </w:r>
      <w:r w:rsidR="00506DBC">
        <w:t xml:space="preserve">oup on the FCC task. </w:t>
      </w:r>
      <w:r w:rsidR="000540DC">
        <w:t>Regarding prediction (1a) i</w:t>
      </w:r>
      <w:r w:rsidR="00541033">
        <w:t xml:space="preserve">t may be concluded, therefore, that familiarity is </w:t>
      </w:r>
      <w:r w:rsidR="000540DC">
        <w:t xml:space="preserve">probably impaired in </w:t>
      </w:r>
      <w:r w:rsidR="00BE6944">
        <w:t>ASD</w:t>
      </w:r>
      <w:r w:rsidR="00BE6944">
        <w:rPr>
          <w:vertAlign w:val="superscript"/>
        </w:rPr>
        <w:t>LILD</w:t>
      </w:r>
      <w:r w:rsidR="000540DC">
        <w:t xml:space="preserve"> </w:t>
      </w:r>
      <w:r w:rsidR="00FF44A9">
        <w:t>but is masked in circumstances where superior</w:t>
      </w:r>
      <w:r w:rsidR="000540DC">
        <w:t xml:space="preserve"> visual</w:t>
      </w:r>
      <w:r w:rsidR="00A169D2">
        <w:t>-perceptual</w:t>
      </w:r>
      <w:r w:rsidR="000540DC">
        <w:t xml:space="preserve"> abilities can be used compensatorily.  </w:t>
      </w:r>
    </w:p>
    <w:p w:rsidR="002C0577" w:rsidRPr="00F64D90" w:rsidRDefault="005B783B" w:rsidP="00E77FB2">
      <w:pPr>
        <w:spacing w:after="0" w:line="480" w:lineRule="auto"/>
        <w:ind w:firstLine="720"/>
      </w:pPr>
      <w:r>
        <w:rPr>
          <w:i/>
        </w:rPr>
        <w:t>Regarding predic</w:t>
      </w:r>
      <w:r w:rsidR="00A37930">
        <w:rPr>
          <w:i/>
        </w:rPr>
        <w:t xml:space="preserve">tion </w:t>
      </w:r>
      <w:r>
        <w:rPr>
          <w:i/>
        </w:rPr>
        <w:t>(</w:t>
      </w:r>
      <w:r w:rsidR="00A37930">
        <w:rPr>
          <w:i/>
        </w:rPr>
        <w:t>1b)</w:t>
      </w:r>
      <w:r w:rsidR="003F66C9">
        <w:rPr>
          <w:i/>
        </w:rPr>
        <w:t>,</w:t>
      </w:r>
      <w:r>
        <w:rPr>
          <w:i/>
        </w:rPr>
        <w:t xml:space="preserve"> </w:t>
      </w:r>
      <w:r w:rsidR="0031713C">
        <w:t>this</w:t>
      </w:r>
      <w:r w:rsidR="003E1F27">
        <w:t xml:space="preserve"> </w:t>
      </w:r>
      <w:r w:rsidR="0031713C">
        <w:t xml:space="preserve">was not supported. </w:t>
      </w:r>
      <w:r w:rsidR="003E1F27">
        <w:t>Both</w:t>
      </w:r>
      <w:r w:rsidR="00ED27EF">
        <w:t xml:space="preserve"> groups </w:t>
      </w:r>
      <w:r w:rsidR="003F66C9">
        <w:t xml:space="preserve">showed </w:t>
      </w:r>
      <w:r w:rsidR="00ED27EF">
        <w:t>similar</w:t>
      </w:r>
      <w:r w:rsidR="003F66C9">
        <w:t xml:space="preserve"> performance</w:t>
      </w:r>
      <w:r w:rsidR="00ED27EF">
        <w:t xml:space="preserve"> on test</w:t>
      </w:r>
      <w:r w:rsidR="006761A8">
        <w:t>s</w:t>
      </w:r>
      <w:r w:rsidR="00ED27EF">
        <w:t xml:space="preserve"> of familiarity and of recollection in Experiment 1.</w:t>
      </w:r>
      <w:r w:rsidR="00263306">
        <w:t xml:space="preserve"> And i</w:t>
      </w:r>
      <w:r w:rsidR="00ED27EF">
        <w:t xml:space="preserve">n Experiment 2, the </w:t>
      </w:r>
      <w:r w:rsidR="0031713C">
        <w:rPr>
          <w:lang w:eastAsia="en-GB"/>
        </w:rPr>
        <w:t>ASD</w:t>
      </w:r>
      <w:r w:rsidR="0031713C">
        <w:rPr>
          <w:vertAlign w:val="superscript"/>
          <w:lang w:eastAsia="en-GB"/>
        </w:rPr>
        <w:t>LI/LD</w:t>
      </w:r>
      <w:r w:rsidR="0031713C">
        <w:t xml:space="preserve"> </w:t>
      </w:r>
      <w:r w:rsidR="00ED27EF">
        <w:t xml:space="preserve">group </w:t>
      </w:r>
      <w:r w:rsidR="0031713C">
        <w:t>performed significantly better</w:t>
      </w:r>
      <w:r w:rsidR="0077012F">
        <w:t xml:space="preserve"> – not worse - </w:t>
      </w:r>
      <w:r w:rsidR="00263306">
        <w:t xml:space="preserve">than the LD group </w:t>
      </w:r>
      <w:r w:rsidR="006761A8">
        <w:t xml:space="preserve">on the familiarity measure, </w:t>
      </w:r>
      <w:r w:rsidR="0077012F">
        <w:t>(</w:t>
      </w:r>
      <w:r w:rsidR="006761A8">
        <w:t>probably because their enhanced visual</w:t>
      </w:r>
      <w:r w:rsidR="00A169D2">
        <w:t>-</w:t>
      </w:r>
      <w:r w:rsidR="006761A8">
        <w:t>perceptual abilities</w:t>
      </w:r>
      <w:r w:rsidR="0046484D">
        <w:t xml:space="preserve"> boosted performance</w:t>
      </w:r>
      <w:r w:rsidR="0077012F">
        <w:t>)</w:t>
      </w:r>
      <w:r w:rsidR="0046484D">
        <w:t xml:space="preserve">. Furthermore, the </w:t>
      </w:r>
      <w:r w:rsidR="0046484D">
        <w:rPr>
          <w:lang w:eastAsia="en-GB"/>
        </w:rPr>
        <w:t>ASD</w:t>
      </w:r>
      <w:r w:rsidR="0046484D">
        <w:rPr>
          <w:vertAlign w:val="superscript"/>
          <w:lang w:eastAsia="en-GB"/>
        </w:rPr>
        <w:t>LI/LD</w:t>
      </w:r>
      <w:r w:rsidR="0046484D">
        <w:t xml:space="preserve"> </w:t>
      </w:r>
      <w:r w:rsidR="0046484D" w:rsidRPr="00F64D90">
        <w:t xml:space="preserve">group performed </w:t>
      </w:r>
      <w:r w:rsidR="00263306" w:rsidRPr="00F64D90">
        <w:t>marginally better than the LD group on the recollection</w:t>
      </w:r>
      <w:r w:rsidR="003F66C9" w:rsidRPr="003F66C9">
        <w:t xml:space="preserve"> </w:t>
      </w:r>
      <w:r w:rsidR="003F66C9" w:rsidRPr="00F64D90">
        <w:t>measure</w:t>
      </w:r>
      <w:r w:rsidR="00263306" w:rsidRPr="00F64D90">
        <w:t xml:space="preserve">. </w:t>
      </w:r>
      <w:r w:rsidR="00D50B95" w:rsidRPr="00F64D90">
        <w:t xml:space="preserve">These findings are interesting because they suggest that </w:t>
      </w:r>
      <w:r w:rsidR="00F64D90" w:rsidRPr="00F64D90">
        <w:t xml:space="preserve">LI </w:t>
      </w:r>
      <w:r w:rsidR="00D50B95" w:rsidRPr="00F64D90">
        <w:t xml:space="preserve">in </w:t>
      </w:r>
      <w:r w:rsidR="00F64D90" w:rsidRPr="00F64D90">
        <w:rPr>
          <w:lang w:eastAsia="en-GB"/>
        </w:rPr>
        <w:t>ASD</w:t>
      </w:r>
      <w:r w:rsidR="00F64D90" w:rsidRPr="00F64D90">
        <w:rPr>
          <w:vertAlign w:val="superscript"/>
          <w:lang w:eastAsia="en-GB"/>
        </w:rPr>
        <w:t>LI/LD</w:t>
      </w:r>
      <w:r w:rsidR="00F64D90" w:rsidRPr="00F64D90">
        <w:t xml:space="preserve"> </w:t>
      </w:r>
      <w:r w:rsidR="00D50B95" w:rsidRPr="00F64D90">
        <w:t xml:space="preserve">and in LD without autism </w:t>
      </w:r>
      <w:r w:rsidR="006D471D">
        <w:t xml:space="preserve">may </w:t>
      </w:r>
      <w:r w:rsidR="00D50B95" w:rsidRPr="00F64D90">
        <w:t>share a contributory cause, namely im</w:t>
      </w:r>
      <w:r w:rsidR="0012772C" w:rsidRPr="00F64D90">
        <w:t>pairments of declarative memory.</w:t>
      </w:r>
    </w:p>
    <w:p w:rsidR="0047121F" w:rsidRDefault="002C0577" w:rsidP="00E77FB2">
      <w:pPr>
        <w:spacing w:after="0" w:line="480" w:lineRule="auto"/>
        <w:ind w:firstLine="720"/>
      </w:pPr>
      <w:r>
        <w:t xml:space="preserve">Performance by the LD group </w:t>
      </w:r>
      <w:r w:rsidR="00337519">
        <w:t xml:space="preserve">partly </w:t>
      </w:r>
      <w:r>
        <w:t xml:space="preserve">resembled performance by both ASD groups in that </w:t>
      </w:r>
      <w:r w:rsidR="00D50B95">
        <w:t xml:space="preserve">CEFT and </w:t>
      </w:r>
      <w:r w:rsidR="00C52004">
        <w:t xml:space="preserve">familiarity </w:t>
      </w:r>
      <w:r>
        <w:t xml:space="preserve">scores </w:t>
      </w:r>
      <w:r w:rsidR="00D50B95">
        <w:t xml:space="preserve">correlated </w:t>
      </w:r>
      <w:r w:rsidR="0082138F">
        <w:t>signifi</w:t>
      </w:r>
      <w:r>
        <w:t>cantly</w:t>
      </w:r>
      <w:r w:rsidR="00C52004">
        <w:t xml:space="preserve"> in both experiments</w:t>
      </w:r>
      <w:r w:rsidR="00337519">
        <w:t>. However, as the LD group scored significantly lower on CEFT than all other groups it is more likely that they are unable to rely on</w:t>
      </w:r>
      <w:r w:rsidR="0082138F">
        <w:t xml:space="preserve"> </w:t>
      </w:r>
      <w:r w:rsidR="003350B7">
        <w:t>visual-</w:t>
      </w:r>
      <w:r w:rsidR="0082138F">
        <w:t>perceptual abilities</w:t>
      </w:r>
      <w:r w:rsidR="0047121F">
        <w:t xml:space="preserve"> to compensate for impaired familiarity</w:t>
      </w:r>
      <w:r w:rsidR="00232590">
        <w:t xml:space="preserve"> which shows a different pattern of learning to the ASD groups.</w:t>
      </w:r>
      <w:r w:rsidR="00C52004">
        <w:t xml:space="preserve"> </w:t>
      </w:r>
      <w:r w:rsidR="00384B36">
        <w:t>By contrast,</w:t>
      </w:r>
      <w:r w:rsidR="005A2108">
        <w:t xml:space="preserve"> the TD group - </w:t>
      </w:r>
      <w:r w:rsidR="00ED0286">
        <w:lastRenderedPageBreak/>
        <w:t>who</w:t>
      </w:r>
      <w:r w:rsidR="005A2108">
        <w:t xml:space="preserve">se performance on tests of familiarity did not correlate with CEFT scores - </w:t>
      </w:r>
      <w:r w:rsidR="00ED0286">
        <w:t xml:space="preserve">performed </w:t>
      </w:r>
      <w:r w:rsidR="00361358">
        <w:t xml:space="preserve">significantly </w:t>
      </w:r>
      <w:r w:rsidR="00ED0286">
        <w:t>worse on FCC than on shape recognition</w:t>
      </w:r>
      <w:r w:rsidR="00ED0286">
        <w:rPr>
          <w:rStyle w:val="FootnoteReference"/>
        </w:rPr>
        <w:footnoteReference w:id="1"/>
      </w:r>
      <w:r w:rsidR="00ED0286">
        <w:t xml:space="preserve">. </w:t>
      </w:r>
    </w:p>
    <w:p w:rsidR="000C1179" w:rsidRDefault="007F51A0" w:rsidP="00E77FB2">
      <w:pPr>
        <w:spacing w:after="0" w:line="480" w:lineRule="auto"/>
        <w:ind w:firstLine="720"/>
      </w:pPr>
      <w:r>
        <w:rPr>
          <w:i/>
        </w:rPr>
        <w:t>Regarding prediction 2</w:t>
      </w:r>
      <w:r w:rsidR="006D6B57">
        <w:t xml:space="preserve">, </w:t>
      </w:r>
      <w:r w:rsidR="00361358">
        <w:t>t</w:t>
      </w:r>
      <w:r w:rsidR="00ED0286">
        <w:t xml:space="preserve">he findings across </w:t>
      </w:r>
      <w:r w:rsidR="006D6B57">
        <w:t>both</w:t>
      </w:r>
      <w:r w:rsidR="00ED0286">
        <w:t xml:space="preserve"> experiments were </w:t>
      </w:r>
      <w:r w:rsidR="00764E13">
        <w:t>inconsistent</w:t>
      </w:r>
      <w:r w:rsidR="00ED0286">
        <w:t xml:space="preserve">. </w:t>
      </w:r>
      <w:r w:rsidR="006D6B57">
        <w:t>W</w:t>
      </w:r>
      <w:r w:rsidR="00ED0286">
        <w:t>hilst in Experiment 2 the A</w:t>
      </w:r>
      <w:r w:rsidR="00ED0286">
        <w:rPr>
          <w:lang w:eastAsia="en-GB"/>
        </w:rPr>
        <w:t>SD</w:t>
      </w:r>
      <w:r w:rsidR="00ED0286">
        <w:rPr>
          <w:vertAlign w:val="superscript"/>
          <w:lang w:eastAsia="en-GB"/>
        </w:rPr>
        <w:t xml:space="preserve">TL </w:t>
      </w:r>
      <w:r w:rsidR="00ED0286">
        <w:t xml:space="preserve">group performed worse than the TD group on the FCNC measure of recollection, </w:t>
      </w:r>
      <w:r w:rsidR="00C76686">
        <w:t xml:space="preserve">as predicted; </w:t>
      </w:r>
      <w:r w:rsidR="00ED0286">
        <w:t>in Experiment 1 the groups did not differ on the action recall measure</w:t>
      </w:r>
      <w:r w:rsidR="00A72FB5">
        <w:t xml:space="preserve"> of recollection</w:t>
      </w:r>
      <w:r w:rsidR="00C76686">
        <w:t>.  I</w:t>
      </w:r>
      <w:r w:rsidR="00ED0286">
        <w:t>nstead</w:t>
      </w:r>
      <w:r w:rsidR="00477D78">
        <w:t xml:space="preserve"> </w:t>
      </w:r>
      <w:r w:rsidR="00ED0286">
        <w:t>the A</w:t>
      </w:r>
      <w:r w:rsidR="00ED0286">
        <w:rPr>
          <w:lang w:eastAsia="en-GB"/>
        </w:rPr>
        <w:t>SD</w:t>
      </w:r>
      <w:r w:rsidR="00ED0286">
        <w:rPr>
          <w:vertAlign w:val="superscript"/>
          <w:lang w:eastAsia="en-GB"/>
        </w:rPr>
        <w:t xml:space="preserve">TL </w:t>
      </w:r>
      <w:r w:rsidR="00ED0286">
        <w:t xml:space="preserve">group performed worse </w:t>
      </w:r>
      <w:r w:rsidR="00FB4523">
        <w:t xml:space="preserve">than the TD group </w:t>
      </w:r>
      <w:r w:rsidR="00ED0286">
        <w:t xml:space="preserve">on the shape recognition measure of familiarity. </w:t>
      </w:r>
      <w:r w:rsidR="00D455A7">
        <w:t xml:space="preserve">The unexpectedly competent </w:t>
      </w:r>
      <w:r w:rsidR="00A72FB5">
        <w:t>perform</w:t>
      </w:r>
      <w:r w:rsidR="00D455A7">
        <w:t xml:space="preserve">ance by the </w:t>
      </w:r>
      <w:r w:rsidR="00C0627A">
        <w:t>A</w:t>
      </w:r>
      <w:r w:rsidR="00C0627A">
        <w:rPr>
          <w:lang w:eastAsia="en-GB"/>
        </w:rPr>
        <w:t>SD</w:t>
      </w:r>
      <w:r w:rsidR="00C0627A">
        <w:rPr>
          <w:vertAlign w:val="superscript"/>
          <w:lang w:eastAsia="en-GB"/>
        </w:rPr>
        <w:t>TL</w:t>
      </w:r>
      <w:r w:rsidR="00D455A7">
        <w:t xml:space="preserve"> group on the AR </w:t>
      </w:r>
      <w:r w:rsidR="00102152">
        <w:t>test of recollection</w:t>
      </w:r>
      <w:r w:rsidR="00D455A7">
        <w:t xml:space="preserve"> is difficult to explain, given the very well</w:t>
      </w:r>
      <w:r w:rsidR="002210FB">
        <w:t>-</w:t>
      </w:r>
      <w:r w:rsidR="00D455A7">
        <w:t>established problems with episodic memory</w:t>
      </w:r>
      <w:r w:rsidR="006D6B57">
        <w:t xml:space="preserve"> and</w:t>
      </w:r>
      <w:r w:rsidR="00D455A7">
        <w:t xml:space="preserve"> recollection</w:t>
      </w:r>
      <w:r w:rsidR="00477D78">
        <w:t xml:space="preserve"> in ASD</w:t>
      </w:r>
      <w:r w:rsidR="00477D78">
        <w:rPr>
          <w:vertAlign w:val="superscript"/>
          <w:lang w:eastAsia="en-GB"/>
        </w:rPr>
        <w:t>TL</w:t>
      </w:r>
      <w:r w:rsidR="00D455A7">
        <w:t xml:space="preserve">.  </w:t>
      </w:r>
      <w:r w:rsidR="006D6B57">
        <w:t xml:space="preserve">A </w:t>
      </w:r>
      <w:r w:rsidR="00D455A7">
        <w:t>likely explanation is</w:t>
      </w:r>
      <w:r w:rsidR="004F64F4">
        <w:t>, however,</w:t>
      </w:r>
      <w:r w:rsidR="00D455A7">
        <w:t xml:space="preserve"> that </w:t>
      </w:r>
      <w:r w:rsidR="000C1179">
        <w:t>well-preserved</w:t>
      </w:r>
      <w:r w:rsidR="00D455A7">
        <w:t xml:space="preserve"> implicit memory </w:t>
      </w:r>
      <w:r w:rsidR="000C1179">
        <w:t xml:space="preserve">(see Boucher &amp; Anns, 2018) </w:t>
      </w:r>
      <w:r w:rsidR="006D6B57">
        <w:t>that</w:t>
      </w:r>
      <w:r w:rsidR="00587EC0">
        <w:t xml:space="preserve"> subserves </w:t>
      </w:r>
      <w:r w:rsidR="006D6B57">
        <w:rPr>
          <w:i/>
        </w:rPr>
        <w:t>inter alia</w:t>
      </w:r>
      <w:r w:rsidR="00D455A7">
        <w:t xml:space="preserve"> the acquisition of associations</w:t>
      </w:r>
      <w:r w:rsidR="000C1179">
        <w:t>,</w:t>
      </w:r>
      <w:r w:rsidR="00D455A7">
        <w:t xml:space="preserve"> was utilized in</w:t>
      </w:r>
      <w:r w:rsidR="006D6B57">
        <w:t xml:space="preserve">stead </w:t>
      </w:r>
      <w:r w:rsidR="00D455A7">
        <w:t xml:space="preserve">of explicit recollection. </w:t>
      </w:r>
    </w:p>
    <w:p w:rsidR="00E13FE4" w:rsidRDefault="00D455A7" w:rsidP="00E77FB2">
      <w:pPr>
        <w:spacing w:after="0" w:line="480" w:lineRule="auto"/>
        <w:ind w:firstLine="720"/>
      </w:pPr>
      <w:r>
        <w:t xml:space="preserve">The unexpectedly poor performance by the </w:t>
      </w:r>
      <w:r w:rsidR="00C0627A">
        <w:t>A</w:t>
      </w:r>
      <w:r w:rsidR="00C0627A">
        <w:rPr>
          <w:lang w:eastAsia="en-GB"/>
        </w:rPr>
        <w:t>SD</w:t>
      </w:r>
      <w:r w:rsidR="00C0627A">
        <w:rPr>
          <w:vertAlign w:val="superscript"/>
          <w:lang w:eastAsia="en-GB"/>
        </w:rPr>
        <w:t>TL</w:t>
      </w:r>
      <w:r>
        <w:t xml:space="preserve"> group on the SR </w:t>
      </w:r>
      <w:r w:rsidR="00587EC0">
        <w:t>test of familiarit</w:t>
      </w:r>
      <w:r w:rsidR="00102152">
        <w:t>y</w:t>
      </w:r>
      <w:r w:rsidR="00A72FB5">
        <w:t xml:space="preserve"> </w:t>
      </w:r>
      <w:r w:rsidR="006D6B57">
        <w:t xml:space="preserve">similarly </w:t>
      </w:r>
      <w:r>
        <w:t xml:space="preserve">conflicts with unassailable evidence of intact semantic memory in this group, and by implication with familiarity. </w:t>
      </w:r>
      <w:r w:rsidR="00773C2A">
        <w:t xml:space="preserve">The likely explanation of this anomalous finding lies in the dissimilarity between the target and foil shapes used in the SR test. </w:t>
      </w:r>
      <w:r w:rsidR="00D168EB">
        <w:t>The lack of close resemblance has two relevant consequences. First, enhanced visual-</w:t>
      </w:r>
      <w:r w:rsidR="00A169D2">
        <w:t>perceptual</w:t>
      </w:r>
      <w:r w:rsidR="00D168EB">
        <w:t xml:space="preserve"> processing cannot be used to </w:t>
      </w:r>
      <w:r w:rsidR="0031380E">
        <w:t xml:space="preserve">the same extent to </w:t>
      </w:r>
      <w:r w:rsidR="00D168EB">
        <w:t>boost performance</w:t>
      </w:r>
      <w:r w:rsidR="0031380E">
        <w:t xml:space="preserve"> as seen in FCC</w:t>
      </w:r>
      <w:r w:rsidR="00D168EB">
        <w:t>. Second</w:t>
      </w:r>
      <w:r w:rsidR="00DF1512">
        <w:t>,</w:t>
      </w:r>
      <w:r w:rsidR="00D168EB">
        <w:t xml:space="preserve"> the dissimilarity between the target shape and foils leaves open the possibility that recollection (of the study event</w:t>
      </w:r>
      <w:r w:rsidR="00C0627A">
        <w:t xml:space="preserve"> and of the target stimulus presented the</w:t>
      </w:r>
      <w:r w:rsidR="0077012F">
        <w:t>rein</w:t>
      </w:r>
      <w:r w:rsidR="00D168EB">
        <w:t xml:space="preserve">) </w:t>
      </w:r>
      <w:r w:rsidR="00773C2A">
        <w:t>was</w:t>
      </w:r>
      <w:r w:rsidR="00D168EB">
        <w:t xml:space="preserve"> utilized </w:t>
      </w:r>
      <w:r w:rsidR="00773C2A">
        <w:t>by the TD group</w:t>
      </w:r>
      <w:r w:rsidR="00FB4523">
        <w:t xml:space="preserve"> – but not, in line with our hypothesis, by the </w:t>
      </w:r>
      <w:r w:rsidR="00C0627A">
        <w:t>A</w:t>
      </w:r>
      <w:r w:rsidR="00C0627A">
        <w:rPr>
          <w:lang w:eastAsia="en-GB"/>
        </w:rPr>
        <w:t>SD</w:t>
      </w:r>
      <w:r w:rsidR="00C0627A">
        <w:rPr>
          <w:vertAlign w:val="superscript"/>
          <w:lang w:eastAsia="en-GB"/>
        </w:rPr>
        <w:t>TL</w:t>
      </w:r>
      <w:r w:rsidR="00FB4523">
        <w:t xml:space="preserve"> group.</w:t>
      </w:r>
      <w:r w:rsidR="0077012F">
        <w:t xml:space="preserve"> Both of these proposed explanations of unexpected findings relating to the A</w:t>
      </w:r>
      <w:r w:rsidR="0077012F">
        <w:rPr>
          <w:lang w:eastAsia="en-GB"/>
        </w:rPr>
        <w:t>SD</w:t>
      </w:r>
      <w:r w:rsidR="0077012F">
        <w:rPr>
          <w:vertAlign w:val="superscript"/>
          <w:lang w:eastAsia="en-GB"/>
        </w:rPr>
        <w:t xml:space="preserve">TL </w:t>
      </w:r>
      <w:r w:rsidR="0077012F">
        <w:t>group would have to be tested.</w:t>
      </w:r>
      <w:r w:rsidR="00D168EB">
        <w:t xml:space="preserve"> </w:t>
      </w:r>
      <w:r w:rsidR="00884053">
        <w:t xml:space="preserve">  </w:t>
      </w:r>
    </w:p>
    <w:p w:rsidR="00387B87" w:rsidRDefault="0077012F" w:rsidP="00E77FB2">
      <w:pPr>
        <w:spacing w:after="0" w:line="480" w:lineRule="auto"/>
        <w:ind w:firstLine="720"/>
      </w:pPr>
      <w:r>
        <w:rPr>
          <w:i/>
        </w:rPr>
        <w:t xml:space="preserve">Regarding prediction </w:t>
      </w:r>
      <w:r w:rsidR="006D6B57">
        <w:rPr>
          <w:i/>
        </w:rPr>
        <w:t>3, the</w:t>
      </w:r>
      <w:r w:rsidR="00F23E9F">
        <w:t xml:space="preserve"> predicted contrast between correlations in the two ASD groups when compared with the TD group was supported in both experiments. </w:t>
      </w:r>
      <w:r w:rsidR="00ED0286">
        <w:t xml:space="preserve">Both bivariate </w:t>
      </w:r>
      <w:r w:rsidR="00ED0286">
        <w:lastRenderedPageBreak/>
        <w:t>correlations and multiple regressions confirmed that individual differences in measures of familiarity were reliably and uniquely associated with lexical semantic knowledge</w:t>
      </w:r>
      <w:r w:rsidR="00F957B6">
        <w:t xml:space="preserve"> in both ASD groups,</w:t>
      </w:r>
      <w:r w:rsidR="00ED0286">
        <w:t xml:space="preserve"> which was not </w:t>
      </w:r>
      <w:r w:rsidR="00387B87">
        <w:t>the case</w:t>
      </w:r>
      <w:r w:rsidR="00ED0286">
        <w:t xml:space="preserve"> in TD children</w:t>
      </w:r>
      <w:r w:rsidR="00387B87">
        <w:t xml:space="preserve">. </w:t>
      </w:r>
      <w:r w:rsidR="00ED0286">
        <w:t xml:space="preserve">This lends strong support to </w:t>
      </w:r>
      <w:r w:rsidR="00387B87">
        <w:t>Boucher et al.’s hypothesis that</w:t>
      </w:r>
      <w:r w:rsidR="008353AA">
        <w:t xml:space="preserve"> impaired declarative memory and </w:t>
      </w:r>
      <w:r w:rsidR="00DF1512">
        <w:t>especially</w:t>
      </w:r>
      <w:r w:rsidR="008353AA">
        <w:t xml:space="preserve"> semantic memory</w:t>
      </w:r>
      <w:r w:rsidR="00F957B6">
        <w:t xml:space="preserve"> </w:t>
      </w:r>
      <w:r w:rsidR="008353AA">
        <w:t xml:space="preserve">is </w:t>
      </w:r>
      <w:r w:rsidR="006D471D">
        <w:t>a contributory factor</w:t>
      </w:r>
      <w:r w:rsidR="008353AA">
        <w:t xml:space="preserve"> of LI in ASD</w:t>
      </w:r>
      <w:r w:rsidR="008353AA">
        <w:rPr>
          <w:vertAlign w:val="superscript"/>
        </w:rPr>
        <w:t>LILD</w:t>
      </w:r>
      <w:r w:rsidR="008353AA">
        <w:t>.</w:t>
      </w:r>
      <w:r w:rsidR="008353AA">
        <w:rPr>
          <w:vertAlign w:val="superscript"/>
        </w:rPr>
        <w:t xml:space="preserve"> </w:t>
      </w:r>
    </w:p>
    <w:p w:rsidR="00DA4000" w:rsidRDefault="00387B87" w:rsidP="00E77FB2">
      <w:pPr>
        <w:spacing w:after="0" w:line="480" w:lineRule="auto"/>
        <w:ind w:firstLine="720"/>
        <w:rPr>
          <w:lang w:val="en-GB"/>
        </w:rPr>
      </w:pPr>
      <w:r>
        <w:t xml:space="preserve">However, contrary to </w:t>
      </w:r>
      <w:r w:rsidR="006D6B57">
        <w:t xml:space="preserve">that </w:t>
      </w:r>
      <w:r>
        <w:t>prediction, familiarity also correlated with lexical semantic knowledge in the LD group</w:t>
      </w:r>
      <w:r w:rsidR="00164796">
        <w:t xml:space="preserve"> in both experiments, albeit not as strongly as in the two ASD groups.</w:t>
      </w:r>
      <w:r w:rsidR="003A1B22">
        <w:t xml:space="preserve">  </w:t>
      </w:r>
      <w:r w:rsidR="00C71084">
        <w:t xml:space="preserve">Moreover, </w:t>
      </w:r>
      <w:r w:rsidR="00C71084">
        <w:rPr>
          <w:lang w:val="en-GB"/>
        </w:rPr>
        <w:t xml:space="preserve">the pattern of performance in the </w:t>
      </w:r>
      <w:r w:rsidR="00C71084">
        <w:t>A</w:t>
      </w:r>
      <w:r w:rsidR="00C71084">
        <w:rPr>
          <w:lang w:eastAsia="en-GB"/>
        </w:rPr>
        <w:t>SD</w:t>
      </w:r>
      <w:r w:rsidR="00C71084">
        <w:rPr>
          <w:vertAlign w:val="superscript"/>
          <w:lang w:eastAsia="en-GB"/>
        </w:rPr>
        <w:t xml:space="preserve">LI/LD </w:t>
      </w:r>
      <w:r w:rsidR="00C71084">
        <w:t>and LD groups was similar in terms of the group differences vis-à-vis the TD group</w:t>
      </w:r>
      <w:r w:rsidR="00C94BE6">
        <w:t>,</w:t>
      </w:r>
      <w:r w:rsidR="00C71084">
        <w:t xml:space="preserve"> as well as in terms of some facets of the inter-correlations among measures. </w:t>
      </w:r>
      <w:r w:rsidR="00ED0286">
        <w:t>The</w:t>
      </w:r>
      <w:r w:rsidR="00C94BE6">
        <w:t>se</w:t>
      </w:r>
      <w:r w:rsidR="00ED0286">
        <w:t xml:space="preserve"> </w:t>
      </w:r>
      <w:r w:rsidR="00C94BE6">
        <w:t>observations</w:t>
      </w:r>
      <w:r w:rsidR="00ED0286">
        <w:t xml:space="preserve"> suggest that</w:t>
      </w:r>
      <w:r w:rsidR="00C94BE6">
        <w:t xml:space="preserve"> </w:t>
      </w:r>
      <w:r w:rsidR="00ED0286">
        <w:t>impairments in certain memory domains (particularly familiarity</w:t>
      </w:r>
      <w:r w:rsidR="00C94BE6">
        <w:t>/semantic memory</w:t>
      </w:r>
      <w:r w:rsidR="00ED0286">
        <w:t>), contribu</w:t>
      </w:r>
      <w:r w:rsidR="002241C0">
        <w:t>te to</w:t>
      </w:r>
      <w:r w:rsidR="00ED0286">
        <w:t xml:space="preserve"> </w:t>
      </w:r>
      <w:r w:rsidR="00AF6160">
        <w:t>LI in</w:t>
      </w:r>
      <w:r w:rsidR="00ED0286">
        <w:t xml:space="preserve"> </w:t>
      </w:r>
      <w:r w:rsidR="00AF6160">
        <w:t xml:space="preserve">people with </w:t>
      </w:r>
      <w:r w:rsidR="00ED0286">
        <w:t>LD</w:t>
      </w:r>
      <w:r w:rsidR="00AF6160">
        <w:t xml:space="preserve"> without autism, as well as in people with ASD</w:t>
      </w:r>
      <w:r w:rsidR="00AF6160">
        <w:rPr>
          <w:vertAlign w:val="superscript"/>
        </w:rPr>
        <w:t>LILD</w:t>
      </w:r>
      <w:r w:rsidR="00ED0286">
        <w:t xml:space="preserve">. </w:t>
      </w:r>
      <w:r w:rsidR="00DA4000">
        <w:rPr>
          <w:lang w:val="en-GB"/>
        </w:rPr>
        <w:t>Moreover, our finding that relatively spared visual-perceptual abilities were used by our LD participants as well as by our ASD participants to compensate for impaired familiarity has practical implications for educational strategies</w:t>
      </w:r>
      <w:r w:rsidR="004F64F4">
        <w:rPr>
          <w:lang w:val="en-GB"/>
        </w:rPr>
        <w:t xml:space="preserve">, </w:t>
      </w:r>
      <w:r w:rsidR="00DA4000">
        <w:rPr>
          <w:lang w:val="en-GB"/>
        </w:rPr>
        <w:t>as in the case of autism.</w:t>
      </w:r>
    </w:p>
    <w:p w:rsidR="00A31057" w:rsidRPr="00D07BF1" w:rsidRDefault="00685895" w:rsidP="00E77FB2">
      <w:pPr>
        <w:spacing w:after="0" w:line="480" w:lineRule="auto"/>
        <w:rPr>
          <w:b/>
          <w:lang w:val="en-GB"/>
        </w:rPr>
      </w:pPr>
      <w:r>
        <w:rPr>
          <w:lang w:val="en-GB"/>
        </w:rPr>
        <w:tab/>
      </w:r>
      <w:r w:rsidR="00B81A36">
        <w:rPr>
          <w:lang w:val="en-GB"/>
        </w:rPr>
        <w:t>T</w:t>
      </w:r>
      <w:r w:rsidR="00DA4000">
        <w:rPr>
          <w:lang w:val="en-GB"/>
        </w:rPr>
        <w:t>he demonstration of impaired declarative memory in people with LD without autism has potentially important implications for understanding not only the wider learning impairments</w:t>
      </w:r>
      <w:r w:rsidR="00B81A36">
        <w:rPr>
          <w:lang w:val="en-GB"/>
        </w:rPr>
        <w:t xml:space="preserve"> in people with LD, but also for understanding why LI and LD are so commonly linked when co-occurring with ASD.  Briefly: semantic memory, and by implication familiarity, is critically involved in the acquisition of decontextualised factual knowl</w:t>
      </w:r>
      <w:r w:rsidR="00135C31">
        <w:rPr>
          <w:lang w:val="en-GB"/>
        </w:rPr>
        <w:t xml:space="preserve">edge of all kinds </w:t>
      </w:r>
      <w:r w:rsidR="00B81A36">
        <w:rPr>
          <w:lang w:val="en-GB"/>
        </w:rPr>
        <w:t xml:space="preserve">– i.e. in crystallized intelligence </w:t>
      </w:r>
      <w:r w:rsidR="006A0347">
        <w:rPr>
          <w:lang w:val="en-GB"/>
        </w:rPr>
        <w:t>(</w:t>
      </w:r>
      <w:r w:rsidR="005C1EE7">
        <w:rPr>
          <w:lang w:val="en-GB"/>
        </w:rPr>
        <w:t>Cattell, 1971</w:t>
      </w:r>
      <w:r w:rsidR="006A0347">
        <w:rPr>
          <w:lang w:val="en-GB"/>
        </w:rPr>
        <w:t>).</w:t>
      </w:r>
      <w:r w:rsidR="00B81A36">
        <w:rPr>
          <w:color w:val="FF0000"/>
          <w:lang w:val="en-GB"/>
        </w:rPr>
        <w:t xml:space="preserve">  </w:t>
      </w:r>
      <w:r w:rsidR="00B81A36" w:rsidRPr="00316C78">
        <w:rPr>
          <w:lang w:val="en-GB"/>
        </w:rPr>
        <w:t>The impairments of declarative memory in both the ASD-LI/LD and the LD group</w:t>
      </w:r>
      <w:r w:rsidR="00DF1512">
        <w:rPr>
          <w:lang w:val="en-GB"/>
        </w:rPr>
        <w:t>s</w:t>
      </w:r>
      <w:r w:rsidR="00B81A36" w:rsidRPr="00316C78">
        <w:rPr>
          <w:lang w:val="en-GB"/>
        </w:rPr>
        <w:t xml:space="preserve">, as reported here, </w:t>
      </w:r>
      <w:r w:rsidR="00135C31">
        <w:rPr>
          <w:lang w:val="en-GB"/>
        </w:rPr>
        <w:t>may</w:t>
      </w:r>
      <w:r w:rsidR="00B81A36" w:rsidRPr="00316C78">
        <w:rPr>
          <w:lang w:val="en-GB"/>
        </w:rPr>
        <w:t xml:space="preserve"> thus help to explain </w:t>
      </w:r>
      <w:r w:rsidR="00316C78" w:rsidRPr="00316C78">
        <w:rPr>
          <w:lang w:val="en-GB"/>
        </w:rPr>
        <w:t>the wider learning di</w:t>
      </w:r>
      <w:r w:rsidR="005C1EE7">
        <w:rPr>
          <w:lang w:val="en-GB"/>
        </w:rPr>
        <w:t>sabilities in these two groups</w:t>
      </w:r>
      <w:r w:rsidR="006D471D">
        <w:rPr>
          <w:lang w:val="en-GB"/>
        </w:rPr>
        <w:t xml:space="preserve"> which are relevant for educational and interventional practices </w:t>
      </w:r>
      <w:r w:rsidR="005C1EE7">
        <w:rPr>
          <w:lang w:val="en-GB"/>
        </w:rPr>
        <w:t xml:space="preserve">(as argued by </w:t>
      </w:r>
      <w:r w:rsidR="005C1EE7" w:rsidRPr="00D07BF1">
        <w:rPr>
          <w:lang w:val="en-GB"/>
        </w:rPr>
        <w:t xml:space="preserve">Mayes &amp; </w:t>
      </w:r>
      <w:r w:rsidR="00D07BF1" w:rsidRPr="00D07BF1">
        <w:rPr>
          <w:lang w:val="en-GB"/>
        </w:rPr>
        <w:t>Boucher,</w:t>
      </w:r>
      <w:r w:rsidR="005C1EE7" w:rsidRPr="00D07BF1">
        <w:rPr>
          <w:lang w:val="en-GB"/>
        </w:rPr>
        <w:t xml:space="preserve"> 2008).</w:t>
      </w:r>
      <w:r w:rsidR="00316C78" w:rsidRPr="00D07BF1">
        <w:rPr>
          <w:lang w:val="en-GB"/>
        </w:rPr>
        <w:t xml:space="preserve"> </w:t>
      </w:r>
    </w:p>
    <w:p w:rsidR="00443FA3" w:rsidRDefault="00443FA3" w:rsidP="00E77FB2">
      <w:pPr>
        <w:spacing w:after="0" w:line="480" w:lineRule="auto"/>
        <w:rPr>
          <w:lang w:val="en-GB"/>
        </w:rPr>
      </w:pPr>
    </w:p>
    <w:p w:rsidR="00443FA3" w:rsidRPr="00241FAC" w:rsidRDefault="00443FA3" w:rsidP="00E77FB2">
      <w:pPr>
        <w:spacing w:after="0" w:line="480" w:lineRule="auto"/>
        <w:rPr>
          <w:b/>
          <w:sz w:val="28"/>
          <w:szCs w:val="28"/>
          <w:lang w:val="en-GB"/>
        </w:rPr>
      </w:pPr>
      <w:r w:rsidRPr="00241FAC">
        <w:rPr>
          <w:b/>
          <w:sz w:val="28"/>
          <w:szCs w:val="28"/>
          <w:lang w:val="en-GB"/>
        </w:rPr>
        <w:lastRenderedPageBreak/>
        <w:t>Conclusion</w:t>
      </w:r>
      <w:r w:rsidR="00241FAC">
        <w:rPr>
          <w:b/>
          <w:sz w:val="28"/>
          <w:szCs w:val="28"/>
          <w:lang w:val="en-GB"/>
        </w:rPr>
        <w:t>s</w:t>
      </w:r>
    </w:p>
    <w:p w:rsidR="00B615D3" w:rsidRDefault="00443FA3" w:rsidP="00E77FB2">
      <w:pPr>
        <w:spacing w:after="0" w:line="480" w:lineRule="auto"/>
        <w:rPr>
          <w:lang w:val="en-GB"/>
        </w:rPr>
      </w:pPr>
      <w:r>
        <w:rPr>
          <w:lang w:val="en-GB"/>
        </w:rPr>
        <w:t>T</w:t>
      </w:r>
      <w:r w:rsidR="00135C31">
        <w:rPr>
          <w:lang w:val="en-GB"/>
        </w:rPr>
        <w:t>he experiments reported here confirm the predicted link between declarative memory processes and lexical semantic knowledge</w:t>
      </w:r>
      <w:r w:rsidR="00B615D3">
        <w:rPr>
          <w:lang w:val="en-GB"/>
        </w:rPr>
        <w:t xml:space="preserve"> in people with ASD, a link that does not occur in individuals with typical development. Moreover, although the predicted differences between the </w:t>
      </w:r>
      <w:r w:rsidR="00B615D3">
        <w:t>ASD</w:t>
      </w:r>
      <w:r w:rsidR="00B615D3">
        <w:rPr>
          <w:vertAlign w:val="superscript"/>
        </w:rPr>
        <w:t>LILD</w:t>
      </w:r>
      <w:r w:rsidR="00B615D3">
        <w:rPr>
          <w:lang w:val="en-GB"/>
        </w:rPr>
        <w:t xml:space="preserve"> and the </w:t>
      </w:r>
      <w:r w:rsidR="00B615D3">
        <w:t>ASD</w:t>
      </w:r>
      <w:r w:rsidR="00B615D3">
        <w:rPr>
          <w:vertAlign w:val="superscript"/>
        </w:rPr>
        <w:t>TL</w:t>
      </w:r>
      <w:r w:rsidR="00B615D3">
        <w:rPr>
          <w:lang w:val="en-GB"/>
        </w:rPr>
        <w:t xml:space="preserve"> groups </w:t>
      </w:r>
      <w:r w:rsidR="006D6B57">
        <w:rPr>
          <w:lang w:val="en-GB"/>
        </w:rPr>
        <w:t xml:space="preserve">on </w:t>
      </w:r>
      <w:r w:rsidR="00B615D3">
        <w:rPr>
          <w:lang w:val="en-GB"/>
        </w:rPr>
        <w:t>tests of familiarity and recollection</w:t>
      </w:r>
      <w:r w:rsidR="00520749">
        <w:rPr>
          <w:lang w:val="en-GB"/>
        </w:rPr>
        <w:t xml:space="preserve"> </w:t>
      </w:r>
      <w:r w:rsidR="00B615D3">
        <w:rPr>
          <w:lang w:val="en-GB"/>
        </w:rPr>
        <w:t xml:space="preserve">were not </w:t>
      </w:r>
      <w:r w:rsidR="00F577C7">
        <w:rPr>
          <w:lang w:val="en-GB"/>
        </w:rPr>
        <w:t>unambiguously</w:t>
      </w:r>
      <w:r w:rsidR="00B615D3">
        <w:rPr>
          <w:lang w:val="en-GB"/>
        </w:rPr>
        <w:t xml:space="preserve"> demonstrated</w:t>
      </w:r>
      <w:r w:rsidR="00F577C7">
        <w:rPr>
          <w:lang w:val="en-GB"/>
        </w:rPr>
        <w:t xml:space="preserve">, </w:t>
      </w:r>
      <w:r w:rsidR="00B615D3">
        <w:rPr>
          <w:lang w:val="en-GB"/>
        </w:rPr>
        <w:t xml:space="preserve">familiarity and lexical-semantic knowledge were particularly strongly associated in the </w:t>
      </w:r>
      <w:r w:rsidR="00B615D3">
        <w:t>ASD</w:t>
      </w:r>
      <w:r w:rsidR="00B615D3">
        <w:rPr>
          <w:vertAlign w:val="superscript"/>
        </w:rPr>
        <w:t>LILD</w:t>
      </w:r>
      <w:r w:rsidR="00B615D3">
        <w:rPr>
          <w:lang w:val="en-GB"/>
        </w:rPr>
        <w:t xml:space="preserve"> group, whereas in the </w:t>
      </w:r>
      <w:r w:rsidR="00B615D3">
        <w:t>ASD</w:t>
      </w:r>
      <w:r w:rsidR="00B615D3">
        <w:rPr>
          <w:vertAlign w:val="superscript"/>
        </w:rPr>
        <w:t>TL</w:t>
      </w:r>
      <w:r w:rsidR="00B615D3">
        <w:rPr>
          <w:lang w:val="en-GB"/>
        </w:rPr>
        <w:t xml:space="preserve"> group, recollection was more strongly associated with lexical semantic knowledge than was familiarity. </w:t>
      </w:r>
      <w:r w:rsidR="00D93CAE">
        <w:rPr>
          <w:lang w:val="en-GB"/>
        </w:rPr>
        <w:t xml:space="preserve">Further confirmation of </w:t>
      </w:r>
      <w:r w:rsidR="00F13449">
        <w:rPr>
          <w:lang w:val="en-GB"/>
        </w:rPr>
        <w:t xml:space="preserve">these </w:t>
      </w:r>
      <w:r w:rsidR="00D93CAE">
        <w:rPr>
          <w:lang w:val="en-GB"/>
        </w:rPr>
        <w:t xml:space="preserve">group differences on familiarity and recollection would strengthen this research </w:t>
      </w:r>
      <w:r w:rsidR="00F13449">
        <w:rPr>
          <w:lang w:val="en-GB"/>
        </w:rPr>
        <w:t xml:space="preserve">by replicating the existing shape recognition – action recall paradigm and inventing novel non-verbal experimental paradigms. </w:t>
      </w:r>
      <w:r w:rsidR="00B63870">
        <w:rPr>
          <w:lang w:val="en-GB"/>
        </w:rPr>
        <w:t>Additional</w:t>
      </w:r>
      <w:r w:rsidR="00D93CAE">
        <w:rPr>
          <w:lang w:val="en-GB"/>
        </w:rPr>
        <w:t xml:space="preserve"> tests of structural language </w:t>
      </w:r>
      <w:r w:rsidR="00F13449">
        <w:rPr>
          <w:lang w:val="en-GB"/>
        </w:rPr>
        <w:t xml:space="preserve">would </w:t>
      </w:r>
      <w:r w:rsidR="00B63870">
        <w:rPr>
          <w:lang w:val="en-GB"/>
        </w:rPr>
        <w:t xml:space="preserve">also </w:t>
      </w:r>
      <w:r w:rsidR="00F13449">
        <w:rPr>
          <w:lang w:val="en-GB"/>
        </w:rPr>
        <w:t xml:space="preserve">paint a richer picture of </w:t>
      </w:r>
      <w:r w:rsidR="00B63870">
        <w:rPr>
          <w:lang w:val="en-GB"/>
        </w:rPr>
        <w:t>language outcome to be tested in both ASD and LD populations. As per Boucher &amp; Anns (2018) further work should investigate the potential See-Saw effect between declarative and procedural memory in ASD as well as LD</w:t>
      </w:r>
      <w:r w:rsidR="008403E3">
        <w:rPr>
          <w:lang w:val="en-GB"/>
        </w:rPr>
        <w:t>. This has potential for educationalists to target children’s learning by capitalising on their abilities.</w:t>
      </w:r>
    </w:p>
    <w:p w:rsidR="00443FA3" w:rsidRDefault="00623843" w:rsidP="00E77FB2">
      <w:pPr>
        <w:spacing w:after="0" w:line="480" w:lineRule="auto"/>
        <w:rPr>
          <w:lang w:val="en-GB"/>
        </w:rPr>
      </w:pPr>
      <w:r>
        <w:rPr>
          <w:lang w:val="en-GB"/>
        </w:rPr>
        <w:tab/>
        <w:t>An unpredicted finding of particular interest was the demonstration of a link between declarative memory and lexical semantic knowledge in the learning</w:t>
      </w:r>
      <w:r w:rsidR="006D6B57">
        <w:rPr>
          <w:lang w:val="en-GB"/>
        </w:rPr>
        <w:t>-</w:t>
      </w:r>
      <w:r>
        <w:rPr>
          <w:lang w:val="en-GB"/>
        </w:rPr>
        <w:t>disabled group. This finding should be further investigated, preferably in research in wh</w:t>
      </w:r>
      <w:r w:rsidR="00216C2E">
        <w:rPr>
          <w:lang w:val="en-GB"/>
        </w:rPr>
        <w:t xml:space="preserve">ich LD participants </w:t>
      </w:r>
      <w:r w:rsidR="00B95946">
        <w:rPr>
          <w:lang w:val="en-GB"/>
        </w:rPr>
        <w:t>constitute</w:t>
      </w:r>
      <w:r w:rsidR="00216C2E">
        <w:rPr>
          <w:lang w:val="en-GB"/>
        </w:rPr>
        <w:t xml:space="preserve"> the</w:t>
      </w:r>
      <w:r>
        <w:rPr>
          <w:lang w:val="en-GB"/>
        </w:rPr>
        <w:t xml:space="preserve"> target group, rather than </w:t>
      </w:r>
      <w:r w:rsidR="00216C2E">
        <w:rPr>
          <w:lang w:val="en-GB"/>
        </w:rPr>
        <w:t>acting</w:t>
      </w:r>
      <w:r>
        <w:rPr>
          <w:lang w:val="en-GB"/>
        </w:rPr>
        <w:t xml:space="preserve"> as a control/comparison group in investigations of ASD.  </w:t>
      </w:r>
    </w:p>
    <w:p w:rsidR="00A31057" w:rsidRDefault="00443FA3" w:rsidP="00E77FB2">
      <w:pPr>
        <w:spacing w:after="0" w:line="480" w:lineRule="auto"/>
        <w:rPr>
          <w:lang w:val="en-GB"/>
        </w:rPr>
      </w:pPr>
      <w:r>
        <w:rPr>
          <w:lang w:val="en-GB"/>
        </w:rPr>
        <w:tab/>
      </w:r>
      <w:r w:rsidR="00623843">
        <w:rPr>
          <w:lang w:val="en-GB"/>
        </w:rPr>
        <w:t>A further un</w:t>
      </w:r>
      <w:r w:rsidR="0086135A">
        <w:rPr>
          <w:lang w:val="en-GB"/>
        </w:rPr>
        <w:t>predicted</w:t>
      </w:r>
      <w:r w:rsidR="00623843">
        <w:rPr>
          <w:lang w:val="en-GB"/>
        </w:rPr>
        <w:t xml:space="preserve"> finding concerns the extent to which the ASD used enhanced or relatively spared visual-perceptual abilities to compensate for </w:t>
      </w:r>
      <w:r w:rsidR="0086135A">
        <w:rPr>
          <w:lang w:val="en-GB"/>
        </w:rPr>
        <w:t xml:space="preserve">their </w:t>
      </w:r>
      <w:r w:rsidR="00623843">
        <w:rPr>
          <w:lang w:val="en-GB"/>
        </w:rPr>
        <w:t>impaired</w:t>
      </w:r>
      <w:r>
        <w:rPr>
          <w:lang w:val="en-GB"/>
        </w:rPr>
        <w:t xml:space="preserve"> declarative memory.</w:t>
      </w:r>
      <w:r w:rsidR="00F577C7">
        <w:rPr>
          <w:lang w:val="en-GB"/>
        </w:rPr>
        <w:t xml:space="preserve"> </w:t>
      </w:r>
      <w:r w:rsidR="0086135A">
        <w:rPr>
          <w:lang w:val="en-GB"/>
        </w:rPr>
        <w:t>This observation has positive practical implications for educationalists</w:t>
      </w:r>
      <w:r w:rsidR="00D93CAE">
        <w:rPr>
          <w:lang w:val="en-GB"/>
        </w:rPr>
        <w:t xml:space="preserve"> and future work should explicitly address this potential compensatory ability in autistic populations</w:t>
      </w:r>
      <w:r w:rsidR="0086135A">
        <w:rPr>
          <w:lang w:val="en-GB"/>
        </w:rPr>
        <w:t xml:space="preserve">.  However, for researchers it underlines the very considerable difficulties of devising tests of </w:t>
      </w:r>
      <w:r w:rsidR="0086135A">
        <w:rPr>
          <w:lang w:val="en-GB"/>
        </w:rPr>
        <w:lastRenderedPageBreak/>
        <w:t>declarative memory that are suitable for use with learning disabled or young children</w:t>
      </w:r>
      <w:r w:rsidR="00DF1512">
        <w:rPr>
          <w:lang w:val="en-GB"/>
        </w:rPr>
        <w:t xml:space="preserve"> but also yield </w:t>
      </w:r>
      <w:r w:rsidR="0086135A">
        <w:rPr>
          <w:lang w:val="en-GB"/>
        </w:rPr>
        <w:t xml:space="preserve">clear-cut findings.  </w:t>
      </w:r>
    </w:p>
    <w:p w:rsidR="0091644B" w:rsidRDefault="0091644B" w:rsidP="00E77FB2">
      <w:pPr>
        <w:spacing w:after="0" w:line="480" w:lineRule="auto"/>
        <w:rPr>
          <w:lang w:val="en-GB"/>
        </w:rPr>
      </w:pPr>
    </w:p>
    <w:p w:rsidR="001F48EC" w:rsidRDefault="001F48EC" w:rsidP="00E77FB2">
      <w:pPr>
        <w:spacing w:after="0" w:line="480" w:lineRule="auto"/>
        <w:rPr>
          <w:lang w:val="en-GB"/>
        </w:rPr>
      </w:pPr>
    </w:p>
    <w:p w:rsidR="007F5EBC" w:rsidRDefault="007F5EBC" w:rsidP="00E77FB2">
      <w:pPr>
        <w:spacing w:after="0" w:line="480" w:lineRule="auto"/>
      </w:pPr>
    </w:p>
    <w:p w:rsidR="008D109E" w:rsidRDefault="008D109E" w:rsidP="00E77FB2">
      <w:pPr>
        <w:spacing w:line="480" w:lineRule="auto"/>
        <w:rPr>
          <w:b/>
          <w:sz w:val="28"/>
          <w:szCs w:val="28"/>
        </w:rPr>
      </w:pPr>
    </w:p>
    <w:p w:rsidR="0013179C" w:rsidRDefault="0013179C" w:rsidP="00E77FB2">
      <w:pPr>
        <w:spacing w:line="480" w:lineRule="auto"/>
        <w:rPr>
          <w:b/>
          <w:sz w:val="28"/>
          <w:szCs w:val="28"/>
        </w:rPr>
      </w:pPr>
    </w:p>
    <w:p w:rsidR="005F7335" w:rsidRDefault="005F7335" w:rsidP="00E77FB2">
      <w:pPr>
        <w:spacing w:line="480" w:lineRule="auto"/>
        <w:rPr>
          <w:b/>
          <w:sz w:val="28"/>
          <w:szCs w:val="28"/>
        </w:rPr>
      </w:pPr>
    </w:p>
    <w:p w:rsidR="005F7335" w:rsidRDefault="005F7335" w:rsidP="00E77FB2">
      <w:pPr>
        <w:spacing w:line="480" w:lineRule="auto"/>
        <w:rPr>
          <w:b/>
          <w:sz w:val="28"/>
          <w:szCs w:val="28"/>
        </w:rPr>
      </w:pPr>
    </w:p>
    <w:p w:rsidR="0061188D" w:rsidRDefault="0061188D" w:rsidP="00E77FB2">
      <w:pPr>
        <w:spacing w:line="480" w:lineRule="auto"/>
        <w:rPr>
          <w:b/>
          <w:sz w:val="28"/>
          <w:szCs w:val="28"/>
        </w:rPr>
      </w:pPr>
    </w:p>
    <w:p w:rsidR="0061188D" w:rsidRDefault="0061188D" w:rsidP="00E77FB2">
      <w:pPr>
        <w:spacing w:line="480" w:lineRule="auto"/>
        <w:rPr>
          <w:b/>
          <w:sz w:val="28"/>
          <w:szCs w:val="28"/>
        </w:rPr>
      </w:pPr>
    </w:p>
    <w:p w:rsidR="0061188D" w:rsidRDefault="0061188D" w:rsidP="00E77FB2">
      <w:pPr>
        <w:spacing w:line="480" w:lineRule="auto"/>
        <w:rPr>
          <w:b/>
          <w:sz w:val="28"/>
          <w:szCs w:val="28"/>
        </w:rPr>
      </w:pPr>
    </w:p>
    <w:p w:rsidR="0061188D" w:rsidRDefault="0061188D" w:rsidP="00E77FB2">
      <w:pPr>
        <w:spacing w:line="480" w:lineRule="auto"/>
        <w:rPr>
          <w:b/>
          <w:sz w:val="28"/>
          <w:szCs w:val="28"/>
        </w:rPr>
      </w:pPr>
    </w:p>
    <w:p w:rsidR="00CC254D" w:rsidRDefault="00CC254D" w:rsidP="00E77FB2">
      <w:pPr>
        <w:spacing w:line="480" w:lineRule="auto"/>
        <w:rPr>
          <w:b/>
          <w:sz w:val="28"/>
          <w:szCs w:val="28"/>
        </w:rPr>
      </w:pPr>
    </w:p>
    <w:p w:rsidR="00CC254D" w:rsidRDefault="00CC254D" w:rsidP="00E77FB2">
      <w:pPr>
        <w:spacing w:line="480" w:lineRule="auto"/>
        <w:rPr>
          <w:b/>
          <w:sz w:val="28"/>
          <w:szCs w:val="28"/>
        </w:rPr>
      </w:pPr>
    </w:p>
    <w:p w:rsidR="00CC254D" w:rsidRDefault="00CC254D" w:rsidP="00E77FB2">
      <w:pPr>
        <w:spacing w:line="480" w:lineRule="auto"/>
        <w:rPr>
          <w:b/>
          <w:sz w:val="28"/>
          <w:szCs w:val="28"/>
        </w:rPr>
      </w:pPr>
    </w:p>
    <w:p w:rsidR="00CC254D" w:rsidRDefault="00CC254D" w:rsidP="00E77FB2">
      <w:pPr>
        <w:spacing w:line="480" w:lineRule="auto"/>
        <w:rPr>
          <w:b/>
          <w:sz w:val="28"/>
          <w:szCs w:val="28"/>
        </w:rPr>
      </w:pPr>
    </w:p>
    <w:p w:rsidR="0061188D" w:rsidRDefault="0061188D" w:rsidP="00E77FB2">
      <w:pPr>
        <w:spacing w:line="480" w:lineRule="auto"/>
        <w:rPr>
          <w:b/>
          <w:sz w:val="28"/>
          <w:szCs w:val="28"/>
        </w:rPr>
      </w:pPr>
    </w:p>
    <w:p w:rsidR="007F5EBC" w:rsidRDefault="007F5EBC" w:rsidP="00E77FB2">
      <w:pPr>
        <w:spacing w:line="480" w:lineRule="auto"/>
        <w:rPr>
          <w:b/>
          <w:sz w:val="28"/>
          <w:szCs w:val="28"/>
        </w:rPr>
      </w:pPr>
      <w:r>
        <w:rPr>
          <w:b/>
          <w:sz w:val="28"/>
          <w:szCs w:val="28"/>
        </w:rPr>
        <w:lastRenderedPageBreak/>
        <w:t>References</w:t>
      </w:r>
    </w:p>
    <w:p w:rsidR="00CB5491" w:rsidRDefault="007F5EBC" w:rsidP="00E77FB2">
      <w:pPr>
        <w:spacing w:after="0" w:line="480" w:lineRule="auto"/>
      </w:pPr>
      <w:r>
        <w:t xml:space="preserve">Aggleton, J. P., &amp; Brown, M. W. (2006). Interleaving brain systems for episodic and recognition memory. </w:t>
      </w:r>
      <w:r>
        <w:rPr>
          <w:i/>
          <w:iCs/>
        </w:rPr>
        <w:t>Trends in Cognitive Sciences</w:t>
      </w:r>
      <w:r>
        <w:t xml:space="preserve">, </w:t>
      </w:r>
      <w:r>
        <w:rPr>
          <w:i/>
          <w:iCs/>
        </w:rPr>
        <w:t>10 (10)</w:t>
      </w:r>
      <w:r>
        <w:t xml:space="preserve">, 455 - 463. </w:t>
      </w:r>
    </w:p>
    <w:p w:rsidR="007F5EBC" w:rsidRDefault="007F5EBC" w:rsidP="00E77FB2">
      <w:pPr>
        <w:spacing w:after="0" w:line="480" w:lineRule="auto"/>
      </w:pPr>
      <w:r>
        <w:t xml:space="preserve"> </w:t>
      </w:r>
    </w:p>
    <w:p w:rsidR="006C29F4" w:rsidRDefault="006C29F4" w:rsidP="00E77FB2">
      <w:pPr>
        <w:spacing w:after="0" w:line="480" w:lineRule="auto"/>
      </w:pPr>
      <w:r>
        <w:t>APA (1994). Diagnostic and Statistical Manual of Mental Disorders. </w:t>
      </w:r>
      <w:r>
        <w:rPr>
          <w:i/>
          <w:iCs/>
        </w:rPr>
        <w:t>American Psychiatric Association</w:t>
      </w:r>
      <w:r>
        <w:t>, 535.</w:t>
      </w:r>
    </w:p>
    <w:p w:rsidR="006C29F4" w:rsidRDefault="006C29F4" w:rsidP="00E77FB2">
      <w:pPr>
        <w:spacing w:after="0" w:line="480" w:lineRule="auto"/>
      </w:pPr>
    </w:p>
    <w:p w:rsidR="007F5EBC" w:rsidRDefault="007F5EBC" w:rsidP="00E77FB2">
      <w:pPr>
        <w:spacing w:after="0" w:line="480" w:lineRule="auto"/>
      </w:pPr>
      <w:r>
        <w:t xml:space="preserve">Asperger, H.. (1944/1991). ‘Autistic psychopathy’ in childhood. Translated in U. Frith (Ed.), </w:t>
      </w:r>
      <w:r>
        <w:rPr>
          <w:i/>
          <w:iCs/>
        </w:rPr>
        <w:t>Autism and asperger syndrome</w:t>
      </w:r>
      <w:r>
        <w:t xml:space="preserve"> (pp. 37–92). Cambridge: CUP. </w:t>
      </w:r>
    </w:p>
    <w:tbl>
      <w:tblPr>
        <w:tblW w:w="8687" w:type="dxa"/>
        <w:tblCellMar>
          <w:left w:w="0" w:type="dxa"/>
          <w:right w:w="0" w:type="dxa"/>
        </w:tblCellMar>
        <w:tblLook w:val="04A0" w:firstRow="1" w:lastRow="0" w:firstColumn="1" w:lastColumn="0" w:noHBand="0" w:noVBand="1"/>
      </w:tblPr>
      <w:tblGrid>
        <w:gridCol w:w="8687"/>
      </w:tblGrid>
      <w:tr w:rsidR="007F5EBC" w:rsidTr="007F5EBC">
        <w:trPr>
          <w:trHeight w:val="105"/>
        </w:trPr>
        <w:tc>
          <w:tcPr>
            <w:tcW w:w="0" w:type="auto"/>
            <w:vAlign w:val="center"/>
            <w:hideMark/>
          </w:tcPr>
          <w:p w:rsidR="007F5EBC" w:rsidRDefault="007F5EBC" w:rsidP="00E77FB2">
            <w:pPr>
              <w:spacing w:after="0" w:line="480" w:lineRule="auto"/>
            </w:pPr>
          </w:p>
        </w:tc>
      </w:tr>
      <w:tr w:rsidR="007F5EBC" w:rsidTr="007F5EBC">
        <w:trPr>
          <w:trHeight w:val="673"/>
        </w:trPr>
        <w:tc>
          <w:tcPr>
            <w:tcW w:w="0" w:type="auto"/>
            <w:tcMar>
              <w:top w:w="120" w:type="dxa"/>
              <w:left w:w="0" w:type="dxa"/>
              <w:bottom w:w="120" w:type="dxa"/>
              <w:right w:w="0" w:type="dxa"/>
            </w:tcMar>
          </w:tcPr>
          <w:p w:rsidR="00283D51" w:rsidRDefault="007F5EBC" w:rsidP="00E77FB2">
            <w:pPr>
              <w:spacing w:after="0" w:line="480" w:lineRule="auto"/>
              <w:rPr>
                <w:color w:val="222222"/>
              </w:rPr>
            </w:pPr>
            <w:r>
              <w:rPr>
                <w:color w:val="222222"/>
              </w:rPr>
              <w:t>Baird, G., Simonoff, E., Pickles, A., Chandler, S., Loucas, T., Meldrum, D., &amp; Charman, T. (2006). Prevalence of disorders of the autism spectrum in a population cohort of children in South Thames: the Special Needs and Autism Project (SNAP). </w:t>
            </w:r>
            <w:r>
              <w:rPr>
                <w:i/>
                <w:iCs/>
                <w:color w:val="222222"/>
              </w:rPr>
              <w:t>The Lancet</w:t>
            </w:r>
            <w:r>
              <w:rPr>
                <w:color w:val="222222"/>
              </w:rPr>
              <w:t>, </w:t>
            </w:r>
            <w:r>
              <w:rPr>
                <w:i/>
                <w:iCs/>
                <w:color w:val="222222"/>
              </w:rPr>
              <w:t>368</w:t>
            </w:r>
            <w:r>
              <w:rPr>
                <w:color w:val="222222"/>
              </w:rPr>
              <w:t>(9531), 210-215.</w:t>
            </w:r>
          </w:p>
          <w:p w:rsidR="007F5EBC" w:rsidRDefault="007F5EBC" w:rsidP="00E77FB2">
            <w:pPr>
              <w:spacing w:after="0" w:line="480" w:lineRule="auto"/>
              <w:rPr>
                <w:color w:val="222222"/>
              </w:rPr>
            </w:pPr>
          </w:p>
        </w:tc>
      </w:tr>
    </w:tbl>
    <w:p w:rsidR="00684513" w:rsidRDefault="00684513" w:rsidP="00E77FB2">
      <w:pPr>
        <w:autoSpaceDE w:val="0"/>
        <w:autoSpaceDN w:val="0"/>
        <w:adjustRightInd w:val="0"/>
        <w:spacing w:after="0" w:line="480" w:lineRule="auto"/>
        <w:ind w:hanging="11"/>
      </w:pPr>
      <w:r>
        <w:t xml:space="preserve">Bartak, L., Rutter, M., &amp; Cox, A. (1975). Comparative study of infantile autism and specific developmental receptive language disorder 1: Children. </w:t>
      </w:r>
      <w:r>
        <w:rPr>
          <w:i/>
          <w:iCs/>
        </w:rPr>
        <w:t>British Journal of Psychiatry, 126</w:t>
      </w:r>
      <w:r>
        <w:t>, 127-145.</w:t>
      </w:r>
    </w:p>
    <w:p w:rsidR="00684513" w:rsidRDefault="00684513" w:rsidP="00E77FB2">
      <w:pPr>
        <w:autoSpaceDE w:val="0"/>
        <w:autoSpaceDN w:val="0"/>
        <w:adjustRightInd w:val="0"/>
        <w:spacing w:after="0" w:line="480" w:lineRule="auto"/>
        <w:ind w:hanging="11"/>
      </w:pPr>
    </w:p>
    <w:p w:rsidR="00684513" w:rsidRDefault="00684513" w:rsidP="00E77FB2">
      <w:pPr>
        <w:autoSpaceDE w:val="0"/>
        <w:autoSpaceDN w:val="0"/>
        <w:adjustRightInd w:val="0"/>
        <w:spacing w:after="0" w:line="480" w:lineRule="auto"/>
        <w:ind w:hanging="11"/>
      </w:pPr>
      <w:r>
        <w:t xml:space="preserve">Bartak, L., Rutter, M., &amp; Cox, A. (1977). Comparative study of infantile-autism and specific developmental receptive language disorders 3: Discriminant function analysis. </w:t>
      </w:r>
      <w:r>
        <w:rPr>
          <w:i/>
          <w:iCs/>
        </w:rPr>
        <w:t>Journal of Autism and Developmental Disorders, 7</w:t>
      </w:r>
      <w:r>
        <w:t>, 383-396.</w:t>
      </w:r>
    </w:p>
    <w:p w:rsidR="00684513" w:rsidRDefault="00684513" w:rsidP="00E77FB2">
      <w:pPr>
        <w:autoSpaceDE w:val="0"/>
        <w:autoSpaceDN w:val="0"/>
        <w:adjustRightInd w:val="0"/>
        <w:spacing w:after="0" w:line="480" w:lineRule="auto"/>
        <w:ind w:hanging="11"/>
      </w:pPr>
    </w:p>
    <w:p w:rsidR="008C7006" w:rsidRDefault="008C7006" w:rsidP="00E77FB2">
      <w:pPr>
        <w:spacing w:after="0" w:line="480" w:lineRule="auto"/>
        <w:rPr>
          <w:color w:val="222222"/>
        </w:rPr>
      </w:pPr>
      <w:r>
        <w:rPr>
          <w:color w:val="222222"/>
        </w:rPr>
        <w:t>Ben Shalom, D. (2003). Memory in autism: Review and synthesis. </w:t>
      </w:r>
      <w:r>
        <w:rPr>
          <w:i/>
          <w:iCs/>
          <w:color w:val="222222"/>
        </w:rPr>
        <w:t>Cortex</w:t>
      </w:r>
      <w:r>
        <w:rPr>
          <w:color w:val="222222"/>
        </w:rPr>
        <w:t>, </w:t>
      </w:r>
      <w:r>
        <w:rPr>
          <w:i/>
          <w:iCs/>
          <w:color w:val="222222"/>
        </w:rPr>
        <w:t>39</w:t>
      </w:r>
      <w:r>
        <w:rPr>
          <w:color w:val="222222"/>
        </w:rPr>
        <w:t>(4-5), 1129-1138.</w:t>
      </w:r>
    </w:p>
    <w:p w:rsidR="008C7006" w:rsidRDefault="008C7006" w:rsidP="00E77FB2">
      <w:pPr>
        <w:spacing w:after="0" w:line="480" w:lineRule="auto"/>
        <w:rPr>
          <w:color w:val="222222"/>
        </w:rPr>
      </w:pPr>
    </w:p>
    <w:p w:rsidR="007F5EBC" w:rsidRDefault="007F5EBC" w:rsidP="00E77FB2">
      <w:pPr>
        <w:spacing w:after="0" w:line="480" w:lineRule="auto"/>
      </w:pPr>
      <w:r>
        <w:t>Bigham, S., Boucher, J., Mayes, A., &amp; Anns, S. (2010). Assessing recollection and familiarity in autistic spectrum disorders: Methods and findings. </w:t>
      </w:r>
      <w:r>
        <w:rPr>
          <w:i/>
          <w:iCs/>
        </w:rPr>
        <w:t>Journal of Autism and Developmental Disorders</w:t>
      </w:r>
      <w:r>
        <w:t>, </w:t>
      </w:r>
      <w:r>
        <w:rPr>
          <w:i/>
          <w:iCs/>
        </w:rPr>
        <w:t>40</w:t>
      </w:r>
      <w:r>
        <w:t>(7), 878-889.</w:t>
      </w:r>
    </w:p>
    <w:p w:rsidR="007F5EBC" w:rsidRDefault="007F5EBC" w:rsidP="00E77FB2">
      <w:pPr>
        <w:spacing w:after="0" w:line="480" w:lineRule="auto"/>
      </w:pPr>
    </w:p>
    <w:p w:rsidR="00BA127A" w:rsidRDefault="00BA127A" w:rsidP="00E77FB2">
      <w:pPr>
        <w:autoSpaceDE w:val="0"/>
        <w:autoSpaceDN w:val="0"/>
        <w:adjustRightInd w:val="0"/>
        <w:spacing w:line="480" w:lineRule="auto"/>
        <w:ind w:hanging="11"/>
      </w:pPr>
      <w:r>
        <w:t xml:space="preserve">Bloom, P. (2000). </w:t>
      </w:r>
      <w:r>
        <w:rPr>
          <w:i/>
        </w:rPr>
        <w:t>How Children Learn the Meanings of Words</w:t>
      </w:r>
      <w:r>
        <w:t xml:space="preserve">.  Cambridge, MA:  MIT Press. </w:t>
      </w:r>
    </w:p>
    <w:p w:rsidR="007F5EBC" w:rsidRDefault="007F5EBC" w:rsidP="00E77FB2">
      <w:pPr>
        <w:spacing w:after="0" w:line="480" w:lineRule="auto"/>
      </w:pPr>
      <w:r>
        <w:t>Boucher, J. (2012). Research review: structural language in autistic spectrum disorder–characteristics and causes. </w:t>
      </w:r>
      <w:r>
        <w:rPr>
          <w:i/>
          <w:iCs/>
        </w:rPr>
        <w:t>Journal of Child Psychology and Psychiatry</w:t>
      </w:r>
      <w:r>
        <w:t>, </w:t>
      </w:r>
      <w:r>
        <w:rPr>
          <w:i/>
          <w:iCs/>
        </w:rPr>
        <w:t>53</w:t>
      </w:r>
      <w:r>
        <w:t>(3), 219-233.</w:t>
      </w: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lang w:val="en-GB"/>
        </w:rPr>
      </w:pPr>
      <w:r>
        <w:t>Boucher, J., &amp; Anns, S. (2018). Memory, learning and language in autism spectrum disorder. </w:t>
      </w:r>
      <w:r>
        <w:rPr>
          <w:i/>
          <w:iCs/>
        </w:rPr>
        <w:t>Autism &amp; Developmental Language Impairments</w:t>
      </w:r>
      <w:r>
        <w:t>, </w:t>
      </w:r>
      <w:r>
        <w:rPr>
          <w:i/>
          <w:iCs/>
        </w:rPr>
        <w:t>3</w:t>
      </w:r>
      <w:r>
        <w:t>, 2396941517742078.</w:t>
      </w: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r>
        <w:t xml:space="preserve">Boucher, J., Bigham, S., Mayes, A., &amp; Muskett, T. (2008). Recognition and language in lower functioning autism. </w:t>
      </w:r>
      <w:r>
        <w:rPr>
          <w:i/>
          <w:iCs/>
        </w:rPr>
        <w:t xml:space="preserve">Journal of Autism and Developmental Disorders, 38, </w:t>
      </w:r>
      <w:r>
        <w:t>1259–1269. </w:t>
      </w: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r>
        <w:t>Boucher, J., &amp; Mayes, A. (2011). Memory. In D. Fein, (Ed.),</w:t>
      </w:r>
      <w:r>
        <w:rPr>
          <w:i/>
          <w:iCs/>
        </w:rPr>
        <w:t xml:space="preserve"> The neuropsychology of autis</w:t>
      </w:r>
      <w:r>
        <w:rPr>
          <w:i/>
        </w:rPr>
        <w:t>m</w:t>
      </w:r>
      <w:r>
        <w:t xml:space="preserve"> (pp. 139–160). Oxford: OUP.</w:t>
      </w:r>
    </w:p>
    <w:p w:rsidR="007F5EBC" w:rsidRDefault="007F5EBC" w:rsidP="00E77FB2">
      <w:pPr>
        <w:spacing w:after="0" w:line="480" w:lineRule="auto"/>
      </w:pPr>
    </w:p>
    <w:p w:rsidR="007F5EBC" w:rsidRDefault="007F5EBC" w:rsidP="00E77FB2">
      <w:pPr>
        <w:spacing w:after="0" w:line="480" w:lineRule="auto"/>
      </w:pPr>
      <w:r>
        <w:t xml:space="preserve">Boucher, J., Mayes, A., &amp; Bigham, S. (2012). Memory in Autistic Spectrum Disorder. </w:t>
      </w:r>
      <w:r>
        <w:rPr>
          <w:i/>
          <w:iCs/>
        </w:rPr>
        <w:t xml:space="preserve">Psychological Bulletin, 138, </w:t>
      </w:r>
      <w:r>
        <w:t>458-496.</w:t>
      </w:r>
    </w:p>
    <w:p w:rsidR="007F5EBC" w:rsidRDefault="007F5EBC" w:rsidP="00E77FB2">
      <w:pPr>
        <w:spacing w:after="0" w:line="480" w:lineRule="auto"/>
      </w:pPr>
    </w:p>
    <w:p w:rsidR="007F5EBC" w:rsidRDefault="007F5EBC" w:rsidP="00E77FB2">
      <w:pPr>
        <w:spacing w:after="0" w:line="480" w:lineRule="auto"/>
      </w:pPr>
      <w:r>
        <w:t xml:space="preserve">Bowler, D. M., Gaigg, S. B., &amp; Gardiner, J. M. (2008). Effects of related and unrelated context on recall and recognition by adults with high-functioning autism spectrum disorder. </w:t>
      </w:r>
      <w:r>
        <w:rPr>
          <w:i/>
          <w:iCs/>
        </w:rPr>
        <w:t>Neuropsychologia</w:t>
      </w:r>
      <w:r>
        <w:t xml:space="preserve">, </w:t>
      </w:r>
      <w:r>
        <w:rPr>
          <w:i/>
          <w:iCs/>
        </w:rPr>
        <w:t>46</w:t>
      </w:r>
      <w:r>
        <w:t>(4), 993-999.</w:t>
      </w:r>
    </w:p>
    <w:p w:rsidR="007F5EBC" w:rsidRDefault="007F5EBC" w:rsidP="00E77FB2">
      <w:pPr>
        <w:spacing w:after="0" w:line="480" w:lineRule="auto"/>
      </w:pPr>
    </w:p>
    <w:p w:rsidR="007F5EBC" w:rsidRDefault="007F5EBC" w:rsidP="00E77FB2">
      <w:pPr>
        <w:spacing w:after="0" w:line="480" w:lineRule="auto"/>
      </w:pPr>
      <w:r>
        <w:t xml:space="preserve">Bowler, D., Gaigg, S., &amp; Lind, S. (2011). Memory in autism: binding, self, and brain; in Roth &amp; Rezaie (Eds.). </w:t>
      </w:r>
      <w:r>
        <w:rPr>
          <w:i/>
        </w:rPr>
        <w:t>Researching the Autism Spectrum</w:t>
      </w:r>
      <w:r>
        <w:t>. The O</w:t>
      </w:r>
      <w:r w:rsidR="00F2572A">
        <w:t>pen University, Milton Keynes. p</w:t>
      </w:r>
      <w:r>
        <w:t>p 316-346</w:t>
      </w:r>
    </w:p>
    <w:p w:rsidR="007F5EBC" w:rsidRDefault="007F5EBC" w:rsidP="00E77FB2">
      <w:pPr>
        <w:spacing w:after="0" w:line="480" w:lineRule="auto"/>
      </w:pPr>
    </w:p>
    <w:p w:rsidR="007F5EBC" w:rsidRDefault="007F5EBC" w:rsidP="00E77FB2">
      <w:pPr>
        <w:spacing w:after="0" w:line="480" w:lineRule="auto"/>
      </w:pPr>
      <w:r>
        <w:t xml:space="preserve">Bowler, D. M., Matthews, N. J., &amp; Gardiner, J. M. (1997). Asperger’s syndrome and memory: Similarity to autism but not amnesia. </w:t>
      </w:r>
      <w:r>
        <w:rPr>
          <w:i/>
          <w:iCs/>
        </w:rPr>
        <w:t xml:space="preserve">Neuropsychologia, 35, </w:t>
      </w:r>
      <w:r>
        <w:t xml:space="preserve">65–70. </w:t>
      </w:r>
    </w:p>
    <w:p w:rsidR="007F5EBC" w:rsidRDefault="007F5EBC" w:rsidP="00E77FB2">
      <w:pPr>
        <w:spacing w:after="0" w:line="480" w:lineRule="auto"/>
      </w:pPr>
    </w:p>
    <w:p w:rsidR="00E728F4" w:rsidRDefault="00E728F4" w:rsidP="00E77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rPr>
          <w:lang w:val="en-GB"/>
        </w:rPr>
      </w:pPr>
      <w:r>
        <w:t xml:space="preserve">Cantwell, D., Baker, L., &amp; Rutter, M. (1978). Comparative study of infantile autism and specific developmental receptive language disorder 4: Analysis of syntax and language function. </w:t>
      </w:r>
      <w:r>
        <w:rPr>
          <w:i/>
          <w:iCs/>
        </w:rPr>
        <w:t>Journal of Child Psychology and Psychiatry 19</w:t>
      </w:r>
      <w:r>
        <w:t>, 351-362.</w:t>
      </w:r>
    </w:p>
    <w:p w:rsidR="004435F0" w:rsidRPr="004435F0" w:rsidRDefault="004435F0" w:rsidP="00E77FB2">
      <w:pPr>
        <w:shd w:val="clear" w:color="auto" w:fill="FFFFFF"/>
        <w:spacing w:after="0" w:line="480" w:lineRule="auto"/>
        <w:rPr>
          <w:rStyle w:val="reference-text"/>
        </w:rPr>
      </w:pPr>
      <w:r w:rsidRPr="004435F0">
        <w:rPr>
          <w:rStyle w:val="reference-text"/>
        </w:rPr>
        <w:t xml:space="preserve">Cattell, R. B. (1971). </w:t>
      </w:r>
      <w:r w:rsidRPr="004435F0">
        <w:rPr>
          <w:rStyle w:val="reference-text"/>
          <w:i/>
          <w:iCs/>
        </w:rPr>
        <w:t>Abilities: Their structure, growth, and action</w:t>
      </w:r>
      <w:r w:rsidRPr="004435F0">
        <w:rPr>
          <w:rStyle w:val="reference-text"/>
        </w:rPr>
        <w:t>. New York: Houghton Mifflin</w:t>
      </w:r>
      <w:r>
        <w:rPr>
          <w:rStyle w:val="reference-text"/>
        </w:rPr>
        <w:t>.</w:t>
      </w:r>
    </w:p>
    <w:p w:rsidR="004435F0" w:rsidRDefault="004435F0"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r>
        <w:t xml:space="preserve">Charman, T., Pickles, A., Simonoff, E., Chandler, S., Loucas, T., &amp; Baird, G. (2011). IQ in children with autism spectrum disorders: data from the Special Needs and Autism Project (SNAP). </w:t>
      </w:r>
      <w:r>
        <w:rPr>
          <w:i/>
          <w:iCs/>
        </w:rPr>
        <w:t>Psychological medicine</w:t>
      </w:r>
      <w:r>
        <w:t xml:space="preserve">, </w:t>
      </w:r>
      <w:r>
        <w:rPr>
          <w:i/>
          <w:iCs/>
        </w:rPr>
        <w:t>41</w:t>
      </w:r>
      <w:r>
        <w:t>(03), 619-627.</w:t>
      </w:r>
    </w:p>
    <w:p w:rsidR="007F5EBC" w:rsidRDefault="007F5EBC" w:rsidP="00E77FB2">
      <w:pPr>
        <w:spacing w:after="0" w:line="480" w:lineRule="auto"/>
      </w:pPr>
    </w:p>
    <w:p w:rsidR="007F5EBC" w:rsidRPr="00497AA7" w:rsidRDefault="007F5EBC" w:rsidP="00E77FB2">
      <w:pPr>
        <w:spacing w:after="0" w:line="480" w:lineRule="auto"/>
      </w:pPr>
      <w:r w:rsidRPr="00497AA7">
        <w:t>Chomsky, N. (1965). Aspects of the theory of syntax</w:t>
      </w:r>
      <w:r w:rsidR="00497AA7" w:rsidRPr="00497AA7">
        <w:t>.</w:t>
      </w:r>
      <w:r w:rsidRPr="00497AA7">
        <w:t>.</w:t>
      </w:r>
      <w:r w:rsidRPr="00497AA7">
        <w:rPr>
          <w:i/>
          <w:iCs/>
        </w:rPr>
        <w:t xml:space="preserve">Multilingual Matters: </w:t>
      </w:r>
      <w:r w:rsidR="00497AA7" w:rsidRPr="00497AA7">
        <w:rPr>
          <w:i/>
          <w:iCs/>
        </w:rPr>
        <w:t xml:space="preserve">Cambridge: </w:t>
      </w:r>
      <w:r w:rsidRPr="00497AA7">
        <w:rPr>
          <w:i/>
          <w:iCs/>
        </w:rPr>
        <w:t>MIT Press</w:t>
      </w:r>
      <w:r w:rsidRPr="00497AA7">
        <w:t>.</w:t>
      </w:r>
    </w:p>
    <w:p w:rsidR="007F5EBC" w:rsidRDefault="007F5EBC" w:rsidP="00E77FB2">
      <w:pPr>
        <w:spacing w:after="0" w:line="480" w:lineRule="auto"/>
      </w:pPr>
    </w:p>
    <w:p w:rsidR="007F5EBC" w:rsidRPr="00C06387" w:rsidRDefault="007F5EBC" w:rsidP="00E77FB2">
      <w:pPr>
        <w:spacing w:after="0" w:line="480" w:lineRule="auto"/>
        <w:rPr>
          <w:lang w:val="en-GB"/>
        </w:rPr>
      </w:pPr>
      <w:r w:rsidRPr="007E7323">
        <w:rPr>
          <w:lang w:val="fr-FR"/>
        </w:rPr>
        <w:t xml:space="preserve">Clark, G. M., &amp; Lum, J. A. (2017). </w:t>
      </w:r>
      <w:r w:rsidRPr="00C06387">
        <w:rPr>
          <w:lang w:val="en-GB"/>
        </w:rPr>
        <w:t>Procedural learning in Parkinson’s disease, specific language impairment, dyslexia, schizophrenia, developmental coordination disorder, and autism spectrum disorders: A second-order meta-analysis. </w:t>
      </w:r>
      <w:r w:rsidRPr="00C06387">
        <w:rPr>
          <w:i/>
          <w:iCs/>
          <w:lang w:val="en-GB"/>
        </w:rPr>
        <w:t>Brain and cognition</w:t>
      </w:r>
      <w:r w:rsidRPr="00C06387">
        <w:rPr>
          <w:lang w:val="en-GB"/>
        </w:rPr>
        <w:t>, </w:t>
      </w:r>
      <w:r w:rsidRPr="00C06387">
        <w:rPr>
          <w:i/>
          <w:iCs/>
          <w:lang w:val="en-GB"/>
        </w:rPr>
        <w:t>117</w:t>
      </w:r>
      <w:r w:rsidRPr="00C06387">
        <w:rPr>
          <w:lang w:val="en-GB"/>
        </w:rPr>
        <w:t>, 41-48.</w:t>
      </w:r>
    </w:p>
    <w:p w:rsidR="007F5EBC" w:rsidRDefault="007F5EBC" w:rsidP="00E77FB2">
      <w:pPr>
        <w:spacing w:after="0" w:line="480" w:lineRule="auto"/>
      </w:pPr>
    </w:p>
    <w:p w:rsidR="006C29F4" w:rsidRPr="006C29F4" w:rsidRDefault="006C29F4" w:rsidP="00E77FB2">
      <w:pPr>
        <w:spacing w:after="0" w:line="480" w:lineRule="auto"/>
      </w:pPr>
      <w:r>
        <w:lastRenderedPageBreak/>
        <w:t xml:space="preserve">Cooper, R. &amp; Simons, D. (2018). Exploring the neurocognitive basis of episodic recollection in autism. </w:t>
      </w:r>
      <w:r w:rsidRPr="006C29F4">
        <w:rPr>
          <w:i/>
          <w:color w:val="131413"/>
        </w:rPr>
        <w:t>Psychonomic Bulletin &amp; Review</w:t>
      </w:r>
      <w:r>
        <w:rPr>
          <w:i/>
          <w:color w:val="131413"/>
        </w:rPr>
        <w:t xml:space="preserve">, </w:t>
      </w:r>
      <w:r w:rsidRPr="006C29F4">
        <w:rPr>
          <w:color w:val="000000"/>
        </w:rPr>
        <w:t>https://doi.org/10.3758/s13423-018-1504-z</w:t>
      </w: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r>
        <w:t xml:space="preserve">Dockrell, J., Lindsay, G., Roulstone, S., &amp; Law, J. (2012a). Supporting children with speech, language and communication needs: an overview of the results of the Better Communication Research Programme. </w:t>
      </w:r>
      <w:r>
        <w:rPr>
          <w:i/>
          <w:iCs/>
        </w:rPr>
        <w:t>International Journal of Language &amp; Communication Disorders</w:t>
      </w:r>
      <w:r>
        <w:t xml:space="preserve">, </w:t>
      </w:r>
      <w:r>
        <w:rPr>
          <w:i/>
          <w:iCs/>
        </w:rPr>
        <w:t>49</w:t>
      </w:r>
      <w:r>
        <w:t>(5), 543-557.</w:t>
      </w: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r>
        <w:t xml:space="preserve">Dockrell, J., Ricketts, J., &amp; Lindsay, G. (2012b). Understanding speech, language and communication needs: Profiles of need and provision. </w:t>
      </w:r>
      <w:r>
        <w:rPr>
          <w:i/>
          <w:iCs/>
        </w:rPr>
        <w:t>London: Department for Education (DfE))(available at: https://www. gov. uk/government/collection/better-communication-research-programme)</w:t>
      </w:r>
      <w:r>
        <w:t>.</w:t>
      </w:r>
    </w:p>
    <w:p w:rsidR="007F5EBC" w:rsidRDefault="007F5EBC" w:rsidP="00E77FB2">
      <w:pPr>
        <w:spacing w:after="0" w:line="480" w:lineRule="auto"/>
      </w:pPr>
    </w:p>
    <w:p w:rsidR="007F5EBC" w:rsidRDefault="007F5EBC" w:rsidP="00E77FB2">
      <w:pPr>
        <w:spacing w:after="0" w:line="480" w:lineRule="auto"/>
      </w:pPr>
      <w:r>
        <w:t xml:space="preserve">Dunn, M., &amp; Bates, J. (2005). Developmental change in neutral processing of words by children with autism. </w:t>
      </w:r>
      <w:r>
        <w:rPr>
          <w:i/>
          <w:iCs/>
        </w:rPr>
        <w:t>Journal of Autism and Developmental Disorders, 35</w:t>
      </w:r>
      <w:r>
        <w:t>, 361–376. </w:t>
      </w:r>
    </w:p>
    <w:p w:rsidR="007F5EBC" w:rsidRDefault="007F5EBC" w:rsidP="00E77FB2">
      <w:pPr>
        <w:spacing w:after="0" w:line="480" w:lineRule="auto"/>
      </w:pPr>
    </w:p>
    <w:p w:rsidR="007F5EBC" w:rsidRDefault="007F5EBC" w:rsidP="00E77FB2">
      <w:pPr>
        <w:spacing w:after="0" w:line="480" w:lineRule="auto"/>
      </w:pPr>
      <w:r>
        <w:t xml:space="preserve">Eigsti, I. M., de Marchena, A. B., Schuh, J. M., &amp; Kelley, E. (2011). Language acquisition in autism spectrum disorders: A developmental review. </w:t>
      </w:r>
      <w:r>
        <w:rPr>
          <w:i/>
          <w:iCs/>
        </w:rPr>
        <w:t>Research in Autism Spectrum Disorders</w:t>
      </w:r>
      <w:r>
        <w:t xml:space="preserve">, </w:t>
      </w:r>
      <w:r>
        <w:rPr>
          <w:i/>
          <w:iCs/>
        </w:rPr>
        <w:t>5</w:t>
      </w:r>
      <w:r>
        <w:t>(2), 681-691.</w:t>
      </w:r>
    </w:p>
    <w:p w:rsidR="007F5EBC" w:rsidRDefault="007F5EBC" w:rsidP="00E77FB2">
      <w:pPr>
        <w:spacing w:after="0" w:line="480" w:lineRule="auto"/>
      </w:pPr>
    </w:p>
    <w:p w:rsidR="007F5EBC" w:rsidRDefault="007F5EBC" w:rsidP="00E77FB2">
      <w:pPr>
        <w:spacing w:after="0" w:line="480" w:lineRule="auto"/>
      </w:pPr>
      <w:r w:rsidRPr="007E7323">
        <w:rPr>
          <w:lang w:val="fr-FR"/>
        </w:rPr>
        <w:t xml:space="preserve">Foti, F., De Crescenzo, F., Vivanti, G., Menghini, D., &amp; Vicari, S. (2015). </w:t>
      </w:r>
      <w:r>
        <w:t>Implicit learning in individuals with autism spectrum disorders: a meta-analysis. </w:t>
      </w:r>
      <w:r>
        <w:rPr>
          <w:i/>
          <w:iCs/>
        </w:rPr>
        <w:t>Psychological Medicine</w:t>
      </w:r>
      <w:r>
        <w:t>, </w:t>
      </w:r>
      <w:r>
        <w:rPr>
          <w:i/>
          <w:iCs/>
        </w:rPr>
        <w:t>45</w:t>
      </w:r>
      <w:r>
        <w:t>(5), 897-910.</w:t>
      </w:r>
    </w:p>
    <w:p w:rsidR="007F5EBC" w:rsidRDefault="007F5EBC" w:rsidP="00E77FB2">
      <w:pPr>
        <w:spacing w:after="0" w:line="480" w:lineRule="auto"/>
      </w:pPr>
    </w:p>
    <w:p w:rsidR="007F5EBC" w:rsidRDefault="007F5EBC" w:rsidP="00E77FB2">
      <w:pPr>
        <w:spacing w:after="0" w:line="480" w:lineRule="auto"/>
      </w:pPr>
      <w:r>
        <w:lastRenderedPageBreak/>
        <w:t>Gaigg, S. B., Bowler, D. M., &amp; Gardiner, J. M. (2014). Episodic but not semantic order memory difficulties in autism spectrum disorder: Evidence from the Historical Figures Task. </w:t>
      </w:r>
      <w:r>
        <w:rPr>
          <w:i/>
          <w:iCs/>
        </w:rPr>
        <w:t>Memory</w:t>
      </w:r>
      <w:r>
        <w:t>, </w:t>
      </w:r>
      <w:r>
        <w:rPr>
          <w:i/>
          <w:iCs/>
        </w:rPr>
        <w:t>22</w:t>
      </w:r>
      <w:r>
        <w:t>(6), 669-678.</w:t>
      </w:r>
    </w:p>
    <w:p w:rsidR="007F5EBC" w:rsidRDefault="007F5EBC" w:rsidP="00E77FB2">
      <w:pPr>
        <w:spacing w:after="0" w:line="480" w:lineRule="auto"/>
      </w:pPr>
    </w:p>
    <w:p w:rsidR="00204850" w:rsidRDefault="00204850" w:rsidP="00E77FB2">
      <w:pPr>
        <w:spacing w:after="0" w:line="480" w:lineRule="auto"/>
        <w:jc w:val="both"/>
      </w:pPr>
      <w:r>
        <w:t xml:space="preserve">Hobson, R.P. &amp; Lee, A, (1999). Imitation and identification in autism. </w:t>
      </w:r>
      <w:r w:rsidRPr="00204850">
        <w:rPr>
          <w:i/>
        </w:rPr>
        <w:t>Jo</w:t>
      </w:r>
      <w:r>
        <w:rPr>
          <w:i/>
        </w:rPr>
        <w:t xml:space="preserve">urnal of Child  Psychology and Psychiatry, 40(4), </w:t>
      </w:r>
      <w:r>
        <w:t>649-659.</w:t>
      </w:r>
    </w:p>
    <w:p w:rsidR="00204850" w:rsidRDefault="00204850" w:rsidP="00E77FB2">
      <w:pPr>
        <w:spacing w:after="0" w:line="480" w:lineRule="auto"/>
        <w:jc w:val="both"/>
      </w:pPr>
    </w:p>
    <w:p w:rsidR="007F5EBC" w:rsidRDefault="007F5EBC" w:rsidP="00E77FB2">
      <w:pPr>
        <w:spacing w:after="0" w:line="480" w:lineRule="auto"/>
        <w:jc w:val="both"/>
      </w:pPr>
      <w:r>
        <w:t>Howard, D., &amp; Patterson, K. E. (1992). </w:t>
      </w:r>
      <w:r>
        <w:rPr>
          <w:i/>
          <w:iCs/>
        </w:rPr>
        <w:t>The Pyramids and Palm Trees Test: A test of semantic access from words and pictures</w:t>
      </w:r>
      <w:r>
        <w:t>. Thames Valley Test Company.</w:t>
      </w:r>
    </w:p>
    <w:p w:rsidR="007F5EBC" w:rsidRDefault="007F5EBC" w:rsidP="00E77FB2">
      <w:pPr>
        <w:spacing w:after="0" w:line="480" w:lineRule="auto"/>
      </w:pPr>
    </w:p>
    <w:p w:rsidR="007F5EBC" w:rsidRDefault="007F5EBC" w:rsidP="00E77FB2">
      <w:pPr>
        <w:spacing w:after="0" w:line="480" w:lineRule="auto"/>
      </w:pPr>
      <w:r>
        <w:t>Kelley, E. (2011). Language in ASD. </w:t>
      </w:r>
      <w:r>
        <w:rPr>
          <w:i/>
          <w:iCs/>
        </w:rPr>
        <w:t>The neuropsychology of autism</w:t>
      </w:r>
      <w:r>
        <w:t>, 123-137.</w:t>
      </w:r>
    </w:p>
    <w:p w:rsidR="007F5EBC" w:rsidRDefault="007F5EBC" w:rsidP="00E77FB2">
      <w:pPr>
        <w:spacing w:after="0" w:line="480" w:lineRule="auto"/>
      </w:pPr>
    </w:p>
    <w:p w:rsidR="007F5EBC" w:rsidRDefault="007F5EBC" w:rsidP="00E77FB2">
      <w:pPr>
        <w:spacing w:after="0" w:line="480" w:lineRule="auto"/>
      </w:pPr>
      <w:r>
        <w:t>Kim, Y. S., Fombonne, E., Koh, Y. J., Kim, S. J., Cheon, K. A., &amp; Leventhal, B. L. (2014). A comparison of DSM-IV pervasive developmental disorder and DSM-5 autism spectrum disorder prevalence in an epidemiologic sample. </w:t>
      </w:r>
      <w:r>
        <w:rPr>
          <w:i/>
          <w:iCs/>
        </w:rPr>
        <w:t>Journal of the American Academy of Child &amp; Adolescent Psychiatry</w:t>
      </w:r>
      <w:r>
        <w:t>, </w:t>
      </w:r>
      <w:r>
        <w:rPr>
          <w:i/>
          <w:iCs/>
        </w:rPr>
        <w:t>53</w:t>
      </w:r>
      <w:r>
        <w:t>(5), 500-508.</w:t>
      </w:r>
    </w:p>
    <w:p w:rsidR="007F5EBC" w:rsidRDefault="007F5EBC" w:rsidP="00E77FB2">
      <w:pPr>
        <w:spacing w:after="0" w:line="480" w:lineRule="auto"/>
      </w:pPr>
    </w:p>
    <w:p w:rsidR="006E32D5" w:rsidRPr="006E32D5" w:rsidRDefault="006E32D5" w:rsidP="00E77FB2">
      <w:pPr>
        <w:spacing w:after="0" w:line="480" w:lineRule="auto"/>
        <w:rPr>
          <w:rFonts w:eastAsia="Times New Roman"/>
        </w:rPr>
      </w:pPr>
      <w:r w:rsidRPr="006E32D5">
        <w:rPr>
          <w:rFonts w:eastAsia="Times New Roman"/>
        </w:rPr>
        <w:t xml:space="preserve">Leonard, L. B. (2014). </w:t>
      </w:r>
      <w:r w:rsidRPr="006E32D5">
        <w:rPr>
          <w:rFonts w:eastAsia="Times New Roman"/>
          <w:i/>
          <w:iCs/>
        </w:rPr>
        <w:t>Children with specific language impairment</w:t>
      </w:r>
      <w:r w:rsidRPr="006E32D5">
        <w:rPr>
          <w:rFonts w:eastAsia="Times New Roman"/>
        </w:rPr>
        <w:t>. MIT press.</w:t>
      </w:r>
    </w:p>
    <w:p w:rsidR="006E32D5" w:rsidRDefault="006E32D5" w:rsidP="00E77FB2">
      <w:pPr>
        <w:spacing w:after="0" w:line="480" w:lineRule="auto"/>
      </w:pPr>
    </w:p>
    <w:p w:rsidR="007F5EBC" w:rsidRDefault="007F5EBC" w:rsidP="00E77FB2">
      <w:pPr>
        <w:spacing w:after="0" w:line="480" w:lineRule="auto"/>
      </w:pPr>
      <w:r>
        <w:t>Mayes, A., &amp; Boucher, J. (2008). Acquired memory disorders in adults: Implications for autism. In J. Boucher &amp; D. Bowler (Eds.), </w:t>
      </w:r>
      <w:r>
        <w:rPr>
          <w:i/>
          <w:iCs/>
        </w:rPr>
        <w:t>Memory in autism: Theory and evidence</w:t>
      </w:r>
      <w:r>
        <w:t> (pp. 43-62). New York, NY, US: Cambridge University Press.</w:t>
      </w:r>
    </w:p>
    <w:p w:rsidR="007F5EBC" w:rsidRDefault="007F5EBC" w:rsidP="00E77FB2">
      <w:pPr>
        <w:spacing w:after="0" w:line="480" w:lineRule="auto"/>
      </w:pPr>
    </w:p>
    <w:p w:rsidR="007F5EBC" w:rsidRDefault="007F5EBC" w:rsidP="00E77FB2">
      <w:pPr>
        <w:spacing w:after="0" w:line="480" w:lineRule="auto"/>
      </w:pPr>
      <w:r>
        <w:lastRenderedPageBreak/>
        <w:t xml:space="preserve">Mayes, S.D., &amp; Calhoun, S. (2001). Non-significance of early speech delay in children with autism and normal language and implications for DSM-IV Asperger disorder. </w:t>
      </w:r>
      <w:r>
        <w:rPr>
          <w:i/>
          <w:iCs/>
        </w:rPr>
        <w:t>Autism, 5</w:t>
      </w:r>
      <w:r>
        <w:t>, 81–94. </w:t>
      </w:r>
    </w:p>
    <w:p w:rsidR="007F5EBC" w:rsidRDefault="007F5EBC" w:rsidP="00E77FB2">
      <w:pPr>
        <w:spacing w:after="0" w:line="480" w:lineRule="auto"/>
      </w:pPr>
    </w:p>
    <w:p w:rsidR="007F5EBC" w:rsidRDefault="007F5EBC" w:rsidP="00E77FB2">
      <w:pPr>
        <w:spacing w:after="0" w:line="480" w:lineRule="auto"/>
      </w:pPr>
      <w:r>
        <w:t>Migo, E., Montaldi, D., Norman, K. A., Quamme, J., &amp; Mayes, A. (2009). The contribution of familiarity to recognition memory is a function of test format when using similar foils. </w:t>
      </w:r>
      <w:r>
        <w:rPr>
          <w:i/>
          <w:iCs/>
        </w:rPr>
        <w:t>The Quarterly Journal of Experimental Psychology</w:t>
      </w:r>
      <w:r>
        <w:t>, </w:t>
      </w:r>
      <w:r>
        <w:rPr>
          <w:i/>
          <w:iCs/>
        </w:rPr>
        <w:t>62</w:t>
      </w:r>
      <w:r>
        <w:t>(6), 1198-1215.</w:t>
      </w:r>
    </w:p>
    <w:p w:rsidR="00086F29" w:rsidRDefault="00086F29" w:rsidP="00E77FB2">
      <w:pPr>
        <w:spacing w:after="0" w:line="480" w:lineRule="auto"/>
      </w:pPr>
    </w:p>
    <w:p w:rsidR="009752D1" w:rsidRDefault="009752D1" w:rsidP="00E77FB2">
      <w:pPr>
        <w:spacing w:after="0" w:line="480" w:lineRule="auto"/>
      </w:pPr>
      <w:r>
        <w:t xml:space="preserve">Migo, E., Montaldi, D. &amp; Mayes, A. (2013). A visual object database with standardized similarity information. </w:t>
      </w:r>
      <w:r w:rsidRPr="009752D1">
        <w:rPr>
          <w:i/>
        </w:rPr>
        <w:t>Behaviour Research Methods, 45</w:t>
      </w:r>
      <w:r>
        <w:t>(2), 344-354.</w:t>
      </w:r>
    </w:p>
    <w:p w:rsidR="007F5EBC" w:rsidRDefault="007F5EBC" w:rsidP="00E77FB2">
      <w:pPr>
        <w:spacing w:after="0" w:line="480" w:lineRule="auto"/>
      </w:pPr>
    </w:p>
    <w:p w:rsidR="007F5EBC" w:rsidRDefault="007F5EBC" w:rsidP="00E77FB2">
      <w:pPr>
        <w:spacing w:after="0" w:line="480" w:lineRule="auto"/>
      </w:pPr>
      <w:r>
        <w:t>Minshew, N. J., Meyer, J., &amp; Goldstein, G. (2002). Abstract reasoning in autism: A disassociation between concept formation and concept identification. </w:t>
      </w:r>
      <w:r>
        <w:rPr>
          <w:i/>
          <w:iCs/>
        </w:rPr>
        <w:t>Neuropsychology</w:t>
      </w:r>
      <w:r>
        <w:t>, </w:t>
      </w:r>
      <w:r>
        <w:rPr>
          <w:i/>
          <w:iCs/>
        </w:rPr>
        <w:t>16</w:t>
      </w:r>
      <w:r>
        <w:t>(3), 327.</w:t>
      </w:r>
    </w:p>
    <w:p w:rsidR="007F5EBC" w:rsidRDefault="007F5EBC" w:rsidP="00E77FB2">
      <w:pPr>
        <w:spacing w:after="0" w:line="480" w:lineRule="auto"/>
      </w:pPr>
    </w:p>
    <w:p w:rsidR="00F504C0" w:rsidRPr="007E7323" w:rsidRDefault="000C17C6" w:rsidP="00E77FB2">
      <w:pPr>
        <w:spacing w:after="0" w:line="480" w:lineRule="auto"/>
        <w:rPr>
          <w:lang w:val="en-GB"/>
        </w:rPr>
      </w:pPr>
      <w:r w:rsidRPr="000C17C6">
        <w:rPr>
          <w:rFonts w:eastAsia="Times New Roman"/>
        </w:rPr>
        <w:t xml:space="preserve">Mottron, L., Dawson, M., Soulieres, I., Hubert, B., &amp; Burack, J. (2006). Enhanced perceptual functioning in autism: an update, and eight principles of autistic perception. </w:t>
      </w:r>
      <w:r w:rsidRPr="000C17C6">
        <w:rPr>
          <w:rFonts w:eastAsia="Times New Roman"/>
          <w:i/>
          <w:iCs/>
        </w:rPr>
        <w:t>Journal of autism and developmental disorders</w:t>
      </w:r>
      <w:r w:rsidRPr="000C17C6">
        <w:rPr>
          <w:rFonts w:eastAsia="Times New Roman"/>
        </w:rPr>
        <w:t xml:space="preserve">, </w:t>
      </w:r>
      <w:r w:rsidRPr="000C17C6">
        <w:rPr>
          <w:rFonts w:eastAsia="Times New Roman"/>
          <w:i/>
          <w:iCs/>
        </w:rPr>
        <w:t>36</w:t>
      </w:r>
      <w:r w:rsidRPr="000C17C6">
        <w:rPr>
          <w:rFonts w:eastAsia="Times New Roman"/>
        </w:rPr>
        <w:t>(1), 27-43.</w:t>
      </w:r>
    </w:p>
    <w:p w:rsidR="00F504C0" w:rsidRPr="000C17C6" w:rsidRDefault="00F504C0" w:rsidP="00E77FB2">
      <w:pPr>
        <w:spacing w:after="0" w:line="480" w:lineRule="auto"/>
        <w:rPr>
          <w:rFonts w:eastAsia="Times New Roman"/>
        </w:rPr>
      </w:pPr>
    </w:p>
    <w:p w:rsidR="00F504C0" w:rsidRDefault="00F504C0" w:rsidP="00E77FB2">
      <w:pPr>
        <w:spacing w:after="0" w:line="480" w:lineRule="auto"/>
      </w:pPr>
      <w:r w:rsidRPr="007E7323">
        <w:rPr>
          <w:lang w:val="en-GB"/>
        </w:rPr>
        <w:t xml:space="preserve">Ni Chuileann, S, &amp; Quigley, J. (2013). </w:t>
      </w:r>
      <w:r>
        <w:t>Assessing recollection and familiarity in low functioning autism. </w:t>
      </w:r>
      <w:r>
        <w:rPr>
          <w:i/>
          <w:iCs/>
        </w:rPr>
        <w:t>Journal of autism and developmental disorders</w:t>
      </w:r>
      <w:r>
        <w:t>, </w:t>
      </w:r>
      <w:r>
        <w:rPr>
          <w:i/>
          <w:iCs/>
        </w:rPr>
        <w:t>43</w:t>
      </w:r>
      <w:r>
        <w:t>(6), 1406-1422.</w:t>
      </w:r>
    </w:p>
    <w:p w:rsidR="000C17C6" w:rsidRDefault="000C17C6" w:rsidP="00E77FB2">
      <w:pPr>
        <w:spacing w:after="0" w:line="480" w:lineRule="auto"/>
      </w:pPr>
    </w:p>
    <w:p w:rsidR="007F5EBC" w:rsidRDefault="007F5EBC" w:rsidP="00E77FB2">
      <w:pPr>
        <w:spacing w:after="0" w:line="480" w:lineRule="auto"/>
      </w:pPr>
      <w:r>
        <w:t>Obeid, R., Brooks, P. J., Powers, K. L., Gillespie-Lynch, K., &amp; Lum, J. A. (2016). Statistical learning in specific language impairment and autism spectrum disorder: A meta-analysis. </w:t>
      </w:r>
      <w:r>
        <w:rPr>
          <w:i/>
          <w:iCs/>
        </w:rPr>
        <w:t>Frontiers in psychology</w:t>
      </w:r>
      <w:r>
        <w:t>, </w:t>
      </w:r>
      <w:r>
        <w:rPr>
          <w:i/>
          <w:iCs/>
        </w:rPr>
        <w:t>7</w:t>
      </w:r>
      <w:r>
        <w:t>, 1245.</w:t>
      </w:r>
    </w:p>
    <w:p w:rsidR="007F5EBC" w:rsidRDefault="007F5EBC" w:rsidP="00E77FB2">
      <w:pPr>
        <w:spacing w:after="0" w:line="480" w:lineRule="auto"/>
      </w:pPr>
    </w:p>
    <w:p w:rsidR="007F5EBC" w:rsidRPr="00DD5A46" w:rsidRDefault="007F5EBC" w:rsidP="00E77FB2">
      <w:pPr>
        <w:spacing w:after="0" w:line="480" w:lineRule="auto"/>
      </w:pPr>
      <w:r>
        <w:t xml:space="preserve">Pinker, S. (1994). </w:t>
      </w:r>
      <w:r w:rsidR="00DD5A46" w:rsidRPr="00DD5A46">
        <w:rPr>
          <w:bCs/>
          <w:color w:val="222222"/>
        </w:rPr>
        <w:t xml:space="preserve">The </w:t>
      </w:r>
      <w:r w:rsidR="00DD5A46" w:rsidRPr="00DD5A46">
        <w:rPr>
          <w:color w:val="000000"/>
        </w:rPr>
        <w:t xml:space="preserve">language </w:t>
      </w:r>
      <w:r w:rsidR="00DD5A46" w:rsidRPr="00DD5A46">
        <w:rPr>
          <w:bCs/>
          <w:color w:val="222222"/>
        </w:rPr>
        <w:t>instinct. New York: William Morrow and Company</w:t>
      </w:r>
      <w:r w:rsidR="00DD5A46">
        <w:rPr>
          <w:bCs/>
          <w:color w:val="222222"/>
        </w:rPr>
        <w:t>.</w:t>
      </w:r>
    </w:p>
    <w:p w:rsidR="007F5EBC" w:rsidRDefault="007F5EBC" w:rsidP="00E77FB2">
      <w:pPr>
        <w:spacing w:after="0" w:line="480" w:lineRule="auto"/>
      </w:pPr>
    </w:p>
    <w:p w:rsidR="009D413F" w:rsidRDefault="009D413F"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i/>
        </w:rPr>
      </w:pPr>
      <w:r>
        <w:t xml:space="preserve">Plaisted, K., O’Riordan, M. &amp; Baron-Cohen, S. (1998). Enhanced discrimination of novel, highly similar stimuli by adults with autism during a perceptual learning task. </w:t>
      </w:r>
      <w:r>
        <w:rPr>
          <w:i/>
        </w:rPr>
        <w:t>Journal of Child Psychology and Psychiatry, 39(5), 765-775.</w:t>
      </w:r>
    </w:p>
    <w:p w:rsidR="009D413F" w:rsidRDefault="009D413F"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i/>
        </w:rPr>
      </w:pPr>
    </w:p>
    <w:p w:rsidR="007F5EBC" w:rsidRDefault="007F5EBC" w:rsidP="00E77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pPr>
      <w:r>
        <w:t xml:space="preserve">Rapin, I., Dunn, M., Allen, D., Stevens, M., &amp; Fein, D. (2009). Subtypes of language disorders in school-age children with autism. </w:t>
      </w:r>
      <w:r>
        <w:rPr>
          <w:i/>
          <w:iCs/>
        </w:rPr>
        <w:t>Developmental Neuropsychology, 34</w:t>
      </w:r>
      <w:r>
        <w:t>, 66–84. </w:t>
      </w:r>
    </w:p>
    <w:p w:rsidR="007F5EBC" w:rsidRDefault="007F5EBC" w:rsidP="00E77FB2">
      <w:pPr>
        <w:spacing w:after="0" w:line="480" w:lineRule="auto"/>
      </w:pPr>
    </w:p>
    <w:p w:rsidR="007F5EBC" w:rsidRDefault="007F5EBC" w:rsidP="00E77FB2">
      <w:pPr>
        <w:spacing w:after="0" w:line="480" w:lineRule="auto"/>
      </w:pPr>
      <w:r>
        <w:t>Raven, J., Raven, J. C., &amp; Court, J. H. (1998). Manual for Raven’s progressive matrices and vocabulary scales. Section 2: The coloured progressive matrices. Oxford, UK: Oxford Psychologists Press; San Antonio, TX: The Psychological Corporation.</w:t>
      </w:r>
    </w:p>
    <w:p w:rsidR="007F5EBC" w:rsidRDefault="007F5EBC" w:rsidP="00E77FB2">
      <w:pPr>
        <w:spacing w:after="0" w:line="480" w:lineRule="auto"/>
      </w:pPr>
    </w:p>
    <w:p w:rsidR="00D47F15" w:rsidRPr="00D47F15" w:rsidRDefault="00D47F15" w:rsidP="00E77FB2">
      <w:pPr>
        <w:spacing w:after="0" w:line="480" w:lineRule="auto"/>
        <w:rPr>
          <w:rFonts w:eastAsia="Times New Roman"/>
          <w:color w:val="222222"/>
        </w:rPr>
      </w:pPr>
      <w:r w:rsidRPr="00D47F15">
        <w:rPr>
          <w:rFonts w:eastAsia="Times New Roman"/>
          <w:color w:val="222222"/>
        </w:rPr>
        <w:t xml:space="preserve">Tager‐Flusberg, H., &amp; Kasari, C. (2013). Minimally verbal school‐aged children with autism spectrum disorder: the neglected end of the spectrum. </w:t>
      </w:r>
      <w:r w:rsidRPr="00D47F15">
        <w:rPr>
          <w:rFonts w:eastAsia="Times New Roman"/>
          <w:i/>
          <w:iCs/>
          <w:color w:val="222222"/>
        </w:rPr>
        <w:t>Autism Research</w:t>
      </w:r>
      <w:r w:rsidRPr="00D47F15">
        <w:rPr>
          <w:rFonts w:eastAsia="Times New Roman"/>
          <w:color w:val="222222"/>
        </w:rPr>
        <w:t xml:space="preserve">, </w:t>
      </w:r>
      <w:r w:rsidRPr="00D47F15">
        <w:rPr>
          <w:rFonts w:eastAsia="Times New Roman"/>
          <w:i/>
          <w:iCs/>
          <w:color w:val="222222"/>
        </w:rPr>
        <w:t>6</w:t>
      </w:r>
      <w:r w:rsidRPr="00D47F15">
        <w:rPr>
          <w:rFonts w:eastAsia="Times New Roman"/>
          <w:color w:val="222222"/>
        </w:rPr>
        <w:t>(6), 468-478.</w:t>
      </w:r>
    </w:p>
    <w:p w:rsidR="00D47F15" w:rsidRDefault="00D47F15" w:rsidP="00E77FB2">
      <w:pPr>
        <w:spacing w:after="0" w:line="480" w:lineRule="auto"/>
      </w:pPr>
    </w:p>
    <w:p w:rsidR="007F5EBC" w:rsidRDefault="007F5EBC" w:rsidP="00E77FB2">
      <w:pPr>
        <w:spacing w:after="0" w:line="480" w:lineRule="auto"/>
      </w:pPr>
      <w:r>
        <w:t>Tantam, D. (1988). Asperger's syndrome. </w:t>
      </w:r>
      <w:r>
        <w:rPr>
          <w:i/>
          <w:iCs/>
        </w:rPr>
        <w:t>Journal of Child Psychology and Psychiatry</w:t>
      </w:r>
      <w:r>
        <w:t>, </w:t>
      </w:r>
      <w:r>
        <w:rPr>
          <w:i/>
          <w:iCs/>
        </w:rPr>
        <w:t>29</w:t>
      </w:r>
      <w:r>
        <w:t>(3), 245-255.</w:t>
      </w:r>
    </w:p>
    <w:p w:rsidR="007F5EBC" w:rsidRDefault="007F5EBC" w:rsidP="00E77FB2">
      <w:pPr>
        <w:spacing w:after="0" w:line="480" w:lineRule="auto"/>
      </w:pPr>
    </w:p>
    <w:p w:rsidR="007F5EBC" w:rsidRDefault="007F5EBC" w:rsidP="00E77FB2">
      <w:pPr>
        <w:spacing w:after="0" w:line="480" w:lineRule="auto"/>
      </w:pPr>
      <w:r>
        <w:t xml:space="preserve">Ullman, M. (2001). The declarative/procedural model of lexicon and grammar. </w:t>
      </w:r>
      <w:r>
        <w:rPr>
          <w:i/>
          <w:iCs/>
        </w:rPr>
        <w:t>Journal of Psycholinguistic Research, 3,</w:t>
      </w:r>
      <w:r>
        <w:t xml:space="preserve"> 37–69. </w:t>
      </w:r>
    </w:p>
    <w:p w:rsidR="007F5EBC" w:rsidRDefault="007F5EBC" w:rsidP="00E77FB2">
      <w:pPr>
        <w:spacing w:after="0" w:line="480" w:lineRule="auto"/>
      </w:pPr>
    </w:p>
    <w:p w:rsidR="007F5EBC" w:rsidRDefault="007F5EBC" w:rsidP="00E77FB2">
      <w:pPr>
        <w:spacing w:after="0" w:line="480" w:lineRule="auto"/>
      </w:pPr>
      <w:r>
        <w:t xml:space="preserve">Volden, J., &amp; Lord, C. (1991). Neologisms and idiosyncratic language in autistic speakers. </w:t>
      </w:r>
      <w:r>
        <w:rPr>
          <w:i/>
          <w:iCs/>
        </w:rPr>
        <w:t>Journal of Autism and Developmental Disorders, 21,</w:t>
      </w:r>
      <w:r>
        <w:t xml:space="preserve"> 109–130. </w:t>
      </w:r>
    </w:p>
    <w:p w:rsidR="007F5EBC" w:rsidRDefault="007F5EBC" w:rsidP="00E77FB2">
      <w:pPr>
        <w:spacing w:after="0" w:line="480" w:lineRule="auto"/>
      </w:pPr>
    </w:p>
    <w:p w:rsidR="007F5EBC" w:rsidRDefault="007F5EBC" w:rsidP="00E77FB2">
      <w:pPr>
        <w:spacing w:after="0" w:line="480" w:lineRule="auto"/>
      </w:pPr>
      <w:r>
        <w:t>Weschler, D. (1999). Weschler abbreviated scale of intelligence (WASI). </w:t>
      </w:r>
      <w:r>
        <w:rPr>
          <w:i/>
          <w:iCs/>
        </w:rPr>
        <w:t>London: Psychological Corporation</w:t>
      </w:r>
      <w:r>
        <w:t>.</w:t>
      </w:r>
    </w:p>
    <w:p w:rsidR="007F5EBC" w:rsidRDefault="007F5EBC" w:rsidP="00E77FB2">
      <w:pPr>
        <w:spacing w:after="0" w:line="480" w:lineRule="auto"/>
      </w:pPr>
    </w:p>
    <w:p w:rsidR="00F102DF" w:rsidRPr="00F102DF" w:rsidRDefault="00F102DF" w:rsidP="00E77FB2">
      <w:pPr>
        <w:spacing w:after="0" w:line="480" w:lineRule="auto"/>
        <w:rPr>
          <w:rFonts w:eastAsia="Times New Roman"/>
          <w:color w:val="222222"/>
        </w:rPr>
      </w:pPr>
      <w:r w:rsidRPr="00F102DF">
        <w:rPr>
          <w:rFonts w:eastAsia="Times New Roman"/>
          <w:color w:val="222222"/>
        </w:rPr>
        <w:t>Williams, D., Botting, N., &amp; Boucher, J. (2008). Language in autism and specific language i</w:t>
      </w:r>
      <w:r>
        <w:rPr>
          <w:rFonts w:eastAsia="Times New Roman"/>
          <w:color w:val="222222"/>
        </w:rPr>
        <w:t>mpairment: Where are the links?</w:t>
      </w:r>
      <w:r w:rsidRPr="00F102DF">
        <w:rPr>
          <w:rFonts w:eastAsia="Times New Roman"/>
          <w:color w:val="222222"/>
        </w:rPr>
        <w:t xml:space="preserve"> </w:t>
      </w:r>
      <w:r w:rsidRPr="00F102DF">
        <w:rPr>
          <w:rFonts w:eastAsia="Times New Roman"/>
          <w:i/>
          <w:iCs/>
          <w:color w:val="222222"/>
        </w:rPr>
        <w:t>Psychological bulletin</w:t>
      </w:r>
      <w:r w:rsidRPr="00F102DF">
        <w:rPr>
          <w:rFonts w:eastAsia="Times New Roman"/>
          <w:color w:val="222222"/>
        </w:rPr>
        <w:t xml:space="preserve">, </w:t>
      </w:r>
      <w:r w:rsidRPr="00F102DF">
        <w:rPr>
          <w:rFonts w:eastAsia="Times New Roman"/>
          <w:i/>
          <w:iCs/>
          <w:color w:val="222222"/>
        </w:rPr>
        <w:t>134</w:t>
      </w:r>
      <w:r w:rsidRPr="00F102DF">
        <w:rPr>
          <w:rFonts w:eastAsia="Times New Roman"/>
          <w:color w:val="222222"/>
        </w:rPr>
        <w:t>(6), 944.</w:t>
      </w:r>
    </w:p>
    <w:p w:rsidR="00F102DF" w:rsidRDefault="00F102DF" w:rsidP="00E77FB2">
      <w:pPr>
        <w:spacing w:after="0" w:line="480" w:lineRule="auto"/>
      </w:pPr>
    </w:p>
    <w:p w:rsidR="00A85EA3" w:rsidRPr="00A85EA3" w:rsidRDefault="00A85EA3" w:rsidP="00E77FB2">
      <w:pPr>
        <w:spacing w:after="0" w:line="480" w:lineRule="auto"/>
        <w:rPr>
          <w:rFonts w:eastAsia="Times New Roman"/>
          <w:color w:val="222222"/>
        </w:rPr>
      </w:pPr>
      <w:r w:rsidRPr="00A85EA3">
        <w:rPr>
          <w:rFonts w:eastAsia="Times New Roman"/>
          <w:color w:val="222222"/>
        </w:rPr>
        <w:t xml:space="preserve">Williams, J. H., Whiten, A., &amp; Singh, T. (2004). A systematic review of action imitation in autistic spectrum disorder. </w:t>
      </w:r>
      <w:r w:rsidRPr="00A85EA3">
        <w:rPr>
          <w:rFonts w:eastAsia="Times New Roman"/>
          <w:i/>
          <w:iCs/>
          <w:color w:val="222222"/>
        </w:rPr>
        <w:t>Journal of autism and developmental disorders</w:t>
      </w:r>
      <w:r w:rsidRPr="00A85EA3">
        <w:rPr>
          <w:rFonts w:eastAsia="Times New Roman"/>
          <w:color w:val="222222"/>
        </w:rPr>
        <w:t xml:space="preserve">, </w:t>
      </w:r>
      <w:r w:rsidRPr="00A85EA3">
        <w:rPr>
          <w:rFonts w:eastAsia="Times New Roman"/>
          <w:i/>
          <w:iCs/>
          <w:color w:val="222222"/>
        </w:rPr>
        <w:t>34</w:t>
      </w:r>
      <w:r w:rsidRPr="00A85EA3">
        <w:rPr>
          <w:rFonts w:eastAsia="Times New Roman"/>
          <w:color w:val="222222"/>
        </w:rPr>
        <w:t>(3), 285-299.</w:t>
      </w:r>
    </w:p>
    <w:p w:rsidR="00A85EA3" w:rsidRDefault="00A85EA3" w:rsidP="00E77FB2">
      <w:pPr>
        <w:spacing w:after="0" w:line="480" w:lineRule="auto"/>
      </w:pPr>
    </w:p>
    <w:p w:rsidR="007F5EBC" w:rsidRDefault="007F5EBC" w:rsidP="00E77FB2">
      <w:pPr>
        <w:spacing w:after="0" w:line="480" w:lineRule="auto"/>
        <w:rPr>
          <w:i/>
          <w:iCs/>
        </w:rPr>
      </w:pPr>
      <w:r>
        <w:t xml:space="preserve">Witkin, H. A., Oltman, P. K., Raskin, E., &amp; Karp, S. A. (1971). Manual for embedded figures test, children’s embedded figures test, and group embedded figures test. </w:t>
      </w:r>
      <w:r>
        <w:rPr>
          <w:i/>
          <w:iCs/>
        </w:rPr>
        <w:t>Palo Alto, CA: Consulting Psychologists Press, Inc.</w:t>
      </w:r>
    </w:p>
    <w:p w:rsidR="00C062AA" w:rsidRDefault="00C062AA" w:rsidP="00E77FB2">
      <w:pPr>
        <w:spacing w:after="0" w:line="480" w:lineRule="auto"/>
        <w:rPr>
          <w:i/>
          <w:iCs/>
        </w:rPr>
      </w:pPr>
    </w:p>
    <w:p w:rsidR="00C062AA" w:rsidRDefault="00C062AA" w:rsidP="00E77FB2">
      <w:pPr>
        <w:spacing w:after="0" w:line="480" w:lineRule="auto"/>
      </w:pPr>
      <w:r>
        <w:t xml:space="preserve">Yonelinas, A. P., Otten, L. J., Shaw, K. N., &amp; Rugg, M. D. (2005). Separating the brain regions involved in recollection and familiarity in recognition memory. </w:t>
      </w:r>
      <w:r>
        <w:rPr>
          <w:i/>
          <w:iCs/>
        </w:rPr>
        <w:t>The Journal of Neuroscience</w:t>
      </w:r>
      <w:r>
        <w:t xml:space="preserve">, </w:t>
      </w:r>
      <w:r>
        <w:rPr>
          <w:i/>
          <w:iCs/>
        </w:rPr>
        <w:t>25</w:t>
      </w:r>
      <w:r>
        <w:t>(11), 3002-3008.</w:t>
      </w:r>
    </w:p>
    <w:p w:rsidR="00C062AA" w:rsidRDefault="00C062AA" w:rsidP="00604C98">
      <w:pPr>
        <w:spacing w:after="0" w:line="240" w:lineRule="auto"/>
      </w:pPr>
    </w:p>
    <w:p w:rsidR="007F5EBC" w:rsidRDefault="007F5EBC" w:rsidP="00604C98">
      <w:pPr>
        <w:spacing w:after="0" w:line="240" w:lineRule="auto"/>
      </w:pPr>
    </w:p>
    <w:p w:rsidR="008343C8" w:rsidRDefault="008343C8" w:rsidP="00604C98">
      <w:pPr>
        <w:spacing w:line="240" w:lineRule="auto"/>
      </w:pPr>
    </w:p>
    <w:p w:rsidR="00E77FB2" w:rsidRDefault="00E77FB2" w:rsidP="00604C98">
      <w:pPr>
        <w:spacing w:line="240" w:lineRule="auto"/>
      </w:pPr>
    </w:p>
    <w:p w:rsidR="00E77FB2" w:rsidRDefault="00E77FB2" w:rsidP="00604C98">
      <w:pPr>
        <w:spacing w:line="240" w:lineRule="auto"/>
      </w:pPr>
    </w:p>
    <w:p w:rsidR="00E77FB2" w:rsidRDefault="00E77FB2" w:rsidP="00604C98">
      <w:pPr>
        <w:spacing w:line="240" w:lineRule="auto"/>
      </w:pPr>
    </w:p>
    <w:p w:rsidR="00E77FB2" w:rsidRDefault="00E77FB2" w:rsidP="00604C98">
      <w:pPr>
        <w:spacing w:line="240" w:lineRule="auto"/>
      </w:pPr>
    </w:p>
    <w:p w:rsidR="00E77FB2" w:rsidRDefault="00E77FB2" w:rsidP="00604C98">
      <w:pPr>
        <w:spacing w:line="240" w:lineRule="auto"/>
      </w:pPr>
    </w:p>
    <w:p w:rsidR="00E77FB2" w:rsidRDefault="00E77FB2" w:rsidP="00604C98">
      <w:pPr>
        <w:spacing w:line="240" w:lineRule="auto"/>
      </w:pPr>
    </w:p>
    <w:p w:rsidR="005F7335" w:rsidRDefault="005F7335" w:rsidP="00604C98">
      <w:pPr>
        <w:spacing w:after="0" w:line="240" w:lineRule="auto"/>
      </w:pPr>
      <w:bookmarkStart w:id="1" w:name="OLE_LINK1"/>
      <w:bookmarkStart w:id="2" w:name="OLE_LINK2"/>
    </w:p>
    <w:p w:rsidR="005F7335" w:rsidRDefault="005F7335" w:rsidP="00604C98">
      <w:pPr>
        <w:spacing w:after="0" w:line="240" w:lineRule="auto"/>
      </w:pPr>
    </w:p>
    <w:p w:rsidR="009870F1" w:rsidRDefault="007F5EBC" w:rsidP="00604C98">
      <w:pPr>
        <w:spacing w:after="0" w:line="240" w:lineRule="auto"/>
        <w:rPr>
          <w:b/>
          <w:sz w:val="28"/>
          <w:szCs w:val="28"/>
          <w:lang w:val="en-GB"/>
        </w:rPr>
      </w:pPr>
      <w:bookmarkStart w:id="3" w:name="OLE_LINK3"/>
      <w:bookmarkStart w:id="4" w:name="OLE_LINK4"/>
      <w:r>
        <w:rPr>
          <w:b/>
          <w:sz w:val="28"/>
          <w:szCs w:val="28"/>
          <w:lang w:val="en-GB"/>
        </w:rPr>
        <w:lastRenderedPageBreak/>
        <w:t>Figures</w:t>
      </w:r>
      <w:r w:rsidR="00B127AB">
        <w:rPr>
          <w:b/>
          <w:sz w:val="28"/>
          <w:szCs w:val="28"/>
          <w:lang w:val="en-GB"/>
        </w:rPr>
        <w:t xml:space="preserve"> and Tables</w:t>
      </w:r>
    </w:p>
    <w:p w:rsidR="005F7335" w:rsidRDefault="005F7335" w:rsidP="00604C98">
      <w:pPr>
        <w:spacing w:after="0" w:line="240" w:lineRule="auto"/>
        <w:rPr>
          <w:b/>
          <w:sz w:val="28"/>
          <w:szCs w:val="28"/>
          <w:lang w:val="en-GB"/>
        </w:rPr>
      </w:pPr>
    </w:p>
    <w:p w:rsidR="009870F1" w:rsidRDefault="009870F1" w:rsidP="00604C98">
      <w:pPr>
        <w:pStyle w:val="FootnoteText"/>
        <w:spacing w:line="240" w:lineRule="auto"/>
        <w:rPr>
          <w:i/>
          <w:color w:val="auto"/>
          <w:sz w:val="24"/>
          <w:szCs w:val="24"/>
        </w:rPr>
      </w:pPr>
      <w:r>
        <w:rPr>
          <w:i/>
          <w:color w:val="auto"/>
          <w:sz w:val="24"/>
          <w:szCs w:val="24"/>
        </w:rPr>
        <w:t xml:space="preserve">Figure 1: An example of </w:t>
      </w:r>
      <w:r w:rsidR="00C95D15">
        <w:rPr>
          <w:i/>
          <w:color w:val="auto"/>
          <w:sz w:val="24"/>
          <w:szCs w:val="24"/>
        </w:rPr>
        <w:t>a single</w:t>
      </w:r>
      <w:r>
        <w:rPr>
          <w:i/>
          <w:color w:val="auto"/>
          <w:sz w:val="24"/>
          <w:szCs w:val="24"/>
        </w:rPr>
        <w:t xml:space="preserve"> target</w:t>
      </w:r>
      <w:r w:rsidR="00C95D15">
        <w:rPr>
          <w:i/>
          <w:color w:val="auto"/>
          <w:sz w:val="24"/>
          <w:szCs w:val="24"/>
        </w:rPr>
        <w:t xml:space="preserve"> study</w:t>
      </w:r>
      <w:r>
        <w:rPr>
          <w:i/>
          <w:color w:val="auto"/>
          <w:sz w:val="24"/>
          <w:szCs w:val="24"/>
        </w:rPr>
        <w:t xml:space="preserve"> </w:t>
      </w:r>
      <w:r w:rsidR="00C95D15">
        <w:rPr>
          <w:i/>
          <w:color w:val="auto"/>
          <w:sz w:val="24"/>
          <w:szCs w:val="24"/>
        </w:rPr>
        <w:t>item (</w:t>
      </w:r>
      <w:r w:rsidR="00D429C4">
        <w:rPr>
          <w:i/>
          <w:color w:val="auto"/>
          <w:sz w:val="24"/>
          <w:szCs w:val="24"/>
        </w:rPr>
        <w:t>a</w:t>
      </w:r>
      <w:r w:rsidR="00C95D15">
        <w:rPr>
          <w:i/>
          <w:color w:val="auto"/>
          <w:sz w:val="24"/>
          <w:szCs w:val="24"/>
        </w:rPr>
        <w:t>) and a</w:t>
      </w:r>
      <w:r>
        <w:rPr>
          <w:i/>
          <w:color w:val="auto"/>
          <w:sz w:val="24"/>
          <w:szCs w:val="24"/>
        </w:rPr>
        <w:t xml:space="preserve"> target plus 3 foils </w:t>
      </w:r>
      <w:r w:rsidR="00C95D15">
        <w:rPr>
          <w:i/>
          <w:color w:val="auto"/>
          <w:sz w:val="24"/>
          <w:szCs w:val="24"/>
        </w:rPr>
        <w:t>‘</w:t>
      </w:r>
      <w:r>
        <w:rPr>
          <w:i/>
          <w:color w:val="auto"/>
          <w:sz w:val="24"/>
          <w:szCs w:val="24"/>
        </w:rPr>
        <w:t>quartet</w:t>
      </w:r>
      <w:r w:rsidR="00C95D15">
        <w:rPr>
          <w:i/>
          <w:color w:val="auto"/>
          <w:sz w:val="24"/>
          <w:szCs w:val="24"/>
        </w:rPr>
        <w:t>’ shown at test</w:t>
      </w:r>
      <w:r>
        <w:rPr>
          <w:i/>
          <w:color w:val="auto"/>
          <w:sz w:val="24"/>
          <w:szCs w:val="24"/>
        </w:rPr>
        <w:t xml:space="preserve"> (SR); and </w:t>
      </w:r>
      <w:r w:rsidR="00D429C4">
        <w:rPr>
          <w:i/>
          <w:color w:val="auto"/>
          <w:sz w:val="24"/>
          <w:szCs w:val="24"/>
        </w:rPr>
        <w:t>(b)</w:t>
      </w:r>
      <w:r>
        <w:rPr>
          <w:i/>
          <w:color w:val="auto"/>
          <w:sz w:val="24"/>
          <w:szCs w:val="24"/>
        </w:rPr>
        <w:t xml:space="preserve"> shows a child recalling the ‘karate chop’action cued from the blue shape on the card (AR).</w:t>
      </w:r>
    </w:p>
    <w:p w:rsidR="009870F1" w:rsidRDefault="009870F1" w:rsidP="00604C98">
      <w:pPr>
        <w:spacing w:after="0" w:line="240" w:lineRule="auto"/>
        <w:rPr>
          <w:b/>
          <w:sz w:val="28"/>
          <w:szCs w:val="28"/>
          <w:lang w:val="en-GB"/>
        </w:rPr>
      </w:pP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p>
    <w:p w:rsidR="009870F1" w:rsidRDefault="009870F1" w:rsidP="00604C98">
      <w:pPr>
        <w:spacing w:line="240" w:lineRule="auto"/>
        <w:ind w:firstLine="720"/>
        <w:rPr>
          <w:i/>
        </w:rPr>
      </w:pPr>
      <w:r w:rsidRPr="00B127AB">
        <w:rPr>
          <w:i/>
          <w:noProof/>
          <w:lang w:val="en-GB" w:eastAsia="en-GB"/>
        </w:rPr>
        <w:drawing>
          <wp:inline distT="0" distB="0" distL="0" distR="0">
            <wp:extent cx="1828800" cy="14478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447800"/>
                    </a:xfrm>
                    <a:prstGeom prst="rect">
                      <a:avLst/>
                    </a:prstGeom>
                    <a:noFill/>
                  </pic:spPr>
                </pic:pic>
              </a:graphicData>
            </a:graphic>
          </wp:inline>
        </w:drawing>
      </w:r>
      <w:r>
        <w:rPr>
          <w:i/>
        </w:rPr>
        <w:tab/>
      </w:r>
      <w:r>
        <w:rPr>
          <w:i/>
        </w:rPr>
        <w:tab/>
      </w:r>
      <w:r>
        <w:rPr>
          <w:noProof/>
          <w:lang w:val="en-GB" w:eastAsia="en-GB"/>
        </w:rPr>
        <w:drawing>
          <wp:inline distT="0" distB="0" distL="0" distR="0">
            <wp:extent cx="1866900" cy="1508760"/>
            <wp:effectExtent l="0" t="0" r="0" b="0"/>
            <wp:docPr id="4" name="Picture 4" descr="100_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_13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1508760"/>
                    </a:xfrm>
                    <a:prstGeom prst="rect">
                      <a:avLst/>
                    </a:prstGeom>
                    <a:noFill/>
                    <a:ln>
                      <a:noFill/>
                    </a:ln>
                  </pic:spPr>
                </pic:pic>
              </a:graphicData>
            </a:graphic>
          </wp:inline>
        </w:drawing>
      </w:r>
    </w:p>
    <w:p w:rsidR="009870F1" w:rsidRPr="00D429C4" w:rsidRDefault="009870F1" w:rsidP="00D429C4">
      <w:pPr>
        <w:pStyle w:val="ListParagraph"/>
        <w:numPr>
          <w:ilvl w:val="0"/>
          <w:numId w:val="6"/>
        </w:numPr>
        <w:spacing w:line="240" w:lineRule="auto"/>
        <w:rPr>
          <w:i/>
        </w:rPr>
      </w:pPr>
      <w:r w:rsidRPr="00D429C4">
        <w:rPr>
          <w:i/>
        </w:rPr>
        <w:t>Shape Recognition (SR)</w:t>
      </w:r>
      <w:r w:rsidRPr="00D429C4">
        <w:rPr>
          <w:i/>
        </w:rPr>
        <w:tab/>
      </w:r>
      <w:r w:rsidRPr="00D429C4">
        <w:rPr>
          <w:i/>
        </w:rPr>
        <w:tab/>
      </w:r>
      <w:r w:rsidRPr="00D429C4">
        <w:rPr>
          <w:i/>
        </w:rPr>
        <w:tab/>
      </w:r>
      <w:r w:rsidRPr="00D429C4">
        <w:rPr>
          <w:i/>
        </w:rPr>
        <w:tab/>
      </w:r>
      <w:r w:rsidR="00D429C4">
        <w:rPr>
          <w:i/>
        </w:rPr>
        <w:t xml:space="preserve">b) </w:t>
      </w:r>
      <w:r w:rsidRPr="00D429C4">
        <w:rPr>
          <w:i/>
        </w:rPr>
        <w:t>Action Recall (AR)</w:t>
      </w:r>
    </w:p>
    <w:p w:rsidR="009870F1" w:rsidRDefault="009870F1" w:rsidP="00604C98">
      <w:pPr>
        <w:spacing w:line="240" w:lineRule="auto"/>
        <w:jc w:val="center"/>
        <w:rPr>
          <w:i/>
        </w:rPr>
      </w:pPr>
    </w:p>
    <w:p w:rsidR="00B127AB" w:rsidRDefault="00B127AB" w:rsidP="00604C98">
      <w:pPr>
        <w:spacing w:line="240" w:lineRule="auto"/>
        <w:rPr>
          <w:i/>
        </w:rPr>
      </w:pPr>
    </w:p>
    <w:p w:rsidR="00B127AB" w:rsidRDefault="00B127AB" w:rsidP="00604C98">
      <w:pPr>
        <w:spacing w:line="240" w:lineRule="auto"/>
        <w:rPr>
          <w:i/>
        </w:rPr>
      </w:pPr>
    </w:p>
    <w:p w:rsidR="007F5EBC" w:rsidRDefault="007F5EBC" w:rsidP="00604C98">
      <w:pPr>
        <w:spacing w:line="240" w:lineRule="auto"/>
        <w:rPr>
          <w:i/>
        </w:rPr>
      </w:pPr>
      <w:r>
        <w:rPr>
          <w:i/>
        </w:rPr>
        <w:t>Figure 2: Average proportion of correct responses for Shape Recognition and Action Recall Tests as a function of group. Error bars represent +/- 1 SE.</w:t>
      </w:r>
    </w:p>
    <w:p w:rsidR="007F5EBC" w:rsidRDefault="007F5EBC" w:rsidP="00604C98">
      <w:pPr>
        <w:spacing w:after="0" w:line="240" w:lineRule="auto"/>
        <w:rPr>
          <w:b/>
          <w:sz w:val="28"/>
          <w:szCs w:val="28"/>
          <w:lang w:val="en-GB"/>
        </w:rPr>
      </w:pPr>
    </w:p>
    <w:p w:rsidR="007F5EBC" w:rsidRDefault="007F5EBC" w:rsidP="00604C98">
      <w:pPr>
        <w:spacing w:after="0" w:line="240" w:lineRule="auto"/>
        <w:rPr>
          <w:b/>
          <w:sz w:val="28"/>
          <w:szCs w:val="28"/>
          <w:lang w:val="en-GB"/>
        </w:rPr>
      </w:pPr>
      <w:r>
        <w:rPr>
          <w:noProof/>
          <w:lang w:val="en-GB" w:eastAsia="en-GB"/>
        </w:rPr>
        <w:drawing>
          <wp:inline distT="0" distB="0" distL="0" distR="0">
            <wp:extent cx="5167630" cy="3009265"/>
            <wp:effectExtent l="0" t="0" r="0" b="0"/>
            <wp:docPr id="11"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5EBC" w:rsidRDefault="007F5EBC" w:rsidP="00604C98">
      <w:pPr>
        <w:spacing w:after="0" w:line="240" w:lineRule="auto"/>
        <w:rPr>
          <w:b/>
          <w:sz w:val="28"/>
          <w:szCs w:val="28"/>
          <w:lang w:val="en-GB"/>
        </w:rPr>
      </w:pPr>
    </w:p>
    <w:p w:rsidR="005F7335" w:rsidRDefault="005F7335" w:rsidP="00604C98">
      <w:pPr>
        <w:spacing w:line="240" w:lineRule="auto"/>
        <w:rPr>
          <w:i/>
        </w:rPr>
      </w:pPr>
    </w:p>
    <w:p w:rsidR="005F7335" w:rsidRDefault="005F7335" w:rsidP="00604C98">
      <w:pPr>
        <w:spacing w:line="240" w:lineRule="auto"/>
        <w:rPr>
          <w:i/>
        </w:rPr>
      </w:pPr>
    </w:p>
    <w:p w:rsidR="007F5EBC" w:rsidRDefault="007F5EBC" w:rsidP="00604C98">
      <w:pPr>
        <w:spacing w:line="240" w:lineRule="auto"/>
        <w:rPr>
          <w:i/>
        </w:rPr>
      </w:pPr>
      <w:r>
        <w:rPr>
          <w:i/>
        </w:rPr>
        <w:lastRenderedPageBreak/>
        <w:t>Figure 3: Bivariate correlations between Shape Recognition/Action Recall and the Pyramids and Palm trees Test (PPT) as a function of group. For ease of reference, ASD and non-ASD groups are plotted separately.</w:t>
      </w:r>
    </w:p>
    <w:p w:rsidR="007F5EBC" w:rsidRDefault="007F5EBC" w:rsidP="00604C98">
      <w:pPr>
        <w:spacing w:after="0" w:line="240" w:lineRule="auto"/>
        <w:rPr>
          <w:b/>
          <w:sz w:val="28"/>
          <w:szCs w:val="28"/>
          <w:lang w:val="en-GB"/>
        </w:rPr>
      </w:pPr>
      <w:r>
        <w:rPr>
          <w:noProof/>
          <w:lang w:val="en-GB" w:eastAsia="en-GB"/>
        </w:rPr>
        <w:drawing>
          <wp:inline distT="0" distB="0" distL="0" distR="0">
            <wp:extent cx="5185458" cy="3780644"/>
            <wp:effectExtent l="0" t="0" r="0" b="4445"/>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srcRect/>
                    <a:stretch>
                      <a:fillRect/>
                    </a:stretch>
                  </pic:blipFill>
                  <pic:spPr bwMode="auto">
                    <a:xfrm>
                      <a:off x="0" y="0"/>
                      <a:ext cx="5216232" cy="3803081"/>
                    </a:xfrm>
                    <a:prstGeom prst="rect">
                      <a:avLst/>
                    </a:prstGeom>
                    <a:noFill/>
                    <a:ln w="9525">
                      <a:noFill/>
                      <a:miter lim="800000"/>
                      <a:headEnd/>
                      <a:tailEnd/>
                    </a:ln>
                  </pic:spPr>
                </pic:pic>
              </a:graphicData>
            </a:graphic>
          </wp:inline>
        </w:drawing>
      </w:r>
    </w:p>
    <w:p w:rsidR="007F5EBC" w:rsidRDefault="007F5EBC" w:rsidP="00604C98">
      <w:pPr>
        <w:spacing w:line="240" w:lineRule="auto"/>
        <w:rPr>
          <w:lang w:val="en-GB"/>
        </w:rPr>
      </w:pPr>
    </w:p>
    <w:p w:rsidR="00095486" w:rsidRDefault="007F5EBC" w:rsidP="00604C98">
      <w:pPr>
        <w:spacing w:line="240" w:lineRule="auto"/>
        <w:rPr>
          <w:i/>
        </w:rPr>
      </w:pPr>
      <w:r>
        <w:rPr>
          <w:lang w:val="en-GB"/>
        </w:rPr>
        <w:t xml:space="preserve"> </w:t>
      </w:r>
      <w:r w:rsidR="00095486">
        <w:rPr>
          <w:i/>
        </w:rPr>
        <w:t>Figure 4: FCC and FCNC materials showing 3 out of 12 items and the order of the experimental procedure</w:t>
      </w:r>
    </w:p>
    <w:p w:rsidR="00095486" w:rsidRDefault="00095486" w:rsidP="00604C98">
      <w:pPr>
        <w:spacing w:after="0" w:line="240" w:lineRule="auto"/>
        <w:ind w:firstLine="720"/>
      </w:pPr>
    </w:p>
    <w:p w:rsidR="00095486" w:rsidRDefault="00095486" w:rsidP="00604C98">
      <w:pPr>
        <w:spacing w:after="0" w:line="240" w:lineRule="auto"/>
        <w:ind w:firstLine="720"/>
        <w:rPr>
          <w:rFonts w:ascii="Arial Narrow Bold" w:hAnsi="Arial Narrow Bold"/>
          <w:sz w:val="20"/>
          <w:szCs w:val="20"/>
        </w:rPr>
      </w:pPr>
      <w:r w:rsidRPr="009F2218">
        <w:rPr>
          <w:rFonts w:ascii="Arial Narrow Bold" w:hAnsi="Arial Narrow Bold"/>
          <w:b/>
          <w:sz w:val="22"/>
          <w:szCs w:val="22"/>
        </w:rPr>
        <w:t>FCC Condition</w:t>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sidRPr="009F2218">
        <w:rPr>
          <w:rFonts w:ascii="Arial Narrow Bold" w:hAnsi="Arial Narrow Bold"/>
          <w:b/>
          <w:sz w:val="22"/>
          <w:szCs w:val="22"/>
        </w:rPr>
        <w:t>FCNC Condition</w:t>
      </w:r>
    </w:p>
    <w:p w:rsidR="00095486" w:rsidRDefault="00095486" w:rsidP="00604C98">
      <w:pPr>
        <w:spacing w:after="0" w:line="240" w:lineRule="auto"/>
        <w:ind w:firstLine="720"/>
        <w:rPr>
          <w:rFonts w:ascii="Arial Narrow Bold" w:hAnsi="Arial Narrow Bold"/>
          <w:sz w:val="20"/>
          <w:szCs w:val="20"/>
        </w:rPr>
      </w:pPr>
      <w:r>
        <w:rPr>
          <w:rFonts w:ascii="Arial Narrow Bold" w:hAnsi="Arial Narrow Bold"/>
          <w:sz w:val="20"/>
          <w:szCs w:val="20"/>
        </w:rPr>
        <w:t xml:space="preserve">1st Study Phase: </w:t>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t>1st Study Phase:</w:t>
      </w:r>
    </w:p>
    <w:p w:rsidR="00095486" w:rsidRDefault="00095486" w:rsidP="00604C98">
      <w:pPr>
        <w:spacing w:after="0" w:line="240" w:lineRule="auto"/>
      </w:pPr>
      <w:r>
        <w:rPr>
          <w:noProof/>
          <w:lang w:val="en-GB" w:eastAsia="en-GB"/>
        </w:rPr>
        <w:drawing>
          <wp:inline distT="0" distB="0" distL="0" distR="0">
            <wp:extent cx="1658620" cy="680720"/>
            <wp:effectExtent l="19050" t="0" r="0" b="0"/>
            <wp:docPr id="5" name="Picture 5" descr="HP USB FD:Sophie:EXPT FCC:FCC east ph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P USB FD:Sophie:EXPT FCC:FCC east phase.jpg"/>
                    <pic:cNvPicPr>
                      <a:picLocks noChangeAspect="1" noChangeArrowheads="1"/>
                    </pic:cNvPicPr>
                  </pic:nvPicPr>
                  <pic:blipFill>
                    <a:blip r:embed="rId12" cstate="print"/>
                    <a:srcRect/>
                    <a:stretch>
                      <a:fillRect/>
                    </a:stretch>
                  </pic:blipFill>
                  <pic:spPr bwMode="auto">
                    <a:xfrm>
                      <a:off x="0" y="0"/>
                      <a:ext cx="1658620" cy="680720"/>
                    </a:xfrm>
                    <a:prstGeom prst="rect">
                      <a:avLst/>
                    </a:prstGeom>
                    <a:noFill/>
                    <a:ln w="9525">
                      <a:noFill/>
                      <a:miter lim="800000"/>
                      <a:headEnd/>
                      <a:tailEnd/>
                    </a:ln>
                  </pic:spPr>
                </pic:pic>
              </a:graphicData>
            </a:graphic>
          </wp:inline>
        </w:drawing>
      </w:r>
      <w:r>
        <w:tab/>
      </w:r>
      <w:r>
        <w:tab/>
      </w:r>
      <w:r>
        <w:tab/>
      </w:r>
      <w:r>
        <w:tab/>
      </w:r>
      <w:r>
        <w:rPr>
          <w:noProof/>
          <w:lang w:val="en-GB" w:eastAsia="en-GB"/>
        </w:rPr>
        <w:drawing>
          <wp:inline distT="0" distB="0" distL="0" distR="0">
            <wp:extent cx="1701165" cy="690880"/>
            <wp:effectExtent l="19050" t="0" r="0" b="0"/>
            <wp:docPr id="6" name="Picture 11" descr="HP USB FD:Sophie:EXPT FCC:FCNC Eat Ph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P USB FD:Sophie:EXPT FCC:FCNC Eat Phase.jpg"/>
                    <pic:cNvPicPr>
                      <a:picLocks noChangeAspect="1" noChangeArrowheads="1"/>
                    </pic:cNvPicPr>
                  </pic:nvPicPr>
                  <pic:blipFill>
                    <a:blip r:embed="rId13" cstate="print"/>
                    <a:srcRect/>
                    <a:stretch>
                      <a:fillRect/>
                    </a:stretch>
                  </pic:blipFill>
                  <pic:spPr bwMode="auto">
                    <a:xfrm>
                      <a:off x="0" y="0"/>
                      <a:ext cx="1701165" cy="690880"/>
                    </a:xfrm>
                    <a:prstGeom prst="rect">
                      <a:avLst/>
                    </a:prstGeom>
                    <a:noFill/>
                    <a:ln w="9525">
                      <a:noFill/>
                      <a:miter lim="800000"/>
                      <a:headEnd/>
                      <a:tailEnd/>
                    </a:ln>
                  </pic:spPr>
                </pic:pic>
              </a:graphicData>
            </a:graphic>
          </wp:inline>
        </w:drawing>
      </w:r>
    </w:p>
    <w:p w:rsidR="00095486" w:rsidRDefault="00095486" w:rsidP="00604C98">
      <w:pPr>
        <w:spacing w:after="0" w:line="240" w:lineRule="auto"/>
        <w:ind w:firstLine="720"/>
      </w:pPr>
      <w:r>
        <w:rPr>
          <w:rFonts w:ascii="Arial Narrow Bold" w:hAnsi="Arial Narrow Bold"/>
          <w:sz w:val="20"/>
          <w:szCs w:val="20"/>
        </w:rPr>
        <w:t xml:space="preserve">2nd Study Phase: </w:t>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t>2nd Study Phase:</w:t>
      </w:r>
    </w:p>
    <w:p w:rsidR="00095486" w:rsidRDefault="00095486" w:rsidP="00604C98">
      <w:pPr>
        <w:spacing w:after="0" w:line="240" w:lineRule="auto"/>
      </w:pPr>
      <w:r>
        <w:rPr>
          <w:noProof/>
          <w:lang w:val="en-GB" w:eastAsia="en-GB"/>
        </w:rPr>
        <w:drawing>
          <wp:inline distT="0" distB="0" distL="0" distR="0">
            <wp:extent cx="1647825" cy="669925"/>
            <wp:effectExtent l="19050" t="0" r="9525" b="0"/>
            <wp:docPr id="7" name="Picture 14" descr="HP USB FD:Sophie:EXPT FCC:FCC study ph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P USB FD:Sophie:EXPT FCC:FCC study phase.jpg"/>
                    <pic:cNvPicPr>
                      <a:picLocks noChangeAspect="1" noChangeArrowheads="1"/>
                    </pic:cNvPicPr>
                  </pic:nvPicPr>
                  <pic:blipFill>
                    <a:blip r:embed="rId14" cstate="print"/>
                    <a:srcRect/>
                    <a:stretch>
                      <a:fillRect/>
                    </a:stretch>
                  </pic:blipFill>
                  <pic:spPr bwMode="auto">
                    <a:xfrm>
                      <a:off x="0" y="0"/>
                      <a:ext cx="1647825" cy="669925"/>
                    </a:xfrm>
                    <a:prstGeom prst="rect">
                      <a:avLst/>
                    </a:prstGeom>
                    <a:noFill/>
                    <a:ln w="9525">
                      <a:noFill/>
                      <a:miter lim="800000"/>
                      <a:headEnd/>
                      <a:tailEnd/>
                    </a:ln>
                  </pic:spPr>
                </pic:pic>
              </a:graphicData>
            </a:graphic>
          </wp:inline>
        </w:drawing>
      </w:r>
      <w:r>
        <w:tab/>
      </w:r>
      <w:r>
        <w:tab/>
      </w:r>
      <w:r>
        <w:tab/>
      </w:r>
      <w:r>
        <w:tab/>
      </w:r>
      <w:r>
        <w:rPr>
          <w:noProof/>
          <w:lang w:val="en-GB" w:eastAsia="en-GB"/>
        </w:rPr>
        <w:drawing>
          <wp:inline distT="0" distB="0" distL="0" distR="0">
            <wp:extent cx="1647825" cy="669925"/>
            <wp:effectExtent l="19050" t="0" r="9525" b="0"/>
            <wp:docPr id="8" name="Picture 12" descr="HP USB FD:Sophie:EXPT FCC:FCNC Study Ph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P USB FD:Sophie:EXPT FCC:FCNC Study Phase.jpg"/>
                    <pic:cNvPicPr>
                      <a:picLocks noChangeAspect="1" noChangeArrowheads="1"/>
                    </pic:cNvPicPr>
                  </pic:nvPicPr>
                  <pic:blipFill>
                    <a:blip r:embed="rId15" cstate="print"/>
                    <a:srcRect/>
                    <a:stretch>
                      <a:fillRect/>
                    </a:stretch>
                  </pic:blipFill>
                  <pic:spPr bwMode="auto">
                    <a:xfrm>
                      <a:off x="0" y="0"/>
                      <a:ext cx="1647825" cy="669925"/>
                    </a:xfrm>
                    <a:prstGeom prst="rect">
                      <a:avLst/>
                    </a:prstGeom>
                    <a:noFill/>
                    <a:ln w="9525">
                      <a:noFill/>
                      <a:miter lim="800000"/>
                      <a:headEnd/>
                      <a:tailEnd/>
                    </a:ln>
                  </pic:spPr>
                </pic:pic>
              </a:graphicData>
            </a:graphic>
          </wp:inline>
        </w:drawing>
      </w:r>
    </w:p>
    <w:p w:rsidR="00095486" w:rsidRDefault="00095486" w:rsidP="00604C98">
      <w:pPr>
        <w:spacing w:after="0" w:line="240" w:lineRule="auto"/>
        <w:ind w:firstLine="720"/>
        <w:rPr>
          <w:rFonts w:ascii="Arial Narrow Bold" w:hAnsi="Arial Narrow Bold"/>
          <w:sz w:val="20"/>
          <w:szCs w:val="20"/>
        </w:rPr>
      </w:pPr>
      <w:r>
        <w:rPr>
          <w:rFonts w:ascii="Arial Narrow Bold" w:hAnsi="Arial Narrow Bold"/>
          <w:sz w:val="20"/>
          <w:szCs w:val="20"/>
        </w:rPr>
        <w:t>5-minute filler task</w:t>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t>5-minute filler task</w:t>
      </w:r>
    </w:p>
    <w:p w:rsidR="00095486" w:rsidRDefault="00095486" w:rsidP="00604C98">
      <w:pPr>
        <w:spacing w:after="0" w:line="240" w:lineRule="auto"/>
        <w:ind w:firstLine="720"/>
        <w:rPr>
          <w:rFonts w:ascii="Arial Narrow Bold" w:hAnsi="Arial Narrow Bold"/>
          <w:sz w:val="20"/>
          <w:szCs w:val="20"/>
        </w:rPr>
      </w:pPr>
      <w:r>
        <w:rPr>
          <w:rFonts w:ascii="Arial Narrow Bold" w:hAnsi="Arial Narrow Bold"/>
          <w:sz w:val="20"/>
          <w:szCs w:val="20"/>
        </w:rPr>
        <w:t>Test Phase:</w:t>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t>Test Phase:</w:t>
      </w:r>
    </w:p>
    <w:p w:rsidR="00A83C7C" w:rsidRPr="007E7323" w:rsidRDefault="00095486" w:rsidP="00604C98">
      <w:pPr>
        <w:spacing w:after="0" w:line="240" w:lineRule="auto"/>
        <w:rPr>
          <w:rFonts w:ascii="Arial Narrow Bold" w:hAnsi="Arial Narrow Bold"/>
          <w:sz w:val="20"/>
          <w:szCs w:val="20"/>
        </w:rPr>
      </w:pPr>
      <w:r>
        <w:rPr>
          <w:noProof/>
          <w:lang w:val="en-GB" w:eastAsia="en-GB"/>
        </w:rPr>
        <w:drawing>
          <wp:inline distT="0" distB="0" distL="0" distR="0">
            <wp:extent cx="1669415" cy="680720"/>
            <wp:effectExtent l="19050" t="0" r="6985" b="0"/>
            <wp:docPr id="9" name="Picture 15" descr="HP USB FD:Sophie:EXPT FCC:FCC test ph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P USB FD:Sophie:EXPT FCC:FCC test phase.jpg"/>
                    <pic:cNvPicPr>
                      <a:picLocks noChangeAspect="1" noChangeArrowheads="1"/>
                    </pic:cNvPicPr>
                  </pic:nvPicPr>
                  <pic:blipFill>
                    <a:blip r:embed="rId16" cstate="print"/>
                    <a:srcRect/>
                    <a:stretch>
                      <a:fillRect/>
                    </a:stretch>
                  </pic:blipFill>
                  <pic:spPr bwMode="auto">
                    <a:xfrm>
                      <a:off x="0" y="0"/>
                      <a:ext cx="1669415" cy="680720"/>
                    </a:xfrm>
                    <a:prstGeom prst="rect">
                      <a:avLst/>
                    </a:prstGeom>
                    <a:noFill/>
                    <a:ln w="9525">
                      <a:noFill/>
                      <a:miter lim="800000"/>
                      <a:headEnd/>
                      <a:tailEnd/>
                    </a:ln>
                  </pic:spPr>
                </pic:pic>
              </a:graphicData>
            </a:graphic>
          </wp:inline>
        </w:drawing>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rFonts w:ascii="Arial Narrow Bold" w:hAnsi="Arial Narrow Bold"/>
          <w:sz w:val="20"/>
          <w:szCs w:val="20"/>
        </w:rPr>
        <w:tab/>
      </w:r>
      <w:r>
        <w:rPr>
          <w:noProof/>
          <w:lang w:val="en-GB" w:eastAsia="en-GB"/>
        </w:rPr>
        <w:drawing>
          <wp:inline distT="0" distB="0" distL="0" distR="0">
            <wp:extent cx="1690370" cy="690880"/>
            <wp:effectExtent l="19050" t="0" r="5080" b="0"/>
            <wp:docPr id="10" name="Picture 10" descr="HP USB FD:Sophie:EXPT FCC:FCNC test Ph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P USB FD:Sophie:EXPT FCC:FCNC test Phase.jpg"/>
                    <pic:cNvPicPr>
                      <a:picLocks noChangeAspect="1" noChangeArrowheads="1"/>
                    </pic:cNvPicPr>
                  </pic:nvPicPr>
                  <pic:blipFill>
                    <a:blip r:embed="rId17" cstate="print"/>
                    <a:srcRect/>
                    <a:stretch>
                      <a:fillRect/>
                    </a:stretch>
                  </pic:blipFill>
                  <pic:spPr bwMode="auto">
                    <a:xfrm>
                      <a:off x="0" y="0"/>
                      <a:ext cx="1690370" cy="690880"/>
                    </a:xfrm>
                    <a:prstGeom prst="rect">
                      <a:avLst/>
                    </a:prstGeom>
                    <a:noFill/>
                    <a:ln w="9525">
                      <a:noFill/>
                      <a:miter lim="800000"/>
                      <a:headEnd/>
                      <a:tailEnd/>
                    </a:ln>
                  </pic:spPr>
                </pic:pic>
              </a:graphicData>
            </a:graphic>
          </wp:inline>
        </w:drawing>
      </w:r>
    </w:p>
    <w:p w:rsidR="005F7335" w:rsidRDefault="005F7335" w:rsidP="00604C98">
      <w:pPr>
        <w:spacing w:after="0" w:line="240" w:lineRule="auto"/>
        <w:rPr>
          <w:i/>
        </w:rPr>
      </w:pPr>
    </w:p>
    <w:p w:rsidR="005F7335" w:rsidRDefault="005F7335" w:rsidP="00604C98">
      <w:pPr>
        <w:spacing w:after="0" w:line="240" w:lineRule="auto"/>
        <w:rPr>
          <w:i/>
        </w:rPr>
      </w:pPr>
    </w:p>
    <w:p w:rsidR="007F5EBC" w:rsidRDefault="007F5EBC" w:rsidP="00604C98">
      <w:pPr>
        <w:spacing w:after="0" w:line="240" w:lineRule="auto"/>
        <w:rPr>
          <w:lang w:val="en-GB"/>
        </w:rPr>
      </w:pPr>
      <w:r>
        <w:rPr>
          <w:i/>
        </w:rPr>
        <w:lastRenderedPageBreak/>
        <w:t xml:space="preserve">Figure 5: Average proportion of correct responses for </w:t>
      </w:r>
      <w:r w:rsidR="00704A01">
        <w:rPr>
          <w:i/>
        </w:rPr>
        <w:t>FCC and FCNC</w:t>
      </w:r>
      <w:r>
        <w:rPr>
          <w:i/>
        </w:rPr>
        <w:t xml:space="preserve"> Tests as a function of group. Error bars represent +/- 1 SE.</w:t>
      </w:r>
    </w:p>
    <w:p w:rsidR="007F5EBC" w:rsidRDefault="007F5EBC" w:rsidP="00604C98">
      <w:pPr>
        <w:spacing w:after="0" w:line="240" w:lineRule="auto"/>
        <w:rPr>
          <w:lang w:val="en-GB"/>
        </w:rPr>
      </w:pPr>
    </w:p>
    <w:p w:rsidR="007F5EBC" w:rsidRDefault="007F5EBC" w:rsidP="00604C98">
      <w:pPr>
        <w:spacing w:after="0" w:line="240" w:lineRule="auto"/>
        <w:rPr>
          <w:lang w:val="en-GB"/>
        </w:rPr>
      </w:pPr>
      <w:r>
        <w:rPr>
          <w:noProof/>
          <w:lang w:val="en-GB" w:eastAsia="en-GB"/>
        </w:rPr>
        <w:drawing>
          <wp:inline distT="0" distB="0" distL="0" distR="0">
            <wp:extent cx="4572000" cy="2743200"/>
            <wp:effectExtent l="0" t="0" r="0" b="0"/>
            <wp:docPr id="19"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F7335" w:rsidRDefault="005F7335" w:rsidP="00604C98">
      <w:pPr>
        <w:spacing w:line="240" w:lineRule="auto"/>
        <w:rPr>
          <w:i/>
        </w:rPr>
      </w:pPr>
    </w:p>
    <w:p w:rsidR="007F5EBC" w:rsidRDefault="007F5EBC" w:rsidP="00604C98">
      <w:pPr>
        <w:spacing w:line="240" w:lineRule="auto"/>
        <w:rPr>
          <w:i/>
        </w:rPr>
      </w:pPr>
      <w:r>
        <w:rPr>
          <w:i/>
        </w:rPr>
        <w:t>Figure 6: Bivariate correlations between FCC / FCNC and the Pyramids and Palm trees Test (PPT) as a function of group. For ease of reference, ASD and non-ASD groups are plotted separately.</w:t>
      </w:r>
    </w:p>
    <w:p w:rsidR="007F5EBC" w:rsidRDefault="007F5EBC" w:rsidP="00604C98">
      <w:pPr>
        <w:spacing w:after="0" w:line="240" w:lineRule="auto"/>
        <w:rPr>
          <w:lang w:val="en-GB"/>
        </w:rPr>
      </w:pPr>
      <w:r>
        <w:rPr>
          <w:i/>
          <w:noProof/>
          <w:lang w:val="en-GB" w:eastAsia="en-GB"/>
        </w:rPr>
        <w:drawing>
          <wp:inline distT="0" distB="0" distL="0" distR="0">
            <wp:extent cx="5117842" cy="3912243"/>
            <wp:effectExtent l="0" t="0" r="635" b="0"/>
            <wp:docPr id="2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srcRect/>
                    <a:stretch>
                      <a:fillRect/>
                    </a:stretch>
                  </pic:blipFill>
                  <pic:spPr bwMode="auto">
                    <a:xfrm>
                      <a:off x="0" y="0"/>
                      <a:ext cx="5122670" cy="3915934"/>
                    </a:xfrm>
                    <a:prstGeom prst="rect">
                      <a:avLst/>
                    </a:prstGeom>
                    <a:noFill/>
                    <a:ln w="9525">
                      <a:noFill/>
                      <a:miter lim="800000"/>
                      <a:headEnd/>
                      <a:tailEnd/>
                    </a:ln>
                  </pic:spPr>
                </pic:pic>
              </a:graphicData>
            </a:graphic>
          </wp:inline>
        </w:drawing>
      </w:r>
    </w:p>
    <w:p w:rsidR="007F5EBC" w:rsidRDefault="000568F1" w:rsidP="00604C98">
      <w:pPr>
        <w:spacing w:after="0" w:line="240" w:lineRule="auto"/>
        <w:rPr>
          <w:i/>
        </w:rPr>
      </w:pPr>
      <w:r>
        <w:rPr>
          <w:lang w:val="en-GB"/>
        </w:rPr>
        <w:br w:type="page"/>
      </w:r>
      <w:r w:rsidR="007F5EBC">
        <w:rPr>
          <w:i/>
        </w:rPr>
        <w:lastRenderedPageBreak/>
        <w:t xml:space="preserve">Table 1: Descriptive statistics for the four participant groups in </w:t>
      </w:r>
      <w:r w:rsidR="00A20E6C">
        <w:rPr>
          <w:i/>
        </w:rPr>
        <w:t>Experiment 1</w:t>
      </w:r>
      <w:r w:rsidR="007F5EBC">
        <w:rPr>
          <w:i/>
        </w:rPr>
        <w:t>.</w:t>
      </w:r>
    </w:p>
    <w:tbl>
      <w:tblPr>
        <w:tblW w:w="9748" w:type="dxa"/>
        <w:jc w:val="center"/>
        <w:tblLook w:val="04A0" w:firstRow="1" w:lastRow="0" w:firstColumn="1" w:lastColumn="0" w:noHBand="0" w:noVBand="1"/>
      </w:tblPr>
      <w:tblGrid>
        <w:gridCol w:w="9748"/>
      </w:tblGrid>
      <w:tr w:rsidR="007F5EBC" w:rsidTr="007F5EBC">
        <w:trPr>
          <w:trHeight w:val="146"/>
          <w:jc w:val="center"/>
        </w:trPr>
        <w:tc>
          <w:tcPr>
            <w:tcW w:w="9748" w:type="dxa"/>
            <w:noWrap/>
            <w:vAlign w:val="bottom"/>
            <w:hideMark/>
          </w:tcPr>
          <w:tbl>
            <w:tblPr>
              <w:tblW w:w="9356" w:type="dxa"/>
              <w:tblInd w:w="176" w:type="dxa"/>
              <w:tblLook w:val="04A0" w:firstRow="1" w:lastRow="0" w:firstColumn="1" w:lastColumn="0" w:noHBand="0" w:noVBand="1"/>
            </w:tblPr>
            <w:tblGrid>
              <w:gridCol w:w="1276"/>
              <w:gridCol w:w="992"/>
              <w:gridCol w:w="992"/>
              <w:gridCol w:w="1134"/>
              <w:gridCol w:w="993"/>
              <w:gridCol w:w="992"/>
              <w:gridCol w:w="850"/>
              <w:gridCol w:w="1134"/>
              <w:gridCol w:w="993"/>
            </w:tblGrid>
            <w:tr w:rsidR="007F5EBC">
              <w:trPr>
                <w:trHeight w:val="324"/>
              </w:trPr>
              <w:tc>
                <w:tcPr>
                  <w:tcW w:w="1276" w:type="dxa"/>
                  <w:noWrap/>
                  <w:vAlign w:val="bottom"/>
                  <w:hideMark/>
                </w:tcPr>
                <w:p w:rsidR="007F5EBC" w:rsidRDefault="007F5EBC" w:rsidP="00604C98">
                  <w:pPr>
                    <w:spacing w:line="240" w:lineRule="auto"/>
                  </w:pPr>
                </w:p>
              </w:tc>
              <w:tc>
                <w:tcPr>
                  <w:tcW w:w="1984" w:type="dxa"/>
                  <w:gridSpan w:val="2"/>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ASD</w:t>
                  </w:r>
                  <w:r>
                    <w:rPr>
                      <w:rFonts w:ascii="Calibri" w:eastAsia="Times New Roman" w:hAnsi="Calibri" w:cs="Calibri"/>
                      <w:sz w:val="22"/>
                      <w:szCs w:val="22"/>
                      <w:vertAlign w:val="superscript"/>
                      <w:lang w:val="en-GB" w:eastAsia="en-GB"/>
                    </w:rPr>
                    <w:t xml:space="preserve">LI/LD </w:t>
                  </w:r>
                  <w:r>
                    <w:rPr>
                      <w:rFonts w:ascii="Calibri" w:eastAsia="Times New Roman" w:hAnsi="Calibri" w:cs="Calibri"/>
                      <w:sz w:val="22"/>
                      <w:szCs w:val="22"/>
                      <w:lang w:val="en-GB" w:eastAsia="en-GB"/>
                    </w:rPr>
                    <w:t>(N = 19)</w:t>
                  </w:r>
                </w:p>
              </w:tc>
              <w:tc>
                <w:tcPr>
                  <w:tcW w:w="2127" w:type="dxa"/>
                  <w:gridSpan w:val="2"/>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ASD</w:t>
                  </w:r>
                  <w:r>
                    <w:rPr>
                      <w:rFonts w:ascii="Calibri" w:eastAsia="Times New Roman" w:hAnsi="Calibri" w:cs="Calibri"/>
                      <w:sz w:val="22"/>
                      <w:szCs w:val="22"/>
                      <w:vertAlign w:val="superscript"/>
                      <w:lang w:val="en-GB" w:eastAsia="en-GB"/>
                    </w:rPr>
                    <w:t xml:space="preserve">TL </w:t>
                  </w:r>
                  <w:r>
                    <w:rPr>
                      <w:rFonts w:ascii="Calibri" w:eastAsia="Times New Roman" w:hAnsi="Calibri" w:cs="Calibri"/>
                      <w:sz w:val="22"/>
                      <w:szCs w:val="22"/>
                      <w:lang w:val="en-GB" w:eastAsia="en-GB"/>
                    </w:rPr>
                    <w:t>(N = 26)</w:t>
                  </w:r>
                </w:p>
              </w:tc>
              <w:tc>
                <w:tcPr>
                  <w:tcW w:w="1842" w:type="dxa"/>
                  <w:gridSpan w:val="2"/>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TD  (N = 32)</w:t>
                  </w:r>
                </w:p>
              </w:tc>
              <w:tc>
                <w:tcPr>
                  <w:tcW w:w="2127" w:type="dxa"/>
                  <w:gridSpan w:val="2"/>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LD  (N = 26)</w:t>
                  </w:r>
                </w:p>
              </w:tc>
            </w:tr>
            <w:tr w:rsidR="007F5EBC">
              <w:trPr>
                <w:trHeight w:val="288"/>
              </w:trPr>
              <w:tc>
                <w:tcPr>
                  <w:tcW w:w="1276" w:type="dxa"/>
                  <w:noWrap/>
                  <w:vAlign w:val="bottom"/>
                  <w:hideMark/>
                </w:tcPr>
                <w:p w:rsidR="007F5EBC" w:rsidRDefault="007F5EBC" w:rsidP="00604C98">
                  <w:pPr>
                    <w:spacing w:after="0" w:line="240" w:lineRule="auto"/>
                  </w:pPr>
                </w:p>
              </w:tc>
              <w:tc>
                <w:tcPr>
                  <w:tcW w:w="992" w:type="dxa"/>
                  <w:noWrap/>
                  <w:vAlign w:val="bottom"/>
                  <w:hideMark/>
                </w:tcPr>
                <w:p w:rsidR="007F5EBC" w:rsidRDefault="007F5EBC" w:rsidP="00604C98">
                  <w:pPr>
                    <w:spacing w:after="0" w:line="240" w:lineRule="auto"/>
                    <w:jc w:val="center"/>
                    <w:rPr>
                      <w:rFonts w:ascii="Calibri" w:eastAsia="Times New Roman" w:hAnsi="Calibri" w:cs="Calibri"/>
                      <w:i/>
                      <w:iCs/>
                      <w:sz w:val="22"/>
                      <w:szCs w:val="22"/>
                      <w:lang w:val="en-GB" w:eastAsia="en-GB"/>
                    </w:rPr>
                  </w:pPr>
                  <w:r>
                    <w:rPr>
                      <w:rFonts w:ascii="Calibri" w:eastAsia="Times New Roman" w:hAnsi="Calibri" w:cs="Calibri"/>
                      <w:i/>
                      <w:iCs/>
                      <w:sz w:val="22"/>
                      <w:szCs w:val="22"/>
                      <w:lang w:val="en-GB" w:eastAsia="en-GB"/>
                    </w:rPr>
                    <w:t>M (SD)</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Range</w:t>
                  </w:r>
                </w:p>
              </w:tc>
              <w:tc>
                <w:tcPr>
                  <w:tcW w:w="1134" w:type="dxa"/>
                  <w:noWrap/>
                  <w:vAlign w:val="bottom"/>
                  <w:hideMark/>
                </w:tcPr>
                <w:p w:rsidR="007F5EBC" w:rsidRDefault="007F5EBC" w:rsidP="00604C98">
                  <w:pPr>
                    <w:spacing w:after="0" w:line="240" w:lineRule="auto"/>
                    <w:jc w:val="center"/>
                    <w:rPr>
                      <w:rFonts w:ascii="Calibri" w:eastAsia="Times New Roman" w:hAnsi="Calibri" w:cs="Calibri"/>
                      <w:i/>
                      <w:iCs/>
                      <w:sz w:val="22"/>
                      <w:szCs w:val="22"/>
                      <w:lang w:val="en-GB" w:eastAsia="en-GB"/>
                    </w:rPr>
                  </w:pPr>
                  <w:r>
                    <w:rPr>
                      <w:rFonts w:ascii="Calibri" w:eastAsia="Times New Roman" w:hAnsi="Calibri" w:cs="Calibri"/>
                      <w:i/>
                      <w:iCs/>
                      <w:sz w:val="22"/>
                      <w:szCs w:val="22"/>
                      <w:lang w:val="en-GB" w:eastAsia="en-GB"/>
                    </w:rPr>
                    <w:t>M (SD)</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Range</w:t>
                  </w:r>
                </w:p>
              </w:tc>
              <w:tc>
                <w:tcPr>
                  <w:tcW w:w="992" w:type="dxa"/>
                  <w:noWrap/>
                  <w:vAlign w:val="bottom"/>
                  <w:hideMark/>
                </w:tcPr>
                <w:p w:rsidR="007F5EBC" w:rsidRDefault="007F5EBC" w:rsidP="00604C98">
                  <w:pPr>
                    <w:spacing w:after="0" w:line="240" w:lineRule="auto"/>
                    <w:jc w:val="center"/>
                    <w:rPr>
                      <w:rFonts w:ascii="Calibri" w:eastAsia="Times New Roman" w:hAnsi="Calibri" w:cs="Calibri"/>
                      <w:i/>
                      <w:iCs/>
                      <w:sz w:val="22"/>
                      <w:szCs w:val="22"/>
                      <w:lang w:val="en-GB" w:eastAsia="en-GB"/>
                    </w:rPr>
                  </w:pPr>
                  <w:r>
                    <w:rPr>
                      <w:rFonts w:ascii="Calibri" w:eastAsia="Times New Roman" w:hAnsi="Calibri" w:cs="Calibri"/>
                      <w:i/>
                      <w:iCs/>
                      <w:sz w:val="22"/>
                      <w:szCs w:val="22"/>
                      <w:lang w:val="en-GB" w:eastAsia="en-GB"/>
                    </w:rPr>
                    <w:t>M (SD)</w:t>
                  </w:r>
                </w:p>
              </w:tc>
              <w:tc>
                <w:tcPr>
                  <w:tcW w:w="850"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Range</w:t>
                  </w:r>
                </w:p>
              </w:tc>
              <w:tc>
                <w:tcPr>
                  <w:tcW w:w="1134" w:type="dxa"/>
                  <w:noWrap/>
                  <w:vAlign w:val="bottom"/>
                  <w:hideMark/>
                </w:tcPr>
                <w:p w:rsidR="007F5EBC" w:rsidRDefault="007F5EBC" w:rsidP="00604C98">
                  <w:pPr>
                    <w:spacing w:after="0" w:line="240" w:lineRule="auto"/>
                    <w:jc w:val="center"/>
                    <w:rPr>
                      <w:rFonts w:ascii="Calibri" w:eastAsia="Times New Roman" w:hAnsi="Calibri" w:cs="Calibri"/>
                      <w:i/>
                      <w:iCs/>
                      <w:sz w:val="22"/>
                      <w:szCs w:val="22"/>
                      <w:lang w:val="en-GB" w:eastAsia="en-GB"/>
                    </w:rPr>
                  </w:pPr>
                  <w:r>
                    <w:rPr>
                      <w:rFonts w:ascii="Calibri" w:eastAsia="Times New Roman" w:hAnsi="Calibri" w:cs="Calibri"/>
                      <w:i/>
                      <w:iCs/>
                      <w:sz w:val="22"/>
                      <w:szCs w:val="22"/>
                      <w:lang w:val="en-GB" w:eastAsia="en-GB"/>
                    </w:rPr>
                    <w:t>M (SD)</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Range</w:t>
                  </w:r>
                </w:p>
              </w:tc>
            </w:tr>
            <w:tr w:rsidR="007F5EBC">
              <w:trPr>
                <w:trHeight w:val="288"/>
              </w:trPr>
              <w:tc>
                <w:tcPr>
                  <w:tcW w:w="1276" w:type="dxa"/>
                  <w:tcBorders>
                    <w:top w:val="single" w:sz="4" w:space="0" w:color="auto"/>
                    <w:left w:val="nil"/>
                    <w:bottom w:val="nil"/>
                    <w:right w:val="nil"/>
                  </w:tcBorders>
                  <w:noWrap/>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Age (mths)</w:t>
                  </w:r>
                </w:p>
              </w:tc>
              <w:tc>
                <w:tcPr>
                  <w:tcW w:w="992"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181 (22)</w:t>
                  </w:r>
                </w:p>
              </w:tc>
              <w:tc>
                <w:tcPr>
                  <w:tcW w:w="992"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123-218</w:t>
                  </w:r>
                </w:p>
              </w:tc>
              <w:tc>
                <w:tcPr>
                  <w:tcW w:w="1134"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109 (16)</w:t>
                  </w:r>
                </w:p>
              </w:tc>
              <w:tc>
                <w:tcPr>
                  <w:tcW w:w="993"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75-136</w:t>
                  </w:r>
                </w:p>
              </w:tc>
              <w:tc>
                <w:tcPr>
                  <w:tcW w:w="992"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99 (9)</w:t>
                  </w:r>
                </w:p>
              </w:tc>
              <w:tc>
                <w:tcPr>
                  <w:tcW w:w="850"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81-114</w:t>
                  </w:r>
                </w:p>
              </w:tc>
              <w:tc>
                <w:tcPr>
                  <w:tcW w:w="1134"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176 (22)</w:t>
                  </w:r>
                </w:p>
              </w:tc>
              <w:tc>
                <w:tcPr>
                  <w:tcW w:w="993"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136-214</w:t>
                  </w:r>
                </w:p>
              </w:tc>
            </w:tr>
            <w:tr w:rsidR="007F5EBC">
              <w:trPr>
                <w:trHeight w:val="324"/>
              </w:trPr>
              <w:tc>
                <w:tcPr>
                  <w:tcW w:w="1276" w:type="dxa"/>
                  <w:noWrap/>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VIQ</w:t>
                  </w:r>
                  <w:r>
                    <w:rPr>
                      <w:rFonts w:ascii="Calibri" w:eastAsia="Times New Roman" w:hAnsi="Calibri" w:cs="Calibri"/>
                      <w:sz w:val="22"/>
                      <w:szCs w:val="22"/>
                      <w:vertAlign w:val="superscript"/>
                      <w:lang w:val="en-GB" w:eastAsia="en-GB"/>
                    </w:rPr>
                    <w:t>a</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65 (6)</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55-75</w:t>
                  </w:r>
                </w:p>
              </w:tc>
              <w:tc>
                <w:tcPr>
                  <w:tcW w:w="1134"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105 (12)</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91-135</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110 (11)</w:t>
                  </w:r>
                </w:p>
              </w:tc>
              <w:tc>
                <w:tcPr>
                  <w:tcW w:w="850"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90-142</w:t>
                  </w:r>
                </w:p>
              </w:tc>
              <w:tc>
                <w:tcPr>
                  <w:tcW w:w="1134"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62 (5)</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55-74</w:t>
                  </w:r>
                </w:p>
              </w:tc>
            </w:tr>
            <w:tr w:rsidR="007F5EBC">
              <w:trPr>
                <w:trHeight w:val="324"/>
              </w:trPr>
              <w:tc>
                <w:tcPr>
                  <w:tcW w:w="1276" w:type="dxa"/>
                  <w:noWrap/>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CPM</w:t>
                  </w:r>
                  <w:r>
                    <w:rPr>
                      <w:rFonts w:ascii="Calibri" w:eastAsia="Times New Roman" w:hAnsi="Calibri" w:cs="Calibri"/>
                      <w:sz w:val="22"/>
                      <w:szCs w:val="22"/>
                      <w:vertAlign w:val="superscript"/>
                      <w:lang w:val="en-GB" w:eastAsia="en-GB"/>
                    </w:rPr>
                    <w:t>b</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26 (8)</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7-36</w:t>
                  </w:r>
                </w:p>
              </w:tc>
              <w:tc>
                <w:tcPr>
                  <w:tcW w:w="1134"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24 (8)</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8-36</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25 (6)</w:t>
                  </w:r>
                </w:p>
              </w:tc>
              <w:tc>
                <w:tcPr>
                  <w:tcW w:w="850"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10-36</w:t>
                  </w:r>
                </w:p>
              </w:tc>
              <w:tc>
                <w:tcPr>
                  <w:tcW w:w="1134"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17</w:t>
                  </w:r>
                  <w:r w:rsidR="00B46E9F">
                    <w:rPr>
                      <w:rFonts w:ascii="Calibri" w:eastAsia="Times New Roman" w:hAnsi="Calibri" w:cs="Calibri"/>
                      <w:sz w:val="22"/>
                      <w:szCs w:val="22"/>
                      <w:lang w:val="en-GB" w:eastAsia="en-GB"/>
                    </w:rPr>
                    <w:t>*</w:t>
                  </w:r>
                  <w:r>
                    <w:rPr>
                      <w:rFonts w:ascii="Calibri" w:eastAsia="Times New Roman" w:hAnsi="Calibri" w:cs="Calibri"/>
                      <w:sz w:val="22"/>
                      <w:szCs w:val="22"/>
                      <w:lang w:val="en-GB" w:eastAsia="en-GB"/>
                    </w:rPr>
                    <w:t xml:space="preserve"> (7)</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6-27</w:t>
                  </w:r>
                </w:p>
              </w:tc>
            </w:tr>
            <w:tr w:rsidR="007F5EBC">
              <w:trPr>
                <w:trHeight w:val="336"/>
              </w:trPr>
              <w:tc>
                <w:tcPr>
                  <w:tcW w:w="1276" w:type="dxa"/>
                  <w:tcBorders>
                    <w:top w:val="nil"/>
                    <w:left w:val="nil"/>
                    <w:bottom w:val="double" w:sz="6" w:space="0" w:color="auto"/>
                    <w:right w:val="nil"/>
                  </w:tcBorders>
                  <w:noWrap/>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CEFT</w:t>
                  </w:r>
                  <w:r>
                    <w:rPr>
                      <w:rFonts w:ascii="Calibri" w:eastAsia="Times New Roman" w:hAnsi="Calibri" w:cs="Calibri"/>
                      <w:sz w:val="22"/>
                      <w:szCs w:val="22"/>
                      <w:vertAlign w:val="superscript"/>
                      <w:lang w:val="en-GB" w:eastAsia="en-GB"/>
                    </w:rPr>
                    <w:t>c</w:t>
                  </w:r>
                </w:p>
              </w:tc>
              <w:tc>
                <w:tcPr>
                  <w:tcW w:w="992"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16 (6)</w:t>
                  </w:r>
                </w:p>
              </w:tc>
              <w:tc>
                <w:tcPr>
                  <w:tcW w:w="992"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3-24</w:t>
                  </w:r>
                </w:p>
              </w:tc>
              <w:tc>
                <w:tcPr>
                  <w:tcW w:w="1134"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15 (6)</w:t>
                  </w:r>
                </w:p>
              </w:tc>
              <w:tc>
                <w:tcPr>
                  <w:tcW w:w="993"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5-25</w:t>
                  </w:r>
                </w:p>
              </w:tc>
              <w:tc>
                <w:tcPr>
                  <w:tcW w:w="992"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15 (5)</w:t>
                  </w:r>
                </w:p>
              </w:tc>
              <w:tc>
                <w:tcPr>
                  <w:tcW w:w="850"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7-24</w:t>
                  </w:r>
                </w:p>
              </w:tc>
              <w:tc>
                <w:tcPr>
                  <w:tcW w:w="1134"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8</w:t>
                  </w:r>
                  <w:r w:rsidR="00B46E9F">
                    <w:rPr>
                      <w:rFonts w:ascii="Calibri" w:eastAsia="Times New Roman" w:hAnsi="Calibri" w:cs="Calibri"/>
                      <w:sz w:val="22"/>
                      <w:szCs w:val="22"/>
                      <w:lang w:val="en-GB" w:eastAsia="en-GB"/>
                    </w:rPr>
                    <w:t>*</w:t>
                  </w:r>
                  <w:r>
                    <w:rPr>
                      <w:rFonts w:ascii="Calibri" w:eastAsia="Times New Roman" w:hAnsi="Calibri" w:cs="Calibri"/>
                      <w:sz w:val="22"/>
                      <w:szCs w:val="22"/>
                      <w:lang w:val="en-GB" w:eastAsia="en-GB"/>
                    </w:rPr>
                    <w:t xml:space="preserve"> (4)</w:t>
                  </w:r>
                </w:p>
              </w:tc>
              <w:tc>
                <w:tcPr>
                  <w:tcW w:w="993"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1-17</w:t>
                  </w:r>
                </w:p>
              </w:tc>
            </w:tr>
          </w:tbl>
          <w:p w:rsidR="007F5EBC" w:rsidRDefault="007F5EBC" w:rsidP="00604C98">
            <w:pPr>
              <w:spacing w:after="0" w:line="240" w:lineRule="auto"/>
              <w:rPr>
                <w:b/>
                <w:bCs/>
              </w:rPr>
            </w:pPr>
          </w:p>
        </w:tc>
      </w:tr>
    </w:tbl>
    <w:p w:rsidR="007F5EBC" w:rsidRDefault="007F5EBC" w:rsidP="00604C98">
      <w:pPr>
        <w:spacing w:after="0" w:line="240" w:lineRule="auto"/>
        <w:rPr>
          <w:lang w:eastAsia="en-GB"/>
        </w:rPr>
      </w:pPr>
      <w:r>
        <w:rPr>
          <w:vertAlign w:val="superscript"/>
          <w:lang w:eastAsia="en-GB"/>
        </w:rPr>
        <w:t>a</w:t>
      </w:r>
      <w:r>
        <w:rPr>
          <w:lang w:eastAsia="en-GB"/>
        </w:rPr>
        <w:t xml:space="preserve"> Verbal IQ as measured by the WASI Vocabulary and Similarities subtests.</w:t>
      </w:r>
    </w:p>
    <w:p w:rsidR="007F5EBC" w:rsidRDefault="007F5EBC" w:rsidP="00604C98">
      <w:pPr>
        <w:spacing w:after="0" w:line="240" w:lineRule="auto"/>
        <w:rPr>
          <w:lang w:eastAsia="en-GB"/>
        </w:rPr>
      </w:pPr>
      <w:r>
        <w:rPr>
          <w:vertAlign w:val="superscript"/>
          <w:lang w:eastAsia="en-GB"/>
        </w:rPr>
        <w:t xml:space="preserve">b </w:t>
      </w:r>
      <w:r>
        <w:rPr>
          <w:lang w:eastAsia="en-GB"/>
        </w:rPr>
        <w:t>Raven’s Coloured Progressive Matrices; Scores range from 0 – 36</w:t>
      </w:r>
    </w:p>
    <w:p w:rsidR="007F5EBC" w:rsidRDefault="007F5EBC" w:rsidP="00604C98">
      <w:pPr>
        <w:spacing w:after="0" w:line="240" w:lineRule="auto"/>
        <w:rPr>
          <w:lang w:eastAsia="en-GB"/>
        </w:rPr>
      </w:pPr>
      <w:r>
        <w:rPr>
          <w:vertAlign w:val="superscript"/>
          <w:lang w:eastAsia="en-GB"/>
        </w:rPr>
        <w:t>c</w:t>
      </w:r>
      <w:r>
        <w:rPr>
          <w:lang w:eastAsia="en-GB"/>
        </w:rPr>
        <w:t xml:space="preserve"> Children’s Embedded Figures Test; Scores range from 0 </w:t>
      </w:r>
      <w:r w:rsidR="00B46E9F">
        <w:rPr>
          <w:lang w:eastAsia="en-GB"/>
        </w:rPr>
        <w:t>–</w:t>
      </w:r>
      <w:r>
        <w:rPr>
          <w:lang w:eastAsia="en-GB"/>
        </w:rPr>
        <w:t xml:space="preserve"> 25</w:t>
      </w:r>
    </w:p>
    <w:p w:rsidR="00A83C7C" w:rsidRPr="00B46E9F" w:rsidRDefault="00B46E9F" w:rsidP="00B46E9F">
      <w:pPr>
        <w:spacing w:after="0" w:line="240" w:lineRule="auto"/>
        <w:rPr>
          <w:lang w:val="en-GB"/>
        </w:rPr>
      </w:pPr>
      <w:r w:rsidRPr="00B46E9F">
        <w:rPr>
          <w:lang w:val="en-GB"/>
        </w:rPr>
        <w:t>*</w:t>
      </w:r>
      <w:r>
        <w:rPr>
          <w:lang w:val="en-GB"/>
        </w:rPr>
        <w:t xml:space="preserve"> Mean for LD was significantly lower than for the other groups</w:t>
      </w:r>
    </w:p>
    <w:p w:rsidR="00B127AB" w:rsidRDefault="00B127AB" w:rsidP="00604C98">
      <w:pPr>
        <w:spacing w:line="240" w:lineRule="auto"/>
        <w:rPr>
          <w:i/>
        </w:rPr>
      </w:pPr>
    </w:p>
    <w:p w:rsidR="007F5EBC" w:rsidRDefault="007F5EBC" w:rsidP="00604C98">
      <w:pPr>
        <w:spacing w:line="240" w:lineRule="auto"/>
        <w:rPr>
          <w:i/>
        </w:rPr>
      </w:pPr>
      <w:r>
        <w:rPr>
          <w:i/>
        </w:rPr>
        <w:t>Table 2: Correlates of familiarity (shape recognition) and recollection (action recall) in each of the four participant groups.</w:t>
      </w:r>
    </w:p>
    <w:p w:rsidR="007F5EBC" w:rsidRDefault="007F5EBC" w:rsidP="00604C98">
      <w:pPr>
        <w:spacing w:line="240" w:lineRule="auto"/>
        <w:rPr>
          <w:i/>
        </w:rPr>
      </w:pPr>
    </w:p>
    <w:tbl>
      <w:tblPr>
        <w:tblW w:w="7117" w:type="dxa"/>
        <w:jc w:val="center"/>
        <w:tblLook w:val="04A0" w:firstRow="1" w:lastRow="0" w:firstColumn="1" w:lastColumn="0" w:noHBand="0" w:noVBand="1"/>
      </w:tblPr>
      <w:tblGrid>
        <w:gridCol w:w="1105"/>
        <w:gridCol w:w="1410"/>
        <w:gridCol w:w="920"/>
        <w:gridCol w:w="920"/>
        <w:gridCol w:w="920"/>
        <w:gridCol w:w="920"/>
        <w:gridCol w:w="922"/>
      </w:tblGrid>
      <w:tr w:rsidR="007F5EBC" w:rsidTr="007F5EBC">
        <w:trPr>
          <w:trHeight w:val="324"/>
          <w:jc w:val="center"/>
        </w:trPr>
        <w:tc>
          <w:tcPr>
            <w:tcW w:w="993" w:type="dxa"/>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Group</w:t>
            </w:r>
          </w:p>
        </w:tc>
        <w:tc>
          <w:tcPr>
            <w:tcW w:w="1520" w:type="dxa"/>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Test</w:t>
            </w:r>
          </w:p>
        </w:tc>
        <w:tc>
          <w:tcPr>
            <w:tcW w:w="920" w:type="dxa"/>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Rec.</w:t>
            </w:r>
          </w:p>
        </w:tc>
        <w:tc>
          <w:tcPr>
            <w:tcW w:w="920" w:type="dxa"/>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VIQ</w:t>
            </w:r>
          </w:p>
        </w:tc>
        <w:tc>
          <w:tcPr>
            <w:tcW w:w="920" w:type="dxa"/>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CPM</w:t>
            </w:r>
          </w:p>
        </w:tc>
        <w:tc>
          <w:tcPr>
            <w:tcW w:w="920" w:type="dxa"/>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PPT</w:t>
            </w:r>
          </w:p>
        </w:tc>
        <w:tc>
          <w:tcPr>
            <w:tcW w:w="920" w:type="dxa"/>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CEFT</w:t>
            </w:r>
          </w:p>
        </w:tc>
      </w:tr>
      <w:tr w:rsidR="007F5EBC" w:rsidTr="007F5EBC">
        <w:trPr>
          <w:trHeight w:val="288"/>
          <w:jc w:val="center"/>
        </w:trPr>
        <w:tc>
          <w:tcPr>
            <w:tcW w:w="993" w:type="dxa"/>
            <w:tcBorders>
              <w:top w:val="single" w:sz="4" w:space="0" w:color="auto"/>
              <w:left w:val="nil"/>
              <w:bottom w:val="nil"/>
              <w:right w:val="nil"/>
            </w:tcBorders>
            <w:hideMark/>
          </w:tcPr>
          <w:p w:rsidR="007F5EBC" w:rsidRDefault="007F5EBC" w:rsidP="00604C98">
            <w:pPr>
              <w:spacing w:after="0" w:line="240" w:lineRule="auto"/>
              <w:rPr>
                <w:rFonts w:ascii="Calibri" w:eastAsia="Times New Roman" w:hAnsi="Calibri" w:cs="Calibri"/>
                <w:sz w:val="22"/>
                <w:szCs w:val="22"/>
                <w:lang w:val="en-GB" w:eastAsia="en-GB"/>
              </w:rPr>
            </w:pPr>
            <w:r>
              <w:rPr>
                <w:lang w:eastAsia="en-GB"/>
              </w:rPr>
              <w:t>ASD</w:t>
            </w:r>
            <w:r>
              <w:rPr>
                <w:vertAlign w:val="superscript"/>
                <w:lang w:eastAsia="en-GB"/>
              </w:rPr>
              <w:t>LI/LD</w:t>
            </w:r>
          </w:p>
        </w:tc>
        <w:tc>
          <w:tcPr>
            <w:tcW w:w="1520" w:type="dxa"/>
            <w:tcBorders>
              <w:top w:val="single" w:sz="4" w:space="0" w:color="auto"/>
              <w:left w:val="nil"/>
              <w:bottom w:val="nil"/>
              <w:right w:val="nil"/>
            </w:tcBorders>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Familiarity</w:t>
            </w:r>
          </w:p>
        </w:tc>
        <w:tc>
          <w:tcPr>
            <w:tcW w:w="920" w:type="dxa"/>
            <w:tcBorders>
              <w:top w:val="single" w:sz="4" w:space="0" w:color="auto"/>
              <w:left w:val="nil"/>
              <w:bottom w:val="nil"/>
              <w:right w:val="nil"/>
            </w:tcBorders>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.488</w:t>
            </w:r>
            <w:r>
              <w:rPr>
                <w:rFonts w:ascii="Calibri" w:eastAsia="Times New Roman" w:hAnsi="Calibri" w:cs="Calibri"/>
                <w:b/>
                <w:sz w:val="22"/>
                <w:szCs w:val="22"/>
                <w:vertAlign w:val="superscript"/>
                <w:lang w:val="en-GB" w:eastAsia="en-GB"/>
              </w:rPr>
              <w:t>*</w:t>
            </w:r>
          </w:p>
        </w:tc>
        <w:tc>
          <w:tcPr>
            <w:tcW w:w="920" w:type="dxa"/>
            <w:tcBorders>
              <w:top w:val="single" w:sz="4" w:space="0" w:color="auto"/>
              <w:left w:val="nil"/>
              <w:bottom w:val="nil"/>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.274</w:t>
            </w:r>
          </w:p>
        </w:tc>
        <w:tc>
          <w:tcPr>
            <w:tcW w:w="920" w:type="dxa"/>
            <w:tcBorders>
              <w:top w:val="single" w:sz="4" w:space="0" w:color="auto"/>
              <w:left w:val="nil"/>
              <w:bottom w:val="nil"/>
              <w:right w:val="nil"/>
            </w:tcBorders>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.717</w:t>
            </w:r>
            <w:r>
              <w:rPr>
                <w:rFonts w:ascii="Calibri" w:eastAsia="Times New Roman" w:hAnsi="Calibri" w:cs="Calibri"/>
                <w:b/>
                <w:sz w:val="22"/>
                <w:szCs w:val="22"/>
                <w:vertAlign w:val="superscript"/>
                <w:lang w:val="en-GB" w:eastAsia="en-GB"/>
              </w:rPr>
              <w:t>**</w:t>
            </w:r>
          </w:p>
        </w:tc>
        <w:tc>
          <w:tcPr>
            <w:tcW w:w="920" w:type="dxa"/>
            <w:tcBorders>
              <w:top w:val="single" w:sz="4" w:space="0" w:color="auto"/>
              <w:left w:val="nil"/>
              <w:bottom w:val="nil"/>
              <w:right w:val="nil"/>
            </w:tcBorders>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.674</w:t>
            </w:r>
            <w:r>
              <w:rPr>
                <w:rFonts w:ascii="Calibri" w:eastAsia="Times New Roman" w:hAnsi="Calibri" w:cs="Calibri"/>
                <w:b/>
                <w:sz w:val="22"/>
                <w:szCs w:val="22"/>
                <w:vertAlign w:val="superscript"/>
                <w:lang w:val="en-GB" w:eastAsia="en-GB"/>
              </w:rPr>
              <w:t>**</w:t>
            </w:r>
          </w:p>
        </w:tc>
        <w:tc>
          <w:tcPr>
            <w:tcW w:w="920" w:type="dxa"/>
            <w:tcBorders>
              <w:top w:val="single" w:sz="4" w:space="0" w:color="auto"/>
              <w:left w:val="nil"/>
              <w:bottom w:val="nil"/>
              <w:right w:val="nil"/>
            </w:tcBorders>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.704</w:t>
            </w:r>
            <w:r>
              <w:rPr>
                <w:rFonts w:ascii="Calibri" w:eastAsia="Times New Roman" w:hAnsi="Calibri" w:cs="Calibri"/>
                <w:b/>
                <w:sz w:val="22"/>
                <w:szCs w:val="22"/>
                <w:vertAlign w:val="superscript"/>
                <w:lang w:val="en-GB" w:eastAsia="en-GB"/>
              </w:rPr>
              <w:t>**</w:t>
            </w:r>
          </w:p>
        </w:tc>
      </w:tr>
      <w:tr w:rsidR="007F5EBC" w:rsidTr="007F5EBC">
        <w:trPr>
          <w:trHeight w:val="429"/>
          <w:jc w:val="center"/>
        </w:trPr>
        <w:tc>
          <w:tcPr>
            <w:tcW w:w="993" w:type="dxa"/>
            <w:hideMark/>
          </w:tcPr>
          <w:p w:rsidR="007F5EBC" w:rsidRDefault="007F5EBC" w:rsidP="00604C98">
            <w:pPr>
              <w:spacing w:after="0" w:line="240" w:lineRule="auto"/>
            </w:pP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Recollection</w:t>
            </w:r>
          </w:p>
        </w:tc>
        <w:tc>
          <w:tcPr>
            <w:tcW w:w="920" w:type="dxa"/>
            <w:noWrap/>
            <w:hideMark/>
          </w:tcPr>
          <w:p w:rsidR="007F5EBC" w:rsidRDefault="007F5EBC" w:rsidP="00604C98">
            <w:pPr>
              <w:spacing w:after="0" w:line="240" w:lineRule="auto"/>
            </w:pP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.229</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.139</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.423</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.166</w:t>
            </w:r>
          </w:p>
        </w:tc>
      </w:tr>
      <w:tr w:rsidR="007F5EBC" w:rsidTr="007F5EBC">
        <w:trPr>
          <w:trHeight w:val="324"/>
          <w:jc w:val="center"/>
        </w:trPr>
        <w:tc>
          <w:tcPr>
            <w:tcW w:w="993" w:type="dxa"/>
            <w:hideMark/>
          </w:tcPr>
          <w:p w:rsidR="007F5EBC" w:rsidRDefault="007F5EBC" w:rsidP="00604C98">
            <w:pPr>
              <w:spacing w:after="0" w:line="240" w:lineRule="auto"/>
              <w:rPr>
                <w:rFonts w:ascii="Calibri" w:eastAsia="Times New Roman" w:hAnsi="Calibri" w:cs="Calibri"/>
                <w:sz w:val="22"/>
                <w:szCs w:val="22"/>
                <w:lang w:val="en-GB" w:eastAsia="en-GB"/>
              </w:rPr>
            </w:pPr>
            <w:r>
              <w:rPr>
                <w:lang w:eastAsia="en-GB"/>
              </w:rPr>
              <w:t>ASD</w:t>
            </w:r>
            <w:r>
              <w:rPr>
                <w:vertAlign w:val="superscript"/>
                <w:lang w:eastAsia="en-GB"/>
              </w:rPr>
              <w:t>TL</w:t>
            </w: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Familiarity</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.420</w:t>
            </w:r>
            <w:r>
              <w:rPr>
                <w:rFonts w:ascii="Calibri" w:eastAsia="Times New Roman" w:hAnsi="Calibri" w:cs="Calibri"/>
                <w:b/>
                <w:sz w:val="22"/>
                <w:szCs w:val="22"/>
                <w:vertAlign w:val="superscript"/>
                <w:lang w:val="en-GB" w:eastAsia="en-GB"/>
              </w:rPr>
              <w:t>*</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.317</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.476</w:t>
            </w:r>
            <w:r>
              <w:rPr>
                <w:rFonts w:ascii="Calibri" w:eastAsia="Times New Roman" w:hAnsi="Calibri" w:cs="Calibri"/>
                <w:b/>
                <w:sz w:val="22"/>
                <w:szCs w:val="22"/>
                <w:vertAlign w:val="superscript"/>
                <w:lang w:val="en-GB" w:eastAsia="en-GB"/>
              </w:rPr>
              <w:t>*</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.442</w:t>
            </w:r>
            <w:r>
              <w:rPr>
                <w:rFonts w:ascii="Calibri" w:eastAsia="Times New Roman" w:hAnsi="Calibri" w:cs="Calibri"/>
                <w:b/>
                <w:sz w:val="22"/>
                <w:szCs w:val="22"/>
                <w:vertAlign w:val="superscript"/>
                <w:lang w:val="en-GB" w:eastAsia="en-GB"/>
              </w:rPr>
              <w:t>*</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.642</w:t>
            </w:r>
            <w:r>
              <w:rPr>
                <w:rFonts w:ascii="Calibri" w:eastAsia="Times New Roman" w:hAnsi="Calibri" w:cs="Calibri"/>
                <w:b/>
                <w:sz w:val="22"/>
                <w:szCs w:val="22"/>
                <w:vertAlign w:val="superscript"/>
                <w:lang w:val="en-GB" w:eastAsia="en-GB"/>
              </w:rPr>
              <w:t>**</w:t>
            </w:r>
          </w:p>
        </w:tc>
      </w:tr>
      <w:tr w:rsidR="007F5EBC" w:rsidTr="007F5EBC">
        <w:trPr>
          <w:trHeight w:val="382"/>
          <w:jc w:val="center"/>
        </w:trPr>
        <w:tc>
          <w:tcPr>
            <w:tcW w:w="993" w:type="dxa"/>
            <w:hideMark/>
          </w:tcPr>
          <w:p w:rsidR="007F5EBC" w:rsidRDefault="007F5EBC" w:rsidP="00604C98">
            <w:pPr>
              <w:spacing w:after="0" w:line="240" w:lineRule="auto"/>
            </w:pP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Recollection</w:t>
            </w:r>
          </w:p>
        </w:tc>
        <w:tc>
          <w:tcPr>
            <w:tcW w:w="920" w:type="dxa"/>
            <w:noWrap/>
            <w:hideMark/>
          </w:tcPr>
          <w:p w:rsidR="007F5EBC" w:rsidRDefault="007F5EBC" w:rsidP="00604C98">
            <w:pPr>
              <w:spacing w:after="0" w:line="240" w:lineRule="auto"/>
            </w:pP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.191</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.179</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.516</w:t>
            </w:r>
            <w:r>
              <w:rPr>
                <w:rFonts w:ascii="Calibri" w:eastAsia="Times New Roman" w:hAnsi="Calibri" w:cs="Calibri"/>
                <w:b/>
                <w:sz w:val="22"/>
                <w:szCs w:val="22"/>
                <w:vertAlign w:val="superscript"/>
                <w:lang w:val="en-GB" w:eastAsia="en-GB"/>
              </w:rPr>
              <w:t>**</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.608</w:t>
            </w:r>
            <w:r>
              <w:rPr>
                <w:rFonts w:ascii="Calibri" w:eastAsia="Times New Roman" w:hAnsi="Calibri" w:cs="Calibri"/>
                <w:b/>
                <w:sz w:val="22"/>
                <w:szCs w:val="22"/>
                <w:vertAlign w:val="superscript"/>
                <w:lang w:val="en-GB" w:eastAsia="en-GB"/>
              </w:rPr>
              <w:t>**</w:t>
            </w:r>
          </w:p>
        </w:tc>
      </w:tr>
      <w:tr w:rsidR="007F5EBC" w:rsidTr="007F5EBC">
        <w:trPr>
          <w:trHeight w:val="336"/>
          <w:jc w:val="center"/>
        </w:trPr>
        <w:tc>
          <w:tcPr>
            <w:tcW w:w="993" w:type="dxa"/>
            <w:hideMark/>
          </w:tcPr>
          <w:p w:rsidR="007F5EBC" w:rsidRDefault="007F5EBC" w:rsidP="00604C98">
            <w:pPr>
              <w:spacing w:after="0" w:line="240" w:lineRule="auto"/>
              <w:rPr>
                <w:rFonts w:ascii="Calibri" w:eastAsia="Times New Roman" w:hAnsi="Calibri" w:cs="Calibri"/>
                <w:sz w:val="22"/>
                <w:szCs w:val="22"/>
                <w:lang w:val="en-GB" w:eastAsia="en-GB"/>
              </w:rPr>
            </w:pPr>
            <w:r>
              <w:rPr>
                <w:lang w:eastAsia="en-GB"/>
              </w:rPr>
              <w:t>LD</w:t>
            </w: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Familiarity</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.476</w:t>
            </w:r>
            <w:r>
              <w:rPr>
                <w:rFonts w:ascii="Calibri" w:eastAsia="Times New Roman" w:hAnsi="Calibri" w:cs="Calibri"/>
                <w:b/>
                <w:sz w:val="22"/>
                <w:szCs w:val="22"/>
                <w:vertAlign w:val="superscript"/>
                <w:lang w:val="en-GB" w:eastAsia="en-GB"/>
              </w:rPr>
              <w:t>*</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.438</w:t>
            </w:r>
            <w:r>
              <w:rPr>
                <w:rFonts w:ascii="Calibri" w:eastAsia="Times New Roman" w:hAnsi="Calibri" w:cs="Calibri"/>
                <w:b/>
                <w:sz w:val="22"/>
                <w:szCs w:val="22"/>
                <w:vertAlign w:val="superscript"/>
                <w:lang w:val="en-GB" w:eastAsia="en-GB"/>
              </w:rPr>
              <w:t>*</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.529</w:t>
            </w:r>
            <w:r>
              <w:rPr>
                <w:rFonts w:ascii="Calibri" w:eastAsia="Times New Roman" w:hAnsi="Calibri" w:cs="Calibri"/>
                <w:b/>
                <w:sz w:val="22"/>
                <w:szCs w:val="22"/>
                <w:vertAlign w:val="superscript"/>
                <w:lang w:val="en-GB" w:eastAsia="en-GB"/>
              </w:rPr>
              <w:t>**</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.418</w:t>
            </w:r>
            <w:r>
              <w:rPr>
                <w:rFonts w:ascii="Calibri" w:eastAsia="Times New Roman" w:hAnsi="Calibri" w:cs="Calibri"/>
                <w:b/>
                <w:sz w:val="22"/>
                <w:szCs w:val="22"/>
                <w:vertAlign w:val="superscript"/>
                <w:lang w:val="en-GB" w:eastAsia="en-GB"/>
              </w:rPr>
              <w:t>*</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.523</w:t>
            </w:r>
            <w:r>
              <w:rPr>
                <w:rFonts w:ascii="Calibri" w:eastAsia="Times New Roman" w:hAnsi="Calibri" w:cs="Calibri"/>
                <w:b/>
                <w:sz w:val="22"/>
                <w:szCs w:val="22"/>
                <w:vertAlign w:val="superscript"/>
                <w:lang w:val="en-GB" w:eastAsia="en-GB"/>
              </w:rPr>
              <w:t>**</w:t>
            </w:r>
          </w:p>
        </w:tc>
      </w:tr>
      <w:tr w:rsidR="007F5EBC" w:rsidTr="007F5EBC">
        <w:trPr>
          <w:trHeight w:val="379"/>
          <w:jc w:val="center"/>
        </w:trPr>
        <w:tc>
          <w:tcPr>
            <w:tcW w:w="993" w:type="dxa"/>
            <w:hideMark/>
          </w:tcPr>
          <w:p w:rsidR="007F5EBC" w:rsidRDefault="007F5EBC" w:rsidP="00604C98">
            <w:pPr>
              <w:spacing w:after="0" w:line="240" w:lineRule="auto"/>
            </w:pP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Recollection</w:t>
            </w:r>
          </w:p>
        </w:tc>
        <w:tc>
          <w:tcPr>
            <w:tcW w:w="920" w:type="dxa"/>
            <w:noWrap/>
            <w:hideMark/>
          </w:tcPr>
          <w:p w:rsidR="007F5EBC" w:rsidRDefault="007F5EBC" w:rsidP="00604C98">
            <w:pPr>
              <w:spacing w:after="0" w:line="240" w:lineRule="auto"/>
            </w:pP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.593</w:t>
            </w:r>
            <w:r>
              <w:rPr>
                <w:rFonts w:ascii="Calibri" w:eastAsia="Times New Roman" w:hAnsi="Calibri" w:cs="Calibri"/>
                <w:b/>
                <w:sz w:val="22"/>
                <w:szCs w:val="22"/>
                <w:vertAlign w:val="superscript"/>
                <w:lang w:val="en-GB" w:eastAsia="en-GB"/>
              </w:rPr>
              <w:t>**</w:t>
            </w:r>
          </w:p>
        </w:tc>
        <w:tc>
          <w:tcPr>
            <w:tcW w:w="920" w:type="dxa"/>
            <w:noWrap/>
            <w:hideMark/>
          </w:tcPr>
          <w:p w:rsidR="007F5EBC" w:rsidRDefault="007F5EBC" w:rsidP="00604C98">
            <w:pPr>
              <w:spacing w:after="0" w:line="240" w:lineRule="auto"/>
              <w:jc w:val="center"/>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.456</w:t>
            </w:r>
            <w:r>
              <w:rPr>
                <w:rFonts w:ascii="Calibri" w:eastAsia="Times New Roman" w:hAnsi="Calibri" w:cs="Calibri"/>
                <w:b/>
                <w:sz w:val="22"/>
                <w:szCs w:val="22"/>
                <w:vertAlign w:val="superscript"/>
                <w:lang w:val="en-GB" w:eastAsia="en-GB"/>
              </w:rPr>
              <w:t>*</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.166</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.215</w:t>
            </w:r>
          </w:p>
        </w:tc>
      </w:tr>
      <w:tr w:rsidR="007F5EBC" w:rsidTr="007F5EBC">
        <w:trPr>
          <w:trHeight w:val="288"/>
          <w:jc w:val="center"/>
        </w:trPr>
        <w:tc>
          <w:tcPr>
            <w:tcW w:w="993" w:type="dxa"/>
            <w:hideMark/>
          </w:tcPr>
          <w:p w:rsidR="007F5EBC" w:rsidRDefault="007F5EBC" w:rsidP="00604C98">
            <w:pPr>
              <w:spacing w:after="0" w:line="240" w:lineRule="auto"/>
              <w:rPr>
                <w:rFonts w:ascii="Calibri" w:eastAsia="Times New Roman" w:hAnsi="Calibri" w:cs="Calibri"/>
                <w:sz w:val="22"/>
                <w:szCs w:val="22"/>
                <w:lang w:val="en-GB" w:eastAsia="en-GB"/>
              </w:rPr>
            </w:pPr>
            <w:r>
              <w:rPr>
                <w:lang w:eastAsia="en-GB"/>
              </w:rPr>
              <w:t>TD</w:t>
            </w: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Familiarity</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.190</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-.020</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-.019</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.008</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-.086</w:t>
            </w:r>
          </w:p>
        </w:tc>
      </w:tr>
      <w:tr w:rsidR="007F5EBC" w:rsidTr="007F5EBC">
        <w:trPr>
          <w:trHeight w:val="300"/>
          <w:jc w:val="center"/>
        </w:trPr>
        <w:tc>
          <w:tcPr>
            <w:tcW w:w="993" w:type="dxa"/>
            <w:tcBorders>
              <w:top w:val="nil"/>
              <w:left w:val="nil"/>
              <w:bottom w:val="double" w:sz="6" w:space="0" w:color="auto"/>
              <w:right w:val="nil"/>
            </w:tcBorders>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w:t>
            </w:r>
          </w:p>
        </w:tc>
        <w:tc>
          <w:tcPr>
            <w:tcW w:w="1520" w:type="dxa"/>
            <w:tcBorders>
              <w:top w:val="nil"/>
              <w:left w:val="nil"/>
              <w:bottom w:val="double" w:sz="6" w:space="0" w:color="auto"/>
              <w:right w:val="nil"/>
            </w:tcBorders>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Recollection</w:t>
            </w:r>
          </w:p>
        </w:tc>
        <w:tc>
          <w:tcPr>
            <w:tcW w:w="920" w:type="dxa"/>
            <w:tcBorders>
              <w:top w:val="nil"/>
              <w:left w:val="nil"/>
              <w:bottom w:val="double" w:sz="6" w:space="0" w:color="auto"/>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w:t>
            </w:r>
          </w:p>
        </w:tc>
        <w:tc>
          <w:tcPr>
            <w:tcW w:w="920" w:type="dxa"/>
            <w:tcBorders>
              <w:top w:val="nil"/>
              <w:left w:val="nil"/>
              <w:bottom w:val="double" w:sz="6" w:space="0" w:color="auto"/>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-.202</w:t>
            </w:r>
          </w:p>
        </w:tc>
        <w:tc>
          <w:tcPr>
            <w:tcW w:w="920" w:type="dxa"/>
            <w:tcBorders>
              <w:top w:val="nil"/>
              <w:left w:val="nil"/>
              <w:bottom w:val="double" w:sz="6" w:space="0" w:color="auto"/>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.103</w:t>
            </w:r>
          </w:p>
        </w:tc>
        <w:tc>
          <w:tcPr>
            <w:tcW w:w="920" w:type="dxa"/>
            <w:tcBorders>
              <w:top w:val="nil"/>
              <w:left w:val="nil"/>
              <w:bottom w:val="double" w:sz="6" w:space="0" w:color="auto"/>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.121</w:t>
            </w:r>
          </w:p>
        </w:tc>
        <w:tc>
          <w:tcPr>
            <w:tcW w:w="920" w:type="dxa"/>
            <w:tcBorders>
              <w:top w:val="nil"/>
              <w:left w:val="nil"/>
              <w:bottom w:val="double" w:sz="6" w:space="0" w:color="auto"/>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.118</w:t>
            </w:r>
          </w:p>
        </w:tc>
      </w:tr>
      <w:tr w:rsidR="007F5EBC" w:rsidTr="007F5EBC">
        <w:trPr>
          <w:trHeight w:val="300"/>
          <w:jc w:val="center"/>
        </w:trPr>
        <w:tc>
          <w:tcPr>
            <w:tcW w:w="7117" w:type="dxa"/>
            <w:gridSpan w:val="7"/>
            <w:hideMark/>
          </w:tcPr>
          <w:p w:rsidR="007F5EBC" w:rsidRDefault="007F5EBC" w:rsidP="00604C9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Correlation is significant at the 0.05 level (2-tailed).</w:t>
            </w:r>
          </w:p>
        </w:tc>
      </w:tr>
      <w:tr w:rsidR="007F5EBC" w:rsidTr="007F5EBC">
        <w:trPr>
          <w:trHeight w:val="288"/>
          <w:jc w:val="center"/>
        </w:trPr>
        <w:tc>
          <w:tcPr>
            <w:tcW w:w="7117" w:type="dxa"/>
            <w:gridSpan w:val="7"/>
            <w:hideMark/>
          </w:tcPr>
          <w:p w:rsidR="007F5EBC" w:rsidRDefault="007F5EBC" w:rsidP="00604C9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Correlation is significant at the 0.01 level (2-tailed).</w:t>
            </w:r>
          </w:p>
        </w:tc>
      </w:tr>
    </w:tbl>
    <w:p w:rsidR="00B127AB" w:rsidRDefault="00B127AB" w:rsidP="00604C98">
      <w:pPr>
        <w:spacing w:line="240" w:lineRule="auto"/>
        <w:rPr>
          <w:i/>
        </w:rPr>
      </w:pPr>
    </w:p>
    <w:p w:rsidR="00B127AB" w:rsidRDefault="00B127AB" w:rsidP="00604C98">
      <w:pPr>
        <w:spacing w:after="0" w:line="240" w:lineRule="auto"/>
        <w:rPr>
          <w:i/>
        </w:rPr>
      </w:pPr>
    </w:p>
    <w:p w:rsidR="007F5EBC" w:rsidRDefault="007F5EBC" w:rsidP="00604C98">
      <w:pPr>
        <w:spacing w:after="0" w:line="240" w:lineRule="auto"/>
        <w:rPr>
          <w:i/>
        </w:rPr>
      </w:pPr>
      <w:r>
        <w:rPr>
          <w:i/>
        </w:rPr>
        <w:t xml:space="preserve">Table 3: Descriptive statistics for the four participant groups in </w:t>
      </w:r>
      <w:r w:rsidR="00A20E6C">
        <w:rPr>
          <w:i/>
        </w:rPr>
        <w:t>Experiment 2</w:t>
      </w:r>
      <w:r>
        <w:rPr>
          <w:i/>
        </w:rPr>
        <w:t>.</w:t>
      </w:r>
    </w:p>
    <w:tbl>
      <w:tblPr>
        <w:tblW w:w="9748" w:type="dxa"/>
        <w:jc w:val="center"/>
        <w:tblLook w:val="04A0" w:firstRow="1" w:lastRow="0" w:firstColumn="1" w:lastColumn="0" w:noHBand="0" w:noVBand="1"/>
      </w:tblPr>
      <w:tblGrid>
        <w:gridCol w:w="9748"/>
      </w:tblGrid>
      <w:tr w:rsidR="007F5EBC" w:rsidTr="007F5EBC">
        <w:trPr>
          <w:trHeight w:val="146"/>
          <w:jc w:val="center"/>
        </w:trPr>
        <w:tc>
          <w:tcPr>
            <w:tcW w:w="9748" w:type="dxa"/>
            <w:noWrap/>
            <w:vAlign w:val="bottom"/>
            <w:hideMark/>
          </w:tcPr>
          <w:tbl>
            <w:tblPr>
              <w:tblW w:w="9214" w:type="dxa"/>
              <w:tblInd w:w="176" w:type="dxa"/>
              <w:tblLook w:val="04A0" w:firstRow="1" w:lastRow="0" w:firstColumn="1" w:lastColumn="0" w:noHBand="0" w:noVBand="1"/>
            </w:tblPr>
            <w:tblGrid>
              <w:gridCol w:w="1276"/>
              <w:gridCol w:w="992"/>
              <w:gridCol w:w="992"/>
              <w:gridCol w:w="1134"/>
              <w:gridCol w:w="993"/>
              <w:gridCol w:w="992"/>
              <w:gridCol w:w="850"/>
              <w:gridCol w:w="992"/>
              <w:gridCol w:w="993"/>
            </w:tblGrid>
            <w:tr w:rsidR="007F5EBC">
              <w:trPr>
                <w:trHeight w:val="324"/>
              </w:trPr>
              <w:tc>
                <w:tcPr>
                  <w:tcW w:w="1276" w:type="dxa"/>
                  <w:noWrap/>
                  <w:vAlign w:val="bottom"/>
                  <w:hideMark/>
                </w:tcPr>
                <w:p w:rsidR="007F5EBC" w:rsidRDefault="007F5EBC" w:rsidP="00604C98">
                  <w:pPr>
                    <w:spacing w:line="240" w:lineRule="auto"/>
                  </w:pPr>
                </w:p>
              </w:tc>
              <w:tc>
                <w:tcPr>
                  <w:tcW w:w="1984" w:type="dxa"/>
                  <w:gridSpan w:val="2"/>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ASD</w:t>
                  </w:r>
                  <w:r>
                    <w:rPr>
                      <w:rFonts w:ascii="Calibri" w:eastAsia="Times New Roman" w:hAnsi="Calibri" w:cs="Calibri"/>
                      <w:sz w:val="22"/>
                      <w:szCs w:val="22"/>
                      <w:vertAlign w:val="superscript"/>
                      <w:lang w:val="en-GB" w:eastAsia="en-GB"/>
                    </w:rPr>
                    <w:t xml:space="preserve">LI/LD </w:t>
                  </w:r>
                  <w:r>
                    <w:rPr>
                      <w:rFonts w:ascii="Calibri" w:eastAsia="Times New Roman" w:hAnsi="Calibri" w:cs="Calibri"/>
                      <w:sz w:val="22"/>
                      <w:szCs w:val="22"/>
                      <w:lang w:val="en-GB" w:eastAsia="en-GB"/>
                    </w:rPr>
                    <w:t>(N = 18)</w:t>
                  </w:r>
                </w:p>
              </w:tc>
              <w:tc>
                <w:tcPr>
                  <w:tcW w:w="2127" w:type="dxa"/>
                  <w:gridSpan w:val="2"/>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ASD</w:t>
                  </w:r>
                  <w:r>
                    <w:rPr>
                      <w:rFonts w:ascii="Calibri" w:eastAsia="Times New Roman" w:hAnsi="Calibri" w:cs="Calibri"/>
                      <w:sz w:val="22"/>
                      <w:szCs w:val="22"/>
                      <w:vertAlign w:val="superscript"/>
                      <w:lang w:val="en-GB" w:eastAsia="en-GB"/>
                    </w:rPr>
                    <w:t xml:space="preserve">TL </w:t>
                  </w:r>
                  <w:r>
                    <w:rPr>
                      <w:rFonts w:ascii="Calibri" w:eastAsia="Times New Roman" w:hAnsi="Calibri" w:cs="Calibri"/>
                      <w:sz w:val="22"/>
                      <w:szCs w:val="22"/>
                      <w:lang w:val="en-GB" w:eastAsia="en-GB"/>
                    </w:rPr>
                    <w:t>(N = 26)</w:t>
                  </w:r>
                </w:p>
              </w:tc>
              <w:tc>
                <w:tcPr>
                  <w:tcW w:w="1842" w:type="dxa"/>
                  <w:gridSpan w:val="2"/>
                  <w:noWrap/>
                  <w:vAlign w:val="bottom"/>
                  <w:hideMark/>
                </w:tcPr>
                <w:p w:rsidR="007F5EBC" w:rsidRDefault="00145285"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xml:space="preserve">TD </w:t>
                  </w:r>
                  <w:r w:rsidR="007F5EBC">
                    <w:rPr>
                      <w:rFonts w:ascii="Calibri" w:eastAsia="Times New Roman" w:hAnsi="Calibri" w:cs="Calibri"/>
                      <w:sz w:val="22"/>
                      <w:szCs w:val="22"/>
                      <w:lang w:val="en-GB" w:eastAsia="en-GB"/>
                    </w:rPr>
                    <w:t>(N = 24)</w:t>
                  </w:r>
                </w:p>
              </w:tc>
              <w:tc>
                <w:tcPr>
                  <w:tcW w:w="1980" w:type="dxa"/>
                  <w:gridSpan w:val="2"/>
                  <w:noWrap/>
                  <w:vAlign w:val="bottom"/>
                  <w:hideMark/>
                </w:tcPr>
                <w:p w:rsidR="007F5EBC" w:rsidRDefault="00145285"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xml:space="preserve">LD </w:t>
                  </w:r>
                  <w:r w:rsidR="007F5EBC">
                    <w:rPr>
                      <w:rFonts w:ascii="Calibri" w:eastAsia="Times New Roman" w:hAnsi="Calibri" w:cs="Calibri"/>
                      <w:sz w:val="22"/>
                      <w:szCs w:val="22"/>
                      <w:lang w:val="en-GB" w:eastAsia="en-GB"/>
                    </w:rPr>
                    <w:t>(N = 23)</w:t>
                  </w:r>
                </w:p>
              </w:tc>
            </w:tr>
            <w:tr w:rsidR="007F5EBC">
              <w:trPr>
                <w:trHeight w:val="288"/>
              </w:trPr>
              <w:tc>
                <w:tcPr>
                  <w:tcW w:w="1276" w:type="dxa"/>
                  <w:noWrap/>
                  <w:vAlign w:val="bottom"/>
                  <w:hideMark/>
                </w:tcPr>
                <w:p w:rsidR="007F5EBC" w:rsidRDefault="007F5EBC" w:rsidP="00604C98">
                  <w:pPr>
                    <w:spacing w:after="0" w:line="240" w:lineRule="auto"/>
                  </w:pPr>
                </w:p>
              </w:tc>
              <w:tc>
                <w:tcPr>
                  <w:tcW w:w="992" w:type="dxa"/>
                  <w:noWrap/>
                  <w:vAlign w:val="bottom"/>
                  <w:hideMark/>
                </w:tcPr>
                <w:p w:rsidR="007F5EBC" w:rsidRDefault="007F5EBC" w:rsidP="00604C98">
                  <w:pPr>
                    <w:spacing w:after="0" w:line="240" w:lineRule="auto"/>
                    <w:jc w:val="center"/>
                    <w:rPr>
                      <w:rFonts w:ascii="Calibri" w:eastAsia="Times New Roman" w:hAnsi="Calibri" w:cs="Calibri"/>
                      <w:i/>
                      <w:iCs/>
                      <w:sz w:val="22"/>
                      <w:szCs w:val="22"/>
                      <w:lang w:val="en-GB" w:eastAsia="en-GB"/>
                    </w:rPr>
                  </w:pPr>
                  <w:r>
                    <w:rPr>
                      <w:rFonts w:ascii="Calibri" w:eastAsia="Times New Roman" w:hAnsi="Calibri" w:cs="Calibri"/>
                      <w:i/>
                      <w:iCs/>
                      <w:sz w:val="22"/>
                      <w:szCs w:val="22"/>
                      <w:lang w:val="en-GB" w:eastAsia="en-GB"/>
                    </w:rPr>
                    <w:t>M (SD)</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Range</w:t>
                  </w:r>
                </w:p>
              </w:tc>
              <w:tc>
                <w:tcPr>
                  <w:tcW w:w="1134" w:type="dxa"/>
                  <w:noWrap/>
                  <w:vAlign w:val="bottom"/>
                  <w:hideMark/>
                </w:tcPr>
                <w:p w:rsidR="007F5EBC" w:rsidRDefault="007F5EBC" w:rsidP="00604C98">
                  <w:pPr>
                    <w:spacing w:after="0" w:line="240" w:lineRule="auto"/>
                    <w:jc w:val="center"/>
                    <w:rPr>
                      <w:rFonts w:ascii="Calibri" w:eastAsia="Times New Roman" w:hAnsi="Calibri" w:cs="Calibri"/>
                      <w:i/>
                      <w:iCs/>
                      <w:sz w:val="22"/>
                      <w:szCs w:val="22"/>
                      <w:lang w:val="en-GB" w:eastAsia="en-GB"/>
                    </w:rPr>
                  </w:pPr>
                  <w:r>
                    <w:rPr>
                      <w:rFonts w:ascii="Calibri" w:eastAsia="Times New Roman" w:hAnsi="Calibri" w:cs="Calibri"/>
                      <w:i/>
                      <w:iCs/>
                      <w:sz w:val="22"/>
                      <w:szCs w:val="22"/>
                      <w:lang w:val="en-GB" w:eastAsia="en-GB"/>
                    </w:rPr>
                    <w:t>M (SD)</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Range</w:t>
                  </w:r>
                </w:p>
              </w:tc>
              <w:tc>
                <w:tcPr>
                  <w:tcW w:w="992" w:type="dxa"/>
                  <w:noWrap/>
                  <w:vAlign w:val="bottom"/>
                  <w:hideMark/>
                </w:tcPr>
                <w:p w:rsidR="007F5EBC" w:rsidRDefault="007F5EBC" w:rsidP="00604C98">
                  <w:pPr>
                    <w:spacing w:after="0" w:line="240" w:lineRule="auto"/>
                    <w:jc w:val="center"/>
                    <w:rPr>
                      <w:rFonts w:ascii="Calibri" w:eastAsia="Times New Roman" w:hAnsi="Calibri" w:cs="Calibri"/>
                      <w:i/>
                      <w:iCs/>
                      <w:sz w:val="22"/>
                      <w:szCs w:val="22"/>
                      <w:lang w:val="en-GB" w:eastAsia="en-GB"/>
                    </w:rPr>
                  </w:pPr>
                  <w:r>
                    <w:rPr>
                      <w:rFonts w:ascii="Calibri" w:eastAsia="Times New Roman" w:hAnsi="Calibri" w:cs="Calibri"/>
                      <w:i/>
                      <w:iCs/>
                      <w:sz w:val="22"/>
                      <w:szCs w:val="22"/>
                      <w:lang w:val="en-GB" w:eastAsia="en-GB"/>
                    </w:rPr>
                    <w:t>M (SD)</w:t>
                  </w:r>
                </w:p>
              </w:tc>
              <w:tc>
                <w:tcPr>
                  <w:tcW w:w="850"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Range</w:t>
                  </w:r>
                </w:p>
              </w:tc>
              <w:tc>
                <w:tcPr>
                  <w:tcW w:w="992" w:type="dxa"/>
                  <w:noWrap/>
                  <w:vAlign w:val="bottom"/>
                  <w:hideMark/>
                </w:tcPr>
                <w:p w:rsidR="007F5EBC" w:rsidRDefault="007F5EBC" w:rsidP="00604C98">
                  <w:pPr>
                    <w:spacing w:after="0" w:line="240" w:lineRule="auto"/>
                    <w:jc w:val="center"/>
                    <w:rPr>
                      <w:rFonts w:ascii="Calibri" w:eastAsia="Times New Roman" w:hAnsi="Calibri" w:cs="Calibri"/>
                      <w:i/>
                      <w:iCs/>
                      <w:sz w:val="22"/>
                      <w:szCs w:val="22"/>
                      <w:lang w:val="en-GB" w:eastAsia="en-GB"/>
                    </w:rPr>
                  </w:pPr>
                  <w:r>
                    <w:rPr>
                      <w:rFonts w:ascii="Calibri" w:eastAsia="Times New Roman" w:hAnsi="Calibri" w:cs="Calibri"/>
                      <w:i/>
                      <w:iCs/>
                      <w:sz w:val="22"/>
                      <w:szCs w:val="22"/>
                      <w:lang w:val="en-GB" w:eastAsia="en-GB"/>
                    </w:rPr>
                    <w:t>M (SD)</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Range</w:t>
                  </w:r>
                </w:p>
              </w:tc>
            </w:tr>
            <w:tr w:rsidR="007F5EBC">
              <w:trPr>
                <w:trHeight w:val="288"/>
              </w:trPr>
              <w:tc>
                <w:tcPr>
                  <w:tcW w:w="1276" w:type="dxa"/>
                  <w:tcBorders>
                    <w:top w:val="single" w:sz="4" w:space="0" w:color="auto"/>
                    <w:left w:val="nil"/>
                    <w:bottom w:val="nil"/>
                    <w:right w:val="nil"/>
                  </w:tcBorders>
                  <w:noWrap/>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Age (mths)</w:t>
                  </w:r>
                </w:p>
              </w:tc>
              <w:tc>
                <w:tcPr>
                  <w:tcW w:w="992"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180 (26)</w:t>
                  </w:r>
                </w:p>
              </w:tc>
              <w:tc>
                <w:tcPr>
                  <w:tcW w:w="992"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123-218</w:t>
                  </w:r>
                </w:p>
              </w:tc>
              <w:tc>
                <w:tcPr>
                  <w:tcW w:w="1134"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109 (16)</w:t>
                  </w:r>
                </w:p>
              </w:tc>
              <w:tc>
                <w:tcPr>
                  <w:tcW w:w="993"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75-136</w:t>
                  </w:r>
                </w:p>
              </w:tc>
              <w:tc>
                <w:tcPr>
                  <w:tcW w:w="992"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98 (11)</w:t>
                  </w:r>
                </w:p>
              </w:tc>
              <w:tc>
                <w:tcPr>
                  <w:tcW w:w="850"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81-114</w:t>
                  </w:r>
                </w:p>
              </w:tc>
              <w:tc>
                <w:tcPr>
                  <w:tcW w:w="992"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175 (22)</w:t>
                  </w:r>
                </w:p>
              </w:tc>
              <w:tc>
                <w:tcPr>
                  <w:tcW w:w="993" w:type="dxa"/>
                  <w:tcBorders>
                    <w:top w:val="single" w:sz="4" w:space="0" w:color="auto"/>
                    <w:left w:val="nil"/>
                    <w:bottom w:val="nil"/>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136-213</w:t>
                  </w:r>
                </w:p>
              </w:tc>
            </w:tr>
            <w:tr w:rsidR="007F5EBC">
              <w:trPr>
                <w:trHeight w:val="324"/>
              </w:trPr>
              <w:tc>
                <w:tcPr>
                  <w:tcW w:w="1276" w:type="dxa"/>
                  <w:noWrap/>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VIQ</w:t>
                  </w:r>
                  <w:r>
                    <w:rPr>
                      <w:rFonts w:ascii="Calibri" w:eastAsia="Times New Roman" w:hAnsi="Calibri" w:cs="Calibri"/>
                      <w:sz w:val="22"/>
                      <w:szCs w:val="22"/>
                      <w:vertAlign w:val="superscript"/>
                      <w:lang w:val="en-GB" w:eastAsia="en-GB"/>
                    </w:rPr>
                    <w:t>a</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65 (6)</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55-75</w:t>
                  </w:r>
                </w:p>
              </w:tc>
              <w:tc>
                <w:tcPr>
                  <w:tcW w:w="1134"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105 (12)</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91-135</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107 (7)</w:t>
                  </w:r>
                </w:p>
              </w:tc>
              <w:tc>
                <w:tcPr>
                  <w:tcW w:w="850"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95-119</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62 (5)</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55-74</w:t>
                  </w:r>
                </w:p>
              </w:tc>
            </w:tr>
            <w:tr w:rsidR="007F5EBC">
              <w:trPr>
                <w:trHeight w:val="324"/>
              </w:trPr>
              <w:tc>
                <w:tcPr>
                  <w:tcW w:w="1276" w:type="dxa"/>
                  <w:noWrap/>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CPM</w:t>
                  </w:r>
                  <w:r>
                    <w:rPr>
                      <w:rFonts w:ascii="Calibri" w:eastAsia="Times New Roman" w:hAnsi="Calibri" w:cs="Calibri"/>
                      <w:sz w:val="22"/>
                      <w:szCs w:val="22"/>
                      <w:vertAlign w:val="superscript"/>
                      <w:lang w:val="en-GB" w:eastAsia="en-GB"/>
                    </w:rPr>
                    <w:t>b</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28 (5)</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16-36</w:t>
                  </w:r>
                </w:p>
              </w:tc>
              <w:tc>
                <w:tcPr>
                  <w:tcW w:w="1134"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24 (8)</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8-36</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23 (4)</w:t>
                  </w:r>
                </w:p>
              </w:tc>
              <w:tc>
                <w:tcPr>
                  <w:tcW w:w="850"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10-28</w:t>
                  </w:r>
                </w:p>
              </w:tc>
              <w:tc>
                <w:tcPr>
                  <w:tcW w:w="992"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18</w:t>
                  </w:r>
                  <w:r w:rsidR="00B46E9F">
                    <w:rPr>
                      <w:rFonts w:ascii="Calibri" w:eastAsia="Times New Roman" w:hAnsi="Calibri" w:cs="Calibri"/>
                      <w:sz w:val="22"/>
                      <w:szCs w:val="22"/>
                      <w:lang w:val="en-GB" w:eastAsia="en-GB"/>
                    </w:rPr>
                    <w:t>*</w:t>
                  </w:r>
                  <w:r>
                    <w:rPr>
                      <w:rFonts w:ascii="Calibri" w:eastAsia="Times New Roman" w:hAnsi="Calibri" w:cs="Calibri"/>
                      <w:sz w:val="22"/>
                      <w:szCs w:val="22"/>
                      <w:lang w:val="en-GB" w:eastAsia="en-GB"/>
                    </w:rPr>
                    <w:t xml:space="preserve"> (7)</w:t>
                  </w:r>
                </w:p>
              </w:tc>
              <w:tc>
                <w:tcPr>
                  <w:tcW w:w="993" w:type="dxa"/>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6-27</w:t>
                  </w:r>
                </w:p>
              </w:tc>
            </w:tr>
            <w:tr w:rsidR="007F5EBC">
              <w:trPr>
                <w:trHeight w:val="336"/>
              </w:trPr>
              <w:tc>
                <w:tcPr>
                  <w:tcW w:w="1276" w:type="dxa"/>
                  <w:tcBorders>
                    <w:top w:val="nil"/>
                    <w:left w:val="nil"/>
                    <w:bottom w:val="double" w:sz="6" w:space="0" w:color="auto"/>
                    <w:right w:val="nil"/>
                  </w:tcBorders>
                  <w:noWrap/>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CEFT</w:t>
                  </w:r>
                  <w:r>
                    <w:rPr>
                      <w:rFonts w:ascii="Calibri" w:eastAsia="Times New Roman" w:hAnsi="Calibri" w:cs="Calibri"/>
                      <w:sz w:val="22"/>
                      <w:szCs w:val="22"/>
                      <w:vertAlign w:val="superscript"/>
                      <w:lang w:val="en-GB" w:eastAsia="en-GB"/>
                    </w:rPr>
                    <w:t>c</w:t>
                  </w:r>
                </w:p>
              </w:tc>
              <w:tc>
                <w:tcPr>
                  <w:tcW w:w="992"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17 (6)</w:t>
                  </w:r>
                </w:p>
              </w:tc>
              <w:tc>
                <w:tcPr>
                  <w:tcW w:w="992"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3-24</w:t>
                  </w:r>
                </w:p>
              </w:tc>
              <w:tc>
                <w:tcPr>
                  <w:tcW w:w="1134"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15 (6)</w:t>
                  </w:r>
                </w:p>
              </w:tc>
              <w:tc>
                <w:tcPr>
                  <w:tcW w:w="993"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5-25</w:t>
                  </w:r>
                </w:p>
              </w:tc>
              <w:tc>
                <w:tcPr>
                  <w:tcW w:w="992"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15 (5)</w:t>
                  </w:r>
                </w:p>
              </w:tc>
              <w:tc>
                <w:tcPr>
                  <w:tcW w:w="850"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7-23</w:t>
                  </w:r>
                </w:p>
              </w:tc>
              <w:tc>
                <w:tcPr>
                  <w:tcW w:w="992"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9</w:t>
                  </w:r>
                  <w:r w:rsidR="00B46E9F">
                    <w:rPr>
                      <w:rFonts w:ascii="Calibri" w:eastAsia="Times New Roman" w:hAnsi="Calibri" w:cs="Calibri"/>
                      <w:sz w:val="22"/>
                      <w:szCs w:val="22"/>
                      <w:lang w:val="en-GB" w:eastAsia="en-GB"/>
                    </w:rPr>
                    <w:t>*</w:t>
                  </w:r>
                  <w:r>
                    <w:rPr>
                      <w:rFonts w:ascii="Calibri" w:eastAsia="Times New Roman" w:hAnsi="Calibri" w:cs="Calibri"/>
                      <w:sz w:val="22"/>
                      <w:szCs w:val="22"/>
                      <w:lang w:val="en-GB" w:eastAsia="en-GB"/>
                    </w:rPr>
                    <w:t xml:space="preserve"> (5)</w:t>
                  </w:r>
                </w:p>
              </w:tc>
              <w:tc>
                <w:tcPr>
                  <w:tcW w:w="993" w:type="dxa"/>
                  <w:tcBorders>
                    <w:top w:val="nil"/>
                    <w:left w:val="nil"/>
                    <w:bottom w:val="double" w:sz="6" w:space="0" w:color="auto"/>
                    <w:right w:val="nil"/>
                  </w:tcBorders>
                  <w:noWrap/>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1-17</w:t>
                  </w:r>
                </w:p>
              </w:tc>
            </w:tr>
          </w:tbl>
          <w:p w:rsidR="007F5EBC" w:rsidRDefault="007F5EBC" w:rsidP="00604C98">
            <w:pPr>
              <w:spacing w:after="0" w:line="240" w:lineRule="auto"/>
              <w:rPr>
                <w:b/>
                <w:bCs/>
              </w:rPr>
            </w:pPr>
          </w:p>
        </w:tc>
      </w:tr>
    </w:tbl>
    <w:p w:rsidR="007F5EBC" w:rsidRDefault="007F5EBC" w:rsidP="00604C98">
      <w:pPr>
        <w:spacing w:after="0" w:line="240" w:lineRule="auto"/>
        <w:rPr>
          <w:lang w:eastAsia="en-GB"/>
        </w:rPr>
      </w:pPr>
      <w:r>
        <w:rPr>
          <w:vertAlign w:val="superscript"/>
          <w:lang w:eastAsia="en-GB"/>
        </w:rPr>
        <w:t>a</w:t>
      </w:r>
      <w:r>
        <w:rPr>
          <w:lang w:eastAsia="en-GB"/>
        </w:rPr>
        <w:t xml:space="preserve"> Verbal IQ as measured by the WASI Vocabulary and Similarities subtests.</w:t>
      </w:r>
    </w:p>
    <w:p w:rsidR="007F5EBC" w:rsidRDefault="007F5EBC" w:rsidP="00604C98">
      <w:pPr>
        <w:spacing w:after="0" w:line="240" w:lineRule="auto"/>
        <w:rPr>
          <w:lang w:eastAsia="en-GB"/>
        </w:rPr>
      </w:pPr>
      <w:r>
        <w:rPr>
          <w:vertAlign w:val="superscript"/>
          <w:lang w:eastAsia="en-GB"/>
        </w:rPr>
        <w:t xml:space="preserve">b </w:t>
      </w:r>
      <w:r>
        <w:rPr>
          <w:lang w:eastAsia="en-GB"/>
        </w:rPr>
        <w:t>Raven’s Coloured Progressive Matrices; Scores range from 0 – 36</w:t>
      </w:r>
    </w:p>
    <w:p w:rsidR="007F5EBC" w:rsidRDefault="007F5EBC" w:rsidP="00604C98">
      <w:pPr>
        <w:spacing w:after="0" w:line="240" w:lineRule="auto"/>
        <w:rPr>
          <w:lang w:eastAsia="en-GB"/>
        </w:rPr>
      </w:pPr>
      <w:r>
        <w:rPr>
          <w:vertAlign w:val="superscript"/>
          <w:lang w:eastAsia="en-GB"/>
        </w:rPr>
        <w:t>c</w:t>
      </w:r>
      <w:r>
        <w:rPr>
          <w:lang w:eastAsia="en-GB"/>
        </w:rPr>
        <w:t xml:space="preserve"> Children’s Embedded Figures Test; Scores range from 0 – 25</w:t>
      </w:r>
    </w:p>
    <w:p w:rsidR="00B46E9F" w:rsidRPr="00B46E9F" w:rsidRDefault="00B46E9F" w:rsidP="00B46E9F">
      <w:pPr>
        <w:spacing w:after="0" w:line="240" w:lineRule="auto"/>
        <w:rPr>
          <w:lang w:val="en-GB"/>
        </w:rPr>
      </w:pPr>
      <w:r w:rsidRPr="00B46E9F">
        <w:rPr>
          <w:lang w:val="en-GB"/>
        </w:rPr>
        <w:t>*</w:t>
      </w:r>
      <w:r>
        <w:rPr>
          <w:lang w:val="en-GB"/>
        </w:rPr>
        <w:t xml:space="preserve"> Mean for LD was significantly lower than for the other groups</w:t>
      </w:r>
    </w:p>
    <w:p w:rsidR="007F5EBC" w:rsidRDefault="007F5EBC" w:rsidP="00604C98">
      <w:pPr>
        <w:spacing w:after="0" w:line="240" w:lineRule="auto"/>
        <w:rPr>
          <w:lang w:eastAsia="en-GB"/>
        </w:rPr>
      </w:pPr>
    </w:p>
    <w:p w:rsidR="00B46E9F" w:rsidRDefault="00B46E9F" w:rsidP="00604C98">
      <w:pPr>
        <w:spacing w:line="240" w:lineRule="auto"/>
        <w:rPr>
          <w:i/>
        </w:rPr>
      </w:pPr>
    </w:p>
    <w:p w:rsidR="007F5EBC" w:rsidRDefault="007F5EBC" w:rsidP="00604C98">
      <w:pPr>
        <w:spacing w:line="240" w:lineRule="auto"/>
        <w:rPr>
          <w:i/>
        </w:rPr>
      </w:pPr>
      <w:r>
        <w:rPr>
          <w:i/>
        </w:rPr>
        <w:lastRenderedPageBreak/>
        <w:t>Table 4: Correlates of familiarity (FCC) and recollection (FCNC) in each of the four participant groups.</w:t>
      </w:r>
    </w:p>
    <w:tbl>
      <w:tblPr>
        <w:tblW w:w="6760" w:type="dxa"/>
        <w:jc w:val="center"/>
        <w:tblLook w:val="04A0" w:firstRow="1" w:lastRow="0" w:firstColumn="1" w:lastColumn="0" w:noHBand="0" w:noVBand="1"/>
      </w:tblPr>
      <w:tblGrid>
        <w:gridCol w:w="819"/>
        <w:gridCol w:w="1341"/>
        <w:gridCol w:w="920"/>
        <w:gridCol w:w="920"/>
        <w:gridCol w:w="920"/>
        <w:gridCol w:w="920"/>
        <w:gridCol w:w="920"/>
      </w:tblGrid>
      <w:tr w:rsidR="007F5EBC" w:rsidTr="007F5EBC">
        <w:trPr>
          <w:trHeight w:val="324"/>
          <w:jc w:val="center"/>
        </w:trPr>
        <w:tc>
          <w:tcPr>
            <w:tcW w:w="640" w:type="dxa"/>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Group</w:t>
            </w:r>
          </w:p>
        </w:tc>
        <w:tc>
          <w:tcPr>
            <w:tcW w:w="1520" w:type="dxa"/>
            <w:vAlign w:val="bottom"/>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Test</w:t>
            </w:r>
          </w:p>
        </w:tc>
        <w:tc>
          <w:tcPr>
            <w:tcW w:w="920" w:type="dxa"/>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Rec.</w:t>
            </w:r>
          </w:p>
        </w:tc>
        <w:tc>
          <w:tcPr>
            <w:tcW w:w="920" w:type="dxa"/>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VIQ</w:t>
            </w:r>
          </w:p>
        </w:tc>
        <w:tc>
          <w:tcPr>
            <w:tcW w:w="920" w:type="dxa"/>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CPM</w:t>
            </w:r>
          </w:p>
        </w:tc>
        <w:tc>
          <w:tcPr>
            <w:tcW w:w="920" w:type="dxa"/>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PPT</w:t>
            </w:r>
          </w:p>
        </w:tc>
        <w:tc>
          <w:tcPr>
            <w:tcW w:w="920" w:type="dxa"/>
            <w:vAlign w:val="bottom"/>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CEFT</w:t>
            </w:r>
          </w:p>
        </w:tc>
      </w:tr>
      <w:tr w:rsidR="007F5EBC" w:rsidTr="007F5EBC">
        <w:trPr>
          <w:trHeight w:val="324"/>
          <w:jc w:val="center"/>
        </w:trPr>
        <w:tc>
          <w:tcPr>
            <w:tcW w:w="640" w:type="dxa"/>
            <w:tcBorders>
              <w:top w:val="single" w:sz="4" w:space="0" w:color="auto"/>
              <w:left w:val="nil"/>
              <w:bottom w:val="nil"/>
              <w:right w:val="nil"/>
            </w:tcBorders>
            <w:hideMark/>
          </w:tcPr>
          <w:p w:rsidR="007F5EBC" w:rsidRDefault="00012157"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ASD</w:t>
            </w:r>
            <w:r w:rsidRPr="00012157">
              <w:rPr>
                <w:rFonts w:ascii="Calibri" w:eastAsia="Times New Roman" w:hAnsi="Calibri" w:cs="Calibri"/>
                <w:sz w:val="22"/>
                <w:szCs w:val="22"/>
                <w:vertAlign w:val="superscript"/>
                <w:lang w:val="en-GB" w:eastAsia="en-GB"/>
              </w:rPr>
              <w:t>LILD</w:t>
            </w:r>
          </w:p>
        </w:tc>
        <w:tc>
          <w:tcPr>
            <w:tcW w:w="1520" w:type="dxa"/>
            <w:tcBorders>
              <w:top w:val="single" w:sz="4" w:space="0" w:color="auto"/>
              <w:left w:val="nil"/>
              <w:bottom w:val="nil"/>
              <w:right w:val="nil"/>
            </w:tcBorders>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Familiarity</w:t>
            </w:r>
          </w:p>
        </w:tc>
        <w:tc>
          <w:tcPr>
            <w:tcW w:w="920" w:type="dxa"/>
            <w:tcBorders>
              <w:top w:val="single" w:sz="4" w:space="0" w:color="auto"/>
              <w:left w:val="nil"/>
              <w:bottom w:val="nil"/>
              <w:right w:val="nil"/>
            </w:tcBorders>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.635**</w:t>
            </w:r>
          </w:p>
        </w:tc>
        <w:tc>
          <w:tcPr>
            <w:tcW w:w="920" w:type="dxa"/>
            <w:tcBorders>
              <w:top w:val="single" w:sz="4" w:space="0" w:color="auto"/>
              <w:left w:val="nil"/>
              <w:bottom w:val="nil"/>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.112</w:t>
            </w:r>
          </w:p>
        </w:tc>
        <w:tc>
          <w:tcPr>
            <w:tcW w:w="920" w:type="dxa"/>
            <w:tcBorders>
              <w:top w:val="single" w:sz="4" w:space="0" w:color="auto"/>
              <w:left w:val="nil"/>
              <w:bottom w:val="nil"/>
              <w:right w:val="nil"/>
            </w:tcBorders>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.526*</w:t>
            </w:r>
          </w:p>
        </w:tc>
        <w:tc>
          <w:tcPr>
            <w:tcW w:w="920" w:type="dxa"/>
            <w:tcBorders>
              <w:top w:val="single" w:sz="4" w:space="0" w:color="auto"/>
              <w:left w:val="nil"/>
              <w:bottom w:val="nil"/>
              <w:right w:val="nil"/>
            </w:tcBorders>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.627**</w:t>
            </w:r>
          </w:p>
        </w:tc>
        <w:tc>
          <w:tcPr>
            <w:tcW w:w="920" w:type="dxa"/>
            <w:tcBorders>
              <w:top w:val="single" w:sz="4" w:space="0" w:color="auto"/>
              <w:left w:val="nil"/>
              <w:bottom w:val="nil"/>
              <w:right w:val="nil"/>
            </w:tcBorders>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.747**</w:t>
            </w:r>
          </w:p>
        </w:tc>
      </w:tr>
      <w:tr w:rsidR="007F5EBC" w:rsidTr="007F5EBC">
        <w:trPr>
          <w:trHeight w:val="288"/>
          <w:jc w:val="center"/>
        </w:trPr>
        <w:tc>
          <w:tcPr>
            <w:tcW w:w="640" w:type="dxa"/>
            <w:hideMark/>
          </w:tcPr>
          <w:p w:rsidR="007F5EBC" w:rsidRDefault="007F5EBC" w:rsidP="00604C98">
            <w:pPr>
              <w:spacing w:after="0" w:line="240" w:lineRule="auto"/>
            </w:pP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Recollection</w:t>
            </w:r>
          </w:p>
        </w:tc>
        <w:tc>
          <w:tcPr>
            <w:tcW w:w="920" w:type="dxa"/>
            <w:noWrap/>
            <w:hideMark/>
          </w:tcPr>
          <w:p w:rsidR="007F5EBC" w:rsidRDefault="007F5EBC" w:rsidP="00604C98">
            <w:pPr>
              <w:spacing w:after="0" w:line="240" w:lineRule="auto"/>
            </w:pP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.173</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.369</w:t>
            </w:r>
          </w:p>
        </w:tc>
        <w:tc>
          <w:tcPr>
            <w:tcW w:w="920" w:type="dxa"/>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.469*</w:t>
            </w:r>
          </w:p>
        </w:tc>
        <w:tc>
          <w:tcPr>
            <w:tcW w:w="920" w:type="dxa"/>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.565*</w:t>
            </w:r>
          </w:p>
        </w:tc>
      </w:tr>
      <w:tr w:rsidR="007F5EBC" w:rsidTr="007F5EBC">
        <w:trPr>
          <w:trHeight w:val="324"/>
          <w:jc w:val="center"/>
        </w:trPr>
        <w:tc>
          <w:tcPr>
            <w:tcW w:w="640" w:type="dxa"/>
            <w:hideMark/>
          </w:tcPr>
          <w:p w:rsidR="007F5EBC" w:rsidRDefault="00012157"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ASD</w:t>
            </w:r>
            <w:r w:rsidRPr="00012157">
              <w:rPr>
                <w:rFonts w:ascii="Calibri" w:eastAsia="Times New Roman" w:hAnsi="Calibri" w:cs="Calibri"/>
                <w:sz w:val="22"/>
                <w:szCs w:val="22"/>
                <w:vertAlign w:val="superscript"/>
                <w:lang w:val="en-GB" w:eastAsia="en-GB"/>
              </w:rPr>
              <w:t>TL</w:t>
            </w: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Familiarity</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.363</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.262</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.377</w:t>
            </w:r>
          </w:p>
        </w:tc>
        <w:tc>
          <w:tcPr>
            <w:tcW w:w="920" w:type="dxa"/>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.601**</w:t>
            </w:r>
          </w:p>
        </w:tc>
        <w:tc>
          <w:tcPr>
            <w:tcW w:w="920" w:type="dxa"/>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.652**</w:t>
            </w:r>
          </w:p>
        </w:tc>
      </w:tr>
      <w:tr w:rsidR="007F5EBC" w:rsidTr="007F5EBC">
        <w:trPr>
          <w:trHeight w:val="324"/>
          <w:jc w:val="center"/>
        </w:trPr>
        <w:tc>
          <w:tcPr>
            <w:tcW w:w="640" w:type="dxa"/>
            <w:hideMark/>
          </w:tcPr>
          <w:p w:rsidR="007F5EBC" w:rsidRDefault="007F5EBC" w:rsidP="00604C98">
            <w:pPr>
              <w:spacing w:after="0" w:line="240" w:lineRule="auto"/>
            </w:pP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Recollection</w:t>
            </w:r>
          </w:p>
        </w:tc>
        <w:tc>
          <w:tcPr>
            <w:tcW w:w="920" w:type="dxa"/>
            <w:noWrap/>
            <w:hideMark/>
          </w:tcPr>
          <w:p w:rsidR="007F5EBC" w:rsidRDefault="007F5EBC" w:rsidP="00604C98">
            <w:pPr>
              <w:spacing w:after="0" w:line="240" w:lineRule="auto"/>
            </w:pP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.305</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.301</w:t>
            </w:r>
          </w:p>
        </w:tc>
        <w:tc>
          <w:tcPr>
            <w:tcW w:w="920" w:type="dxa"/>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.643**</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.358</w:t>
            </w:r>
          </w:p>
        </w:tc>
      </w:tr>
      <w:tr w:rsidR="007F5EBC" w:rsidTr="007F5EBC">
        <w:trPr>
          <w:trHeight w:val="336"/>
          <w:jc w:val="center"/>
        </w:trPr>
        <w:tc>
          <w:tcPr>
            <w:tcW w:w="64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LD</w:t>
            </w: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Familiarity</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.212</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.358</w:t>
            </w:r>
          </w:p>
        </w:tc>
        <w:tc>
          <w:tcPr>
            <w:tcW w:w="920" w:type="dxa"/>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.501*</w:t>
            </w:r>
          </w:p>
        </w:tc>
        <w:tc>
          <w:tcPr>
            <w:tcW w:w="920" w:type="dxa"/>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.430*</w:t>
            </w:r>
          </w:p>
        </w:tc>
        <w:tc>
          <w:tcPr>
            <w:tcW w:w="920" w:type="dxa"/>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.563**</w:t>
            </w:r>
          </w:p>
        </w:tc>
      </w:tr>
      <w:tr w:rsidR="007F5EBC" w:rsidTr="007F5EBC">
        <w:trPr>
          <w:trHeight w:val="384"/>
          <w:jc w:val="center"/>
        </w:trPr>
        <w:tc>
          <w:tcPr>
            <w:tcW w:w="640" w:type="dxa"/>
            <w:hideMark/>
          </w:tcPr>
          <w:p w:rsidR="007F5EBC" w:rsidRDefault="007F5EBC" w:rsidP="00604C98">
            <w:pPr>
              <w:spacing w:after="0" w:line="240" w:lineRule="auto"/>
            </w:pP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Recollection</w:t>
            </w:r>
          </w:p>
        </w:tc>
        <w:tc>
          <w:tcPr>
            <w:tcW w:w="920" w:type="dxa"/>
            <w:noWrap/>
            <w:hideMark/>
          </w:tcPr>
          <w:p w:rsidR="007F5EBC" w:rsidRDefault="007F5EBC" w:rsidP="00604C98">
            <w:pPr>
              <w:spacing w:after="0" w:line="240" w:lineRule="auto"/>
            </w:pP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.400</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.125</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.157</w:t>
            </w:r>
          </w:p>
        </w:tc>
        <w:tc>
          <w:tcPr>
            <w:tcW w:w="920" w:type="dxa"/>
            <w:noWrap/>
            <w:hideMark/>
          </w:tcPr>
          <w:p w:rsidR="007F5EBC" w:rsidRDefault="007F5EBC" w:rsidP="00604C98">
            <w:pPr>
              <w:spacing w:after="0" w:line="240" w:lineRule="auto"/>
              <w:jc w:val="center"/>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.439*</w:t>
            </w:r>
          </w:p>
        </w:tc>
      </w:tr>
      <w:tr w:rsidR="007F5EBC" w:rsidTr="007F5EBC">
        <w:trPr>
          <w:trHeight w:val="372"/>
          <w:jc w:val="center"/>
        </w:trPr>
        <w:tc>
          <w:tcPr>
            <w:tcW w:w="64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TD</w:t>
            </w:r>
          </w:p>
        </w:tc>
        <w:tc>
          <w:tcPr>
            <w:tcW w:w="1520" w:type="dxa"/>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Familiarity</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-.162</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-.305</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.256</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-.074</w:t>
            </w:r>
          </w:p>
        </w:tc>
        <w:tc>
          <w:tcPr>
            <w:tcW w:w="920" w:type="dxa"/>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.161</w:t>
            </w:r>
          </w:p>
        </w:tc>
      </w:tr>
      <w:tr w:rsidR="007F5EBC" w:rsidTr="007F5EBC">
        <w:trPr>
          <w:trHeight w:val="384"/>
          <w:jc w:val="center"/>
        </w:trPr>
        <w:tc>
          <w:tcPr>
            <w:tcW w:w="640" w:type="dxa"/>
            <w:tcBorders>
              <w:top w:val="nil"/>
              <w:left w:val="nil"/>
              <w:bottom w:val="double" w:sz="6" w:space="0" w:color="auto"/>
              <w:right w:val="nil"/>
            </w:tcBorders>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w:t>
            </w:r>
          </w:p>
        </w:tc>
        <w:tc>
          <w:tcPr>
            <w:tcW w:w="1520" w:type="dxa"/>
            <w:tcBorders>
              <w:top w:val="nil"/>
              <w:left w:val="nil"/>
              <w:bottom w:val="double" w:sz="6" w:space="0" w:color="auto"/>
              <w:right w:val="nil"/>
            </w:tcBorders>
            <w:hideMark/>
          </w:tcPr>
          <w:p w:rsidR="007F5EBC" w:rsidRDefault="007F5EBC" w:rsidP="00604C98">
            <w:pPr>
              <w:spacing w:after="0"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Recollection</w:t>
            </w:r>
          </w:p>
        </w:tc>
        <w:tc>
          <w:tcPr>
            <w:tcW w:w="920" w:type="dxa"/>
            <w:tcBorders>
              <w:top w:val="nil"/>
              <w:left w:val="nil"/>
              <w:bottom w:val="double" w:sz="6" w:space="0" w:color="auto"/>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w:t>
            </w:r>
          </w:p>
        </w:tc>
        <w:tc>
          <w:tcPr>
            <w:tcW w:w="920" w:type="dxa"/>
            <w:tcBorders>
              <w:top w:val="nil"/>
              <w:left w:val="nil"/>
              <w:bottom w:val="double" w:sz="6" w:space="0" w:color="auto"/>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.025</w:t>
            </w:r>
          </w:p>
        </w:tc>
        <w:tc>
          <w:tcPr>
            <w:tcW w:w="920" w:type="dxa"/>
            <w:tcBorders>
              <w:top w:val="nil"/>
              <w:left w:val="nil"/>
              <w:bottom w:val="double" w:sz="6" w:space="0" w:color="auto"/>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-.151</w:t>
            </w:r>
          </w:p>
        </w:tc>
        <w:tc>
          <w:tcPr>
            <w:tcW w:w="920" w:type="dxa"/>
            <w:tcBorders>
              <w:top w:val="nil"/>
              <w:left w:val="nil"/>
              <w:bottom w:val="double" w:sz="6" w:space="0" w:color="auto"/>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.371</w:t>
            </w:r>
          </w:p>
        </w:tc>
        <w:tc>
          <w:tcPr>
            <w:tcW w:w="920" w:type="dxa"/>
            <w:tcBorders>
              <w:top w:val="nil"/>
              <w:left w:val="nil"/>
              <w:bottom w:val="double" w:sz="6" w:space="0" w:color="auto"/>
              <w:right w:val="nil"/>
            </w:tcBorders>
            <w:noWrap/>
            <w:hideMark/>
          </w:tcPr>
          <w:p w:rsidR="007F5EBC" w:rsidRDefault="007F5EBC" w:rsidP="00604C98">
            <w:pPr>
              <w:spacing w:after="0" w:line="240" w:lineRule="auto"/>
              <w:jc w:val="center"/>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.020</w:t>
            </w:r>
          </w:p>
        </w:tc>
      </w:tr>
      <w:tr w:rsidR="007F5EBC" w:rsidTr="007F5EBC">
        <w:trPr>
          <w:trHeight w:val="300"/>
          <w:jc w:val="center"/>
        </w:trPr>
        <w:tc>
          <w:tcPr>
            <w:tcW w:w="6760" w:type="dxa"/>
            <w:gridSpan w:val="7"/>
            <w:hideMark/>
          </w:tcPr>
          <w:p w:rsidR="007F5EBC" w:rsidRDefault="007F5EBC" w:rsidP="00604C9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Correlation is significant at the 0.05 level (2-tailed).</w:t>
            </w:r>
          </w:p>
        </w:tc>
      </w:tr>
      <w:tr w:rsidR="007F5EBC" w:rsidTr="007F5EBC">
        <w:trPr>
          <w:trHeight w:val="288"/>
          <w:jc w:val="center"/>
        </w:trPr>
        <w:tc>
          <w:tcPr>
            <w:tcW w:w="6760" w:type="dxa"/>
            <w:gridSpan w:val="7"/>
            <w:hideMark/>
          </w:tcPr>
          <w:p w:rsidR="007F5EBC" w:rsidRDefault="007F5EBC" w:rsidP="00604C9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Correlation is significant at the 0.01 level (2-tailed).</w:t>
            </w:r>
          </w:p>
        </w:tc>
      </w:tr>
      <w:bookmarkEnd w:id="1"/>
      <w:bookmarkEnd w:id="2"/>
      <w:bookmarkEnd w:id="3"/>
      <w:bookmarkEnd w:id="4"/>
    </w:tbl>
    <w:p w:rsidR="007F5EBC" w:rsidRDefault="007F5EBC" w:rsidP="00604C98">
      <w:pPr>
        <w:spacing w:line="240" w:lineRule="auto"/>
      </w:pPr>
    </w:p>
    <w:sectPr w:rsidR="007F5EBC" w:rsidSect="003A5D4D">
      <w:footerReference w:type="default" r:id="rId20"/>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571" w:rsidRDefault="00774571" w:rsidP="0061383C">
      <w:pPr>
        <w:spacing w:after="0" w:line="240" w:lineRule="auto"/>
      </w:pPr>
      <w:r>
        <w:separator/>
      </w:r>
    </w:p>
  </w:endnote>
  <w:endnote w:type="continuationSeparator" w:id="0">
    <w:p w:rsidR="00774571" w:rsidRDefault="00774571" w:rsidP="0061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Times">
    <w:altName w:val="Yu Gothic UI"/>
    <w:panose1 w:val="00000000000000000000"/>
    <w:charset w:val="80"/>
    <w:family w:val="auto"/>
    <w:notTrueType/>
    <w:pitch w:val="default"/>
    <w:sig w:usb0="00000001" w:usb1="08070000" w:usb2="00000010" w:usb3="00000000" w:csb0="00020000" w:csb1="00000000"/>
  </w:font>
  <w:font w:name="Arial Narrow Bold">
    <w:altName w:val="Arial Narrow"/>
    <w:panose1 w:val="020B07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50407"/>
      <w:docPartObj>
        <w:docPartGallery w:val="Page Numbers (Bottom of Page)"/>
        <w:docPartUnique/>
      </w:docPartObj>
    </w:sdtPr>
    <w:sdtEndPr/>
    <w:sdtContent>
      <w:p w:rsidR="004D4F8F" w:rsidRDefault="004D4F8F">
        <w:pPr>
          <w:pStyle w:val="Footer"/>
          <w:jc w:val="center"/>
        </w:pPr>
        <w:r>
          <w:rPr>
            <w:noProof/>
          </w:rPr>
          <w:fldChar w:fldCharType="begin"/>
        </w:r>
        <w:r>
          <w:rPr>
            <w:noProof/>
          </w:rPr>
          <w:instrText xml:space="preserve"> PAGE   \* MERGEFORMAT </w:instrText>
        </w:r>
        <w:r>
          <w:rPr>
            <w:noProof/>
          </w:rPr>
          <w:fldChar w:fldCharType="separate"/>
        </w:r>
        <w:r w:rsidR="00731083">
          <w:rPr>
            <w:noProof/>
          </w:rPr>
          <w:t>1</w:t>
        </w:r>
        <w:r>
          <w:rPr>
            <w:noProof/>
          </w:rPr>
          <w:fldChar w:fldCharType="end"/>
        </w:r>
      </w:p>
    </w:sdtContent>
  </w:sdt>
  <w:p w:rsidR="004D4F8F" w:rsidRDefault="004D4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571" w:rsidRDefault="00774571" w:rsidP="0061383C">
      <w:pPr>
        <w:spacing w:after="0" w:line="240" w:lineRule="auto"/>
      </w:pPr>
      <w:r>
        <w:separator/>
      </w:r>
    </w:p>
  </w:footnote>
  <w:footnote w:type="continuationSeparator" w:id="0">
    <w:p w:rsidR="00774571" w:rsidRDefault="00774571" w:rsidP="0061383C">
      <w:pPr>
        <w:spacing w:after="0" w:line="240" w:lineRule="auto"/>
      </w:pPr>
      <w:r>
        <w:continuationSeparator/>
      </w:r>
    </w:p>
  </w:footnote>
  <w:footnote w:id="1">
    <w:p w:rsidR="004D4F8F" w:rsidRDefault="004D4F8F" w:rsidP="00ED0286">
      <w:pPr>
        <w:pStyle w:val="FootnoteText"/>
        <w:spacing w:line="240" w:lineRule="auto"/>
        <w:rPr>
          <w:color w:val="auto"/>
          <w:lang w:val="en-GB"/>
        </w:rPr>
      </w:pPr>
      <w:r>
        <w:rPr>
          <w:rStyle w:val="FootnoteReference"/>
          <w:color w:val="auto"/>
        </w:rPr>
        <w:footnoteRef/>
      </w:r>
      <w:r>
        <w:rPr>
          <w:color w:val="auto"/>
        </w:rPr>
        <w:t xml:space="preserve"> The relevant pair-wise comparisons of individuals who participated in both experiments are as follows: A</w:t>
      </w:r>
      <w:r>
        <w:rPr>
          <w:color w:val="auto"/>
          <w:lang w:eastAsia="en-GB"/>
        </w:rPr>
        <w:t>SD</w:t>
      </w:r>
      <w:r>
        <w:rPr>
          <w:color w:val="auto"/>
          <w:vertAlign w:val="superscript"/>
          <w:lang w:eastAsia="en-GB"/>
        </w:rPr>
        <w:t xml:space="preserve">LI/LD </w:t>
      </w:r>
      <w:r>
        <w:rPr>
          <w:color w:val="auto"/>
          <w:lang w:val="en-GB"/>
        </w:rPr>
        <w:t xml:space="preserve">(t = 1.13; df = 17; p = .273; Cohen’s d = .28 ); </w:t>
      </w:r>
      <w:r>
        <w:rPr>
          <w:color w:val="auto"/>
          <w:lang w:eastAsia="en-GB"/>
        </w:rPr>
        <w:t>ASD</w:t>
      </w:r>
      <w:r>
        <w:rPr>
          <w:color w:val="auto"/>
          <w:vertAlign w:val="superscript"/>
          <w:lang w:eastAsia="en-GB"/>
        </w:rPr>
        <w:t xml:space="preserve">TL </w:t>
      </w:r>
      <w:r>
        <w:rPr>
          <w:color w:val="auto"/>
          <w:lang w:val="en-GB"/>
        </w:rPr>
        <w:t xml:space="preserve">(t = 0.92; df = 25; p = .367; Cohen’s d = .10); </w:t>
      </w:r>
      <w:r>
        <w:rPr>
          <w:color w:val="auto"/>
          <w:vertAlign w:val="superscript"/>
          <w:lang w:val="en-GB" w:eastAsia="en-GB"/>
        </w:rPr>
        <w:t xml:space="preserve"> </w:t>
      </w:r>
      <w:r>
        <w:rPr>
          <w:color w:val="auto"/>
        </w:rPr>
        <w:t xml:space="preserve">LD </w:t>
      </w:r>
      <w:r>
        <w:rPr>
          <w:color w:val="auto"/>
          <w:vertAlign w:val="superscript"/>
          <w:lang w:eastAsia="en-GB"/>
        </w:rPr>
        <w:t xml:space="preserve"> </w:t>
      </w:r>
      <w:r>
        <w:rPr>
          <w:color w:val="auto"/>
          <w:lang w:val="en-GB"/>
        </w:rPr>
        <w:t xml:space="preserve">(t = 0.58; df = 22; p = .596; Cohen’s d = .12); </w:t>
      </w:r>
      <w:r>
        <w:rPr>
          <w:color w:val="auto"/>
        </w:rPr>
        <w:t>TD</w:t>
      </w:r>
      <w:r>
        <w:rPr>
          <w:color w:val="auto"/>
          <w:vertAlign w:val="superscript"/>
          <w:lang w:eastAsia="en-GB"/>
        </w:rPr>
        <w:t xml:space="preserve"> </w:t>
      </w:r>
      <w:r>
        <w:rPr>
          <w:color w:val="auto"/>
          <w:lang w:val="en-GB"/>
        </w:rPr>
        <w:t>(t = 3.08; df = 23; p = .005; Cohen’s d = .71);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C9EE6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05508"/>
    <w:multiLevelType w:val="hybridMultilevel"/>
    <w:tmpl w:val="90FA4570"/>
    <w:lvl w:ilvl="0" w:tplc="CEE26B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BC0145"/>
    <w:multiLevelType w:val="multilevel"/>
    <w:tmpl w:val="08090025"/>
    <w:lvl w:ilvl="0">
      <w:start w:val="1"/>
      <w:numFmt w:val="decimal"/>
      <w:pStyle w:val="Heading1"/>
      <w:lvlText w:val="%1"/>
      <w:lvlJc w:val="left"/>
      <w:pPr>
        <w:ind w:left="3551" w:hanging="432"/>
      </w:pPr>
    </w:lvl>
    <w:lvl w:ilvl="1">
      <w:start w:val="1"/>
      <w:numFmt w:val="decimal"/>
      <w:pStyle w:val="Heading2"/>
      <w:lvlText w:val="%1.%2"/>
      <w:lvlJc w:val="left"/>
      <w:pPr>
        <w:ind w:left="1427" w:hanging="576"/>
      </w:pPr>
    </w:lvl>
    <w:lvl w:ilvl="2">
      <w:start w:val="1"/>
      <w:numFmt w:val="decimal"/>
      <w:pStyle w:val="Heading3"/>
      <w:lvlText w:val="%1.%2.%3"/>
      <w:lvlJc w:val="left"/>
      <w:pPr>
        <w:ind w:left="1713" w:hanging="720"/>
      </w:pPr>
    </w:lvl>
    <w:lvl w:ilvl="3">
      <w:start w:val="1"/>
      <w:numFmt w:val="decimal"/>
      <w:pStyle w:val="Heading4"/>
      <w:lvlText w:val="%1.%2.%3.%4"/>
      <w:lvlJc w:val="left"/>
      <w:pPr>
        <w:ind w:left="2141"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1AD72E8"/>
    <w:multiLevelType w:val="hybridMultilevel"/>
    <w:tmpl w:val="E5B4B46C"/>
    <w:lvl w:ilvl="0" w:tplc="CDC47AF0">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E2375"/>
    <w:multiLevelType w:val="hybridMultilevel"/>
    <w:tmpl w:val="31D8A398"/>
    <w:lvl w:ilvl="0" w:tplc="3898B16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BD268D"/>
    <w:multiLevelType w:val="hybridMultilevel"/>
    <w:tmpl w:val="3336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3C"/>
    <w:rsid w:val="00001314"/>
    <w:rsid w:val="00004604"/>
    <w:rsid w:val="00005137"/>
    <w:rsid w:val="00010A17"/>
    <w:rsid w:val="00012157"/>
    <w:rsid w:val="000121E5"/>
    <w:rsid w:val="00012C75"/>
    <w:rsid w:val="00013772"/>
    <w:rsid w:val="000142D1"/>
    <w:rsid w:val="00020A39"/>
    <w:rsid w:val="0002146A"/>
    <w:rsid w:val="000235C0"/>
    <w:rsid w:val="00025649"/>
    <w:rsid w:val="00031056"/>
    <w:rsid w:val="00031B22"/>
    <w:rsid w:val="00033E10"/>
    <w:rsid w:val="00036B44"/>
    <w:rsid w:val="00037815"/>
    <w:rsid w:val="00041AE9"/>
    <w:rsid w:val="00051104"/>
    <w:rsid w:val="000540DC"/>
    <w:rsid w:val="00054BF2"/>
    <w:rsid w:val="000568F1"/>
    <w:rsid w:val="00057C27"/>
    <w:rsid w:val="0006004C"/>
    <w:rsid w:val="00074147"/>
    <w:rsid w:val="00074200"/>
    <w:rsid w:val="00075028"/>
    <w:rsid w:val="00084C95"/>
    <w:rsid w:val="00085424"/>
    <w:rsid w:val="00085D12"/>
    <w:rsid w:val="000868B4"/>
    <w:rsid w:val="00086F29"/>
    <w:rsid w:val="000904E4"/>
    <w:rsid w:val="00092FDF"/>
    <w:rsid w:val="00095486"/>
    <w:rsid w:val="000957EB"/>
    <w:rsid w:val="00096579"/>
    <w:rsid w:val="000A23AA"/>
    <w:rsid w:val="000A5DE6"/>
    <w:rsid w:val="000B0531"/>
    <w:rsid w:val="000B52D1"/>
    <w:rsid w:val="000C1179"/>
    <w:rsid w:val="000C17C1"/>
    <w:rsid w:val="000C17C6"/>
    <w:rsid w:val="000C4331"/>
    <w:rsid w:val="000C47F1"/>
    <w:rsid w:val="000D0188"/>
    <w:rsid w:val="000D28AA"/>
    <w:rsid w:val="000D6D57"/>
    <w:rsid w:val="000E2DBE"/>
    <w:rsid w:val="000E5979"/>
    <w:rsid w:val="000F0377"/>
    <w:rsid w:val="000F2919"/>
    <w:rsid w:val="000F433F"/>
    <w:rsid w:val="000F63A0"/>
    <w:rsid w:val="000F6C7A"/>
    <w:rsid w:val="000F7CFF"/>
    <w:rsid w:val="00102152"/>
    <w:rsid w:val="0012772C"/>
    <w:rsid w:val="0013179C"/>
    <w:rsid w:val="00131DCB"/>
    <w:rsid w:val="00135C31"/>
    <w:rsid w:val="00137B3B"/>
    <w:rsid w:val="00144B91"/>
    <w:rsid w:val="00145285"/>
    <w:rsid w:val="00146040"/>
    <w:rsid w:val="001477A6"/>
    <w:rsid w:val="00151082"/>
    <w:rsid w:val="00157D5A"/>
    <w:rsid w:val="00161AF0"/>
    <w:rsid w:val="00164796"/>
    <w:rsid w:val="001823F1"/>
    <w:rsid w:val="00195005"/>
    <w:rsid w:val="001A7EAC"/>
    <w:rsid w:val="001B236F"/>
    <w:rsid w:val="001B75EB"/>
    <w:rsid w:val="001C42AC"/>
    <w:rsid w:val="001D4D53"/>
    <w:rsid w:val="001D7429"/>
    <w:rsid w:val="001E1322"/>
    <w:rsid w:val="001E2BCC"/>
    <w:rsid w:val="001F21F3"/>
    <w:rsid w:val="001F476C"/>
    <w:rsid w:val="001F48EC"/>
    <w:rsid w:val="001F4A72"/>
    <w:rsid w:val="001F6DC6"/>
    <w:rsid w:val="001F7AF8"/>
    <w:rsid w:val="00201E88"/>
    <w:rsid w:val="002033AB"/>
    <w:rsid w:val="00204850"/>
    <w:rsid w:val="00211D6E"/>
    <w:rsid w:val="00216C2E"/>
    <w:rsid w:val="002210FB"/>
    <w:rsid w:val="002241C0"/>
    <w:rsid w:val="00227827"/>
    <w:rsid w:val="00232590"/>
    <w:rsid w:val="00232C6B"/>
    <w:rsid w:val="00240CC8"/>
    <w:rsid w:val="00240EEA"/>
    <w:rsid w:val="00241FAC"/>
    <w:rsid w:val="002447C3"/>
    <w:rsid w:val="002471CB"/>
    <w:rsid w:val="002476CF"/>
    <w:rsid w:val="002516FF"/>
    <w:rsid w:val="00255825"/>
    <w:rsid w:val="0026120D"/>
    <w:rsid w:val="00263306"/>
    <w:rsid w:val="002636BD"/>
    <w:rsid w:val="00264CE9"/>
    <w:rsid w:val="002655BF"/>
    <w:rsid w:val="00265F4E"/>
    <w:rsid w:val="002705DA"/>
    <w:rsid w:val="00280956"/>
    <w:rsid w:val="00283D51"/>
    <w:rsid w:val="0028431A"/>
    <w:rsid w:val="002848E4"/>
    <w:rsid w:val="00285FEB"/>
    <w:rsid w:val="002874EA"/>
    <w:rsid w:val="00291523"/>
    <w:rsid w:val="00294D5A"/>
    <w:rsid w:val="002A3ABB"/>
    <w:rsid w:val="002A58BB"/>
    <w:rsid w:val="002A77D4"/>
    <w:rsid w:val="002B005A"/>
    <w:rsid w:val="002B116D"/>
    <w:rsid w:val="002C0577"/>
    <w:rsid w:val="002C3281"/>
    <w:rsid w:val="002C4212"/>
    <w:rsid w:val="002C67A7"/>
    <w:rsid w:val="002D5820"/>
    <w:rsid w:val="002D5F07"/>
    <w:rsid w:val="002D6781"/>
    <w:rsid w:val="002E4F62"/>
    <w:rsid w:val="002F1754"/>
    <w:rsid w:val="0031380E"/>
    <w:rsid w:val="00315D6F"/>
    <w:rsid w:val="00316C78"/>
    <w:rsid w:val="0031713C"/>
    <w:rsid w:val="003174F6"/>
    <w:rsid w:val="00321D03"/>
    <w:rsid w:val="003227A3"/>
    <w:rsid w:val="00322C3D"/>
    <w:rsid w:val="003347F7"/>
    <w:rsid w:val="003350B7"/>
    <w:rsid w:val="00337519"/>
    <w:rsid w:val="00340D4E"/>
    <w:rsid w:val="00344305"/>
    <w:rsid w:val="003506A8"/>
    <w:rsid w:val="00355AEB"/>
    <w:rsid w:val="00356201"/>
    <w:rsid w:val="00361358"/>
    <w:rsid w:val="003639A4"/>
    <w:rsid w:val="003666BB"/>
    <w:rsid w:val="00366F08"/>
    <w:rsid w:val="00372311"/>
    <w:rsid w:val="003759D4"/>
    <w:rsid w:val="00384B36"/>
    <w:rsid w:val="00387B87"/>
    <w:rsid w:val="003A1B22"/>
    <w:rsid w:val="003A1FC4"/>
    <w:rsid w:val="003A5D4D"/>
    <w:rsid w:val="003A787F"/>
    <w:rsid w:val="003B0D8C"/>
    <w:rsid w:val="003B17E5"/>
    <w:rsid w:val="003B2A33"/>
    <w:rsid w:val="003B3B48"/>
    <w:rsid w:val="003C0ED4"/>
    <w:rsid w:val="003C673D"/>
    <w:rsid w:val="003D5630"/>
    <w:rsid w:val="003E1A22"/>
    <w:rsid w:val="003E1F27"/>
    <w:rsid w:val="003E5F48"/>
    <w:rsid w:val="003E6D26"/>
    <w:rsid w:val="003E74BE"/>
    <w:rsid w:val="003F1B35"/>
    <w:rsid w:val="003F54F3"/>
    <w:rsid w:val="003F66C9"/>
    <w:rsid w:val="00400A97"/>
    <w:rsid w:val="004017AF"/>
    <w:rsid w:val="00404921"/>
    <w:rsid w:val="00406E34"/>
    <w:rsid w:val="004135A7"/>
    <w:rsid w:val="004226D7"/>
    <w:rsid w:val="00423D25"/>
    <w:rsid w:val="004261D4"/>
    <w:rsid w:val="004435F0"/>
    <w:rsid w:val="00443FA3"/>
    <w:rsid w:val="004470C8"/>
    <w:rsid w:val="00447CE3"/>
    <w:rsid w:val="00452C3B"/>
    <w:rsid w:val="00454C71"/>
    <w:rsid w:val="00455A77"/>
    <w:rsid w:val="004636CC"/>
    <w:rsid w:val="004644C4"/>
    <w:rsid w:val="0046484D"/>
    <w:rsid w:val="0047121F"/>
    <w:rsid w:val="00473BE8"/>
    <w:rsid w:val="004740E0"/>
    <w:rsid w:val="00477D78"/>
    <w:rsid w:val="004904DF"/>
    <w:rsid w:val="0049432D"/>
    <w:rsid w:val="00494772"/>
    <w:rsid w:val="00497AA7"/>
    <w:rsid w:val="00497CAE"/>
    <w:rsid w:val="004A2364"/>
    <w:rsid w:val="004D1079"/>
    <w:rsid w:val="004D1C6B"/>
    <w:rsid w:val="004D1F98"/>
    <w:rsid w:val="004D2795"/>
    <w:rsid w:val="004D29B5"/>
    <w:rsid w:val="004D3C04"/>
    <w:rsid w:val="004D4F8F"/>
    <w:rsid w:val="004D55FD"/>
    <w:rsid w:val="004D7BD8"/>
    <w:rsid w:val="004E0101"/>
    <w:rsid w:val="004E0F42"/>
    <w:rsid w:val="004E221B"/>
    <w:rsid w:val="004F64F4"/>
    <w:rsid w:val="00501D5D"/>
    <w:rsid w:val="0050272C"/>
    <w:rsid w:val="00506DBC"/>
    <w:rsid w:val="0051386A"/>
    <w:rsid w:val="00514580"/>
    <w:rsid w:val="00520749"/>
    <w:rsid w:val="00520A93"/>
    <w:rsid w:val="00523BA6"/>
    <w:rsid w:val="0052463A"/>
    <w:rsid w:val="00531920"/>
    <w:rsid w:val="0053407D"/>
    <w:rsid w:val="00541033"/>
    <w:rsid w:val="005416E9"/>
    <w:rsid w:val="0054416B"/>
    <w:rsid w:val="00552F99"/>
    <w:rsid w:val="0055487F"/>
    <w:rsid w:val="005557AB"/>
    <w:rsid w:val="00557593"/>
    <w:rsid w:val="00561FBD"/>
    <w:rsid w:val="0056391B"/>
    <w:rsid w:val="005714E8"/>
    <w:rsid w:val="00582128"/>
    <w:rsid w:val="005825FA"/>
    <w:rsid w:val="005829BF"/>
    <w:rsid w:val="005838F0"/>
    <w:rsid w:val="0058428C"/>
    <w:rsid w:val="005845EC"/>
    <w:rsid w:val="00587EC0"/>
    <w:rsid w:val="00590E5A"/>
    <w:rsid w:val="005915B6"/>
    <w:rsid w:val="00591D4C"/>
    <w:rsid w:val="005A2108"/>
    <w:rsid w:val="005A2654"/>
    <w:rsid w:val="005A3056"/>
    <w:rsid w:val="005A4C9C"/>
    <w:rsid w:val="005B097A"/>
    <w:rsid w:val="005B1929"/>
    <w:rsid w:val="005B4FAC"/>
    <w:rsid w:val="005B783B"/>
    <w:rsid w:val="005C1CD2"/>
    <w:rsid w:val="005C1EE7"/>
    <w:rsid w:val="005C244E"/>
    <w:rsid w:val="005C6F2B"/>
    <w:rsid w:val="005D374D"/>
    <w:rsid w:val="005D4D28"/>
    <w:rsid w:val="005D66E0"/>
    <w:rsid w:val="005E1155"/>
    <w:rsid w:val="005F3A3C"/>
    <w:rsid w:val="005F7335"/>
    <w:rsid w:val="006007B7"/>
    <w:rsid w:val="00604C98"/>
    <w:rsid w:val="00605CCF"/>
    <w:rsid w:val="00606929"/>
    <w:rsid w:val="0061188D"/>
    <w:rsid w:val="0061383C"/>
    <w:rsid w:val="00623744"/>
    <w:rsid w:val="00623843"/>
    <w:rsid w:val="00637F12"/>
    <w:rsid w:val="00646DF9"/>
    <w:rsid w:val="006500F3"/>
    <w:rsid w:val="00650208"/>
    <w:rsid w:val="0065453A"/>
    <w:rsid w:val="00655C15"/>
    <w:rsid w:val="00657658"/>
    <w:rsid w:val="00660850"/>
    <w:rsid w:val="0066310A"/>
    <w:rsid w:val="006638A8"/>
    <w:rsid w:val="006657ED"/>
    <w:rsid w:val="00670E9F"/>
    <w:rsid w:val="00670F87"/>
    <w:rsid w:val="006719C8"/>
    <w:rsid w:val="00672FD4"/>
    <w:rsid w:val="00673426"/>
    <w:rsid w:val="00674DE9"/>
    <w:rsid w:val="006761A8"/>
    <w:rsid w:val="00680BEE"/>
    <w:rsid w:val="00684513"/>
    <w:rsid w:val="00685895"/>
    <w:rsid w:val="00687331"/>
    <w:rsid w:val="006917D1"/>
    <w:rsid w:val="0069284F"/>
    <w:rsid w:val="006968D7"/>
    <w:rsid w:val="006A0347"/>
    <w:rsid w:val="006A1168"/>
    <w:rsid w:val="006A52B7"/>
    <w:rsid w:val="006B676A"/>
    <w:rsid w:val="006C29F4"/>
    <w:rsid w:val="006D10A7"/>
    <w:rsid w:val="006D35B8"/>
    <w:rsid w:val="006D471D"/>
    <w:rsid w:val="006D6B57"/>
    <w:rsid w:val="006E32D5"/>
    <w:rsid w:val="006F09FC"/>
    <w:rsid w:val="006F2D1F"/>
    <w:rsid w:val="006F6754"/>
    <w:rsid w:val="006F71CD"/>
    <w:rsid w:val="0070386B"/>
    <w:rsid w:val="00704A01"/>
    <w:rsid w:val="0070695A"/>
    <w:rsid w:val="00714F25"/>
    <w:rsid w:val="00731083"/>
    <w:rsid w:val="00731BCB"/>
    <w:rsid w:val="00733F0A"/>
    <w:rsid w:val="00740737"/>
    <w:rsid w:val="00745D09"/>
    <w:rsid w:val="00764E13"/>
    <w:rsid w:val="00766817"/>
    <w:rsid w:val="0077012F"/>
    <w:rsid w:val="00773C2A"/>
    <w:rsid w:val="00774571"/>
    <w:rsid w:val="007776CD"/>
    <w:rsid w:val="00784891"/>
    <w:rsid w:val="007869AF"/>
    <w:rsid w:val="0079033D"/>
    <w:rsid w:val="00794991"/>
    <w:rsid w:val="007A5361"/>
    <w:rsid w:val="007B09B1"/>
    <w:rsid w:val="007B4539"/>
    <w:rsid w:val="007B55C3"/>
    <w:rsid w:val="007B5C65"/>
    <w:rsid w:val="007C5188"/>
    <w:rsid w:val="007C5DFD"/>
    <w:rsid w:val="007D0CCE"/>
    <w:rsid w:val="007D2137"/>
    <w:rsid w:val="007D6F0D"/>
    <w:rsid w:val="007E0394"/>
    <w:rsid w:val="007E3F0B"/>
    <w:rsid w:val="007E529E"/>
    <w:rsid w:val="007E7323"/>
    <w:rsid w:val="007F29AD"/>
    <w:rsid w:val="007F51A0"/>
    <w:rsid w:val="007F5EBC"/>
    <w:rsid w:val="00800C7A"/>
    <w:rsid w:val="00803F67"/>
    <w:rsid w:val="00806D68"/>
    <w:rsid w:val="00815EDE"/>
    <w:rsid w:val="0082138F"/>
    <w:rsid w:val="00825C9D"/>
    <w:rsid w:val="00827C5E"/>
    <w:rsid w:val="0083024A"/>
    <w:rsid w:val="00831A4E"/>
    <w:rsid w:val="008343C8"/>
    <w:rsid w:val="008353AA"/>
    <w:rsid w:val="00835868"/>
    <w:rsid w:val="008403E3"/>
    <w:rsid w:val="0084495B"/>
    <w:rsid w:val="00853FED"/>
    <w:rsid w:val="00854C1D"/>
    <w:rsid w:val="008573D3"/>
    <w:rsid w:val="00860468"/>
    <w:rsid w:val="0086135A"/>
    <w:rsid w:val="00862371"/>
    <w:rsid w:val="00876C85"/>
    <w:rsid w:val="00883990"/>
    <w:rsid w:val="00883D81"/>
    <w:rsid w:val="00884053"/>
    <w:rsid w:val="00886367"/>
    <w:rsid w:val="00890018"/>
    <w:rsid w:val="0089437B"/>
    <w:rsid w:val="0089453D"/>
    <w:rsid w:val="00894A30"/>
    <w:rsid w:val="008A136E"/>
    <w:rsid w:val="008A1431"/>
    <w:rsid w:val="008A4F70"/>
    <w:rsid w:val="008B6B0E"/>
    <w:rsid w:val="008C327E"/>
    <w:rsid w:val="008C7006"/>
    <w:rsid w:val="008D109E"/>
    <w:rsid w:val="008D693C"/>
    <w:rsid w:val="008E1CFE"/>
    <w:rsid w:val="008E5666"/>
    <w:rsid w:val="008F02FB"/>
    <w:rsid w:val="008F3674"/>
    <w:rsid w:val="00901423"/>
    <w:rsid w:val="009100B7"/>
    <w:rsid w:val="00912068"/>
    <w:rsid w:val="0091644B"/>
    <w:rsid w:val="00916A46"/>
    <w:rsid w:val="00917B4A"/>
    <w:rsid w:val="00921900"/>
    <w:rsid w:val="00926734"/>
    <w:rsid w:val="00930E72"/>
    <w:rsid w:val="00937BE1"/>
    <w:rsid w:val="009404AE"/>
    <w:rsid w:val="009410D1"/>
    <w:rsid w:val="00941D3D"/>
    <w:rsid w:val="0094520D"/>
    <w:rsid w:val="00955236"/>
    <w:rsid w:val="00966774"/>
    <w:rsid w:val="00966EBC"/>
    <w:rsid w:val="0097154A"/>
    <w:rsid w:val="009736E1"/>
    <w:rsid w:val="009752D1"/>
    <w:rsid w:val="0098107E"/>
    <w:rsid w:val="00982E45"/>
    <w:rsid w:val="009841C6"/>
    <w:rsid w:val="009870F1"/>
    <w:rsid w:val="0099134E"/>
    <w:rsid w:val="00993BE4"/>
    <w:rsid w:val="0099408F"/>
    <w:rsid w:val="00995E9A"/>
    <w:rsid w:val="00997127"/>
    <w:rsid w:val="009A3911"/>
    <w:rsid w:val="009B19A2"/>
    <w:rsid w:val="009B41F3"/>
    <w:rsid w:val="009B4D7F"/>
    <w:rsid w:val="009B6A49"/>
    <w:rsid w:val="009C44A7"/>
    <w:rsid w:val="009D1B70"/>
    <w:rsid w:val="009D2E1B"/>
    <w:rsid w:val="009D413F"/>
    <w:rsid w:val="009D534B"/>
    <w:rsid w:val="009E1A0F"/>
    <w:rsid w:val="009E319A"/>
    <w:rsid w:val="009F7CA2"/>
    <w:rsid w:val="00A129C5"/>
    <w:rsid w:val="00A136AD"/>
    <w:rsid w:val="00A139CA"/>
    <w:rsid w:val="00A14445"/>
    <w:rsid w:val="00A147C1"/>
    <w:rsid w:val="00A169D2"/>
    <w:rsid w:val="00A1726D"/>
    <w:rsid w:val="00A1744B"/>
    <w:rsid w:val="00A20E6C"/>
    <w:rsid w:val="00A241AC"/>
    <w:rsid w:val="00A31057"/>
    <w:rsid w:val="00A32138"/>
    <w:rsid w:val="00A325BF"/>
    <w:rsid w:val="00A37930"/>
    <w:rsid w:val="00A47E69"/>
    <w:rsid w:val="00A47F99"/>
    <w:rsid w:val="00A60DF8"/>
    <w:rsid w:val="00A60FE2"/>
    <w:rsid w:val="00A61BDD"/>
    <w:rsid w:val="00A67EF1"/>
    <w:rsid w:val="00A72FB5"/>
    <w:rsid w:val="00A754C2"/>
    <w:rsid w:val="00A760C8"/>
    <w:rsid w:val="00A83C7C"/>
    <w:rsid w:val="00A85EA3"/>
    <w:rsid w:val="00A93456"/>
    <w:rsid w:val="00A96DD1"/>
    <w:rsid w:val="00AA024B"/>
    <w:rsid w:val="00AA3782"/>
    <w:rsid w:val="00AA4959"/>
    <w:rsid w:val="00AB4497"/>
    <w:rsid w:val="00AC0589"/>
    <w:rsid w:val="00AC24C2"/>
    <w:rsid w:val="00AD1908"/>
    <w:rsid w:val="00AE0C5E"/>
    <w:rsid w:val="00AE7FB0"/>
    <w:rsid w:val="00AF6160"/>
    <w:rsid w:val="00AF7299"/>
    <w:rsid w:val="00B012B3"/>
    <w:rsid w:val="00B07E42"/>
    <w:rsid w:val="00B10854"/>
    <w:rsid w:val="00B10D74"/>
    <w:rsid w:val="00B127AB"/>
    <w:rsid w:val="00B133A5"/>
    <w:rsid w:val="00B226BC"/>
    <w:rsid w:val="00B30FA2"/>
    <w:rsid w:val="00B3113C"/>
    <w:rsid w:val="00B34123"/>
    <w:rsid w:val="00B35A1B"/>
    <w:rsid w:val="00B4234B"/>
    <w:rsid w:val="00B46E9F"/>
    <w:rsid w:val="00B501F2"/>
    <w:rsid w:val="00B615D3"/>
    <w:rsid w:val="00B63870"/>
    <w:rsid w:val="00B71F5C"/>
    <w:rsid w:val="00B72130"/>
    <w:rsid w:val="00B72541"/>
    <w:rsid w:val="00B7758A"/>
    <w:rsid w:val="00B81A36"/>
    <w:rsid w:val="00B903D3"/>
    <w:rsid w:val="00B95946"/>
    <w:rsid w:val="00B97DAB"/>
    <w:rsid w:val="00BA01CB"/>
    <w:rsid w:val="00BA05D3"/>
    <w:rsid w:val="00BA127A"/>
    <w:rsid w:val="00BB31BE"/>
    <w:rsid w:val="00BB5216"/>
    <w:rsid w:val="00BC5BF9"/>
    <w:rsid w:val="00BC7EFB"/>
    <w:rsid w:val="00BD15F4"/>
    <w:rsid w:val="00BD423C"/>
    <w:rsid w:val="00BD4305"/>
    <w:rsid w:val="00BD5796"/>
    <w:rsid w:val="00BE2BDC"/>
    <w:rsid w:val="00BE6944"/>
    <w:rsid w:val="00BF154A"/>
    <w:rsid w:val="00BF42C6"/>
    <w:rsid w:val="00BF590E"/>
    <w:rsid w:val="00BF781D"/>
    <w:rsid w:val="00C04398"/>
    <w:rsid w:val="00C0627A"/>
    <w:rsid w:val="00C062AA"/>
    <w:rsid w:val="00C06387"/>
    <w:rsid w:val="00C14CA9"/>
    <w:rsid w:val="00C16778"/>
    <w:rsid w:val="00C2163C"/>
    <w:rsid w:val="00C27B54"/>
    <w:rsid w:val="00C3017D"/>
    <w:rsid w:val="00C42675"/>
    <w:rsid w:val="00C51951"/>
    <w:rsid w:val="00C52004"/>
    <w:rsid w:val="00C53100"/>
    <w:rsid w:val="00C54AAD"/>
    <w:rsid w:val="00C65EED"/>
    <w:rsid w:val="00C71084"/>
    <w:rsid w:val="00C73F79"/>
    <w:rsid w:val="00C756BA"/>
    <w:rsid w:val="00C76303"/>
    <w:rsid w:val="00C76686"/>
    <w:rsid w:val="00C82DBB"/>
    <w:rsid w:val="00C8760B"/>
    <w:rsid w:val="00C87BD9"/>
    <w:rsid w:val="00C94B74"/>
    <w:rsid w:val="00C94BE6"/>
    <w:rsid w:val="00C95D15"/>
    <w:rsid w:val="00CA448D"/>
    <w:rsid w:val="00CB5491"/>
    <w:rsid w:val="00CC139A"/>
    <w:rsid w:val="00CC254D"/>
    <w:rsid w:val="00CC2740"/>
    <w:rsid w:val="00CC3FA2"/>
    <w:rsid w:val="00CD151B"/>
    <w:rsid w:val="00CD3DDE"/>
    <w:rsid w:val="00CE0CAD"/>
    <w:rsid w:val="00CF675D"/>
    <w:rsid w:val="00CF7B61"/>
    <w:rsid w:val="00D008E3"/>
    <w:rsid w:val="00D03C9F"/>
    <w:rsid w:val="00D04199"/>
    <w:rsid w:val="00D04302"/>
    <w:rsid w:val="00D07BF1"/>
    <w:rsid w:val="00D11A62"/>
    <w:rsid w:val="00D14F05"/>
    <w:rsid w:val="00D168EB"/>
    <w:rsid w:val="00D217EE"/>
    <w:rsid w:val="00D3127D"/>
    <w:rsid w:val="00D3661E"/>
    <w:rsid w:val="00D368B7"/>
    <w:rsid w:val="00D429C4"/>
    <w:rsid w:val="00D455A7"/>
    <w:rsid w:val="00D47F15"/>
    <w:rsid w:val="00D50B95"/>
    <w:rsid w:val="00D50C88"/>
    <w:rsid w:val="00D51768"/>
    <w:rsid w:val="00D53DF8"/>
    <w:rsid w:val="00D578B9"/>
    <w:rsid w:val="00D62582"/>
    <w:rsid w:val="00D67D84"/>
    <w:rsid w:val="00D72912"/>
    <w:rsid w:val="00D775B5"/>
    <w:rsid w:val="00D93CAE"/>
    <w:rsid w:val="00D9591C"/>
    <w:rsid w:val="00DA4000"/>
    <w:rsid w:val="00DA5873"/>
    <w:rsid w:val="00DA6CBC"/>
    <w:rsid w:val="00DB2A5D"/>
    <w:rsid w:val="00DB2B72"/>
    <w:rsid w:val="00DB4C00"/>
    <w:rsid w:val="00DB5709"/>
    <w:rsid w:val="00DB5E30"/>
    <w:rsid w:val="00DC09C6"/>
    <w:rsid w:val="00DC6E07"/>
    <w:rsid w:val="00DD50C3"/>
    <w:rsid w:val="00DD57D4"/>
    <w:rsid w:val="00DD5A46"/>
    <w:rsid w:val="00DE68C2"/>
    <w:rsid w:val="00DE7FF1"/>
    <w:rsid w:val="00DF0224"/>
    <w:rsid w:val="00DF1512"/>
    <w:rsid w:val="00E00E00"/>
    <w:rsid w:val="00E01287"/>
    <w:rsid w:val="00E0185F"/>
    <w:rsid w:val="00E05036"/>
    <w:rsid w:val="00E057D4"/>
    <w:rsid w:val="00E11614"/>
    <w:rsid w:val="00E13FE4"/>
    <w:rsid w:val="00E22D52"/>
    <w:rsid w:val="00E23345"/>
    <w:rsid w:val="00E24AE8"/>
    <w:rsid w:val="00E34199"/>
    <w:rsid w:val="00E3484D"/>
    <w:rsid w:val="00E53A50"/>
    <w:rsid w:val="00E5607C"/>
    <w:rsid w:val="00E62637"/>
    <w:rsid w:val="00E663D8"/>
    <w:rsid w:val="00E71999"/>
    <w:rsid w:val="00E71A70"/>
    <w:rsid w:val="00E728F4"/>
    <w:rsid w:val="00E72A8B"/>
    <w:rsid w:val="00E74301"/>
    <w:rsid w:val="00E77FB2"/>
    <w:rsid w:val="00E80F63"/>
    <w:rsid w:val="00E84223"/>
    <w:rsid w:val="00E86B4B"/>
    <w:rsid w:val="00E90D48"/>
    <w:rsid w:val="00E9113B"/>
    <w:rsid w:val="00E96657"/>
    <w:rsid w:val="00EB2898"/>
    <w:rsid w:val="00EB2FE9"/>
    <w:rsid w:val="00EB3D99"/>
    <w:rsid w:val="00EC5AF1"/>
    <w:rsid w:val="00ED0286"/>
    <w:rsid w:val="00ED27EF"/>
    <w:rsid w:val="00ED2B8F"/>
    <w:rsid w:val="00ED69F0"/>
    <w:rsid w:val="00ED79C2"/>
    <w:rsid w:val="00EF12C4"/>
    <w:rsid w:val="00EF3EDD"/>
    <w:rsid w:val="00EF5898"/>
    <w:rsid w:val="00F07D00"/>
    <w:rsid w:val="00F102DF"/>
    <w:rsid w:val="00F1248B"/>
    <w:rsid w:val="00F13449"/>
    <w:rsid w:val="00F16B4F"/>
    <w:rsid w:val="00F22931"/>
    <w:rsid w:val="00F23083"/>
    <w:rsid w:val="00F23E9F"/>
    <w:rsid w:val="00F2572A"/>
    <w:rsid w:val="00F302C9"/>
    <w:rsid w:val="00F30FF0"/>
    <w:rsid w:val="00F41A28"/>
    <w:rsid w:val="00F4419A"/>
    <w:rsid w:val="00F504C0"/>
    <w:rsid w:val="00F577C7"/>
    <w:rsid w:val="00F64102"/>
    <w:rsid w:val="00F64D90"/>
    <w:rsid w:val="00F64E33"/>
    <w:rsid w:val="00F6544E"/>
    <w:rsid w:val="00F727B3"/>
    <w:rsid w:val="00F90FB1"/>
    <w:rsid w:val="00F94E1B"/>
    <w:rsid w:val="00F957B6"/>
    <w:rsid w:val="00F97C47"/>
    <w:rsid w:val="00FA179D"/>
    <w:rsid w:val="00FA1822"/>
    <w:rsid w:val="00FA574D"/>
    <w:rsid w:val="00FB4281"/>
    <w:rsid w:val="00FB4523"/>
    <w:rsid w:val="00FB62C2"/>
    <w:rsid w:val="00FB69D4"/>
    <w:rsid w:val="00FB6EA1"/>
    <w:rsid w:val="00FB7327"/>
    <w:rsid w:val="00FC232D"/>
    <w:rsid w:val="00FC3BD8"/>
    <w:rsid w:val="00FC696A"/>
    <w:rsid w:val="00FD042A"/>
    <w:rsid w:val="00FD0913"/>
    <w:rsid w:val="00FD3437"/>
    <w:rsid w:val="00FD5ADF"/>
    <w:rsid w:val="00FD67B7"/>
    <w:rsid w:val="00FD6E4A"/>
    <w:rsid w:val="00FE1CC7"/>
    <w:rsid w:val="00FE2873"/>
    <w:rsid w:val="00FF163A"/>
    <w:rsid w:val="00FF405E"/>
    <w:rsid w:val="00FF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1E302-A671-8046-B58C-33E0B645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3C"/>
  </w:style>
  <w:style w:type="paragraph" w:styleId="Heading1">
    <w:name w:val="heading 1"/>
    <w:basedOn w:val="Normal"/>
    <w:next w:val="Normal"/>
    <w:link w:val="Heading1Char"/>
    <w:uiPriority w:val="99"/>
    <w:qFormat/>
    <w:rsid w:val="007D6F0D"/>
    <w:pPr>
      <w:keepNext/>
      <w:numPr>
        <w:numId w:val="1"/>
      </w:numPr>
      <w:spacing w:before="240" w:after="60" w:line="480" w:lineRule="auto"/>
      <w:outlineLvl w:val="0"/>
    </w:pPr>
    <w:rPr>
      <w:rFonts w:ascii="Palatino Linotype" w:eastAsia="Times New Roman" w:hAnsi="Palatino Linotype" w:cs="Arial"/>
      <w:b/>
      <w:bCs/>
      <w:kern w:val="32"/>
      <w:szCs w:val="32"/>
      <w:lang w:val="en-GB"/>
    </w:rPr>
  </w:style>
  <w:style w:type="paragraph" w:styleId="Heading2">
    <w:name w:val="heading 2"/>
    <w:basedOn w:val="Normal"/>
    <w:next w:val="Normal"/>
    <w:link w:val="Heading2Char"/>
    <w:uiPriority w:val="99"/>
    <w:semiHidden/>
    <w:unhideWhenUsed/>
    <w:qFormat/>
    <w:rsid w:val="007D6F0D"/>
    <w:pPr>
      <w:keepNext/>
      <w:numPr>
        <w:ilvl w:val="1"/>
        <w:numId w:val="1"/>
      </w:numPr>
      <w:spacing w:before="240" w:after="60" w:line="480" w:lineRule="auto"/>
      <w:outlineLvl w:val="1"/>
    </w:pPr>
    <w:rPr>
      <w:rFonts w:ascii="Palatino Linotype" w:eastAsia="Times New Roman" w:hAnsi="Palatino Linotype" w:cs="Arial"/>
      <w:b/>
      <w:bCs/>
      <w:iCs/>
      <w:szCs w:val="28"/>
      <w:lang w:val="en-GB"/>
    </w:rPr>
  </w:style>
  <w:style w:type="paragraph" w:styleId="Heading3">
    <w:name w:val="heading 3"/>
    <w:basedOn w:val="Normal"/>
    <w:next w:val="Normal"/>
    <w:link w:val="Heading3Char"/>
    <w:uiPriority w:val="9"/>
    <w:unhideWhenUsed/>
    <w:qFormat/>
    <w:rsid w:val="007D6F0D"/>
    <w:pPr>
      <w:keepNext/>
      <w:numPr>
        <w:ilvl w:val="2"/>
        <w:numId w:val="1"/>
      </w:numPr>
      <w:spacing w:before="240" w:after="60" w:line="480" w:lineRule="auto"/>
      <w:outlineLvl w:val="2"/>
    </w:pPr>
    <w:rPr>
      <w:rFonts w:ascii="Palatino Linotype" w:eastAsia="Times New Roman" w:hAnsi="Palatino Linotype" w:cs="Arial"/>
      <w:b/>
      <w:bCs/>
      <w:szCs w:val="26"/>
      <w:lang w:val="en-GB"/>
    </w:rPr>
  </w:style>
  <w:style w:type="paragraph" w:styleId="Heading4">
    <w:name w:val="heading 4"/>
    <w:basedOn w:val="Normal"/>
    <w:next w:val="Normal"/>
    <w:link w:val="Heading4Char"/>
    <w:uiPriority w:val="9"/>
    <w:semiHidden/>
    <w:unhideWhenUsed/>
    <w:qFormat/>
    <w:rsid w:val="007D6F0D"/>
    <w:pPr>
      <w:keepNext/>
      <w:numPr>
        <w:ilvl w:val="3"/>
        <w:numId w:val="1"/>
      </w:numPr>
      <w:spacing w:before="240" w:after="60" w:line="480" w:lineRule="auto"/>
      <w:ind w:left="864"/>
      <w:outlineLvl w:val="3"/>
    </w:pPr>
    <w:rPr>
      <w:rFonts w:ascii="Palatino Linotype" w:eastAsia="Times New Roman" w:hAnsi="Palatino Linotype"/>
      <w:b/>
      <w:bCs/>
      <w:i/>
      <w:szCs w:val="28"/>
      <w:lang w:val="en-GB"/>
    </w:rPr>
  </w:style>
  <w:style w:type="paragraph" w:styleId="Heading5">
    <w:name w:val="heading 5"/>
    <w:basedOn w:val="Normal"/>
    <w:next w:val="Normal"/>
    <w:link w:val="Heading5Char"/>
    <w:uiPriority w:val="99"/>
    <w:semiHidden/>
    <w:unhideWhenUsed/>
    <w:qFormat/>
    <w:rsid w:val="007D6F0D"/>
    <w:pPr>
      <w:numPr>
        <w:ilvl w:val="4"/>
        <w:numId w:val="1"/>
      </w:numPr>
      <w:spacing w:before="240" w:after="60" w:line="480" w:lineRule="auto"/>
      <w:outlineLvl w:val="4"/>
    </w:pPr>
    <w:rPr>
      <w:rFonts w:ascii="Palatino Linotype" w:eastAsia="Times New Roman" w:hAnsi="Palatino Linotype"/>
      <w:bCs/>
      <w:i/>
      <w:iCs/>
      <w:szCs w:val="26"/>
      <w:lang w:val="en-GB"/>
    </w:rPr>
  </w:style>
  <w:style w:type="paragraph" w:styleId="Heading6">
    <w:name w:val="heading 6"/>
    <w:basedOn w:val="Normal"/>
    <w:next w:val="Normal"/>
    <w:link w:val="Heading6Char"/>
    <w:semiHidden/>
    <w:unhideWhenUsed/>
    <w:qFormat/>
    <w:rsid w:val="007D6F0D"/>
    <w:pPr>
      <w:keepNext/>
      <w:keepLines/>
      <w:numPr>
        <w:ilvl w:val="5"/>
        <w:numId w:val="1"/>
      </w:numPr>
      <w:spacing w:before="200" w:after="0" w:line="480" w:lineRule="auto"/>
      <w:outlineLvl w:val="5"/>
    </w:pPr>
    <w:rPr>
      <w:rFonts w:asciiTheme="majorHAnsi" w:eastAsiaTheme="majorEastAsia" w:hAnsiTheme="majorHAnsi" w:cstheme="majorBidi"/>
      <w:i/>
      <w:iCs/>
      <w:color w:val="243F60" w:themeColor="accent1" w:themeShade="7F"/>
      <w:lang w:val="en-GB"/>
    </w:rPr>
  </w:style>
  <w:style w:type="paragraph" w:styleId="Heading7">
    <w:name w:val="heading 7"/>
    <w:basedOn w:val="Normal"/>
    <w:next w:val="Normal"/>
    <w:link w:val="Heading7Char"/>
    <w:semiHidden/>
    <w:unhideWhenUsed/>
    <w:qFormat/>
    <w:rsid w:val="007D6F0D"/>
    <w:pPr>
      <w:keepNext/>
      <w:keepLines/>
      <w:numPr>
        <w:ilvl w:val="6"/>
        <w:numId w:val="1"/>
      </w:numPr>
      <w:spacing w:before="200" w:after="0" w:line="480" w:lineRule="auto"/>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semiHidden/>
    <w:unhideWhenUsed/>
    <w:qFormat/>
    <w:rsid w:val="007D6F0D"/>
    <w:pPr>
      <w:keepNext/>
      <w:keepLines/>
      <w:numPr>
        <w:ilvl w:val="7"/>
        <w:numId w:val="1"/>
      </w:numPr>
      <w:spacing w:before="200" w:after="0" w:line="480" w:lineRule="auto"/>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semiHidden/>
    <w:unhideWhenUsed/>
    <w:qFormat/>
    <w:rsid w:val="007D6F0D"/>
    <w:pPr>
      <w:keepNext/>
      <w:keepLines/>
      <w:numPr>
        <w:ilvl w:val="8"/>
        <w:numId w:val="1"/>
      </w:numPr>
      <w:spacing w:before="200" w:after="0" w:line="480"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383C"/>
    <w:rPr>
      <w:color w:val="0000FF" w:themeColor="hyperlink"/>
      <w:u w:val="single"/>
    </w:rPr>
  </w:style>
  <w:style w:type="paragraph" w:styleId="FootnoteText">
    <w:name w:val="footnote text"/>
    <w:basedOn w:val="Normal"/>
    <w:link w:val="FootnoteTextChar"/>
    <w:unhideWhenUsed/>
    <w:rsid w:val="0061383C"/>
    <w:pPr>
      <w:autoSpaceDE w:val="0"/>
      <w:autoSpaceDN w:val="0"/>
      <w:adjustRightInd w:val="0"/>
      <w:spacing w:after="0" w:line="480" w:lineRule="auto"/>
    </w:pPr>
    <w:rPr>
      <w:color w:val="FF0000"/>
      <w:sz w:val="20"/>
      <w:szCs w:val="20"/>
    </w:rPr>
  </w:style>
  <w:style w:type="character" w:customStyle="1" w:styleId="FootnoteTextChar">
    <w:name w:val="Footnote Text Char"/>
    <w:basedOn w:val="DefaultParagraphFont"/>
    <w:link w:val="FootnoteText"/>
    <w:rsid w:val="0061383C"/>
    <w:rPr>
      <w:color w:val="FF0000"/>
      <w:sz w:val="20"/>
      <w:szCs w:val="20"/>
    </w:rPr>
  </w:style>
  <w:style w:type="paragraph" w:styleId="CommentText">
    <w:name w:val="annotation text"/>
    <w:basedOn w:val="Normal"/>
    <w:link w:val="CommentTextChar"/>
    <w:uiPriority w:val="99"/>
    <w:unhideWhenUsed/>
    <w:rsid w:val="0061383C"/>
    <w:pPr>
      <w:autoSpaceDE w:val="0"/>
      <w:autoSpaceDN w:val="0"/>
      <w:adjustRightInd w:val="0"/>
      <w:spacing w:after="0" w:line="480" w:lineRule="auto"/>
    </w:pPr>
    <w:rPr>
      <w:rFonts w:eastAsia="Times New Roman"/>
      <w:noProof/>
      <w:color w:val="FF0000"/>
      <w:sz w:val="20"/>
      <w:szCs w:val="20"/>
    </w:rPr>
  </w:style>
  <w:style w:type="character" w:customStyle="1" w:styleId="CommentTextChar">
    <w:name w:val="Comment Text Char"/>
    <w:basedOn w:val="DefaultParagraphFont"/>
    <w:link w:val="CommentText"/>
    <w:uiPriority w:val="99"/>
    <w:rsid w:val="0061383C"/>
    <w:rPr>
      <w:rFonts w:eastAsia="Times New Roman"/>
      <w:noProof/>
      <w:color w:val="FF0000"/>
      <w:sz w:val="20"/>
      <w:szCs w:val="20"/>
    </w:rPr>
  </w:style>
  <w:style w:type="character" w:styleId="FootnoteReference">
    <w:name w:val="footnote reference"/>
    <w:basedOn w:val="DefaultParagraphFont"/>
    <w:uiPriority w:val="99"/>
    <w:semiHidden/>
    <w:unhideWhenUsed/>
    <w:rsid w:val="0061383C"/>
    <w:rPr>
      <w:vertAlign w:val="superscript"/>
    </w:rPr>
  </w:style>
  <w:style w:type="character" w:styleId="CommentReference">
    <w:name w:val="annotation reference"/>
    <w:uiPriority w:val="99"/>
    <w:semiHidden/>
    <w:unhideWhenUsed/>
    <w:rsid w:val="0061383C"/>
    <w:rPr>
      <w:sz w:val="16"/>
      <w:szCs w:val="16"/>
    </w:rPr>
  </w:style>
  <w:style w:type="character" w:customStyle="1" w:styleId="Heading1Char">
    <w:name w:val="Heading 1 Char"/>
    <w:basedOn w:val="DefaultParagraphFont"/>
    <w:link w:val="Heading1"/>
    <w:uiPriority w:val="99"/>
    <w:rsid w:val="007D6F0D"/>
    <w:rPr>
      <w:rFonts w:ascii="Palatino Linotype" w:eastAsia="Times New Roman" w:hAnsi="Palatino Linotype" w:cs="Arial"/>
      <w:b/>
      <w:bCs/>
      <w:kern w:val="32"/>
      <w:szCs w:val="32"/>
      <w:lang w:val="en-GB"/>
    </w:rPr>
  </w:style>
  <w:style w:type="character" w:customStyle="1" w:styleId="Heading2Char">
    <w:name w:val="Heading 2 Char"/>
    <w:basedOn w:val="DefaultParagraphFont"/>
    <w:link w:val="Heading2"/>
    <w:uiPriority w:val="99"/>
    <w:semiHidden/>
    <w:rsid w:val="007D6F0D"/>
    <w:rPr>
      <w:rFonts w:ascii="Palatino Linotype" w:eastAsia="Times New Roman" w:hAnsi="Palatino Linotype" w:cs="Arial"/>
      <w:b/>
      <w:bCs/>
      <w:iCs/>
      <w:szCs w:val="28"/>
      <w:lang w:val="en-GB"/>
    </w:rPr>
  </w:style>
  <w:style w:type="character" w:customStyle="1" w:styleId="Heading3Char">
    <w:name w:val="Heading 3 Char"/>
    <w:basedOn w:val="DefaultParagraphFont"/>
    <w:link w:val="Heading3"/>
    <w:uiPriority w:val="9"/>
    <w:rsid w:val="007D6F0D"/>
    <w:rPr>
      <w:rFonts w:ascii="Palatino Linotype" w:eastAsia="Times New Roman" w:hAnsi="Palatino Linotype" w:cs="Arial"/>
      <w:b/>
      <w:bCs/>
      <w:szCs w:val="26"/>
      <w:lang w:val="en-GB"/>
    </w:rPr>
  </w:style>
  <w:style w:type="character" w:customStyle="1" w:styleId="Heading4Char">
    <w:name w:val="Heading 4 Char"/>
    <w:basedOn w:val="DefaultParagraphFont"/>
    <w:link w:val="Heading4"/>
    <w:uiPriority w:val="9"/>
    <w:semiHidden/>
    <w:rsid w:val="007D6F0D"/>
    <w:rPr>
      <w:rFonts w:ascii="Palatino Linotype" w:eastAsia="Times New Roman" w:hAnsi="Palatino Linotype"/>
      <w:b/>
      <w:bCs/>
      <w:i/>
      <w:szCs w:val="28"/>
      <w:lang w:val="en-GB"/>
    </w:rPr>
  </w:style>
  <w:style w:type="character" w:customStyle="1" w:styleId="Heading5Char">
    <w:name w:val="Heading 5 Char"/>
    <w:basedOn w:val="DefaultParagraphFont"/>
    <w:link w:val="Heading5"/>
    <w:uiPriority w:val="99"/>
    <w:semiHidden/>
    <w:rsid w:val="007D6F0D"/>
    <w:rPr>
      <w:rFonts w:ascii="Palatino Linotype" w:eastAsia="Times New Roman" w:hAnsi="Palatino Linotype"/>
      <w:bCs/>
      <w:i/>
      <w:iCs/>
      <w:szCs w:val="26"/>
      <w:lang w:val="en-GB"/>
    </w:rPr>
  </w:style>
  <w:style w:type="character" w:customStyle="1" w:styleId="Heading6Char">
    <w:name w:val="Heading 6 Char"/>
    <w:basedOn w:val="DefaultParagraphFont"/>
    <w:link w:val="Heading6"/>
    <w:semiHidden/>
    <w:rsid w:val="007D6F0D"/>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semiHidden/>
    <w:rsid w:val="007D6F0D"/>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7D6F0D"/>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7D6F0D"/>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uiPriority w:val="34"/>
    <w:qFormat/>
    <w:rsid w:val="00670F87"/>
    <w:pPr>
      <w:ind w:left="720"/>
      <w:contextualSpacing/>
    </w:pPr>
  </w:style>
  <w:style w:type="character" w:styleId="FollowedHyperlink">
    <w:name w:val="FollowedHyperlink"/>
    <w:basedOn w:val="DefaultParagraphFont"/>
    <w:uiPriority w:val="99"/>
    <w:semiHidden/>
    <w:unhideWhenUsed/>
    <w:rsid w:val="007F5EBC"/>
    <w:rPr>
      <w:color w:val="800080" w:themeColor="followedHyperlink"/>
      <w:u w:val="single"/>
    </w:rPr>
  </w:style>
  <w:style w:type="paragraph" w:styleId="Header">
    <w:name w:val="header"/>
    <w:basedOn w:val="Normal"/>
    <w:link w:val="HeaderChar"/>
    <w:uiPriority w:val="99"/>
    <w:semiHidden/>
    <w:unhideWhenUsed/>
    <w:rsid w:val="007F5E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5EBC"/>
  </w:style>
  <w:style w:type="paragraph" w:styleId="Footer">
    <w:name w:val="footer"/>
    <w:basedOn w:val="Normal"/>
    <w:link w:val="FooterChar"/>
    <w:uiPriority w:val="99"/>
    <w:unhideWhenUsed/>
    <w:rsid w:val="007F5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EBC"/>
  </w:style>
  <w:style w:type="paragraph" w:styleId="ListBullet">
    <w:name w:val="List Bullet"/>
    <w:basedOn w:val="Normal"/>
    <w:uiPriority w:val="99"/>
    <w:semiHidden/>
    <w:unhideWhenUsed/>
    <w:rsid w:val="007F5EBC"/>
    <w:pPr>
      <w:numPr>
        <w:numId w:val="2"/>
      </w:numPr>
      <w:contextualSpacing/>
    </w:pPr>
  </w:style>
  <w:style w:type="paragraph" w:styleId="CommentSubject">
    <w:name w:val="annotation subject"/>
    <w:basedOn w:val="CommentText"/>
    <w:next w:val="CommentText"/>
    <w:link w:val="CommentSubjectChar"/>
    <w:uiPriority w:val="99"/>
    <w:semiHidden/>
    <w:unhideWhenUsed/>
    <w:rsid w:val="007F5EBC"/>
    <w:pPr>
      <w:autoSpaceDE/>
      <w:autoSpaceDN/>
      <w:adjustRightInd/>
      <w:spacing w:after="200" w:line="240" w:lineRule="auto"/>
    </w:pPr>
    <w:rPr>
      <w:rFonts w:eastAsiaTheme="minorHAnsi"/>
      <w:b/>
      <w:bCs/>
      <w:noProof w:val="0"/>
      <w:color w:val="auto"/>
    </w:rPr>
  </w:style>
  <w:style w:type="character" w:customStyle="1" w:styleId="CommentSubjectChar">
    <w:name w:val="Comment Subject Char"/>
    <w:basedOn w:val="CommentTextChar"/>
    <w:link w:val="CommentSubject"/>
    <w:uiPriority w:val="99"/>
    <w:semiHidden/>
    <w:rsid w:val="007F5EBC"/>
    <w:rPr>
      <w:rFonts w:eastAsia="Times New Roman"/>
      <w:b/>
      <w:bCs/>
      <w:noProof/>
      <w:color w:val="FF0000"/>
      <w:sz w:val="20"/>
      <w:szCs w:val="20"/>
    </w:rPr>
  </w:style>
  <w:style w:type="paragraph" w:styleId="BalloonText">
    <w:name w:val="Balloon Text"/>
    <w:basedOn w:val="Normal"/>
    <w:link w:val="BalloonTextChar"/>
    <w:uiPriority w:val="99"/>
    <w:semiHidden/>
    <w:unhideWhenUsed/>
    <w:rsid w:val="007F5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BC"/>
    <w:rPr>
      <w:rFonts w:ascii="Tahoma" w:hAnsi="Tahoma" w:cs="Tahoma"/>
      <w:sz w:val="16"/>
      <w:szCs w:val="16"/>
    </w:rPr>
  </w:style>
  <w:style w:type="paragraph" w:styleId="Revision">
    <w:name w:val="Revision"/>
    <w:uiPriority w:val="99"/>
    <w:semiHidden/>
    <w:rsid w:val="007F5EBC"/>
    <w:pPr>
      <w:spacing w:after="0" w:line="240" w:lineRule="auto"/>
    </w:pPr>
  </w:style>
  <w:style w:type="character" w:customStyle="1" w:styleId="expandable-author">
    <w:name w:val="expandable-author"/>
    <w:basedOn w:val="DefaultParagraphFont"/>
    <w:rsid w:val="007F5EBC"/>
  </w:style>
  <w:style w:type="character" w:customStyle="1" w:styleId="contribdegrees3">
    <w:name w:val="contribdegrees3"/>
    <w:basedOn w:val="DefaultParagraphFont"/>
    <w:rsid w:val="007F5EBC"/>
  </w:style>
  <w:style w:type="character" w:customStyle="1" w:styleId="UnresolvedMention1">
    <w:name w:val="Unresolved Mention1"/>
    <w:basedOn w:val="DefaultParagraphFont"/>
    <w:uiPriority w:val="99"/>
    <w:semiHidden/>
    <w:rsid w:val="007F5EBC"/>
    <w:rPr>
      <w:color w:val="605E5C"/>
      <w:shd w:val="clear" w:color="auto" w:fill="E1DFDD"/>
    </w:rPr>
  </w:style>
  <w:style w:type="table" w:styleId="TableGrid">
    <w:name w:val="Table Grid"/>
    <w:basedOn w:val="TableNormal"/>
    <w:uiPriority w:val="39"/>
    <w:rsid w:val="007F5EB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E7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GB" w:eastAsia="en-GB"/>
    </w:rPr>
  </w:style>
  <w:style w:type="character" w:customStyle="1" w:styleId="HTMLPreformattedChar">
    <w:name w:val="HTML Preformatted Char"/>
    <w:basedOn w:val="DefaultParagraphFont"/>
    <w:link w:val="HTMLPreformatted"/>
    <w:semiHidden/>
    <w:rsid w:val="00E728F4"/>
    <w:rPr>
      <w:rFonts w:ascii="Courier New" w:eastAsia="Times New Roman" w:hAnsi="Courier New" w:cs="Courier New"/>
      <w:color w:val="000000"/>
      <w:sz w:val="20"/>
      <w:szCs w:val="20"/>
      <w:lang w:val="en-GB" w:eastAsia="en-GB"/>
    </w:rPr>
  </w:style>
  <w:style w:type="paragraph" w:styleId="Title">
    <w:name w:val="Title"/>
    <w:basedOn w:val="Normal"/>
    <w:link w:val="TitleChar1"/>
    <w:qFormat/>
    <w:rsid w:val="00E728F4"/>
    <w:pPr>
      <w:spacing w:after="0" w:line="360" w:lineRule="auto"/>
      <w:jc w:val="center"/>
    </w:pPr>
    <w:rPr>
      <w:rFonts w:ascii="Arial" w:eastAsia="Times New Roman" w:hAnsi="Arial" w:cs="Arial"/>
      <w:b/>
      <w:bCs/>
      <w:sz w:val="20"/>
      <w:szCs w:val="20"/>
    </w:rPr>
  </w:style>
  <w:style w:type="character" w:customStyle="1" w:styleId="TitleChar">
    <w:name w:val="Title Char"/>
    <w:basedOn w:val="DefaultParagraphFont"/>
    <w:uiPriority w:val="10"/>
    <w:rsid w:val="00E728F4"/>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E728F4"/>
    <w:pPr>
      <w:spacing w:after="120" w:line="240" w:lineRule="auto"/>
    </w:pPr>
    <w:rPr>
      <w:rFonts w:eastAsia="Times New Roman"/>
      <w:lang w:val="en-GB"/>
    </w:rPr>
  </w:style>
  <w:style w:type="character" w:customStyle="1" w:styleId="BodyTextChar">
    <w:name w:val="Body Text Char"/>
    <w:basedOn w:val="DefaultParagraphFont"/>
    <w:link w:val="BodyText"/>
    <w:uiPriority w:val="99"/>
    <w:semiHidden/>
    <w:rsid w:val="00E728F4"/>
    <w:rPr>
      <w:rFonts w:eastAsia="Times New Roman"/>
      <w:lang w:val="en-GB"/>
    </w:rPr>
  </w:style>
  <w:style w:type="character" w:customStyle="1" w:styleId="ti">
    <w:name w:val="ti"/>
    <w:basedOn w:val="DefaultParagraphFont"/>
    <w:rsid w:val="00E728F4"/>
  </w:style>
  <w:style w:type="character" w:customStyle="1" w:styleId="TitleChar1">
    <w:name w:val="Title Char1"/>
    <w:basedOn w:val="DefaultParagraphFont"/>
    <w:link w:val="Title"/>
    <w:locked/>
    <w:rsid w:val="00E728F4"/>
    <w:rPr>
      <w:rFonts w:ascii="Arial" w:eastAsia="Times New Roman" w:hAnsi="Arial" w:cs="Arial"/>
      <w:b/>
      <w:bCs/>
      <w:sz w:val="20"/>
      <w:szCs w:val="20"/>
    </w:rPr>
  </w:style>
  <w:style w:type="character" w:customStyle="1" w:styleId="reference-text">
    <w:name w:val="reference-text"/>
    <w:basedOn w:val="DefaultParagraphFont"/>
    <w:rsid w:val="004435F0"/>
  </w:style>
  <w:style w:type="character" w:styleId="LineNumber">
    <w:name w:val="line number"/>
    <w:basedOn w:val="DefaultParagraphFont"/>
    <w:uiPriority w:val="99"/>
    <w:semiHidden/>
    <w:unhideWhenUsed/>
    <w:rsid w:val="007B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636">
      <w:bodyDiv w:val="1"/>
      <w:marLeft w:val="0"/>
      <w:marRight w:val="0"/>
      <w:marTop w:val="0"/>
      <w:marBottom w:val="0"/>
      <w:divBdr>
        <w:top w:val="none" w:sz="0" w:space="0" w:color="auto"/>
        <w:left w:val="none" w:sz="0" w:space="0" w:color="auto"/>
        <w:bottom w:val="none" w:sz="0" w:space="0" w:color="auto"/>
        <w:right w:val="none" w:sz="0" w:space="0" w:color="auto"/>
      </w:divBdr>
    </w:div>
    <w:div w:id="192615685">
      <w:bodyDiv w:val="1"/>
      <w:marLeft w:val="0"/>
      <w:marRight w:val="0"/>
      <w:marTop w:val="0"/>
      <w:marBottom w:val="0"/>
      <w:divBdr>
        <w:top w:val="none" w:sz="0" w:space="0" w:color="auto"/>
        <w:left w:val="none" w:sz="0" w:space="0" w:color="auto"/>
        <w:bottom w:val="none" w:sz="0" w:space="0" w:color="auto"/>
        <w:right w:val="none" w:sz="0" w:space="0" w:color="auto"/>
      </w:divBdr>
      <w:divsChild>
        <w:div w:id="782307763">
          <w:marLeft w:val="0"/>
          <w:marRight w:val="0"/>
          <w:marTop w:val="0"/>
          <w:marBottom w:val="0"/>
          <w:divBdr>
            <w:top w:val="none" w:sz="0" w:space="0" w:color="auto"/>
            <w:left w:val="none" w:sz="0" w:space="0" w:color="auto"/>
            <w:bottom w:val="none" w:sz="0" w:space="0" w:color="auto"/>
            <w:right w:val="none" w:sz="0" w:space="0" w:color="auto"/>
          </w:divBdr>
          <w:divsChild>
            <w:div w:id="1360744094">
              <w:marLeft w:val="0"/>
              <w:marRight w:val="0"/>
              <w:marTop w:val="0"/>
              <w:marBottom w:val="0"/>
              <w:divBdr>
                <w:top w:val="none" w:sz="0" w:space="0" w:color="auto"/>
                <w:left w:val="none" w:sz="0" w:space="0" w:color="auto"/>
                <w:bottom w:val="none" w:sz="0" w:space="0" w:color="auto"/>
                <w:right w:val="none" w:sz="0" w:space="0" w:color="auto"/>
              </w:divBdr>
              <w:divsChild>
                <w:div w:id="1533154925">
                  <w:marLeft w:val="0"/>
                  <w:marRight w:val="0"/>
                  <w:marTop w:val="0"/>
                  <w:marBottom w:val="0"/>
                  <w:divBdr>
                    <w:top w:val="single" w:sz="6" w:space="0" w:color="CCCCCC"/>
                    <w:left w:val="single" w:sz="6" w:space="0" w:color="CCCCCC"/>
                    <w:bottom w:val="single" w:sz="6" w:space="0" w:color="CCCCCC"/>
                    <w:right w:val="single" w:sz="6" w:space="0" w:color="CCCCCC"/>
                  </w:divBdr>
                  <w:divsChild>
                    <w:div w:id="1423910286">
                      <w:marLeft w:val="0"/>
                      <w:marRight w:val="0"/>
                      <w:marTop w:val="0"/>
                      <w:marBottom w:val="0"/>
                      <w:divBdr>
                        <w:top w:val="none" w:sz="0" w:space="0" w:color="auto"/>
                        <w:left w:val="none" w:sz="0" w:space="0" w:color="auto"/>
                        <w:bottom w:val="none" w:sz="0" w:space="0" w:color="auto"/>
                        <w:right w:val="none" w:sz="0" w:space="0" w:color="auto"/>
                      </w:divBdr>
                      <w:divsChild>
                        <w:div w:id="1998994111">
                          <w:marLeft w:val="0"/>
                          <w:marRight w:val="0"/>
                          <w:marTop w:val="0"/>
                          <w:marBottom w:val="0"/>
                          <w:divBdr>
                            <w:top w:val="none" w:sz="0" w:space="0" w:color="auto"/>
                            <w:left w:val="none" w:sz="0" w:space="0" w:color="auto"/>
                            <w:bottom w:val="none" w:sz="0" w:space="0" w:color="auto"/>
                            <w:right w:val="none" w:sz="0" w:space="0" w:color="auto"/>
                          </w:divBdr>
                          <w:divsChild>
                            <w:div w:id="1087459930">
                              <w:marLeft w:val="0"/>
                              <w:marRight w:val="0"/>
                              <w:marTop w:val="0"/>
                              <w:marBottom w:val="0"/>
                              <w:divBdr>
                                <w:top w:val="none" w:sz="0" w:space="0" w:color="auto"/>
                                <w:left w:val="none" w:sz="0" w:space="0" w:color="auto"/>
                                <w:bottom w:val="none" w:sz="0" w:space="0" w:color="auto"/>
                                <w:right w:val="none" w:sz="0" w:space="0" w:color="auto"/>
                              </w:divBdr>
                              <w:divsChild>
                                <w:div w:id="661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059994">
      <w:bodyDiv w:val="1"/>
      <w:marLeft w:val="0"/>
      <w:marRight w:val="0"/>
      <w:marTop w:val="0"/>
      <w:marBottom w:val="0"/>
      <w:divBdr>
        <w:top w:val="none" w:sz="0" w:space="0" w:color="auto"/>
        <w:left w:val="none" w:sz="0" w:space="0" w:color="auto"/>
        <w:bottom w:val="none" w:sz="0" w:space="0" w:color="auto"/>
        <w:right w:val="none" w:sz="0" w:space="0" w:color="auto"/>
      </w:divBdr>
    </w:div>
    <w:div w:id="241109616">
      <w:bodyDiv w:val="1"/>
      <w:marLeft w:val="0"/>
      <w:marRight w:val="0"/>
      <w:marTop w:val="0"/>
      <w:marBottom w:val="0"/>
      <w:divBdr>
        <w:top w:val="none" w:sz="0" w:space="0" w:color="auto"/>
        <w:left w:val="none" w:sz="0" w:space="0" w:color="auto"/>
        <w:bottom w:val="none" w:sz="0" w:space="0" w:color="auto"/>
        <w:right w:val="none" w:sz="0" w:space="0" w:color="auto"/>
      </w:divBdr>
    </w:div>
    <w:div w:id="361250240">
      <w:bodyDiv w:val="1"/>
      <w:marLeft w:val="0"/>
      <w:marRight w:val="0"/>
      <w:marTop w:val="0"/>
      <w:marBottom w:val="0"/>
      <w:divBdr>
        <w:top w:val="none" w:sz="0" w:space="0" w:color="auto"/>
        <w:left w:val="none" w:sz="0" w:space="0" w:color="auto"/>
        <w:bottom w:val="none" w:sz="0" w:space="0" w:color="auto"/>
        <w:right w:val="none" w:sz="0" w:space="0" w:color="auto"/>
      </w:divBdr>
    </w:div>
    <w:div w:id="481197248">
      <w:bodyDiv w:val="1"/>
      <w:marLeft w:val="0"/>
      <w:marRight w:val="0"/>
      <w:marTop w:val="0"/>
      <w:marBottom w:val="0"/>
      <w:divBdr>
        <w:top w:val="none" w:sz="0" w:space="0" w:color="auto"/>
        <w:left w:val="none" w:sz="0" w:space="0" w:color="auto"/>
        <w:bottom w:val="none" w:sz="0" w:space="0" w:color="auto"/>
        <w:right w:val="none" w:sz="0" w:space="0" w:color="auto"/>
      </w:divBdr>
    </w:div>
    <w:div w:id="760879379">
      <w:bodyDiv w:val="1"/>
      <w:marLeft w:val="0"/>
      <w:marRight w:val="0"/>
      <w:marTop w:val="0"/>
      <w:marBottom w:val="0"/>
      <w:divBdr>
        <w:top w:val="none" w:sz="0" w:space="0" w:color="auto"/>
        <w:left w:val="none" w:sz="0" w:space="0" w:color="auto"/>
        <w:bottom w:val="none" w:sz="0" w:space="0" w:color="auto"/>
        <w:right w:val="none" w:sz="0" w:space="0" w:color="auto"/>
      </w:divBdr>
    </w:div>
    <w:div w:id="934244871">
      <w:bodyDiv w:val="1"/>
      <w:marLeft w:val="0"/>
      <w:marRight w:val="0"/>
      <w:marTop w:val="0"/>
      <w:marBottom w:val="0"/>
      <w:divBdr>
        <w:top w:val="none" w:sz="0" w:space="0" w:color="auto"/>
        <w:left w:val="none" w:sz="0" w:space="0" w:color="auto"/>
        <w:bottom w:val="none" w:sz="0" w:space="0" w:color="auto"/>
        <w:right w:val="none" w:sz="0" w:space="0" w:color="auto"/>
      </w:divBdr>
    </w:div>
    <w:div w:id="994139329">
      <w:bodyDiv w:val="1"/>
      <w:marLeft w:val="0"/>
      <w:marRight w:val="0"/>
      <w:marTop w:val="0"/>
      <w:marBottom w:val="0"/>
      <w:divBdr>
        <w:top w:val="none" w:sz="0" w:space="0" w:color="auto"/>
        <w:left w:val="none" w:sz="0" w:space="0" w:color="auto"/>
        <w:bottom w:val="none" w:sz="0" w:space="0" w:color="auto"/>
        <w:right w:val="none" w:sz="0" w:space="0" w:color="auto"/>
      </w:divBdr>
    </w:div>
    <w:div w:id="1030692631">
      <w:bodyDiv w:val="1"/>
      <w:marLeft w:val="0"/>
      <w:marRight w:val="0"/>
      <w:marTop w:val="0"/>
      <w:marBottom w:val="0"/>
      <w:divBdr>
        <w:top w:val="none" w:sz="0" w:space="0" w:color="auto"/>
        <w:left w:val="none" w:sz="0" w:space="0" w:color="auto"/>
        <w:bottom w:val="none" w:sz="0" w:space="0" w:color="auto"/>
        <w:right w:val="none" w:sz="0" w:space="0" w:color="auto"/>
      </w:divBdr>
    </w:div>
    <w:div w:id="1061059793">
      <w:bodyDiv w:val="1"/>
      <w:marLeft w:val="0"/>
      <w:marRight w:val="0"/>
      <w:marTop w:val="0"/>
      <w:marBottom w:val="0"/>
      <w:divBdr>
        <w:top w:val="none" w:sz="0" w:space="0" w:color="auto"/>
        <w:left w:val="none" w:sz="0" w:space="0" w:color="auto"/>
        <w:bottom w:val="none" w:sz="0" w:space="0" w:color="auto"/>
        <w:right w:val="none" w:sz="0" w:space="0" w:color="auto"/>
      </w:divBdr>
      <w:divsChild>
        <w:div w:id="1671912423">
          <w:marLeft w:val="0"/>
          <w:marRight w:val="0"/>
          <w:marTop w:val="0"/>
          <w:marBottom w:val="0"/>
          <w:divBdr>
            <w:top w:val="none" w:sz="0" w:space="0" w:color="auto"/>
            <w:left w:val="none" w:sz="0" w:space="0" w:color="auto"/>
            <w:bottom w:val="none" w:sz="0" w:space="0" w:color="auto"/>
            <w:right w:val="none" w:sz="0" w:space="0" w:color="auto"/>
          </w:divBdr>
          <w:divsChild>
            <w:div w:id="1506628590">
              <w:marLeft w:val="0"/>
              <w:marRight w:val="0"/>
              <w:marTop w:val="0"/>
              <w:marBottom w:val="0"/>
              <w:divBdr>
                <w:top w:val="none" w:sz="0" w:space="0" w:color="auto"/>
                <w:left w:val="none" w:sz="0" w:space="0" w:color="auto"/>
                <w:bottom w:val="none" w:sz="0" w:space="0" w:color="auto"/>
                <w:right w:val="none" w:sz="0" w:space="0" w:color="auto"/>
              </w:divBdr>
              <w:divsChild>
                <w:div w:id="1208836839">
                  <w:marLeft w:val="0"/>
                  <w:marRight w:val="0"/>
                  <w:marTop w:val="0"/>
                  <w:marBottom w:val="0"/>
                  <w:divBdr>
                    <w:top w:val="single" w:sz="6" w:space="0" w:color="CCCCCC"/>
                    <w:left w:val="single" w:sz="6" w:space="0" w:color="CCCCCC"/>
                    <w:bottom w:val="single" w:sz="6" w:space="0" w:color="CCCCCC"/>
                    <w:right w:val="single" w:sz="6" w:space="0" w:color="CCCCCC"/>
                  </w:divBdr>
                  <w:divsChild>
                    <w:div w:id="1562595085">
                      <w:marLeft w:val="0"/>
                      <w:marRight w:val="0"/>
                      <w:marTop w:val="0"/>
                      <w:marBottom w:val="0"/>
                      <w:divBdr>
                        <w:top w:val="none" w:sz="0" w:space="0" w:color="auto"/>
                        <w:left w:val="none" w:sz="0" w:space="0" w:color="auto"/>
                        <w:bottom w:val="none" w:sz="0" w:space="0" w:color="auto"/>
                        <w:right w:val="none" w:sz="0" w:space="0" w:color="auto"/>
                      </w:divBdr>
                      <w:divsChild>
                        <w:div w:id="840509822">
                          <w:marLeft w:val="0"/>
                          <w:marRight w:val="0"/>
                          <w:marTop w:val="0"/>
                          <w:marBottom w:val="0"/>
                          <w:divBdr>
                            <w:top w:val="none" w:sz="0" w:space="0" w:color="auto"/>
                            <w:left w:val="none" w:sz="0" w:space="0" w:color="auto"/>
                            <w:bottom w:val="none" w:sz="0" w:space="0" w:color="auto"/>
                            <w:right w:val="none" w:sz="0" w:space="0" w:color="auto"/>
                          </w:divBdr>
                          <w:divsChild>
                            <w:div w:id="945116327">
                              <w:marLeft w:val="0"/>
                              <w:marRight w:val="0"/>
                              <w:marTop w:val="0"/>
                              <w:marBottom w:val="0"/>
                              <w:divBdr>
                                <w:top w:val="none" w:sz="0" w:space="0" w:color="auto"/>
                                <w:left w:val="none" w:sz="0" w:space="0" w:color="auto"/>
                                <w:bottom w:val="none" w:sz="0" w:space="0" w:color="auto"/>
                                <w:right w:val="none" w:sz="0" w:space="0" w:color="auto"/>
                              </w:divBdr>
                              <w:divsChild>
                                <w:div w:id="16390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047244">
      <w:bodyDiv w:val="1"/>
      <w:marLeft w:val="0"/>
      <w:marRight w:val="0"/>
      <w:marTop w:val="0"/>
      <w:marBottom w:val="0"/>
      <w:divBdr>
        <w:top w:val="none" w:sz="0" w:space="0" w:color="auto"/>
        <w:left w:val="none" w:sz="0" w:space="0" w:color="auto"/>
        <w:bottom w:val="none" w:sz="0" w:space="0" w:color="auto"/>
        <w:right w:val="none" w:sz="0" w:space="0" w:color="auto"/>
      </w:divBdr>
    </w:div>
    <w:div w:id="1145900636">
      <w:bodyDiv w:val="1"/>
      <w:marLeft w:val="0"/>
      <w:marRight w:val="0"/>
      <w:marTop w:val="0"/>
      <w:marBottom w:val="0"/>
      <w:divBdr>
        <w:top w:val="none" w:sz="0" w:space="0" w:color="auto"/>
        <w:left w:val="none" w:sz="0" w:space="0" w:color="auto"/>
        <w:bottom w:val="none" w:sz="0" w:space="0" w:color="auto"/>
        <w:right w:val="none" w:sz="0" w:space="0" w:color="auto"/>
      </w:divBdr>
    </w:div>
    <w:div w:id="1242251600">
      <w:bodyDiv w:val="1"/>
      <w:marLeft w:val="0"/>
      <w:marRight w:val="0"/>
      <w:marTop w:val="0"/>
      <w:marBottom w:val="0"/>
      <w:divBdr>
        <w:top w:val="none" w:sz="0" w:space="0" w:color="auto"/>
        <w:left w:val="none" w:sz="0" w:space="0" w:color="auto"/>
        <w:bottom w:val="none" w:sz="0" w:space="0" w:color="auto"/>
        <w:right w:val="none" w:sz="0" w:space="0" w:color="auto"/>
      </w:divBdr>
      <w:divsChild>
        <w:div w:id="1277248599">
          <w:marLeft w:val="0"/>
          <w:marRight w:val="0"/>
          <w:marTop w:val="0"/>
          <w:marBottom w:val="0"/>
          <w:divBdr>
            <w:top w:val="none" w:sz="0" w:space="0" w:color="auto"/>
            <w:left w:val="none" w:sz="0" w:space="0" w:color="auto"/>
            <w:bottom w:val="none" w:sz="0" w:space="0" w:color="auto"/>
            <w:right w:val="none" w:sz="0" w:space="0" w:color="auto"/>
          </w:divBdr>
          <w:divsChild>
            <w:div w:id="710767279">
              <w:marLeft w:val="0"/>
              <w:marRight w:val="0"/>
              <w:marTop w:val="0"/>
              <w:marBottom w:val="0"/>
              <w:divBdr>
                <w:top w:val="none" w:sz="0" w:space="0" w:color="auto"/>
                <w:left w:val="none" w:sz="0" w:space="0" w:color="auto"/>
                <w:bottom w:val="none" w:sz="0" w:space="0" w:color="auto"/>
                <w:right w:val="none" w:sz="0" w:space="0" w:color="auto"/>
              </w:divBdr>
              <w:divsChild>
                <w:div w:id="2064523507">
                  <w:marLeft w:val="0"/>
                  <w:marRight w:val="0"/>
                  <w:marTop w:val="0"/>
                  <w:marBottom w:val="0"/>
                  <w:divBdr>
                    <w:top w:val="single" w:sz="6" w:space="0" w:color="CCCCCC"/>
                    <w:left w:val="single" w:sz="6" w:space="0" w:color="CCCCCC"/>
                    <w:bottom w:val="single" w:sz="6" w:space="0" w:color="CCCCCC"/>
                    <w:right w:val="single" w:sz="6" w:space="0" w:color="CCCCCC"/>
                  </w:divBdr>
                  <w:divsChild>
                    <w:div w:id="1013722188">
                      <w:marLeft w:val="0"/>
                      <w:marRight w:val="0"/>
                      <w:marTop w:val="0"/>
                      <w:marBottom w:val="0"/>
                      <w:divBdr>
                        <w:top w:val="none" w:sz="0" w:space="0" w:color="auto"/>
                        <w:left w:val="none" w:sz="0" w:space="0" w:color="auto"/>
                        <w:bottom w:val="none" w:sz="0" w:space="0" w:color="auto"/>
                        <w:right w:val="none" w:sz="0" w:space="0" w:color="auto"/>
                      </w:divBdr>
                      <w:divsChild>
                        <w:div w:id="1641835886">
                          <w:marLeft w:val="0"/>
                          <w:marRight w:val="0"/>
                          <w:marTop w:val="0"/>
                          <w:marBottom w:val="0"/>
                          <w:divBdr>
                            <w:top w:val="none" w:sz="0" w:space="0" w:color="auto"/>
                            <w:left w:val="none" w:sz="0" w:space="0" w:color="auto"/>
                            <w:bottom w:val="none" w:sz="0" w:space="0" w:color="auto"/>
                            <w:right w:val="none" w:sz="0" w:space="0" w:color="auto"/>
                          </w:divBdr>
                          <w:divsChild>
                            <w:div w:id="609707875">
                              <w:marLeft w:val="0"/>
                              <w:marRight w:val="0"/>
                              <w:marTop w:val="0"/>
                              <w:marBottom w:val="0"/>
                              <w:divBdr>
                                <w:top w:val="none" w:sz="0" w:space="0" w:color="auto"/>
                                <w:left w:val="none" w:sz="0" w:space="0" w:color="auto"/>
                                <w:bottom w:val="none" w:sz="0" w:space="0" w:color="auto"/>
                                <w:right w:val="none" w:sz="0" w:space="0" w:color="auto"/>
                              </w:divBdr>
                              <w:divsChild>
                                <w:div w:id="12000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455453">
      <w:bodyDiv w:val="1"/>
      <w:marLeft w:val="0"/>
      <w:marRight w:val="0"/>
      <w:marTop w:val="0"/>
      <w:marBottom w:val="0"/>
      <w:divBdr>
        <w:top w:val="none" w:sz="0" w:space="0" w:color="auto"/>
        <w:left w:val="none" w:sz="0" w:space="0" w:color="auto"/>
        <w:bottom w:val="none" w:sz="0" w:space="0" w:color="auto"/>
        <w:right w:val="none" w:sz="0" w:space="0" w:color="auto"/>
      </w:divBdr>
    </w:div>
    <w:div w:id="1894005244">
      <w:bodyDiv w:val="1"/>
      <w:marLeft w:val="0"/>
      <w:marRight w:val="0"/>
      <w:marTop w:val="0"/>
      <w:marBottom w:val="0"/>
      <w:divBdr>
        <w:top w:val="none" w:sz="0" w:space="0" w:color="auto"/>
        <w:left w:val="none" w:sz="0" w:space="0" w:color="auto"/>
        <w:bottom w:val="none" w:sz="0" w:space="0" w:color="auto"/>
        <w:right w:val="none" w:sz="0" w:space="0" w:color="auto"/>
      </w:divBdr>
      <w:divsChild>
        <w:div w:id="1484662813">
          <w:marLeft w:val="0"/>
          <w:marRight w:val="0"/>
          <w:marTop w:val="0"/>
          <w:marBottom w:val="0"/>
          <w:divBdr>
            <w:top w:val="none" w:sz="0" w:space="0" w:color="auto"/>
            <w:left w:val="none" w:sz="0" w:space="0" w:color="auto"/>
            <w:bottom w:val="none" w:sz="0" w:space="0" w:color="auto"/>
            <w:right w:val="none" w:sz="0" w:space="0" w:color="auto"/>
          </w:divBdr>
          <w:divsChild>
            <w:div w:id="633827818">
              <w:marLeft w:val="0"/>
              <w:marRight w:val="0"/>
              <w:marTop w:val="0"/>
              <w:marBottom w:val="0"/>
              <w:divBdr>
                <w:top w:val="none" w:sz="0" w:space="0" w:color="auto"/>
                <w:left w:val="none" w:sz="0" w:space="0" w:color="auto"/>
                <w:bottom w:val="none" w:sz="0" w:space="0" w:color="auto"/>
                <w:right w:val="none" w:sz="0" w:space="0" w:color="auto"/>
              </w:divBdr>
              <w:divsChild>
                <w:div w:id="1038358607">
                  <w:marLeft w:val="0"/>
                  <w:marRight w:val="0"/>
                  <w:marTop w:val="0"/>
                  <w:marBottom w:val="0"/>
                  <w:divBdr>
                    <w:top w:val="single" w:sz="6" w:space="0" w:color="CCCCCC"/>
                    <w:left w:val="single" w:sz="6" w:space="0" w:color="CCCCCC"/>
                    <w:bottom w:val="single" w:sz="6" w:space="0" w:color="CCCCCC"/>
                    <w:right w:val="single" w:sz="6" w:space="0" w:color="CCCCCC"/>
                  </w:divBdr>
                  <w:divsChild>
                    <w:div w:id="1977484897">
                      <w:marLeft w:val="0"/>
                      <w:marRight w:val="0"/>
                      <w:marTop w:val="0"/>
                      <w:marBottom w:val="0"/>
                      <w:divBdr>
                        <w:top w:val="none" w:sz="0" w:space="0" w:color="auto"/>
                        <w:left w:val="none" w:sz="0" w:space="0" w:color="auto"/>
                        <w:bottom w:val="none" w:sz="0" w:space="0" w:color="auto"/>
                        <w:right w:val="none" w:sz="0" w:space="0" w:color="auto"/>
                      </w:divBdr>
                      <w:divsChild>
                        <w:div w:id="1084761470">
                          <w:marLeft w:val="0"/>
                          <w:marRight w:val="0"/>
                          <w:marTop w:val="0"/>
                          <w:marBottom w:val="0"/>
                          <w:divBdr>
                            <w:top w:val="none" w:sz="0" w:space="0" w:color="auto"/>
                            <w:left w:val="none" w:sz="0" w:space="0" w:color="auto"/>
                            <w:bottom w:val="none" w:sz="0" w:space="0" w:color="auto"/>
                            <w:right w:val="none" w:sz="0" w:space="0" w:color="auto"/>
                          </w:divBdr>
                          <w:divsChild>
                            <w:div w:id="65616875">
                              <w:marLeft w:val="0"/>
                              <w:marRight w:val="0"/>
                              <w:marTop w:val="0"/>
                              <w:marBottom w:val="0"/>
                              <w:divBdr>
                                <w:top w:val="none" w:sz="0" w:space="0" w:color="auto"/>
                                <w:left w:val="none" w:sz="0" w:space="0" w:color="auto"/>
                                <w:bottom w:val="none" w:sz="0" w:space="0" w:color="auto"/>
                                <w:right w:val="none" w:sz="0" w:space="0" w:color="auto"/>
                              </w:divBdr>
                              <w:divsChild>
                                <w:div w:id="10853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9964">
      <w:bodyDiv w:val="1"/>
      <w:marLeft w:val="0"/>
      <w:marRight w:val="0"/>
      <w:marTop w:val="0"/>
      <w:marBottom w:val="0"/>
      <w:divBdr>
        <w:top w:val="none" w:sz="0" w:space="0" w:color="auto"/>
        <w:left w:val="none" w:sz="0" w:space="0" w:color="auto"/>
        <w:bottom w:val="none" w:sz="0" w:space="0" w:color="auto"/>
        <w:right w:val="none" w:sz="0" w:space="0" w:color="auto"/>
      </w:divBdr>
      <w:divsChild>
        <w:div w:id="339239859">
          <w:marLeft w:val="0"/>
          <w:marRight w:val="0"/>
          <w:marTop w:val="0"/>
          <w:marBottom w:val="0"/>
          <w:divBdr>
            <w:top w:val="none" w:sz="0" w:space="0" w:color="auto"/>
            <w:left w:val="none" w:sz="0" w:space="0" w:color="auto"/>
            <w:bottom w:val="none" w:sz="0" w:space="0" w:color="auto"/>
            <w:right w:val="none" w:sz="0" w:space="0" w:color="auto"/>
          </w:divBdr>
          <w:divsChild>
            <w:div w:id="110520735">
              <w:marLeft w:val="0"/>
              <w:marRight w:val="0"/>
              <w:marTop w:val="0"/>
              <w:marBottom w:val="0"/>
              <w:divBdr>
                <w:top w:val="none" w:sz="0" w:space="0" w:color="auto"/>
                <w:left w:val="none" w:sz="0" w:space="0" w:color="auto"/>
                <w:bottom w:val="none" w:sz="0" w:space="0" w:color="auto"/>
                <w:right w:val="none" w:sz="0" w:space="0" w:color="auto"/>
              </w:divBdr>
              <w:divsChild>
                <w:div w:id="1765413295">
                  <w:marLeft w:val="0"/>
                  <w:marRight w:val="0"/>
                  <w:marTop w:val="0"/>
                  <w:marBottom w:val="0"/>
                  <w:divBdr>
                    <w:top w:val="single" w:sz="6" w:space="0" w:color="CCCCCC"/>
                    <w:left w:val="single" w:sz="6" w:space="0" w:color="CCCCCC"/>
                    <w:bottom w:val="single" w:sz="6" w:space="0" w:color="CCCCCC"/>
                    <w:right w:val="single" w:sz="6" w:space="0" w:color="CCCCCC"/>
                  </w:divBdr>
                  <w:divsChild>
                    <w:div w:id="558129498">
                      <w:marLeft w:val="0"/>
                      <w:marRight w:val="0"/>
                      <w:marTop w:val="0"/>
                      <w:marBottom w:val="0"/>
                      <w:divBdr>
                        <w:top w:val="none" w:sz="0" w:space="0" w:color="auto"/>
                        <w:left w:val="none" w:sz="0" w:space="0" w:color="auto"/>
                        <w:bottom w:val="none" w:sz="0" w:space="0" w:color="auto"/>
                        <w:right w:val="none" w:sz="0" w:space="0" w:color="auto"/>
                      </w:divBdr>
                      <w:divsChild>
                        <w:div w:id="436606471">
                          <w:marLeft w:val="0"/>
                          <w:marRight w:val="0"/>
                          <w:marTop w:val="0"/>
                          <w:marBottom w:val="0"/>
                          <w:divBdr>
                            <w:top w:val="none" w:sz="0" w:space="0" w:color="auto"/>
                            <w:left w:val="none" w:sz="0" w:space="0" w:color="auto"/>
                            <w:bottom w:val="none" w:sz="0" w:space="0" w:color="auto"/>
                            <w:right w:val="none" w:sz="0" w:space="0" w:color="auto"/>
                          </w:divBdr>
                          <w:divsChild>
                            <w:div w:id="1292176983">
                              <w:marLeft w:val="0"/>
                              <w:marRight w:val="0"/>
                              <w:marTop w:val="0"/>
                              <w:marBottom w:val="0"/>
                              <w:divBdr>
                                <w:top w:val="none" w:sz="0" w:space="0" w:color="auto"/>
                                <w:left w:val="none" w:sz="0" w:space="0" w:color="auto"/>
                                <w:bottom w:val="none" w:sz="0" w:space="0" w:color="auto"/>
                                <w:right w:val="none" w:sz="0" w:space="0" w:color="auto"/>
                              </w:divBdr>
                              <w:divsChild>
                                <w:div w:id="11387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438647">
      <w:bodyDiv w:val="1"/>
      <w:marLeft w:val="0"/>
      <w:marRight w:val="0"/>
      <w:marTop w:val="0"/>
      <w:marBottom w:val="0"/>
      <w:divBdr>
        <w:top w:val="none" w:sz="0" w:space="0" w:color="auto"/>
        <w:left w:val="none" w:sz="0" w:space="0" w:color="auto"/>
        <w:bottom w:val="none" w:sz="0" w:space="0" w:color="auto"/>
        <w:right w:val="none" w:sz="0" w:space="0" w:color="auto"/>
      </w:divBdr>
      <w:divsChild>
        <w:div w:id="308048967">
          <w:marLeft w:val="0"/>
          <w:marRight w:val="0"/>
          <w:marTop w:val="0"/>
          <w:marBottom w:val="0"/>
          <w:divBdr>
            <w:top w:val="none" w:sz="0" w:space="0" w:color="auto"/>
            <w:left w:val="none" w:sz="0" w:space="0" w:color="auto"/>
            <w:bottom w:val="none" w:sz="0" w:space="0" w:color="auto"/>
            <w:right w:val="none" w:sz="0" w:space="0" w:color="auto"/>
          </w:divBdr>
          <w:divsChild>
            <w:div w:id="461726951">
              <w:marLeft w:val="0"/>
              <w:marRight w:val="0"/>
              <w:marTop w:val="0"/>
              <w:marBottom w:val="0"/>
              <w:divBdr>
                <w:top w:val="none" w:sz="0" w:space="0" w:color="auto"/>
                <w:left w:val="none" w:sz="0" w:space="0" w:color="auto"/>
                <w:bottom w:val="none" w:sz="0" w:space="0" w:color="auto"/>
                <w:right w:val="none" w:sz="0" w:space="0" w:color="auto"/>
              </w:divBdr>
              <w:divsChild>
                <w:div w:id="1091510115">
                  <w:marLeft w:val="0"/>
                  <w:marRight w:val="0"/>
                  <w:marTop w:val="0"/>
                  <w:marBottom w:val="0"/>
                  <w:divBdr>
                    <w:top w:val="single" w:sz="6" w:space="0" w:color="CCCCCC"/>
                    <w:left w:val="single" w:sz="6" w:space="0" w:color="CCCCCC"/>
                    <w:bottom w:val="single" w:sz="6" w:space="0" w:color="CCCCCC"/>
                    <w:right w:val="single" w:sz="6" w:space="0" w:color="CCCCCC"/>
                  </w:divBdr>
                  <w:divsChild>
                    <w:div w:id="292366747">
                      <w:marLeft w:val="0"/>
                      <w:marRight w:val="0"/>
                      <w:marTop w:val="0"/>
                      <w:marBottom w:val="0"/>
                      <w:divBdr>
                        <w:top w:val="none" w:sz="0" w:space="0" w:color="auto"/>
                        <w:left w:val="none" w:sz="0" w:space="0" w:color="auto"/>
                        <w:bottom w:val="none" w:sz="0" w:space="0" w:color="auto"/>
                        <w:right w:val="none" w:sz="0" w:space="0" w:color="auto"/>
                      </w:divBdr>
                      <w:divsChild>
                        <w:div w:id="179399291">
                          <w:marLeft w:val="0"/>
                          <w:marRight w:val="0"/>
                          <w:marTop w:val="0"/>
                          <w:marBottom w:val="0"/>
                          <w:divBdr>
                            <w:top w:val="none" w:sz="0" w:space="0" w:color="auto"/>
                            <w:left w:val="none" w:sz="0" w:space="0" w:color="auto"/>
                            <w:bottom w:val="none" w:sz="0" w:space="0" w:color="auto"/>
                            <w:right w:val="none" w:sz="0" w:space="0" w:color="auto"/>
                          </w:divBdr>
                          <w:divsChild>
                            <w:div w:id="279386241">
                              <w:marLeft w:val="0"/>
                              <w:marRight w:val="0"/>
                              <w:marTop w:val="0"/>
                              <w:marBottom w:val="0"/>
                              <w:divBdr>
                                <w:top w:val="none" w:sz="0" w:space="0" w:color="auto"/>
                                <w:left w:val="none" w:sz="0" w:space="0" w:color="auto"/>
                                <w:bottom w:val="none" w:sz="0" w:space="0" w:color="auto"/>
                                <w:right w:val="none" w:sz="0" w:space="0" w:color="auto"/>
                              </w:divBdr>
                              <w:divsChild>
                                <w:div w:id="12192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5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chart" Target="charts/chart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king\Desktop\My_Files\PhD_Student_Research\1_Completed\Sophie_Anns\WriteUp_Migo_SRAR\Tables%20&amp;%20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tking\Desktop\My_Files\PhD_Student_Research\1_Completed\Sophie_Anns\WriteUp_Migo_SRAR\Tables%20&amp;%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'Figures Exp1_SRAR'!$B$1</c:f>
              <c:strCache>
                <c:ptCount val="1"/>
                <c:pt idx="0">
                  <c:v>ASD TL</c:v>
                </c:pt>
              </c:strCache>
            </c:strRef>
          </c:tx>
          <c:spPr>
            <a:solidFill>
              <a:schemeClr val="tx1">
                <a:lumMod val="65000"/>
                <a:lumOff val="35000"/>
              </a:schemeClr>
            </a:solidFill>
            <a:ln>
              <a:solidFill>
                <a:schemeClr val="bg2">
                  <a:lumMod val="50000"/>
                </a:schemeClr>
              </a:solidFill>
            </a:ln>
            <a:effectLst/>
          </c:spPr>
          <c:invertIfNegative val="0"/>
          <c:errBars>
            <c:errBarType val="both"/>
            <c:errValType val="cust"/>
            <c:noEndCap val="0"/>
            <c:plus>
              <c:numRef>
                <c:f>'Figures Exp1_SRAR'!$B$36:$C$36</c:f>
                <c:numCache>
                  <c:formatCode>General</c:formatCode>
                  <c:ptCount val="2"/>
                  <c:pt idx="0">
                    <c:v>3.9792732231671804E-2</c:v>
                  </c:pt>
                  <c:pt idx="1">
                    <c:v>4.6246637491713434E-2</c:v>
                  </c:pt>
                </c:numCache>
              </c:numRef>
            </c:plus>
            <c:minus>
              <c:numRef>
                <c:f>'Figures Exp1_SRAR'!$B$36:$C$36</c:f>
                <c:numCache>
                  <c:formatCode>General</c:formatCode>
                  <c:ptCount val="2"/>
                  <c:pt idx="0">
                    <c:v>3.9792732231671804E-2</c:v>
                  </c:pt>
                  <c:pt idx="1">
                    <c:v>4.6246637491713434E-2</c:v>
                  </c:pt>
                </c:numCache>
              </c:numRef>
            </c:minus>
            <c:spPr>
              <a:noFill/>
              <a:ln w="9525" cap="flat" cmpd="sng" algn="ctr">
                <a:solidFill>
                  <a:schemeClr val="tx1">
                    <a:lumMod val="65000"/>
                    <a:lumOff val="35000"/>
                  </a:schemeClr>
                </a:solidFill>
                <a:round/>
              </a:ln>
              <a:effectLst/>
            </c:spPr>
          </c:errBars>
          <c:cat>
            <c:strLit>
              <c:ptCount val="2"/>
              <c:pt idx="0">
                <c:v>Shape Recognition</c:v>
              </c:pt>
              <c:pt idx="1">
                <c:v> Action Recall</c:v>
              </c:pt>
            </c:strLit>
          </c:cat>
          <c:val>
            <c:numRef>
              <c:f>'Figures Exp1_SRAR'!$B$35:$C$35</c:f>
              <c:numCache>
                <c:formatCode>0.00</c:formatCode>
                <c:ptCount val="2"/>
                <c:pt idx="0">
                  <c:v>0.73500000000000165</c:v>
                </c:pt>
                <c:pt idx="1">
                  <c:v>0.62653846153846204</c:v>
                </c:pt>
              </c:numCache>
            </c:numRef>
          </c:val>
          <c:extLst>
            <c:ext xmlns:c16="http://schemas.microsoft.com/office/drawing/2014/chart" uri="{C3380CC4-5D6E-409C-BE32-E72D297353CC}">
              <c16:uniqueId val="{00000000-D623-C648-8EA9-C05C098F6838}"/>
            </c:ext>
          </c:extLst>
        </c:ser>
        <c:ser>
          <c:idx val="1"/>
          <c:order val="1"/>
          <c:tx>
            <c:strRef>
              <c:f>'Figures Exp1_SRAR'!$E$1</c:f>
              <c:strCache>
                <c:ptCount val="1"/>
                <c:pt idx="0">
                  <c:v>ASD-LI/LD</c:v>
                </c:pt>
              </c:strCache>
            </c:strRef>
          </c:tx>
          <c:spPr>
            <a:solidFill>
              <a:schemeClr val="bg1">
                <a:lumMod val="75000"/>
              </a:schemeClr>
            </a:solidFill>
            <a:ln>
              <a:noFill/>
            </a:ln>
            <a:effectLst/>
          </c:spPr>
          <c:invertIfNegative val="0"/>
          <c:errBars>
            <c:errBarType val="both"/>
            <c:errValType val="cust"/>
            <c:noEndCap val="0"/>
            <c:plus>
              <c:numRef>
                <c:f>'Figures Exp1_SRAR'!$E$36:$F$36</c:f>
                <c:numCache>
                  <c:formatCode>General</c:formatCode>
                  <c:ptCount val="2"/>
                  <c:pt idx="0">
                    <c:v>3.6193424991227199E-2</c:v>
                  </c:pt>
                  <c:pt idx="1">
                    <c:v>5.3728085323196034E-2</c:v>
                  </c:pt>
                </c:numCache>
              </c:numRef>
            </c:plus>
            <c:minus>
              <c:numRef>
                <c:f>'Figures Exp1_SRAR'!$E$36:$F$36</c:f>
                <c:numCache>
                  <c:formatCode>General</c:formatCode>
                  <c:ptCount val="2"/>
                  <c:pt idx="0">
                    <c:v>3.6193424991227199E-2</c:v>
                  </c:pt>
                  <c:pt idx="1">
                    <c:v>5.3728085323196034E-2</c:v>
                  </c:pt>
                </c:numCache>
              </c:numRef>
            </c:minus>
            <c:spPr>
              <a:noFill/>
              <a:ln w="9525" cap="flat" cmpd="sng" algn="ctr">
                <a:solidFill>
                  <a:schemeClr val="tx1">
                    <a:lumMod val="65000"/>
                    <a:lumOff val="35000"/>
                  </a:schemeClr>
                </a:solidFill>
                <a:round/>
              </a:ln>
              <a:effectLst/>
            </c:spPr>
          </c:errBars>
          <c:cat>
            <c:strLit>
              <c:ptCount val="2"/>
              <c:pt idx="0">
                <c:v>Shape Recognition</c:v>
              </c:pt>
              <c:pt idx="1">
                <c:v> Action Recall</c:v>
              </c:pt>
            </c:strLit>
          </c:cat>
          <c:val>
            <c:numRef>
              <c:f>'Figures Exp1_SRAR'!$E$35:$F$35</c:f>
              <c:numCache>
                <c:formatCode>0.00</c:formatCode>
                <c:ptCount val="2"/>
                <c:pt idx="0">
                  <c:v>0.69421052631579427</c:v>
                </c:pt>
                <c:pt idx="1">
                  <c:v>0.54105263157894701</c:v>
                </c:pt>
              </c:numCache>
            </c:numRef>
          </c:val>
          <c:extLst>
            <c:ext xmlns:c16="http://schemas.microsoft.com/office/drawing/2014/chart" uri="{C3380CC4-5D6E-409C-BE32-E72D297353CC}">
              <c16:uniqueId val="{00000001-D623-C648-8EA9-C05C098F6838}"/>
            </c:ext>
          </c:extLst>
        </c:ser>
        <c:ser>
          <c:idx val="2"/>
          <c:order val="2"/>
          <c:tx>
            <c:strRef>
              <c:f>'Figures Exp1_SRAR'!$H$1</c:f>
              <c:strCache>
                <c:ptCount val="1"/>
                <c:pt idx="0">
                  <c:v>TD</c:v>
                </c:pt>
              </c:strCache>
            </c:strRef>
          </c:tx>
          <c:spPr>
            <a:pattFill prst="pct20">
              <a:fgClr>
                <a:schemeClr val="bg2">
                  <a:lumMod val="50000"/>
                </a:schemeClr>
              </a:fgClr>
              <a:bgClr>
                <a:schemeClr val="bg1"/>
              </a:bgClr>
            </a:pattFill>
            <a:ln>
              <a:solidFill>
                <a:schemeClr val="tx1"/>
              </a:solidFill>
            </a:ln>
            <a:effectLst/>
          </c:spPr>
          <c:invertIfNegative val="0"/>
          <c:errBars>
            <c:errBarType val="both"/>
            <c:errValType val="cust"/>
            <c:noEndCap val="0"/>
            <c:plus>
              <c:numRef>
                <c:f>'Figures Exp1_SRAR'!$H$36:$I$36</c:f>
                <c:numCache>
                  <c:formatCode>General</c:formatCode>
                  <c:ptCount val="2"/>
                  <c:pt idx="0">
                    <c:v>2.9551379386902252E-2</c:v>
                  </c:pt>
                  <c:pt idx="1">
                    <c:v>2.8699627855658001E-2</c:v>
                  </c:pt>
                </c:numCache>
              </c:numRef>
            </c:plus>
            <c:minus>
              <c:numRef>
                <c:f>'Figures Exp1_SRAR'!$H$36:$I$36</c:f>
                <c:numCache>
                  <c:formatCode>General</c:formatCode>
                  <c:ptCount val="2"/>
                  <c:pt idx="0">
                    <c:v>2.9551379386902252E-2</c:v>
                  </c:pt>
                  <c:pt idx="1">
                    <c:v>2.8699627855658001E-2</c:v>
                  </c:pt>
                </c:numCache>
              </c:numRef>
            </c:minus>
            <c:spPr>
              <a:noFill/>
              <a:ln w="9525" cap="flat" cmpd="sng" algn="ctr">
                <a:solidFill>
                  <a:schemeClr val="tx1">
                    <a:lumMod val="65000"/>
                    <a:lumOff val="35000"/>
                  </a:schemeClr>
                </a:solidFill>
                <a:round/>
              </a:ln>
              <a:effectLst/>
            </c:spPr>
          </c:errBars>
          <c:val>
            <c:numRef>
              <c:f>'Figures Exp1_SRAR'!$H$35:$I$35</c:f>
              <c:numCache>
                <c:formatCode>0.00</c:formatCode>
                <c:ptCount val="2"/>
                <c:pt idx="0">
                  <c:v>0.82423076923075644</c:v>
                </c:pt>
                <c:pt idx="1">
                  <c:v>0.66923076923076896</c:v>
                </c:pt>
              </c:numCache>
            </c:numRef>
          </c:val>
          <c:extLst>
            <c:ext xmlns:c16="http://schemas.microsoft.com/office/drawing/2014/chart" uri="{C3380CC4-5D6E-409C-BE32-E72D297353CC}">
              <c16:uniqueId val="{00000002-D623-C648-8EA9-C05C098F6838}"/>
            </c:ext>
          </c:extLst>
        </c:ser>
        <c:ser>
          <c:idx val="3"/>
          <c:order val="3"/>
          <c:tx>
            <c:strRef>
              <c:f>'Figures Exp1_SRAR'!$K$1</c:f>
              <c:strCache>
                <c:ptCount val="1"/>
                <c:pt idx="0">
                  <c:v>LD</c:v>
                </c:pt>
              </c:strCache>
            </c:strRef>
          </c:tx>
          <c:spPr>
            <a:pattFill prst="pct5">
              <a:fgClr>
                <a:schemeClr val="bg2">
                  <a:lumMod val="50000"/>
                </a:schemeClr>
              </a:fgClr>
              <a:bgClr>
                <a:schemeClr val="bg1"/>
              </a:bgClr>
            </a:pattFill>
            <a:ln>
              <a:solidFill>
                <a:schemeClr val="tx1"/>
              </a:solidFill>
            </a:ln>
            <a:effectLst/>
          </c:spPr>
          <c:invertIfNegative val="0"/>
          <c:errBars>
            <c:errBarType val="both"/>
            <c:errValType val="cust"/>
            <c:noEndCap val="0"/>
            <c:plus>
              <c:numRef>
                <c:f>'Figures Exp1_SRAR'!$K$36:$L$36</c:f>
                <c:numCache>
                  <c:formatCode>General</c:formatCode>
                  <c:ptCount val="2"/>
                  <c:pt idx="0">
                    <c:v>3.6305084652120588E-2</c:v>
                  </c:pt>
                  <c:pt idx="1">
                    <c:v>4.2992843769453185E-2</c:v>
                  </c:pt>
                </c:numCache>
              </c:numRef>
            </c:plus>
            <c:minus>
              <c:numRef>
                <c:f>'Figures Exp1_SRAR'!$K$36:$L$36</c:f>
                <c:numCache>
                  <c:formatCode>General</c:formatCode>
                  <c:ptCount val="2"/>
                  <c:pt idx="0">
                    <c:v>3.6305084652120588E-2</c:v>
                  </c:pt>
                  <c:pt idx="1">
                    <c:v>4.2992843769453185E-2</c:v>
                  </c:pt>
                </c:numCache>
              </c:numRef>
            </c:minus>
            <c:spPr>
              <a:noFill/>
              <a:ln w="9525" cap="flat" cmpd="sng" algn="ctr">
                <a:solidFill>
                  <a:schemeClr val="tx1">
                    <a:lumMod val="65000"/>
                    <a:lumOff val="35000"/>
                  </a:schemeClr>
                </a:solidFill>
                <a:round/>
              </a:ln>
              <a:effectLst/>
            </c:spPr>
          </c:errBars>
          <c:val>
            <c:numRef>
              <c:f>'Figures Exp1_SRAR'!$K$35:$L$35</c:f>
              <c:numCache>
                <c:formatCode>0.00</c:formatCode>
                <c:ptCount val="2"/>
                <c:pt idx="0">
                  <c:v>0.61846153846153895</c:v>
                </c:pt>
                <c:pt idx="1">
                  <c:v>0.57500000000000095</c:v>
                </c:pt>
              </c:numCache>
            </c:numRef>
          </c:val>
          <c:extLst>
            <c:ext xmlns:c16="http://schemas.microsoft.com/office/drawing/2014/chart" uri="{C3380CC4-5D6E-409C-BE32-E72D297353CC}">
              <c16:uniqueId val="{00000003-D623-C648-8EA9-C05C098F6838}"/>
            </c:ext>
          </c:extLst>
        </c:ser>
        <c:dLbls>
          <c:showLegendKey val="0"/>
          <c:showVal val="0"/>
          <c:showCatName val="0"/>
          <c:showSerName val="0"/>
          <c:showPercent val="0"/>
          <c:showBubbleSize val="0"/>
        </c:dLbls>
        <c:gapWidth val="219"/>
        <c:overlap val="-27"/>
        <c:axId val="117827840"/>
        <c:axId val="133365760"/>
      </c:barChart>
      <c:catAx>
        <c:axId val="11782784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65760"/>
        <c:crosses val="autoZero"/>
        <c:auto val="1"/>
        <c:lblAlgn val="ctr"/>
        <c:lblOffset val="100"/>
        <c:noMultiLvlLbl val="0"/>
      </c:catAx>
      <c:valAx>
        <c:axId val="133365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 Correct</a:t>
                </a:r>
              </a:p>
            </c:rich>
          </c:tx>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8278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'Figures Exp2_FCNC'!$B$1</c:f>
              <c:strCache>
                <c:ptCount val="1"/>
                <c:pt idx="0">
                  <c:v>ASD TL</c:v>
                </c:pt>
              </c:strCache>
            </c:strRef>
          </c:tx>
          <c:spPr>
            <a:solidFill>
              <a:schemeClr val="tx1">
                <a:lumMod val="65000"/>
                <a:lumOff val="35000"/>
              </a:schemeClr>
            </a:solidFill>
            <a:ln>
              <a:solidFill>
                <a:schemeClr val="bg2">
                  <a:lumMod val="50000"/>
                </a:schemeClr>
              </a:solidFill>
            </a:ln>
            <a:effectLst/>
          </c:spPr>
          <c:invertIfNegative val="0"/>
          <c:errBars>
            <c:errBarType val="both"/>
            <c:errValType val="cust"/>
            <c:noEndCap val="0"/>
            <c:plus>
              <c:numRef>
                <c:f>'Figures Exp2_FCNC'!$B$36:$C$36</c:f>
                <c:numCache>
                  <c:formatCode>General</c:formatCode>
                  <c:ptCount val="2"/>
                  <c:pt idx="0">
                    <c:v>3.8940707469496016E-2</c:v>
                  </c:pt>
                  <c:pt idx="1">
                    <c:v>4.0843256452358701E-2</c:v>
                  </c:pt>
                </c:numCache>
              </c:numRef>
            </c:plus>
            <c:minus>
              <c:numRef>
                <c:f>'Figures Exp2_FCNC'!$B$36:$C$36</c:f>
                <c:numCache>
                  <c:formatCode>General</c:formatCode>
                  <c:ptCount val="2"/>
                  <c:pt idx="0">
                    <c:v>3.8940707469496016E-2</c:v>
                  </c:pt>
                  <c:pt idx="1">
                    <c:v>4.0843256452358701E-2</c:v>
                  </c:pt>
                </c:numCache>
              </c:numRef>
            </c:minus>
            <c:spPr>
              <a:noFill/>
              <a:ln w="9525" cap="flat" cmpd="sng" algn="ctr">
                <a:solidFill>
                  <a:schemeClr val="tx1">
                    <a:lumMod val="65000"/>
                    <a:lumOff val="35000"/>
                  </a:schemeClr>
                </a:solidFill>
                <a:round/>
              </a:ln>
              <a:effectLst/>
            </c:spPr>
          </c:errBars>
          <c:cat>
            <c:strLit>
              <c:ptCount val="2"/>
              <c:pt idx="0">
                <c:v>FCC (familiarity)</c:v>
              </c:pt>
              <c:pt idx="1">
                <c:v>FCNC (recollection)</c:v>
              </c:pt>
            </c:strLit>
          </c:cat>
          <c:val>
            <c:numRef>
              <c:f>'Figures Exp2_FCNC'!$B$35:$C$35</c:f>
              <c:numCache>
                <c:formatCode>0.00</c:formatCode>
                <c:ptCount val="2"/>
                <c:pt idx="0">
                  <c:v>0.70538461538461605</c:v>
                </c:pt>
                <c:pt idx="1">
                  <c:v>0.43269230769230832</c:v>
                </c:pt>
              </c:numCache>
            </c:numRef>
          </c:val>
          <c:extLst>
            <c:ext xmlns:c16="http://schemas.microsoft.com/office/drawing/2014/chart" uri="{C3380CC4-5D6E-409C-BE32-E72D297353CC}">
              <c16:uniqueId val="{00000000-E660-F643-A219-9F212A24D661}"/>
            </c:ext>
          </c:extLst>
        </c:ser>
        <c:ser>
          <c:idx val="1"/>
          <c:order val="1"/>
          <c:tx>
            <c:strRef>
              <c:f>'Figures Exp2_FCNC'!$E$1</c:f>
              <c:strCache>
                <c:ptCount val="1"/>
                <c:pt idx="0">
                  <c:v>ASD-LI/LD</c:v>
                </c:pt>
              </c:strCache>
            </c:strRef>
          </c:tx>
          <c:spPr>
            <a:solidFill>
              <a:schemeClr val="bg1">
                <a:lumMod val="75000"/>
              </a:schemeClr>
            </a:solidFill>
            <a:ln>
              <a:noFill/>
            </a:ln>
            <a:effectLst/>
          </c:spPr>
          <c:invertIfNegative val="0"/>
          <c:errBars>
            <c:errBarType val="both"/>
            <c:errValType val="cust"/>
            <c:noEndCap val="0"/>
            <c:plus>
              <c:numRef>
                <c:f>'Figures Exp2_FCNC'!$E$36:$F$36</c:f>
                <c:numCache>
                  <c:formatCode>General</c:formatCode>
                  <c:ptCount val="2"/>
                  <c:pt idx="0">
                    <c:v>3.632934789328001E-2</c:v>
                  </c:pt>
                  <c:pt idx="1">
                    <c:v>3.8690382543436604E-2</c:v>
                  </c:pt>
                </c:numCache>
              </c:numRef>
            </c:plus>
            <c:minus>
              <c:numRef>
                <c:f>'Figures Exp2_FCNC'!$E$36:$F$36</c:f>
                <c:numCache>
                  <c:formatCode>General</c:formatCode>
                  <c:ptCount val="2"/>
                  <c:pt idx="0">
                    <c:v>3.632934789328001E-2</c:v>
                  </c:pt>
                  <c:pt idx="1">
                    <c:v>3.8690382543436604E-2</c:v>
                  </c:pt>
                </c:numCache>
              </c:numRef>
            </c:minus>
            <c:spPr>
              <a:noFill/>
              <a:ln w="9525" cap="flat" cmpd="sng" algn="ctr">
                <a:solidFill>
                  <a:schemeClr val="tx1">
                    <a:lumMod val="65000"/>
                    <a:lumOff val="35000"/>
                  </a:schemeClr>
                </a:solidFill>
                <a:round/>
              </a:ln>
              <a:effectLst/>
            </c:spPr>
          </c:errBars>
          <c:cat>
            <c:strLit>
              <c:ptCount val="2"/>
              <c:pt idx="0">
                <c:v>FCC (familiarity)</c:v>
              </c:pt>
              <c:pt idx="1">
                <c:v>FCNC (recollection)</c:v>
              </c:pt>
            </c:strLit>
          </c:cat>
          <c:val>
            <c:numRef>
              <c:f>'Figures Exp2_FCNC'!$E$35:$F$35</c:f>
              <c:numCache>
                <c:formatCode>0.00</c:formatCode>
                <c:ptCount val="2"/>
                <c:pt idx="0">
                  <c:v>0.7972222222222215</c:v>
                </c:pt>
                <c:pt idx="1">
                  <c:v>0.42166666666667502</c:v>
                </c:pt>
              </c:numCache>
            </c:numRef>
          </c:val>
          <c:extLst>
            <c:ext xmlns:c16="http://schemas.microsoft.com/office/drawing/2014/chart" uri="{C3380CC4-5D6E-409C-BE32-E72D297353CC}">
              <c16:uniqueId val="{00000001-E660-F643-A219-9F212A24D661}"/>
            </c:ext>
          </c:extLst>
        </c:ser>
        <c:ser>
          <c:idx val="2"/>
          <c:order val="2"/>
          <c:tx>
            <c:strRef>
              <c:f>'Figures Exp2_FCNC'!$H$1</c:f>
              <c:strCache>
                <c:ptCount val="1"/>
                <c:pt idx="0">
                  <c:v>TD</c:v>
                </c:pt>
              </c:strCache>
            </c:strRef>
          </c:tx>
          <c:spPr>
            <a:pattFill prst="pct20">
              <a:fgClr>
                <a:schemeClr val="bg2">
                  <a:lumMod val="50000"/>
                </a:schemeClr>
              </a:fgClr>
              <a:bgClr>
                <a:schemeClr val="bg1"/>
              </a:bgClr>
            </a:pattFill>
            <a:ln>
              <a:solidFill>
                <a:schemeClr val="tx1"/>
              </a:solidFill>
            </a:ln>
            <a:effectLst/>
          </c:spPr>
          <c:invertIfNegative val="0"/>
          <c:errBars>
            <c:errBarType val="both"/>
            <c:errValType val="cust"/>
            <c:noEndCap val="0"/>
            <c:plus>
              <c:numRef>
                <c:f>'Figures Exp2_FCNC'!$H$36:$I$36</c:f>
                <c:numCache>
                  <c:formatCode>General</c:formatCode>
                  <c:ptCount val="2"/>
                  <c:pt idx="0">
                    <c:v>3.0638754504580801E-2</c:v>
                  </c:pt>
                  <c:pt idx="1">
                    <c:v>3.2436800741804113E-2</c:v>
                  </c:pt>
                </c:numCache>
              </c:numRef>
            </c:plus>
            <c:minus>
              <c:numRef>
                <c:f>'Figures Exp2_FCNC'!$H$36:$I$36</c:f>
                <c:numCache>
                  <c:formatCode>General</c:formatCode>
                  <c:ptCount val="2"/>
                  <c:pt idx="0">
                    <c:v>3.0638754504580801E-2</c:v>
                  </c:pt>
                  <c:pt idx="1">
                    <c:v>3.2436800741804113E-2</c:v>
                  </c:pt>
                </c:numCache>
              </c:numRef>
            </c:minus>
            <c:spPr>
              <a:noFill/>
              <a:ln w="9525" cap="flat" cmpd="sng" algn="ctr">
                <a:solidFill>
                  <a:schemeClr val="tx1">
                    <a:lumMod val="65000"/>
                    <a:lumOff val="35000"/>
                  </a:schemeClr>
                </a:solidFill>
                <a:round/>
              </a:ln>
              <a:effectLst/>
            </c:spPr>
          </c:errBars>
          <c:cat>
            <c:strLit>
              <c:ptCount val="2"/>
              <c:pt idx="0">
                <c:v>FCC (familiarity)</c:v>
              </c:pt>
              <c:pt idx="1">
                <c:v>FCNC (recollection)</c:v>
              </c:pt>
            </c:strLit>
          </c:cat>
          <c:val>
            <c:numRef>
              <c:f>'Figures Exp2_FCNC'!$H$35:$I$35</c:f>
              <c:numCache>
                <c:formatCode>0.00</c:formatCode>
                <c:ptCount val="2"/>
                <c:pt idx="0">
                  <c:v>0.70375000000000165</c:v>
                </c:pt>
                <c:pt idx="1">
                  <c:v>0.55916666666666659</c:v>
                </c:pt>
              </c:numCache>
            </c:numRef>
          </c:val>
          <c:extLst>
            <c:ext xmlns:c16="http://schemas.microsoft.com/office/drawing/2014/chart" uri="{C3380CC4-5D6E-409C-BE32-E72D297353CC}">
              <c16:uniqueId val="{00000002-E660-F643-A219-9F212A24D661}"/>
            </c:ext>
          </c:extLst>
        </c:ser>
        <c:ser>
          <c:idx val="3"/>
          <c:order val="3"/>
          <c:tx>
            <c:strRef>
              <c:f>'Figures Exp2_FCNC'!$K$1</c:f>
              <c:strCache>
                <c:ptCount val="1"/>
                <c:pt idx="0">
                  <c:v>LD</c:v>
                </c:pt>
              </c:strCache>
            </c:strRef>
          </c:tx>
          <c:spPr>
            <a:pattFill prst="pct5">
              <a:fgClr>
                <a:schemeClr val="bg2">
                  <a:lumMod val="50000"/>
                </a:schemeClr>
              </a:fgClr>
              <a:bgClr>
                <a:schemeClr val="bg1"/>
              </a:bgClr>
            </a:pattFill>
            <a:ln>
              <a:solidFill>
                <a:schemeClr val="tx1"/>
              </a:solidFill>
            </a:ln>
            <a:effectLst/>
          </c:spPr>
          <c:invertIfNegative val="0"/>
          <c:errBars>
            <c:errBarType val="both"/>
            <c:errValType val="cust"/>
            <c:noEndCap val="0"/>
            <c:plus>
              <c:numRef>
                <c:f>'Figures Exp2_FCNC'!$K$36:$L$36</c:f>
                <c:numCache>
                  <c:formatCode>General</c:formatCode>
                  <c:ptCount val="2"/>
                  <c:pt idx="0">
                    <c:v>3.35692221021704E-2</c:v>
                  </c:pt>
                  <c:pt idx="1">
                    <c:v>4.08229050580571E-2</c:v>
                  </c:pt>
                </c:numCache>
              </c:numRef>
            </c:plus>
            <c:minus>
              <c:numRef>
                <c:f>'Figures Exp2_FCNC'!$K$36:$L$36</c:f>
                <c:numCache>
                  <c:formatCode>General</c:formatCode>
                  <c:ptCount val="2"/>
                  <c:pt idx="0">
                    <c:v>3.35692221021704E-2</c:v>
                  </c:pt>
                  <c:pt idx="1">
                    <c:v>4.08229050580571E-2</c:v>
                  </c:pt>
                </c:numCache>
              </c:numRef>
            </c:minus>
            <c:spPr>
              <a:noFill/>
              <a:ln w="9525" cap="flat" cmpd="sng" algn="ctr">
                <a:solidFill>
                  <a:schemeClr val="tx1">
                    <a:lumMod val="65000"/>
                    <a:lumOff val="35000"/>
                  </a:schemeClr>
                </a:solidFill>
                <a:round/>
              </a:ln>
              <a:effectLst/>
            </c:spPr>
          </c:errBars>
          <c:cat>
            <c:strLit>
              <c:ptCount val="2"/>
              <c:pt idx="0">
                <c:v>FCC (familiarity)</c:v>
              </c:pt>
              <c:pt idx="1">
                <c:v>FCNC (recollection)</c:v>
              </c:pt>
            </c:strLit>
          </c:cat>
          <c:val>
            <c:numRef>
              <c:f>'Figures Exp2_FCNC'!$K$35:$L$35</c:f>
              <c:numCache>
                <c:formatCode>0.00</c:formatCode>
                <c:ptCount val="2"/>
                <c:pt idx="0">
                  <c:v>0.63086956521739102</c:v>
                </c:pt>
                <c:pt idx="1">
                  <c:v>0.30739130434783402</c:v>
                </c:pt>
              </c:numCache>
            </c:numRef>
          </c:val>
          <c:extLst>
            <c:ext xmlns:c16="http://schemas.microsoft.com/office/drawing/2014/chart" uri="{C3380CC4-5D6E-409C-BE32-E72D297353CC}">
              <c16:uniqueId val="{00000003-E660-F643-A219-9F212A24D661}"/>
            </c:ext>
          </c:extLst>
        </c:ser>
        <c:dLbls>
          <c:showLegendKey val="0"/>
          <c:showVal val="0"/>
          <c:showCatName val="0"/>
          <c:showSerName val="0"/>
          <c:showPercent val="0"/>
          <c:showBubbleSize val="0"/>
        </c:dLbls>
        <c:gapWidth val="219"/>
        <c:overlap val="-27"/>
        <c:axId val="133424256"/>
        <c:axId val="133425792"/>
      </c:barChart>
      <c:catAx>
        <c:axId val="1334242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425792"/>
        <c:crosses val="autoZero"/>
        <c:auto val="1"/>
        <c:lblAlgn val="ctr"/>
        <c:lblOffset val="100"/>
        <c:noMultiLvlLbl val="0"/>
      </c:catAx>
      <c:valAx>
        <c:axId val="133425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 Correct</a:t>
                </a:r>
              </a:p>
            </c:rich>
          </c:tx>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4242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DD7CA-4E33-49E5-A873-071111AB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7530</Words>
  <Characters>42921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Boucher</dc:creator>
  <cp:keywords/>
  <dc:description/>
  <cp:lastModifiedBy>Gaigg, Sebastian</cp:lastModifiedBy>
  <cp:revision>2</cp:revision>
  <dcterms:created xsi:type="dcterms:W3CDTF">2020-01-29T14:10:00Z</dcterms:created>
  <dcterms:modified xsi:type="dcterms:W3CDTF">2020-01-29T14:10:00Z</dcterms:modified>
</cp:coreProperties>
</file>