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6A54" w14:textId="77777777" w:rsidR="00883844" w:rsidRDefault="00883844" w:rsidP="00883844">
      <w:pPr>
        <w:widowControl/>
        <w:autoSpaceDE/>
        <w:autoSpaceDN/>
        <w:jc w:val="center"/>
        <w:rPr>
          <w:b/>
          <w:sz w:val="36"/>
          <w:szCs w:val="36"/>
        </w:rPr>
      </w:pPr>
      <w:r w:rsidRPr="004E6578">
        <w:rPr>
          <w:b/>
          <w:sz w:val="36"/>
          <w:szCs w:val="36"/>
        </w:rPr>
        <w:t>The dark side of supply chain digitalisation: Supplier- perceived digital capability</w:t>
      </w:r>
      <w:r>
        <w:rPr>
          <w:b/>
          <w:sz w:val="36"/>
          <w:szCs w:val="36"/>
        </w:rPr>
        <w:t xml:space="preserve"> asymmetry</w:t>
      </w:r>
      <w:r w:rsidRPr="004E6578">
        <w:rPr>
          <w:b/>
          <w:sz w:val="36"/>
          <w:szCs w:val="36"/>
        </w:rPr>
        <w:t>, buyer opportunism and governance</w:t>
      </w:r>
    </w:p>
    <w:p w14:paraId="66DD80B5" w14:textId="77777777" w:rsidR="008E54AA" w:rsidRPr="001C45D7" w:rsidRDefault="008E54AA" w:rsidP="00566B02">
      <w:pPr>
        <w:pStyle w:val="BodyText"/>
      </w:pPr>
    </w:p>
    <w:p w14:paraId="69CD52BE" w14:textId="77777777" w:rsidR="003D2F28" w:rsidRPr="001C45D7" w:rsidRDefault="003D2F28" w:rsidP="00D61D5C">
      <w:pPr>
        <w:widowControl/>
        <w:autoSpaceDE/>
        <w:autoSpaceDN/>
        <w:jc w:val="center"/>
        <w:rPr>
          <w:i/>
          <w:iCs/>
          <w:sz w:val="24"/>
          <w:szCs w:val="24"/>
        </w:rPr>
      </w:pPr>
    </w:p>
    <w:p w14:paraId="7D63BF2F" w14:textId="6E0CB381" w:rsidR="003D2F28" w:rsidRPr="001C45D7" w:rsidRDefault="00EE7A68" w:rsidP="00D61D5C">
      <w:pPr>
        <w:widowControl/>
        <w:rPr>
          <w:b/>
          <w:bCs/>
        </w:rPr>
      </w:pPr>
      <w:r w:rsidRPr="001C45D7">
        <w:rPr>
          <w:b/>
          <w:bCs/>
        </w:rPr>
        <w:t>Abstract</w:t>
      </w:r>
    </w:p>
    <w:p w14:paraId="53F7DB81" w14:textId="77777777" w:rsidR="00EE7A68" w:rsidRPr="001C45D7" w:rsidRDefault="00EE7A68" w:rsidP="00D61D5C">
      <w:pPr>
        <w:widowControl/>
      </w:pPr>
    </w:p>
    <w:p w14:paraId="1D9557C9" w14:textId="07799B7E" w:rsidR="007578FE" w:rsidRPr="001C45D7" w:rsidRDefault="007578FE" w:rsidP="00566B02">
      <w:pPr>
        <w:pStyle w:val="BodyText"/>
      </w:pPr>
      <w:r w:rsidRPr="001C45D7">
        <w:rPr>
          <w:b/>
          <w:bCs/>
        </w:rPr>
        <w:t>Purpose:</w:t>
      </w:r>
      <w:r w:rsidR="00FA6558" w:rsidRPr="001C45D7">
        <w:t xml:space="preserve"> </w:t>
      </w:r>
      <w:r w:rsidR="00F10DB4" w:rsidRPr="001C45D7">
        <w:t>In</w:t>
      </w:r>
      <w:r w:rsidR="00FA6558" w:rsidRPr="001C45D7">
        <w:t xml:space="preserve"> </w:t>
      </w:r>
      <w:r w:rsidR="00F10DB4" w:rsidRPr="001C45D7">
        <w:t>this</w:t>
      </w:r>
      <w:r w:rsidR="00FA6558" w:rsidRPr="001C45D7">
        <w:t xml:space="preserve"> </w:t>
      </w:r>
      <w:r w:rsidR="00F10DB4" w:rsidRPr="001C45D7">
        <w:t>paper,</w:t>
      </w:r>
      <w:r w:rsidR="00FA6558" w:rsidRPr="001C45D7">
        <w:t xml:space="preserve"> </w:t>
      </w:r>
      <w:r w:rsidR="00F10DB4" w:rsidRPr="001C45D7">
        <w:t>we</w:t>
      </w:r>
      <w:r w:rsidR="00FA6558" w:rsidRPr="001C45D7">
        <w:t xml:space="preserve"> </w:t>
      </w:r>
      <w:r w:rsidR="00F10DB4" w:rsidRPr="001C45D7">
        <w:t>seek</w:t>
      </w:r>
      <w:r w:rsidR="00FA6558" w:rsidRPr="001C45D7">
        <w:t xml:space="preserve"> </w:t>
      </w:r>
      <w:r w:rsidR="00F10DB4" w:rsidRPr="001C45D7">
        <w:t>to</w:t>
      </w:r>
      <w:r w:rsidR="00FA6558" w:rsidRPr="001C45D7">
        <w:t xml:space="preserve"> </w:t>
      </w:r>
      <w:r w:rsidR="00F10DB4" w:rsidRPr="001C45D7">
        <w:t>contribute</w:t>
      </w:r>
      <w:r w:rsidR="00FA6558" w:rsidRPr="001C45D7">
        <w:t xml:space="preserve"> </w:t>
      </w:r>
      <w:r w:rsidR="003F14C0" w:rsidRPr="001C45D7">
        <w:t>to</w:t>
      </w:r>
      <w:r w:rsidR="00FA6558" w:rsidRPr="001C45D7">
        <w:t xml:space="preserve"> </w:t>
      </w:r>
      <w:r w:rsidR="00F10DB4" w:rsidRPr="001C45D7">
        <w:t>the</w:t>
      </w:r>
      <w:r w:rsidR="00FA6558" w:rsidRPr="001C45D7">
        <w:t xml:space="preserve"> </w:t>
      </w:r>
      <w:r w:rsidR="00F10DB4" w:rsidRPr="001C45D7">
        <w:t>supply</w:t>
      </w:r>
      <w:r w:rsidR="00FA6558" w:rsidRPr="001C45D7">
        <w:t xml:space="preserve"> </w:t>
      </w:r>
      <w:r w:rsidR="00F10DB4" w:rsidRPr="001C45D7">
        <w:t>chain</w:t>
      </w:r>
      <w:r w:rsidR="00FA6558" w:rsidRPr="001C45D7">
        <w:t xml:space="preserve"> </w:t>
      </w:r>
      <w:r w:rsidR="00F10DB4" w:rsidRPr="001C45D7">
        <w:t>digitalisation</w:t>
      </w:r>
      <w:r w:rsidR="00FA6558" w:rsidRPr="001C45D7">
        <w:t xml:space="preserve"> </w:t>
      </w:r>
      <w:r w:rsidR="00F10DB4" w:rsidRPr="001C45D7">
        <w:t>literature</w:t>
      </w:r>
      <w:r w:rsidR="00FA6558" w:rsidRPr="001C45D7">
        <w:t xml:space="preserve"> </w:t>
      </w:r>
      <w:r w:rsidR="00F10DB4" w:rsidRPr="001C45D7">
        <w:t>by</w:t>
      </w:r>
      <w:r w:rsidR="00FA6558" w:rsidRPr="001C45D7">
        <w:t xml:space="preserve"> </w:t>
      </w:r>
      <w:r w:rsidR="00F10DB4" w:rsidRPr="001C45D7">
        <w:t>investigating</w:t>
      </w:r>
      <w:r w:rsidR="00FA6558" w:rsidRPr="001C45D7">
        <w:t xml:space="preserve"> </w:t>
      </w:r>
      <w:r w:rsidR="00F10DB4" w:rsidRPr="001C45D7">
        <w:t>a</w:t>
      </w:r>
      <w:r w:rsidR="00FA6558" w:rsidRPr="001C45D7">
        <w:t xml:space="preserve"> </w:t>
      </w:r>
      <w:r w:rsidR="00F10DB4" w:rsidRPr="001C45D7">
        <w:t>potential</w:t>
      </w:r>
      <w:r w:rsidR="00FA6558" w:rsidRPr="001C45D7">
        <w:t xml:space="preserve"> </w:t>
      </w:r>
      <w:r w:rsidR="00F10DB4" w:rsidRPr="001C45D7">
        <w:t>dark</w:t>
      </w:r>
      <w:r w:rsidR="00FA6558" w:rsidRPr="001C45D7">
        <w:t xml:space="preserve"> </w:t>
      </w:r>
      <w:r w:rsidR="00F10DB4" w:rsidRPr="001C45D7">
        <w:t>side</w:t>
      </w:r>
      <w:r w:rsidR="00FA6558" w:rsidRPr="001C45D7">
        <w:t xml:space="preserve"> </w:t>
      </w:r>
      <w:r w:rsidR="00F10DB4" w:rsidRPr="001C45D7">
        <w:t>of</w:t>
      </w:r>
      <w:r w:rsidR="00FA6558" w:rsidRPr="001C45D7">
        <w:t xml:space="preserve"> </w:t>
      </w:r>
      <w:r w:rsidR="00F10DB4" w:rsidRPr="001C45D7">
        <w:t>supply</w:t>
      </w:r>
      <w:r w:rsidR="00FA6558" w:rsidRPr="001C45D7">
        <w:t xml:space="preserve"> </w:t>
      </w:r>
      <w:r w:rsidR="00F10DB4" w:rsidRPr="001C45D7">
        <w:t>chain</w:t>
      </w:r>
      <w:r w:rsidR="00FA6558" w:rsidRPr="001C45D7">
        <w:t xml:space="preserve"> </w:t>
      </w:r>
      <w:r w:rsidR="00F10DB4" w:rsidRPr="001C45D7">
        <w:t>digitalisation</w:t>
      </w:r>
      <w:r w:rsidR="007A572D">
        <w:t xml:space="preserve"> from the viewpoint of the small and medium sized</w:t>
      </w:r>
      <w:r w:rsidR="00883844">
        <w:t xml:space="preserve"> enterprise (SME)</w:t>
      </w:r>
      <w:r w:rsidR="007A572D">
        <w:t xml:space="preserve"> suppliers</w:t>
      </w:r>
      <w:r w:rsidR="00952522" w:rsidRPr="001C45D7">
        <w:t>:</w:t>
      </w:r>
      <w:r w:rsidR="00FA6558" w:rsidRPr="001C45D7">
        <w:t xml:space="preserve"> </w:t>
      </w:r>
      <w:r w:rsidR="00952522" w:rsidRPr="001C45D7">
        <w:t xml:space="preserve">namely, </w:t>
      </w:r>
      <w:r w:rsidR="004E6578">
        <w:t>digital capability</w:t>
      </w:r>
      <w:r w:rsidR="00DD1CB1">
        <w:t xml:space="preserve"> asymmetry</w:t>
      </w:r>
      <w:r w:rsidR="004E6578">
        <w:t xml:space="preserve"> and </w:t>
      </w:r>
      <w:r w:rsidR="00952522" w:rsidRPr="001C45D7">
        <w:t>the</w:t>
      </w:r>
      <w:r w:rsidR="00FA6558" w:rsidRPr="001C45D7">
        <w:t xml:space="preserve"> </w:t>
      </w:r>
      <w:r w:rsidR="00780654" w:rsidRPr="001C45D7">
        <w:t xml:space="preserve">partner </w:t>
      </w:r>
      <w:r w:rsidR="00F10DB4" w:rsidRPr="001C45D7">
        <w:t>opportunism</w:t>
      </w:r>
      <w:r w:rsidR="00BC779F" w:rsidRPr="001C45D7">
        <w:t xml:space="preserve"> </w:t>
      </w:r>
      <w:r w:rsidR="00E74EB7" w:rsidRPr="001C45D7">
        <w:t>of</w:t>
      </w:r>
      <w:r w:rsidR="00BC779F" w:rsidRPr="001C45D7">
        <w:t xml:space="preserve"> more </w:t>
      </w:r>
      <w:r w:rsidR="0088216D" w:rsidRPr="001C45D7">
        <w:t xml:space="preserve">digitally </w:t>
      </w:r>
      <w:r w:rsidR="00BC779F" w:rsidRPr="001C45D7">
        <w:t xml:space="preserve">capable </w:t>
      </w:r>
      <w:r w:rsidR="007A572D">
        <w:t xml:space="preserve">large </w:t>
      </w:r>
      <w:r w:rsidR="00BC779F" w:rsidRPr="001C45D7">
        <w:t>buyers</w:t>
      </w:r>
      <w:r w:rsidR="00FA6558" w:rsidRPr="001C45D7">
        <w:t xml:space="preserve"> </w:t>
      </w:r>
      <w:r w:rsidR="00F10DB4" w:rsidRPr="001C45D7">
        <w:t>against</w:t>
      </w:r>
      <w:r w:rsidR="00FA6558" w:rsidRPr="001C45D7">
        <w:t xml:space="preserve"> </w:t>
      </w:r>
      <w:r w:rsidR="009A7185" w:rsidRPr="001C45D7">
        <w:t>SME</w:t>
      </w:r>
      <w:r w:rsidR="00FA6558" w:rsidRPr="001C45D7">
        <w:t xml:space="preserve"> </w:t>
      </w:r>
      <w:r w:rsidR="00F10DB4" w:rsidRPr="001C45D7">
        <w:t>suppliers.</w:t>
      </w:r>
      <w:r w:rsidR="00FA6558" w:rsidRPr="001C45D7">
        <w:t xml:space="preserve"> </w:t>
      </w:r>
      <w:r w:rsidR="009A7185" w:rsidRPr="001C45D7">
        <w:t>We</w:t>
      </w:r>
      <w:r w:rsidR="00FA6558" w:rsidRPr="001C45D7">
        <w:t xml:space="preserve"> </w:t>
      </w:r>
      <w:r w:rsidR="009A7185" w:rsidRPr="001C45D7">
        <w:t>seek</w:t>
      </w:r>
      <w:r w:rsidR="00FA6558" w:rsidRPr="001C45D7">
        <w:t xml:space="preserve"> </w:t>
      </w:r>
      <w:r w:rsidR="009A7185" w:rsidRPr="001C45D7">
        <w:t>to</w:t>
      </w:r>
      <w:r w:rsidR="00FA6558" w:rsidRPr="001C45D7">
        <w:t xml:space="preserve"> </w:t>
      </w:r>
      <w:r w:rsidR="009A7185" w:rsidRPr="001C45D7">
        <w:t>contribute</w:t>
      </w:r>
      <w:r w:rsidR="00FA6558" w:rsidRPr="001C45D7">
        <w:t xml:space="preserve"> </w:t>
      </w:r>
      <w:r w:rsidR="009A7185" w:rsidRPr="001C45D7">
        <w:t>further</w:t>
      </w:r>
      <w:r w:rsidR="00FA6558" w:rsidRPr="001C45D7">
        <w:t xml:space="preserve"> </w:t>
      </w:r>
      <w:r w:rsidR="008114F1" w:rsidRPr="001C45D7">
        <w:t>to</w:t>
      </w:r>
      <w:r w:rsidR="00FA6558" w:rsidRPr="001C45D7">
        <w:t xml:space="preserve"> </w:t>
      </w:r>
      <w:r w:rsidR="009A7185" w:rsidRPr="001C45D7">
        <w:t>the</w:t>
      </w:r>
      <w:r w:rsidR="00FA6558" w:rsidRPr="001C45D7">
        <w:t xml:space="preserve"> </w:t>
      </w:r>
      <w:r w:rsidR="009A7185" w:rsidRPr="001C45D7">
        <w:t>governance</w:t>
      </w:r>
      <w:r w:rsidR="00FA6558" w:rsidRPr="001C45D7">
        <w:t xml:space="preserve"> </w:t>
      </w:r>
      <w:r w:rsidR="009A7185" w:rsidRPr="001C45D7">
        <w:t>literature</w:t>
      </w:r>
      <w:r w:rsidR="00FA6558" w:rsidRPr="001C45D7">
        <w:t xml:space="preserve"> </w:t>
      </w:r>
      <w:r w:rsidR="009A7185" w:rsidRPr="001C45D7">
        <w:t>by</w:t>
      </w:r>
      <w:r w:rsidR="00FA6558" w:rsidRPr="001C45D7">
        <w:t xml:space="preserve"> </w:t>
      </w:r>
      <w:r w:rsidR="00F10DB4" w:rsidRPr="001C45D7">
        <w:t>investigati</w:t>
      </w:r>
      <w:r w:rsidR="009A7185" w:rsidRPr="001C45D7">
        <w:t>ng</w:t>
      </w:r>
      <w:r w:rsidR="00FA6558" w:rsidRPr="001C45D7">
        <w:t xml:space="preserve"> </w:t>
      </w:r>
      <w:r w:rsidR="00F10DB4" w:rsidRPr="001C45D7">
        <w:t>the</w:t>
      </w:r>
      <w:r w:rsidR="00FA6558" w:rsidRPr="001C45D7">
        <w:t xml:space="preserve"> </w:t>
      </w:r>
      <w:r w:rsidR="00F10DB4" w:rsidRPr="001C45D7">
        <w:t>effectiveness</w:t>
      </w:r>
      <w:r w:rsidR="00FA6558" w:rsidRPr="001C45D7">
        <w:t xml:space="preserve"> </w:t>
      </w:r>
      <w:r w:rsidR="00F10DB4" w:rsidRPr="001C45D7">
        <w:t>of</w:t>
      </w:r>
      <w:r w:rsidR="00FA6558" w:rsidRPr="001C45D7">
        <w:t xml:space="preserve"> </w:t>
      </w:r>
      <w:r w:rsidR="00F10DB4" w:rsidRPr="001C45D7">
        <w:t>the</w:t>
      </w:r>
      <w:r w:rsidR="00FA6558" w:rsidRPr="001C45D7">
        <w:t xml:space="preserve"> </w:t>
      </w:r>
      <w:r w:rsidR="00F10DB4" w:rsidRPr="001C45D7">
        <w:t>governance</w:t>
      </w:r>
      <w:r w:rsidR="00FA6558" w:rsidRPr="001C45D7">
        <w:t xml:space="preserve"> </w:t>
      </w:r>
      <w:r w:rsidR="00F10DB4" w:rsidRPr="001C45D7">
        <w:t>mechanism</w:t>
      </w:r>
      <w:r w:rsidR="00FA6558" w:rsidRPr="001C45D7">
        <w:t xml:space="preserve"> </w:t>
      </w:r>
      <w:r w:rsidR="00F10DB4" w:rsidRPr="001C45D7">
        <w:t>(legal</w:t>
      </w:r>
      <w:r w:rsidR="00FA6558" w:rsidRPr="001C45D7">
        <w:t xml:space="preserve"> </w:t>
      </w:r>
      <w:r w:rsidR="00F10DB4" w:rsidRPr="001C45D7">
        <w:t>contract</w:t>
      </w:r>
      <w:r w:rsidR="002A5ADD" w:rsidRPr="001C45D7">
        <w:t>s</w:t>
      </w:r>
      <w:r w:rsidR="00FA6558" w:rsidRPr="001C45D7">
        <w:t xml:space="preserve"> </w:t>
      </w:r>
      <w:r w:rsidR="00F10DB4" w:rsidRPr="001C45D7">
        <w:t>and</w:t>
      </w:r>
      <w:r w:rsidR="00FA6558" w:rsidRPr="001C45D7">
        <w:t xml:space="preserve"> </w:t>
      </w:r>
      <w:r w:rsidR="00F10DB4" w:rsidRPr="001C45D7">
        <w:t>relational</w:t>
      </w:r>
      <w:r w:rsidR="00FA6558" w:rsidRPr="001C45D7">
        <w:t xml:space="preserve"> </w:t>
      </w:r>
      <w:r w:rsidR="00F10DB4" w:rsidRPr="001C45D7">
        <w:t>contract</w:t>
      </w:r>
      <w:r w:rsidR="002A5ADD" w:rsidRPr="001C45D7">
        <w:t>s</w:t>
      </w:r>
      <w:r w:rsidR="00F10DB4" w:rsidRPr="001C45D7">
        <w:t>)</w:t>
      </w:r>
      <w:r w:rsidR="00FA6558" w:rsidRPr="001C45D7">
        <w:t xml:space="preserve"> </w:t>
      </w:r>
      <w:r w:rsidR="00CE7CDF" w:rsidRPr="001C45D7">
        <w:t>i</w:t>
      </w:r>
      <w:r w:rsidR="00F10DB4" w:rsidRPr="001C45D7">
        <w:t>n</w:t>
      </w:r>
      <w:r w:rsidR="00FA6558" w:rsidRPr="001C45D7">
        <w:t xml:space="preserve"> </w:t>
      </w:r>
      <w:r w:rsidR="00F10DB4" w:rsidRPr="001C45D7">
        <w:t>suppressing</w:t>
      </w:r>
      <w:r w:rsidR="00FA6558" w:rsidRPr="001C45D7">
        <w:t xml:space="preserve"> </w:t>
      </w:r>
      <w:r w:rsidR="009A7185" w:rsidRPr="001C45D7">
        <w:t>partner</w:t>
      </w:r>
      <w:r w:rsidR="00FA6558" w:rsidRPr="001C45D7">
        <w:t xml:space="preserve"> </w:t>
      </w:r>
      <w:r w:rsidR="00F10DB4" w:rsidRPr="001C45D7">
        <w:t>opportunism</w:t>
      </w:r>
      <w:r w:rsidR="00FA6558" w:rsidRPr="001C45D7">
        <w:t xml:space="preserve"> </w:t>
      </w:r>
      <w:r w:rsidR="009A7185" w:rsidRPr="001C45D7">
        <w:t>of</w:t>
      </w:r>
      <w:r w:rsidR="00FA6558" w:rsidRPr="001C45D7">
        <w:t xml:space="preserve"> </w:t>
      </w:r>
      <w:r w:rsidR="009A7185" w:rsidRPr="001C45D7">
        <w:t>this</w:t>
      </w:r>
      <w:r w:rsidR="00FA6558" w:rsidRPr="001C45D7">
        <w:t xml:space="preserve"> </w:t>
      </w:r>
      <w:r w:rsidR="009A7185" w:rsidRPr="001C45D7">
        <w:t>nature</w:t>
      </w:r>
      <w:r w:rsidR="00F10DB4" w:rsidRPr="001C45D7">
        <w:t>.</w:t>
      </w:r>
    </w:p>
    <w:p w14:paraId="0555839A" w14:textId="76CD54DD" w:rsidR="007578FE" w:rsidRPr="001C45D7" w:rsidRDefault="007578FE" w:rsidP="00566B02">
      <w:pPr>
        <w:pStyle w:val="BodyText"/>
      </w:pPr>
      <w:r w:rsidRPr="001C45D7">
        <w:rPr>
          <w:b/>
          <w:bCs/>
        </w:rPr>
        <w:t>Design/methodology/approach:</w:t>
      </w:r>
      <w:r w:rsidR="00FA6558" w:rsidRPr="001C45D7">
        <w:t xml:space="preserve"> </w:t>
      </w:r>
      <w:r w:rsidR="00F10DB4" w:rsidRPr="001C45D7">
        <w:t>Using</w:t>
      </w:r>
      <w:r w:rsidR="00FA6558" w:rsidRPr="001C45D7">
        <w:t xml:space="preserve"> </w:t>
      </w:r>
      <w:r w:rsidR="00F10DB4" w:rsidRPr="001C45D7">
        <w:t>survey</w:t>
      </w:r>
      <w:r w:rsidR="00FA6558" w:rsidRPr="001C45D7">
        <w:t xml:space="preserve"> </w:t>
      </w:r>
      <w:r w:rsidR="00F10DB4" w:rsidRPr="001C45D7">
        <w:t>data</w:t>
      </w:r>
      <w:r w:rsidR="00FA6558" w:rsidRPr="001C45D7">
        <w:t xml:space="preserve"> </w:t>
      </w:r>
      <w:r w:rsidR="00F10DB4" w:rsidRPr="001C45D7">
        <w:t>collected</w:t>
      </w:r>
      <w:r w:rsidR="00FA6558" w:rsidRPr="001C45D7">
        <w:t xml:space="preserve"> </w:t>
      </w:r>
      <w:r w:rsidR="00F10DB4" w:rsidRPr="001C45D7">
        <w:t>from</w:t>
      </w:r>
      <w:r w:rsidR="00FA6558" w:rsidRPr="001C45D7">
        <w:t xml:space="preserve"> </w:t>
      </w:r>
      <w:r w:rsidR="00A90054" w:rsidRPr="001C45D7">
        <w:rPr>
          <w:rFonts w:eastAsiaTheme="minorEastAsia" w:hint="eastAsia"/>
          <w:lang w:eastAsia="ko-KR"/>
        </w:rPr>
        <w:t>125</w:t>
      </w:r>
      <w:r w:rsidR="00A90054" w:rsidRPr="001C45D7">
        <w:t xml:space="preserve"> </w:t>
      </w:r>
      <w:r w:rsidR="00F10DB4" w:rsidRPr="001C45D7">
        <w:t>Korean</w:t>
      </w:r>
      <w:r w:rsidR="00FA6558" w:rsidRPr="001C45D7">
        <w:t xml:space="preserve"> </w:t>
      </w:r>
      <w:r w:rsidR="009A7185" w:rsidRPr="001C45D7">
        <w:t>SMEs</w:t>
      </w:r>
      <w:r w:rsidR="00F10DB4" w:rsidRPr="001C45D7">
        <w:t>,</w:t>
      </w:r>
      <w:r w:rsidR="00FA6558" w:rsidRPr="001C45D7">
        <w:t xml:space="preserve"> </w:t>
      </w:r>
      <w:r w:rsidR="00F10DB4" w:rsidRPr="001C45D7">
        <w:t>we</w:t>
      </w:r>
      <w:r w:rsidR="00FA6558" w:rsidRPr="001C45D7">
        <w:t xml:space="preserve"> </w:t>
      </w:r>
      <w:r w:rsidR="009A7185" w:rsidRPr="001C45D7">
        <w:t>employed</w:t>
      </w:r>
      <w:r w:rsidR="00FA6558" w:rsidRPr="001C45D7">
        <w:t xml:space="preserve"> </w:t>
      </w:r>
      <w:r w:rsidR="009A7185" w:rsidRPr="001C45D7">
        <w:t>a</w:t>
      </w:r>
      <w:r w:rsidR="00FA6558" w:rsidRPr="001C45D7">
        <w:t xml:space="preserve"> </w:t>
      </w:r>
      <w:r w:rsidR="009A7185" w:rsidRPr="001C45D7">
        <w:t>hierarchical</w:t>
      </w:r>
      <w:r w:rsidR="00FA6558" w:rsidRPr="001C45D7">
        <w:t xml:space="preserve"> </w:t>
      </w:r>
      <w:r w:rsidR="009A7185" w:rsidRPr="001C45D7">
        <w:t>regression</w:t>
      </w:r>
      <w:r w:rsidR="00FA6558" w:rsidRPr="001C45D7">
        <w:t xml:space="preserve"> </w:t>
      </w:r>
      <w:r w:rsidR="009A7185" w:rsidRPr="001C45D7">
        <w:t>method</w:t>
      </w:r>
      <w:r w:rsidR="00FA6558" w:rsidRPr="001C45D7">
        <w:t xml:space="preserve"> </w:t>
      </w:r>
      <w:r w:rsidR="009A7185" w:rsidRPr="001C45D7">
        <w:t>to</w:t>
      </w:r>
      <w:r w:rsidR="00FA6558" w:rsidRPr="001C45D7">
        <w:t xml:space="preserve"> </w:t>
      </w:r>
      <w:r w:rsidR="009A7185" w:rsidRPr="001C45D7">
        <w:t>test</w:t>
      </w:r>
      <w:r w:rsidR="00FA6558" w:rsidRPr="001C45D7">
        <w:t xml:space="preserve"> </w:t>
      </w:r>
      <w:r w:rsidR="009A7185" w:rsidRPr="001C45D7">
        <w:t>a</w:t>
      </w:r>
      <w:r w:rsidR="00FA6558" w:rsidRPr="001C45D7">
        <w:t xml:space="preserve"> </w:t>
      </w:r>
      <w:r w:rsidR="009A7185" w:rsidRPr="001C45D7">
        <w:t>set</w:t>
      </w:r>
      <w:r w:rsidR="00FA6558" w:rsidRPr="001C45D7">
        <w:t xml:space="preserve"> </w:t>
      </w:r>
      <w:r w:rsidR="009A7185" w:rsidRPr="001C45D7">
        <w:t>of</w:t>
      </w:r>
      <w:r w:rsidR="00FA6558" w:rsidRPr="001C45D7">
        <w:t xml:space="preserve"> </w:t>
      </w:r>
      <w:r w:rsidR="009A7185" w:rsidRPr="001C45D7">
        <w:t>hypotheses</w:t>
      </w:r>
      <w:r w:rsidR="00FA6558" w:rsidRPr="001C45D7">
        <w:t xml:space="preserve"> </w:t>
      </w:r>
      <w:r w:rsidR="008114F1" w:rsidRPr="001C45D7">
        <w:t>focusing</w:t>
      </w:r>
      <w:r w:rsidR="00FA6558" w:rsidRPr="001C45D7">
        <w:t xml:space="preserve"> </w:t>
      </w:r>
      <w:r w:rsidR="008114F1" w:rsidRPr="001C45D7">
        <w:t>on</w:t>
      </w:r>
      <w:r w:rsidR="00FA6558" w:rsidRPr="001C45D7">
        <w:t xml:space="preserve"> </w:t>
      </w:r>
      <w:r w:rsidR="009A7185" w:rsidRPr="001C45D7">
        <w:t>the</w:t>
      </w:r>
      <w:r w:rsidR="00FA6558" w:rsidRPr="001C45D7">
        <w:t xml:space="preserve"> </w:t>
      </w:r>
      <w:r w:rsidR="009A7185" w:rsidRPr="001C45D7">
        <w:t>dark</w:t>
      </w:r>
      <w:r w:rsidR="00C95D53" w:rsidRPr="001C45D7">
        <w:t xml:space="preserve"> </w:t>
      </w:r>
      <w:r w:rsidR="009A7185" w:rsidRPr="001C45D7">
        <w:t>side</w:t>
      </w:r>
      <w:r w:rsidR="00FA6558" w:rsidRPr="001C45D7">
        <w:t xml:space="preserve"> </w:t>
      </w:r>
      <w:r w:rsidR="009A7185" w:rsidRPr="001C45D7">
        <w:t>of</w:t>
      </w:r>
      <w:r w:rsidR="00FA6558" w:rsidRPr="001C45D7">
        <w:t xml:space="preserve"> </w:t>
      </w:r>
      <w:r w:rsidR="009A7185" w:rsidRPr="001C45D7">
        <w:t>supply</w:t>
      </w:r>
      <w:r w:rsidR="00FA6558" w:rsidRPr="001C45D7">
        <w:t xml:space="preserve"> </w:t>
      </w:r>
      <w:r w:rsidR="009A7185" w:rsidRPr="001C45D7">
        <w:t>chain</w:t>
      </w:r>
      <w:r w:rsidR="00FA6558" w:rsidRPr="001C45D7">
        <w:t xml:space="preserve"> </w:t>
      </w:r>
      <w:r w:rsidR="009A7185" w:rsidRPr="001C45D7">
        <w:t>digitalisation</w:t>
      </w:r>
      <w:r w:rsidR="00FA6558" w:rsidRPr="001C45D7">
        <w:t xml:space="preserve"> </w:t>
      </w:r>
      <w:r w:rsidR="009A7185" w:rsidRPr="001C45D7">
        <w:t>and</w:t>
      </w:r>
      <w:r w:rsidR="00FA6558" w:rsidRPr="001C45D7">
        <w:t xml:space="preserve"> </w:t>
      </w:r>
      <w:r w:rsidR="009A7185" w:rsidRPr="001C45D7">
        <w:t>the</w:t>
      </w:r>
      <w:r w:rsidR="00FA6558" w:rsidRPr="001C45D7">
        <w:t xml:space="preserve"> </w:t>
      </w:r>
      <w:r w:rsidR="009A7185" w:rsidRPr="001C45D7">
        <w:t>effectiveness</w:t>
      </w:r>
      <w:r w:rsidR="00FA6558" w:rsidRPr="001C45D7">
        <w:t xml:space="preserve"> </w:t>
      </w:r>
      <w:r w:rsidR="009A7185" w:rsidRPr="001C45D7">
        <w:t>of</w:t>
      </w:r>
      <w:r w:rsidR="00FA6558" w:rsidRPr="001C45D7">
        <w:t xml:space="preserve"> </w:t>
      </w:r>
      <w:r w:rsidR="009A7185" w:rsidRPr="001C45D7">
        <w:t>the</w:t>
      </w:r>
      <w:r w:rsidR="00FA6558" w:rsidRPr="001C45D7">
        <w:t xml:space="preserve"> </w:t>
      </w:r>
      <w:r w:rsidR="009A7185" w:rsidRPr="001C45D7">
        <w:t>governance</w:t>
      </w:r>
      <w:r w:rsidR="00FA6558" w:rsidRPr="001C45D7">
        <w:t xml:space="preserve"> </w:t>
      </w:r>
      <w:r w:rsidR="009A7185" w:rsidRPr="001C45D7">
        <w:t>mechanism.</w:t>
      </w:r>
      <w:r w:rsidR="00FA6558" w:rsidRPr="001C45D7">
        <w:t xml:space="preserve"> </w:t>
      </w:r>
    </w:p>
    <w:p w14:paraId="3CA66CA8" w14:textId="77B7030A" w:rsidR="007578FE" w:rsidRPr="001C45D7" w:rsidRDefault="007578FE" w:rsidP="00566B02">
      <w:pPr>
        <w:pStyle w:val="BodyText"/>
      </w:pPr>
      <w:r w:rsidRPr="001C45D7">
        <w:rPr>
          <w:b/>
          <w:bCs/>
        </w:rPr>
        <w:t>Findings:</w:t>
      </w:r>
      <w:r w:rsidR="00FA6558" w:rsidRPr="001C45D7">
        <w:t xml:space="preserve"> </w:t>
      </w:r>
      <w:r w:rsidR="009A7185" w:rsidRPr="001C45D7">
        <w:t>Our</w:t>
      </w:r>
      <w:r w:rsidR="00FA6558" w:rsidRPr="001C45D7">
        <w:t xml:space="preserve"> </w:t>
      </w:r>
      <w:r w:rsidR="009A7185" w:rsidRPr="001C45D7">
        <w:t>finding</w:t>
      </w:r>
      <w:r w:rsidR="002B4EFB" w:rsidRPr="001C45D7">
        <w:t>s</w:t>
      </w:r>
      <w:r w:rsidR="00FA6558" w:rsidRPr="001C45D7">
        <w:t xml:space="preserve"> </w:t>
      </w:r>
      <w:r w:rsidR="009A7185" w:rsidRPr="001C45D7">
        <w:t>suggest</w:t>
      </w:r>
      <w:r w:rsidR="00FA6558" w:rsidRPr="001C45D7">
        <w:t xml:space="preserve"> </w:t>
      </w:r>
      <w:r w:rsidR="009A7185" w:rsidRPr="001C45D7">
        <w:t>that</w:t>
      </w:r>
      <w:r w:rsidR="00FA6558" w:rsidRPr="001C45D7">
        <w:t xml:space="preserve"> </w:t>
      </w:r>
      <w:r w:rsidR="007A572D">
        <w:t xml:space="preserve">supplier-perceived </w:t>
      </w:r>
      <w:r w:rsidR="009A7185" w:rsidRPr="001C45D7">
        <w:t>digital</w:t>
      </w:r>
      <w:r w:rsidR="00FA6558" w:rsidRPr="001C45D7">
        <w:t xml:space="preserve"> </w:t>
      </w:r>
      <w:r w:rsidR="009A7185" w:rsidRPr="001C45D7">
        <w:t>capability</w:t>
      </w:r>
      <w:r w:rsidR="00FA6558" w:rsidRPr="001C45D7">
        <w:t xml:space="preserve"> </w:t>
      </w:r>
      <w:r w:rsidR="009A7185" w:rsidRPr="001C45D7">
        <w:t>asymmetry</w:t>
      </w:r>
      <w:r w:rsidR="004A01EA">
        <w:t xml:space="preserve">, </w:t>
      </w:r>
      <w:bookmarkStart w:id="0" w:name="_Hlk69985966"/>
      <w:r w:rsidR="004A01EA" w:rsidRPr="004A01EA">
        <w:t xml:space="preserve">wherein </w:t>
      </w:r>
      <w:r w:rsidR="001D75B7">
        <w:t>a</w:t>
      </w:r>
      <w:r w:rsidR="004A01EA" w:rsidRPr="004A01EA">
        <w:t xml:space="preserve"> buyer has a superior digital capability than its SME supplier</w:t>
      </w:r>
      <w:bookmarkEnd w:id="0"/>
      <w:r w:rsidR="004A01EA" w:rsidRPr="004A01EA">
        <w:t xml:space="preserve">, </w:t>
      </w:r>
      <w:r w:rsidR="009A7185" w:rsidRPr="001C45D7">
        <w:t>increases</w:t>
      </w:r>
      <w:r w:rsidR="00FA6558" w:rsidRPr="001C45D7">
        <w:t xml:space="preserve"> </w:t>
      </w:r>
      <w:r w:rsidR="001D75B7">
        <w:t xml:space="preserve">the </w:t>
      </w:r>
      <w:r w:rsidR="009A7185" w:rsidRPr="001C45D7">
        <w:t>SME</w:t>
      </w:r>
      <w:r w:rsidR="00FA6558" w:rsidRPr="001C45D7">
        <w:t xml:space="preserve"> </w:t>
      </w:r>
      <w:r w:rsidR="009A7185" w:rsidRPr="001C45D7">
        <w:t>supplier</w:t>
      </w:r>
      <w:r w:rsidR="001D75B7">
        <w:t>’</w:t>
      </w:r>
      <w:r w:rsidR="009A7185" w:rsidRPr="001C45D7">
        <w:t>s</w:t>
      </w:r>
      <w:r w:rsidR="00FA6558" w:rsidRPr="001C45D7">
        <w:t xml:space="preserve"> </w:t>
      </w:r>
      <w:r w:rsidR="009A7185" w:rsidRPr="001C45D7">
        <w:t>dependence</w:t>
      </w:r>
      <w:r w:rsidR="00FA6558" w:rsidRPr="001C45D7">
        <w:t xml:space="preserve"> </w:t>
      </w:r>
      <w:r w:rsidR="009A7185" w:rsidRPr="001C45D7">
        <w:t>on</w:t>
      </w:r>
      <w:r w:rsidR="00FA6558" w:rsidRPr="001C45D7">
        <w:t xml:space="preserve"> </w:t>
      </w:r>
      <w:r w:rsidR="004A01EA">
        <w:t>the</w:t>
      </w:r>
      <w:r w:rsidR="004A01EA" w:rsidRPr="001C45D7">
        <w:t xml:space="preserve"> </w:t>
      </w:r>
      <w:r w:rsidR="009A7185" w:rsidRPr="001C45D7">
        <w:t>more</w:t>
      </w:r>
      <w:r w:rsidR="00FA6558" w:rsidRPr="001C45D7">
        <w:t xml:space="preserve"> </w:t>
      </w:r>
      <w:r w:rsidR="009A7185" w:rsidRPr="001C45D7">
        <w:t>digitally</w:t>
      </w:r>
      <w:r w:rsidR="00FA6558" w:rsidRPr="001C45D7">
        <w:t xml:space="preserve"> </w:t>
      </w:r>
      <w:r w:rsidR="009A7185" w:rsidRPr="001C45D7">
        <w:t>capable</w:t>
      </w:r>
      <w:r w:rsidR="00FA6558" w:rsidRPr="001C45D7">
        <w:t xml:space="preserve"> </w:t>
      </w:r>
      <w:r w:rsidR="009A7185" w:rsidRPr="001C45D7">
        <w:t>buyer,</w:t>
      </w:r>
      <w:r w:rsidR="00FA6558" w:rsidRPr="001C45D7">
        <w:t xml:space="preserve"> </w:t>
      </w:r>
      <w:r w:rsidR="003163DA" w:rsidRPr="001C45D7">
        <w:t>with the</w:t>
      </w:r>
      <w:r w:rsidR="00FA6558" w:rsidRPr="001C45D7">
        <w:t xml:space="preserve"> </w:t>
      </w:r>
      <w:r w:rsidR="009A7185" w:rsidRPr="001C45D7">
        <w:t>result</w:t>
      </w:r>
      <w:r w:rsidR="00FA6558" w:rsidRPr="001C45D7">
        <w:t xml:space="preserve"> </w:t>
      </w:r>
      <w:r w:rsidR="003163DA" w:rsidRPr="001C45D7">
        <w:t xml:space="preserve">that </w:t>
      </w:r>
      <w:r w:rsidR="00001996">
        <w:t>it is</w:t>
      </w:r>
      <w:r w:rsidR="00FA6558" w:rsidRPr="001C45D7">
        <w:t xml:space="preserve"> </w:t>
      </w:r>
      <w:r w:rsidR="009A7185" w:rsidRPr="001C45D7">
        <w:t>more</w:t>
      </w:r>
      <w:r w:rsidR="00FA6558" w:rsidRPr="001C45D7">
        <w:t xml:space="preserve"> </w:t>
      </w:r>
      <w:r w:rsidR="009A7185" w:rsidRPr="001C45D7">
        <w:t>exposed</w:t>
      </w:r>
      <w:r w:rsidR="00FA6558" w:rsidRPr="001C45D7">
        <w:t xml:space="preserve"> </w:t>
      </w:r>
      <w:r w:rsidR="009A7185" w:rsidRPr="001C45D7">
        <w:t>to</w:t>
      </w:r>
      <w:r w:rsidR="00FA6558" w:rsidRPr="001C45D7">
        <w:t xml:space="preserve"> </w:t>
      </w:r>
      <w:r w:rsidR="009A7185" w:rsidRPr="001C45D7">
        <w:t>buyer</w:t>
      </w:r>
      <w:r w:rsidR="00FA6558" w:rsidRPr="001C45D7">
        <w:t xml:space="preserve"> </w:t>
      </w:r>
      <w:r w:rsidR="009A7185" w:rsidRPr="001C45D7">
        <w:t>opportunism.</w:t>
      </w:r>
      <w:r w:rsidR="00FA6558" w:rsidRPr="001C45D7">
        <w:t xml:space="preserve"> </w:t>
      </w:r>
      <w:r w:rsidR="009A7185" w:rsidRPr="001C45D7">
        <w:t>Moreover,</w:t>
      </w:r>
      <w:r w:rsidR="00FA6558" w:rsidRPr="001C45D7">
        <w:t xml:space="preserve"> </w:t>
      </w:r>
      <w:r w:rsidR="009A7185" w:rsidRPr="001C45D7">
        <w:t>the</w:t>
      </w:r>
      <w:r w:rsidR="00FA6558" w:rsidRPr="001C45D7">
        <w:t xml:space="preserve"> </w:t>
      </w:r>
      <w:r w:rsidR="009A7185" w:rsidRPr="001C45D7">
        <w:t>results</w:t>
      </w:r>
      <w:r w:rsidR="00FA6558" w:rsidRPr="001C45D7">
        <w:t xml:space="preserve"> </w:t>
      </w:r>
      <w:r w:rsidR="009A7185" w:rsidRPr="001C45D7">
        <w:t>suggest</w:t>
      </w:r>
      <w:r w:rsidR="00FA6558" w:rsidRPr="001C45D7">
        <w:t xml:space="preserve"> </w:t>
      </w:r>
      <w:r w:rsidR="009A7185" w:rsidRPr="001C45D7">
        <w:t>that</w:t>
      </w:r>
      <w:r w:rsidR="00FA6558" w:rsidRPr="001C45D7">
        <w:t xml:space="preserve"> </w:t>
      </w:r>
      <w:r w:rsidR="009A7185" w:rsidRPr="001C45D7">
        <w:t>only</w:t>
      </w:r>
      <w:r w:rsidR="00FA6558" w:rsidRPr="001C45D7">
        <w:t xml:space="preserve"> </w:t>
      </w:r>
      <w:r w:rsidR="009A7185" w:rsidRPr="001C45D7">
        <w:t>relational</w:t>
      </w:r>
      <w:r w:rsidR="00FA6558" w:rsidRPr="001C45D7">
        <w:t xml:space="preserve"> </w:t>
      </w:r>
      <w:r w:rsidR="009A7185" w:rsidRPr="001C45D7">
        <w:t>governance</w:t>
      </w:r>
      <w:r w:rsidR="00FA6558" w:rsidRPr="001C45D7">
        <w:t xml:space="preserve"> </w:t>
      </w:r>
      <w:r w:rsidR="000615F3" w:rsidRPr="001C45D7">
        <w:t>is</w:t>
      </w:r>
      <w:r w:rsidR="00FA6558" w:rsidRPr="001C45D7">
        <w:t xml:space="preserve"> </w:t>
      </w:r>
      <w:r w:rsidR="000615F3" w:rsidRPr="001C45D7">
        <w:t>effective</w:t>
      </w:r>
      <w:r w:rsidR="00FA6558" w:rsidRPr="001C45D7">
        <w:t xml:space="preserve"> </w:t>
      </w:r>
      <w:r w:rsidR="000615F3" w:rsidRPr="001C45D7">
        <w:t>in</w:t>
      </w:r>
      <w:r w:rsidR="00FA6558" w:rsidRPr="001C45D7">
        <w:t xml:space="preserve"> </w:t>
      </w:r>
      <w:r w:rsidR="000615F3" w:rsidRPr="001C45D7">
        <w:t>protecting</w:t>
      </w:r>
      <w:r w:rsidR="00FA6558" w:rsidRPr="001C45D7">
        <w:t xml:space="preserve"> </w:t>
      </w:r>
      <w:r w:rsidR="000615F3" w:rsidRPr="001C45D7">
        <w:t>SME</w:t>
      </w:r>
      <w:r w:rsidR="00FA6558" w:rsidRPr="001C45D7">
        <w:t xml:space="preserve"> </w:t>
      </w:r>
      <w:r w:rsidR="000615F3" w:rsidRPr="001C45D7">
        <w:t>suppliers</w:t>
      </w:r>
      <w:r w:rsidR="00FA6558" w:rsidRPr="001C45D7">
        <w:t xml:space="preserve"> </w:t>
      </w:r>
      <w:r w:rsidR="000615F3" w:rsidRPr="001C45D7">
        <w:t>from</w:t>
      </w:r>
      <w:r w:rsidR="00FA6558" w:rsidRPr="001C45D7">
        <w:t xml:space="preserve"> </w:t>
      </w:r>
      <w:r w:rsidR="000615F3" w:rsidRPr="001C45D7">
        <w:t>buyer</w:t>
      </w:r>
      <w:r w:rsidR="00FA6558" w:rsidRPr="001C45D7">
        <w:t xml:space="preserve"> </w:t>
      </w:r>
      <w:r w:rsidR="000615F3" w:rsidRPr="001C45D7">
        <w:t>opportunism</w:t>
      </w:r>
      <w:r w:rsidR="00FA6558" w:rsidRPr="001C45D7">
        <w:t xml:space="preserve"> </w:t>
      </w:r>
      <w:r w:rsidR="000615F3" w:rsidRPr="001C45D7">
        <w:t>of</w:t>
      </w:r>
      <w:r w:rsidR="00FA6558" w:rsidRPr="001C45D7">
        <w:t xml:space="preserve"> </w:t>
      </w:r>
      <w:r w:rsidR="000615F3" w:rsidRPr="001C45D7">
        <w:t>this</w:t>
      </w:r>
      <w:r w:rsidR="00FA6558" w:rsidRPr="001C45D7">
        <w:t xml:space="preserve"> </w:t>
      </w:r>
      <w:r w:rsidR="000615F3" w:rsidRPr="001C45D7">
        <w:t>nature.</w:t>
      </w:r>
    </w:p>
    <w:p w14:paraId="4E80734C" w14:textId="2E700533" w:rsidR="002C1026" w:rsidRPr="001C45D7" w:rsidRDefault="007578FE" w:rsidP="00566B02">
      <w:pPr>
        <w:pStyle w:val="BodyText"/>
      </w:pPr>
      <w:r w:rsidRPr="001C45D7">
        <w:rPr>
          <w:b/>
          <w:bCs/>
        </w:rPr>
        <w:t>Originality/value:</w:t>
      </w:r>
      <w:r w:rsidR="00FA6558" w:rsidRPr="001C45D7">
        <w:t xml:space="preserve"> </w:t>
      </w:r>
      <w:r w:rsidR="000615F3" w:rsidRPr="001C45D7">
        <w:t>So</w:t>
      </w:r>
      <w:r w:rsidR="00FA6558" w:rsidRPr="001C45D7">
        <w:t xml:space="preserve"> </w:t>
      </w:r>
      <w:r w:rsidR="000615F3" w:rsidRPr="001C45D7">
        <w:t>far,</w:t>
      </w:r>
      <w:r w:rsidR="00FA6558" w:rsidRPr="001C45D7">
        <w:t xml:space="preserve"> </w:t>
      </w:r>
      <w:r w:rsidR="000615F3" w:rsidRPr="001C45D7">
        <w:t>the</w:t>
      </w:r>
      <w:r w:rsidR="00FA6558" w:rsidRPr="001C45D7">
        <w:t xml:space="preserve"> </w:t>
      </w:r>
      <w:r w:rsidR="000615F3" w:rsidRPr="001C45D7">
        <w:t>overwhelming</w:t>
      </w:r>
      <w:r w:rsidR="00FA6558" w:rsidRPr="001C45D7">
        <w:t xml:space="preserve"> </w:t>
      </w:r>
      <w:r w:rsidR="000615F3" w:rsidRPr="001C45D7">
        <w:t>majority</w:t>
      </w:r>
      <w:r w:rsidR="00FA6558" w:rsidRPr="001C45D7">
        <w:t xml:space="preserve"> </w:t>
      </w:r>
      <w:r w:rsidR="000615F3" w:rsidRPr="001C45D7">
        <w:t>of</w:t>
      </w:r>
      <w:r w:rsidR="00FA6558" w:rsidRPr="001C45D7">
        <w:t xml:space="preserve"> </w:t>
      </w:r>
      <w:r w:rsidR="000615F3" w:rsidRPr="001C45D7">
        <w:t>supply</w:t>
      </w:r>
      <w:r w:rsidR="00FA6558" w:rsidRPr="001C45D7">
        <w:t xml:space="preserve"> </w:t>
      </w:r>
      <w:r w:rsidR="000615F3" w:rsidRPr="001C45D7">
        <w:t>chain</w:t>
      </w:r>
      <w:r w:rsidR="00FA6558" w:rsidRPr="001C45D7">
        <w:t xml:space="preserve"> </w:t>
      </w:r>
      <w:r w:rsidR="000615F3" w:rsidRPr="001C45D7">
        <w:t>digitalisation</w:t>
      </w:r>
      <w:r w:rsidR="00FA6558" w:rsidRPr="001C45D7">
        <w:t xml:space="preserve"> </w:t>
      </w:r>
      <w:r w:rsidR="000615F3" w:rsidRPr="001C45D7">
        <w:t>research</w:t>
      </w:r>
      <w:r w:rsidR="00FA6558" w:rsidRPr="001C45D7">
        <w:t xml:space="preserve"> </w:t>
      </w:r>
      <w:r w:rsidR="000615F3" w:rsidRPr="001C45D7">
        <w:t>ha</w:t>
      </w:r>
      <w:r w:rsidR="008F664C" w:rsidRPr="001C45D7">
        <w:t>s</w:t>
      </w:r>
      <w:r w:rsidR="00FA6558" w:rsidRPr="001C45D7">
        <w:t xml:space="preserve"> </w:t>
      </w:r>
      <w:r w:rsidR="008114F1" w:rsidRPr="001C45D7">
        <w:t>debat</w:t>
      </w:r>
      <w:r w:rsidR="008F664C" w:rsidRPr="001C45D7">
        <w:t>ed</w:t>
      </w:r>
      <w:r w:rsidR="00FA6558" w:rsidRPr="001C45D7">
        <w:t xml:space="preserve"> </w:t>
      </w:r>
      <w:r w:rsidR="000615F3" w:rsidRPr="001C45D7">
        <w:t>its</w:t>
      </w:r>
      <w:r w:rsidR="00FA6558" w:rsidRPr="001C45D7">
        <w:t xml:space="preserve"> </w:t>
      </w:r>
      <w:r w:rsidR="001F7BFB" w:rsidRPr="001C45D7">
        <w:t>‘</w:t>
      </w:r>
      <w:r w:rsidR="000615F3" w:rsidRPr="001C45D7">
        <w:t>bright</w:t>
      </w:r>
      <w:r w:rsidR="00FA6558" w:rsidRPr="001C45D7">
        <w:t xml:space="preserve"> </w:t>
      </w:r>
      <w:r w:rsidR="000615F3" w:rsidRPr="001C45D7">
        <w:t>side</w:t>
      </w:r>
      <w:r w:rsidR="001F7BFB" w:rsidRPr="001C45D7">
        <w:t xml:space="preserve">’. </w:t>
      </w:r>
      <w:r w:rsidR="008114F1" w:rsidRPr="001C45D7">
        <w:t>On</w:t>
      </w:r>
      <w:r w:rsidR="00FA6558" w:rsidRPr="001C45D7">
        <w:t xml:space="preserve"> </w:t>
      </w:r>
      <w:r w:rsidR="008114F1" w:rsidRPr="001C45D7">
        <w:t>the</w:t>
      </w:r>
      <w:r w:rsidR="00FA6558" w:rsidRPr="001C45D7">
        <w:t xml:space="preserve"> </w:t>
      </w:r>
      <w:r w:rsidR="008114F1" w:rsidRPr="001C45D7">
        <w:t>contrary</w:t>
      </w:r>
      <w:r w:rsidR="008F664C" w:rsidRPr="001C45D7">
        <w:t>,</w:t>
      </w:r>
      <w:r w:rsidR="00FA6558" w:rsidRPr="001C45D7">
        <w:t xml:space="preserve"> </w:t>
      </w:r>
      <w:r w:rsidR="004A01EA" w:rsidRPr="001C45D7">
        <w:t xml:space="preserve">from the resource dependence theory perspective, </w:t>
      </w:r>
      <w:r w:rsidR="008114F1" w:rsidRPr="001C45D7">
        <w:t>this</w:t>
      </w:r>
      <w:r w:rsidR="00FA6558" w:rsidRPr="001C45D7">
        <w:t xml:space="preserve"> </w:t>
      </w:r>
      <w:r w:rsidR="000615F3" w:rsidRPr="001C45D7">
        <w:t>paper</w:t>
      </w:r>
      <w:r w:rsidR="00FA6558" w:rsidRPr="001C45D7">
        <w:t xml:space="preserve"> </w:t>
      </w:r>
      <w:r w:rsidR="008114F1" w:rsidRPr="001C45D7">
        <w:t>explains</w:t>
      </w:r>
      <w:r w:rsidR="00FA6558" w:rsidRPr="001C45D7">
        <w:t xml:space="preserve"> </w:t>
      </w:r>
      <w:r w:rsidR="00DE7866" w:rsidRPr="001C45D7">
        <w:t xml:space="preserve">its </w:t>
      </w:r>
      <w:r w:rsidR="000615F3" w:rsidRPr="001C45D7">
        <w:t>dark</w:t>
      </w:r>
      <w:r w:rsidR="00DE7866" w:rsidRPr="001C45D7">
        <w:t xml:space="preserve"> </w:t>
      </w:r>
      <w:r w:rsidR="000615F3" w:rsidRPr="001C45D7">
        <w:t>side</w:t>
      </w:r>
      <w:r w:rsidR="00FA6558" w:rsidRPr="001C45D7">
        <w:t xml:space="preserve"> </w:t>
      </w:r>
      <w:r w:rsidR="000615F3" w:rsidRPr="001C45D7">
        <w:t>by</w:t>
      </w:r>
      <w:r w:rsidR="00FA6558" w:rsidRPr="001C45D7">
        <w:t xml:space="preserve"> </w:t>
      </w:r>
      <w:r w:rsidR="000615F3" w:rsidRPr="001C45D7">
        <w:t>providing</w:t>
      </w:r>
      <w:r w:rsidR="00FA6558" w:rsidRPr="001C45D7">
        <w:t xml:space="preserve"> </w:t>
      </w:r>
      <w:r w:rsidR="000615F3" w:rsidRPr="001C45D7">
        <w:t>empirical</w:t>
      </w:r>
      <w:r w:rsidR="00FA6558" w:rsidRPr="001C45D7">
        <w:t xml:space="preserve"> </w:t>
      </w:r>
      <w:r w:rsidR="000615F3" w:rsidRPr="001C45D7">
        <w:t>evidence</w:t>
      </w:r>
      <w:r w:rsidR="00FA6558" w:rsidRPr="001C45D7">
        <w:t xml:space="preserve"> </w:t>
      </w:r>
      <w:r w:rsidR="000615F3" w:rsidRPr="001C45D7">
        <w:t>on</w:t>
      </w:r>
      <w:r w:rsidR="00FA6558" w:rsidRPr="001C45D7">
        <w:t xml:space="preserve"> </w:t>
      </w:r>
      <w:r w:rsidR="00FB740B" w:rsidRPr="001C45D7">
        <w:t>(1)</w:t>
      </w:r>
      <w:r w:rsidR="00FA6558" w:rsidRPr="001C45D7">
        <w:t xml:space="preserve"> </w:t>
      </w:r>
      <w:r w:rsidR="000615F3" w:rsidRPr="001C45D7">
        <w:t>the</w:t>
      </w:r>
      <w:r w:rsidR="00FA6558" w:rsidRPr="001C45D7">
        <w:t xml:space="preserve"> </w:t>
      </w:r>
      <w:r w:rsidR="000615F3" w:rsidRPr="001C45D7">
        <w:t>link</w:t>
      </w:r>
      <w:r w:rsidR="007A572D">
        <w:t>s</w:t>
      </w:r>
      <w:r w:rsidR="00FA6558" w:rsidRPr="001C45D7">
        <w:t xml:space="preserve"> </w:t>
      </w:r>
      <w:r w:rsidR="0046306A">
        <w:t>between</w:t>
      </w:r>
      <w:r w:rsidR="007A572D">
        <w:t xml:space="preserve"> supplier-perceived </w:t>
      </w:r>
      <w:r w:rsidR="000615F3" w:rsidRPr="001C45D7">
        <w:t>digital</w:t>
      </w:r>
      <w:r w:rsidR="00FA6558" w:rsidRPr="001C45D7">
        <w:t xml:space="preserve"> </w:t>
      </w:r>
      <w:r w:rsidR="000615F3" w:rsidRPr="001C45D7">
        <w:t>capa</w:t>
      </w:r>
      <w:r w:rsidR="008114F1" w:rsidRPr="001C45D7">
        <w:t>bility</w:t>
      </w:r>
      <w:r w:rsidR="00FA6558" w:rsidRPr="001C45D7">
        <w:t xml:space="preserve"> </w:t>
      </w:r>
      <w:r w:rsidR="000615F3" w:rsidRPr="001C45D7">
        <w:t>asymmetry</w:t>
      </w:r>
      <w:r w:rsidR="0046306A" w:rsidRPr="0046306A">
        <w:t xml:space="preserve"> </w:t>
      </w:r>
      <w:r w:rsidR="0046306A" w:rsidRPr="001C45D7">
        <w:t xml:space="preserve">and </w:t>
      </w:r>
      <w:r w:rsidR="0046306A">
        <w:t xml:space="preserve">a buyer’s </w:t>
      </w:r>
      <w:r w:rsidR="0046306A" w:rsidRPr="001C45D7">
        <w:t>opportunism</w:t>
      </w:r>
      <w:r w:rsidR="0046306A">
        <w:t xml:space="preserve"> through </w:t>
      </w:r>
      <w:r w:rsidR="00347D08">
        <w:t>an</w:t>
      </w:r>
      <w:r w:rsidR="003836D3">
        <w:t xml:space="preserve"> </w:t>
      </w:r>
      <w:r w:rsidR="0046306A">
        <w:t>increased supplier’s dependence</w:t>
      </w:r>
      <w:r w:rsidR="008F664C" w:rsidRPr="001C45D7">
        <w:t>,</w:t>
      </w:r>
      <w:r w:rsidR="00FA6558" w:rsidRPr="001C45D7">
        <w:t xml:space="preserve"> </w:t>
      </w:r>
      <w:r w:rsidR="00FB740B" w:rsidRPr="001C45D7">
        <w:t>and</w:t>
      </w:r>
      <w:r w:rsidR="00FA6558" w:rsidRPr="001C45D7">
        <w:t xml:space="preserve"> </w:t>
      </w:r>
      <w:r w:rsidR="00FB740B" w:rsidRPr="001C45D7">
        <w:t>(2)</w:t>
      </w:r>
      <w:r w:rsidR="00FA6558" w:rsidRPr="001C45D7">
        <w:t xml:space="preserve"> </w:t>
      </w:r>
      <w:r w:rsidR="00FB740B" w:rsidRPr="001C45D7">
        <w:t>the</w:t>
      </w:r>
      <w:r w:rsidR="00FA6558" w:rsidRPr="001C45D7">
        <w:t xml:space="preserve"> </w:t>
      </w:r>
      <w:r w:rsidR="00FB740B" w:rsidRPr="001C45D7">
        <w:t>effectiveness</w:t>
      </w:r>
      <w:r w:rsidR="00FA6558" w:rsidRPr="001C45D7">
        <w:t xml:space="preserve"> </w:t>
      </w:r>
      <w:r w:rsidR="00FB740B" w:rsidRPr="001C45D7">
        <w:t>of</w:t>
      </w:r>
      <w:r w:rsidR="00FA6558" w:rsidRPr="001C45D7">
        <w:t xml:space="preserve"> </w:t>
      </w:r>
      <w:r w:rsidR="00FB740B" w:rsidRPr="001C45D7">
        <w:t>different</w:t>
      </w:r>
      <w:r w:rsidR="00FA6558" w:rsidRPr="001C45D7">
        <w:t xml:space="preserve"> </w:t>
      </w:r>
      <w:r w:rsidR="00FB740B" w:rsidRPr="001C45D7">
        <w:t>types</w:t>
      </w:r>
      <w:r w:rsidR="00FA6558" w:rsidRPr="001C45D7">
        <w:t xml:space="preserve"> </w:t>
      </w:r>
      <w:r w:rsidR="00FB740B" w:rsidRPr="001C45D7">
        <w:t>of</w:t>
      </w:r>
      <w:r w:rsidR="00FA6558" w:rsidRPr="001C45D7">
        <w:t xml:space="preserve"> </w:t>
      </w:r>
      <w:r w:rsidR="00FB740B" w:rsidRPr="001C45D7">
        <w:t>governance</w:t>
      </w:r>
      <w:r w:rsidR="00FA6558" w:rsidRPr="001C45D7">
        <w:t xml:space="preserve"> </w:t>
      </w:r>
      <w:r w:rsidR="00FB740B" w:rsidRPr="001C45D7">
        <w:t>in</w:t>
      </w:r>
      <w:r w:rsidR="00FA6558" w:rsidRPr="001C45D7">
        <w:t xml:space="preserve"> </w:t>
      </w:r>
      <w:r w:rsidR="00FB740B" w:rsidRPr="001C45D7">
        <w:t>opportunism</w:t>
      </w:r>
      <w:r w:rsidR="00FA6558" w:rsidRPr="001C45D7">
        <w:t xml:space="preserve"> </w:t>
      </w:r>
      <w:r w:rsidR="00FB740B" w:rsidRPr="001C45D7">
        <w:t>suppression</w:t>
      </w:r>
      <w:r w:rsidR="000615F3" w:rsidRPr="001C45D7">
        <w:t>.</w:t>
      </w:r>
      <w:r w:rsidR="00FA6558" w:rsidRPr="001C45D7">
        <w:t xml:space="preserve"> </w:t>
      </w:r>
    </w:p>
    <w:p w14:paraId="573F487E" w14:textId="77777777" w:rsidR="0010463D" w:rsidRPr="001C45D7" w:rsidRDefault="0010463D" w:rsidP="00D61D5C">
      <w:pPr>
        <w:widowControl/>
        <w:jc w:val="both"/>
        <w:rPr>
          <w:sz w:val="24"/>
          <w:szCs w:val="24"/>
        </w:rPr>
      </w:pPr>
    </w:p>
    <w:p w14:paraId="31CCF333" w14:textId="3041D95F" w:rsidR="0010463D" w:rsidRPr="001C45D7" w:rsidRDefault="0010463D" w:rsidP="00D61D5C">
      <w:pPr>
        <w:widowControl/>
        <w:jc w:val="both"/>
        <w:rPr>
          <w:sz w:val="24"/>
          <w:szCs w:val="24"/>
        </w:rPr>
      </w:pPr>
      <w:r w:rsidRPr="001C45D7">
        <w:rPr>
          <w:b/>
          <w:bCs/>
          <w:color w:val="000000"/>
          <w:lang w:eastAsia="en-IE"/>
        </w:rPr>
        <w:t>Keywords</w:t>
      </w:r>
      <w:r w:rsidRPr="001C45D7">
        <w:rPr>
          <w:color w:val="000000"/>
          <w:lang w:eastAsia="en-IE"/>
        </w:rPr>
        <w:t>:</w:t>
      </w:r>
      <w:r w:rsidR="00FA6558" w:rsidRPr="001C45D7">
        <w:rPr>
          <w:color w:val="000000"/>
          <w:lang w:eastAsia="en-IE"/>
        </w:rPr>
        <w:t xml:space="preserve"> </w:t>
      </w:r>
      <w:r w:rsidR="008E54AA" w:rsidRPr="001C45D7">
        <w:rPr>
          <w:color w:val="000000"/>
          <w:lang w:eastAsia="en-IE"/>
        </w:rPr>
        <w:t>Digitalisation,</w:t>
      </w:r>
      <w:r w:rsidR="00FA6558" w:rsidRPr="001C45D7">
        <w:rPr>
          <w:color w:val="000000"/>
          <w:lang w:eastAsia="en-IE"/>
        </w:rPr>
        <w:t xml:space="preserve"> </w:t>
      </w:r>
      <w:r w:rsidR="008E54AA" w:rsidRPr="001C45D7">
        <w:rPr>
          <w:color w:val="000000"/>
          <w:lang w:eastAsia="en-IE"/>
        </w:rPr>
        <w:t>Buyer</w:t>
      </w:r>
      <w:r w:rsidR="00820819" w:rsidRPr="001C45D7">
        <w:rPr>
          <w:color w:val="000000"/>
          <w:lang w:eastAsia="en-IE"/>
        </w:rPr>
        <w:t>–</w:t>
      </w:r>
      <w:r w:rsidR="008E54AA" w:rsidRPr="001C45D7">
        <w:rPr>
          <w:color w:val="000000"/>
          <w:lang w:eastAsia="en-IE"/>
        </w:rPr>
        <w:t>supplier</w:t>
      </w:r>
      <w:r w:rsidR="00FA6558" w:rsidRPr="001C45D7">
        <w:rPr>
          <w:color w:val="000000"/>
          <w:lang w:eastAsia="en-IE"/>
        </w:rPr>
        <w:t xml:space="preserve"> </w:t>
      </w:r>
      <w:r w:rsidR="008E54AA" w:rsidRPr="001C45D7">
        <w:rPr>
          <w:color w:val="000000"/>
          <w:lang w:eastAsia="en-IE"/>
        </w:rPr>
        <w:t>relationship,</w:t>
      </w:r>
      <w:r w:rsidR="00FA6558" w:rsidRPr="001C45D7">
        <w:rPr>
          <w:color w:val="000000"/>
          <w:lang w:eastAsia="en-IE"/>
        </w:rPr>
        <w:t xml:space="preserve"> </w:t>
      </w:r>
      <w:r w:rsidR="008E54AA" w:rsidRPr="001C45D7">
        <w:rPr>
          <w:color w:val="000000"/>
          <w:lang w:eastAsia="en-IE"/>
        </w:rPr>
        <w:t>Opportunism,</w:t>
      </w:r>
      <w:r w:rsidR="00FA6558" w:rsidRPr="001C45D7">
        <w:rPr>
          <w:color w:val="000000"/>
          <w:lang w:eastAsia="en-IE"/>
        </w:rPr>
        <w:t xml:space="preserve"> </w:t>
      </w:r>
      <w:r w:rsidR="007578FE" w:rsidRPr="001C45D7">
        <w:rPr>
          <w:color w:val="000000"/>
          <w:lang w:eastAsia="en-IE"/>
        </w:rPr>
        <w:t>Governance</w:t>
      </w:r>
      <w:r w:rsidR="00AD6590" w:rsidRPr="001C45D7">
        <w:rPr>
          <w:color w:val="000000"/>
          <w:lang w:eastAsia="en-IE"/>
        </w:rPr>
        <w:t>,</w:t>
      </w:r>
      <w:r w:rsidR="00FA6558" w:rsidRPr="001C45D7">
        <w:rPr>
          <w:color w:val="000000"/>
          <w:lang w:eastAsia="en-IE"/>
        </w:rPr>
        <w:t xml:space="preserve"> </w:t>
      </w:r>
      <w:r w:rsidR="00AD6590" w:rsidRPr="001C45D7">
        <w:rPr>
          <w:color w:val="000000"/>
          <w:lang w:eastAsia="en-IE"/>
        </w:rPr>
        <w:t>SMEs</w:t>
      </w:r>
      <w:r w:rsidR="008E729B" w:rsidRPr="001C45D7">
        <w:rPr>
          <w:color w:val="000000"/>
          <w:lang w:eastAsia="en-IE"/>
        </w:rPr>
        <w:t>,</w:t>
      </w:r>
      <w:r w:rsidR="00FA6558" w:rsidRPr="001C45D7">
        <w:rPr>
          <w:color w:val="000000"/>
          <w:lang w:eastAsia="en-IE"/>
        </w:rPr>
        <w:t xml:space="preserve"> </w:t>
      </w:r>
      <w:r w:rsidR="00476D03" w:rsidRPr="001C45D7">
        <w:rPr>
          <w:rFonts w:eastAsiaTheme="minorEastAsia" w:hint="eastAsia"/>
          <w:color w:val="000000"/>
          <w:lang w:eastAsia="ko-KR"/>
        </w:rPr>
        <w:t>R</w:t>
      </w:r>
      <w:r w:rsidR="008E729B" w:rsidRPr="001C45D7">
        <w:rPr>
          <w:color w:val="000000"/>
          <w:lang w:eastAsia="en-IE"/>
        </w:rPr>
        <w:t>esource</w:t>
      </w:r>
      <w:r w:rsidR="00FA6558" w:rsidRPr="001C45D7">
        <w:rPr>
          <w:color w:val="000000"/>
          <w:lang w:eastAsia="en-IE"/>
        </w:rPr>
        <w:t xml:space="preserve"> </w:t>
      </w:r>
      <w:r w:rsidR="008E729B" w:rsidRPr="001C45D7">
        <w:rPr>
          <w:color w:val="000000"/>
          <w:lang w:eastAsia="en-IE"/>
        </w:rPr>
        <w:t>dependence</w:t>
      </w:r>
      <w:r w:rsidR="00FA6558" w:rsidRPr="001C45D7">
        <w:rPr>
          <w:color w:val="000000"/>
          <w:lang w:eastAsia="en-IE"/>
        </w:rPr>
        <w:t xml:space="preserve"> </w:t>
      </w:r>
      <w:r w:rsidR="008E729B" w:rsidRPr="001C45D7">
        <w:rPr>
          <w:color w:val="000000"/>
          <w:lang w:eastAsia="en-IE"/>
        </w:rPr>
        <w:t>theory</w:t>
      </w:r>
    </w:p>
    <w:p w14:paraId="1E9AB4CF" w14:textId="49E3416A" w:rsidR="00B50678" w:rsidRPr="001C45D7" w:rsidRDefault="00B50678" w:rsidP="00D61D5C">
      <w:pPr>
        <w:widowControl/>
        <w:autoSpaceDE/>
        <w:autoSpaceDN/>
      </w:pPr>
      <w:r w:rsidRPr="001C45D7">
        <w:br w:type="page"/>
      </w:r>
    </w:p>
    <w:p w14:paraId="30173567" w14:textId="13AAB0D1" w:rsidR="00AF7F15" w:rsidRPr="001C45D7" w:rsidRDefault="00AF7F15" w:rsidP="00D61D5C">
      <w:pPr>
        <w:pStyle w:val="Heading1"/>
        <w:keepNext w:val="0"/>
        <w:widowControl/>
      </w:pPr>
      <w:r w:rsidRPr="001C45D7">
        <w:lastRenderedPageBreak/>
        <w:t>Introduction</w:t>
      </w:r>
    </w:p>
    <w:p w14:paraId="146B6207" w14:textId="2B3BF215" w:rsidR="006856B8" w:rsidRPr="001C45D7" w:rsidRDefault="002A7FB9" w:rsidP="00566B02">
      <w:pPr>
        <w:pStyle w:val="BodyText"/>
      </w:pPr>
      <w:bookmarkStart w:id="1" w:name="_Hlk66071681"/>
      <w:r w:rsidRPr="001C45D7">
        <w:t>In its early days, d</w:t>
      </w:r>
      <w:r w:rsidR="006856B8" w:rsidRPr="001C45D7">
        <w:t xml:space="preserve">igitalisation was </w:t>
      </w:r>
      <w:r w:rsidRPr="001C45D7">
        <w:t>characterised</w:t>
      </w:r>
      <w:r w:rsidR="00E465DA" w:rsidRPr="001C45D7">
        <w:t xml:space="preserve"> </w:t>
      </w:r>
      <w:r w:rsidR="006856B8" w:rsidRPr="001C45D7">
        <w:t xml:space="preserve">as </w:t>
      </w:r>
      <w:r w:rsidR="004D4A31" w:rsidRPr="001C45D7">
        <w:t xml:space="preserve">the </w:t>
      </w:r>
      <w:r w:rsidR="006856B8" w:rsidRPr="001C45D7">
        <w:t xml:space="preserve">application of digital technologies to bring </w:t>
      </w:r>
      <w:r w:rsidR="004D4A31" w:rsidRPr="001C45D7">
        <w:t xml:space="preserve">about </w:t>
      </w:r>
      <w:r w:rsidR="006856B8" w:rsidRPr="001C45D7">
        <w:t>changes in the intra and inter</w:t>
      </w:r>
      <w:r w:rsidR="008971F0" w:rsidRPr="001C45D7">
        <w:t>-</w:t>
      </w:r>
      <w:r w:rsidR="006856B8" w:rsidRPr="001C45D7">
        <w:t xml:space="preserve">business interactions (Ritter and Pedersen, 2020). However, </w:t>
      </w:r>
      <w:r w:rsidR="00FD7A2D" w:rsidRPr="001C45D7">
        <w:t>with technological advancements</w:t>
      </w:r>
      <w:r w:rsidR="00791BC8" w:rsidRPr="001C45D7">
        <w:t>,</w:t>
      </w:r>
      <w:r w:rsidR="00FD7A2D" w:rsidRPr="001C45D7">
        <w:t xml:space="preserve"> recent studies </w:t>
      </w:r>
      <w:r w:rsidR="006021C9" w:rsidRPr="001C45D7">
        <w:t xml:space="preserve">have gone </w:t>
      </w:r>
      <w:r w:rsidR="006856B8" w:rsidRPr="001C45D7">
        <w:t xml:space="preserve">beyond </w:t>
      </w:r>
      <w:r w:rsidR="006021C9" w:rsidRPr="001C45D7">
        <w:t xml:space="preserve">such </w:t>
      </w:r>
      <w:r w:rsidR="006856B8" w:rsidRPr="001C45D7">
        <w:t>application</w:t>
      </w:r>
      <w:r w:rsidR="00CB42EE" w:rsidRPr="001C45D7">
        <w:t>s</w:t>
      </w:r>
      <w:r w:rsidR="006856B8" w:rsidRPr="001C45D7">
        <w:t xml:space="preserve"> </w:t>
      </w:r>
      <w:r w:rsidR="00FF6686" w:rsidRPr="001C45D7">
        <w:t xml:space="preserve">and </w:t>
      </w:r>
      <w:r w:rsidR="006856B8" w:rsidRPr="001C45D7">
        <w:t xml:space="preserve">related organisational </w:t>
      </w:r>
      <w:r w:rsidR="00001996" w:rsidRPr="001C45D7">
        <w:t>capability and</w:t>
      </w:r>
      <w:r w:rsidR="006856B8" w:rsidRPr="001C45D7">
        <w:t xml:space="preserve"> </w:t>
      </w:r>
      <w:r w:rsidR="007B76ED" w:rsidRPr="001C45D7">
        <w:t xml:space="preserve">have </w:t>
      </w:r>
      <w:r w:rsidR="00747D1F" w:rsidRPr="001C45D7">
        <w:t xml:space="preserve">instead conceived </w:t>
      </w:r>
      <w:r w:rsidR="00557A15" w:rsidRPr="001C45D7">
        <w:t xml:space="preserve">digital </w:t>
      </w:r>
      <w:r w:rsidR="006856B8" w:rsidRPr="001C45D7">
        <w:t xml:space="preserve">capability as the </w:t>
      </w:r>
      <w:r w:rsidR="009F4063" w:rsidRPr="001C45D7">
        <w:t>complex</w:t>
      </w:r>
      <w:r w:rsidR="00E40E52" w:rsidRPr="001C45D7">
        <w:t xml:space="preserve"> and</w:t>
      </w:r>
      <w:r w:rsidR="009F4063" w:rsidRPr="001C45D7">
        <w:t xml:space="preserve"> unique </w:t>
      </w:r>
      <w:r w:rsidR="00FD7A2D" w:rsidRPr="001C45D7">
        <w:t xml:space="preserve">bundle of technological skills, procedure and cyber-physical systems </w:t>
      </w:r>
      <w:r w:rsidR="00B80C43" w:rsidRPr="001C45D7">
        <w:t xml:space="preserve">that </w:t>
      </w:r>
      <w:r w:rsidR="00FD7A2D" w:rsidRPr="001C45D7">
        <w:t>generate</w:t>
      </w:r>
      <w:r w:rsidR="000E286B" w:rsidRPr="001C45D7">
        <w:t>s</w:t>
      </w:r>
      <w:r w:rsidR="00FD7A2D" w:rsidRPr="001C45D7">
        <w:t xml:space="preserve"> </w:t>
      </w:r>
      <w:r w:rsidR="006856B8" w:rsidRPr="001C45D7">
        <w:t xml:space="preserve">insight </w:t>
      </w:r>
      <w:r w:rsidR="00606C7D" w:rsidRPr="001C45D7">
        <w:t xml:space="preserve">and </w:t>
      </w:r>
      <w:r w:rsidR="006856B8" w:rsidRPr="001C45D7">
        <w:t>leverages digitised data and processes to enhance inter-organisational decision</w:t>
      </w:r>
      <w:r w:rsidR="00AC3CAA" w:rsidRPr="001C45D7">
        <w:t>-</w:t>
      </w:r>
      <w:r w:rsidR="006856B8" w:rsidRPr="001C45D7">
        <w:t xml:space="preserve">making </w:t>
      </w:r>
      <w:bookmarkStart w:id="2" w:name="_Hlk65986577"/>
      <w:r w:rsidR="006856B8" w:rsidRPr="001C45D7">
        <w:t>(</w:t>
      </w:r>
      <w:bookmarkStart w:id="3" w:name="_Hlk66075007"/>
      <w:r w:rsidR="00557A15" w:rsidRPr="001C45D7">
        <w:t>Gobble, 2018</w:t>
      </w:r>
      <w:bookmarkEnd w:id="3"/>
      <w:r w:rsidR="00E61D77" w:rsidRPr="001C45D7">
        <w:t xml:space="preserve">; Holmstrom </w:t>
      </w:r>
      <w:r w:rsidR="00E61D77" w:rsidRPr="001C45D7">
        <w:rPr>
          <w:i/>
          <w:iCs/>
        </w:rPr>
        <w:t>et al.</w:t>
      </w:r>
      <w:r w:rsidR="00E61D77" w:rsidRPr="001C45D7">
        <w:t>, 2019</w:t>
      </w:r>
      <w:r w:rsidR="00557A15" w:rsidRPr="001C45D7">
        <w:t>)</w:t>
      </w:r>
      <w:bookmarkEnd w:id="2"/>
      <w:r w:rsidR="00557A15" w:rsidRPr="001C45D7">
        <w:t xml:space="preserve">. </w:t>
      </w:r>
      <w:r w:rsidR="0052687E" w:rsidRPr="001C45D7">
        <w:t xml:space="preserve">From the focal </w:t>
      </w:r>
      <w:r w:rsidR="00B67932">
        <w:t xml:space="preserve">firm’s </w:t>
      </w:r>
      <w:r w:rsidR="0052687E" w:rsidRPr="001C45D7">
        <w:t>point of view, d</w:t>
      </w:r>
      <w:r w:rsidR="00557A15" w:rsidRPr="001C45D7">
        <w:t>igital capability</w:t>
      </w:r>
      <w:r w:rsidR="0052687E" w:rsidRPr="001C45D7">
        <w:t xml:space="preserve"> </w:t>
      </w:r>
      <w:r w:rsidR="006856B8" w:rsidRPr="001C45D7">
        <w:t>support</w:t>
      </w:r>
      <w:r w:rsidR="00F83B4F" w:rsidRPr="001C45D7">
        <w:t>s</w:t>
      </w:r>
      <w:r w:rsidR="006856B8" w:rsidRPr="001C45D7">
        <w:t xml:space="preserve"> firms </w:t>
      </w:r>
      <w:r w:rsidR="002B0BD0" w:rsidRPr="001C45D7">
        <w:t xml:space="preserve">in </w:t>
      </w:r>
      <w:r w:rsidR="006856B8" w:rsidRPr="001C45D7">
        <w:t>creat</w:t>
      </w:r>
      <w:r w:rsidR="002B0BD0" w:rsidRPr="001C45D7">
        <w:t>ing</w:t>
      </w:r>
      <w:r w:rsidR="006856B8" w:rsidRPr="001C45D7">
        <w:t xml:space="preserve"> and captur</w:t>
      </w:r>
      <w:r w:rsidR="002B0BD0" w:rsidRPr="001C45D7">
        <w:t>ing</w:t>
      </w:r>
      <w:r w:rsidR="006856B8" w:rsidRPr="001C45D7">
        <w:t xml:space="preserve"> value through increased generation, analysis and use of data that enhances </w:t>
      </w:r>
      <w:r w:rsidR="002A7C7D" w:rsidRPr="001C45D7">
        <w:t xml:space="preserve">their </w:t>
      </w:r>
      <w:r w:rsidR="00001996">
        <w:t>competitiveness</w:t>
      </w:r>
      <w:r w:rsidR="006856B8" w:rsidRPr="001C45D7">
        <w:t xml:space="preserve"> (</w:t>
      </w:r>
      <w:proofErr w:type="spellStart"/>
      <w:r w:rsidR="006856B8" w:rsidRPr="001C45D7">
        <w:t>Bjorkdah</w:t>
      </w:r>
      <w:proofErr w:type="spellEnd"/>
      <w:r w:rsidR="006856B8" w:rsidRPr="001C45D7">
        <w:t xml:space="preserve">, 2020). </w:t>
      </w:r>
    </w:p>
    <w:bookmarkEnd w:id="1"/>
    <w:p w14:paraId="2DB027BB" w14:textId="65804B34" w:rsidR="009F4063" w:rsidRPr="001C45D7" w:rsidRDefault="005D20FE" w:rsidP="00566B02">
      <w:pPr>
        <w:pStyle w:val="BodyText"/>
      </w:pPr>
      <w:r w:rsidRPr="001C45D7">
        <w:t>Supply</w:t>
      </w:r>
      <w:r w:rsidR="00FA6558" w:rsidRPr="001C45D7">
        <w:t xml:space="preserve"> </w:t>
      </w:r>
      <w:r w:rsidRPr="001C45D7">
        <w:t>chain</w:t>
      </w:r>
      <w:r w:rsidR="00FA6558" w:rsidRPr="001C45D7">
        <w:t xml:space="preserve"> </w:t>
      </w:r>
      <w:r w:rsidRPr="001C45D7">
        <w:t>digitalisation</w:t>
      </w:r>
      <w:r w:rsidR="00FA6558" w:rsidRPr="001C45D7">
        <w:t xml:space="preserve"> </w:t>
      </w:r>
      <w:r w:rsidRPr="001C45D7">
        <w:t>refers</w:t>
      </w:r>
      <w:r w:rsidR="00FA6558" w:rsidRPr="001C45D7">
        <w:t xml:space="preserve"> </w:t>
      </w:r>
      <w:r w:rsidRPr="001C45D7">
        <w:t>to</w:t>
      </w:r>
      <w:r w:rsidR="00FA6558" w:rsidRPr="001C45D7">
        <w:t xml:space="preserve"> </w:t>
      </w:r>
      <w:r w:rsidR="009D0639" w:rsidRPr="001C45D7">
        <w:t xml:space="preserve">the </w:t>
      </w:r>
      <w:r w:rsidRPr="001C45D7">
        <w:t>integrati</w:t>
      </w:r>
      <w:r w:rsidR="009D0639" w:rsidRPr="001C45D7">
        <w:t>o</w:t>
      </w:r>
      <w:r w:rsidRPr="001C45D7">
        <w:t>n</w:t>
      </w:r>
      <w:r w:rsidR="00FA6558" w:rsidRPr="001C45D7">
        <w:t xml:space="preserve"> </w:t>
      </w:r>
      <w:r w:rsidR="009D0639" w:rsidRPr="001C45D7">
        <w:t xml:space="preserve">of </w:t>
      </w:r>
      <w:r w:rsidRPr="001C45D7">
        <w:t>innovative</w:t>
      </w:r>
      <w:r w:rsidR="00FA6558" w:rsidRPr="001C45D7">
        <w:t xml:space="preserve"> </w:t>
      </w:r>
      <w:r w:rsidRPr="001C45D7">
        <w:t>technologies,</w:t>
      </w:r>
      <w:r w:rsidR="00FA6558" w:rsidRPr="001C45D7">
        <w:t xml:space="preserve"> </w:t>
      </w:r>
      <w:r w:rsidRPr="001C45D7">
        <w:t>such</w:t>
      </w:r>
      <w:r w:rsidR="00FA6558" w:rsidRPr="001C45D7">
        <w:t xml:space="preserve"> </w:t>
      </w:r>
      <w:r w:rsidRPr="001C45D7">
        <w:t>as</w:t>
      </w:r>
      <w:r w:rsidR="00FA6558" w:rsidRPr="001C45D7">
        <w:t xml:space="preserve"> </w:t>
      </w:r>
      <w:r w:rsidRPr="001C45D7">
        <w:t>cloud</w:t>
      </w:r>
      <w:r w:rsidR="00FA6558" w:rsidRPr="001C45D7">
        <w:t xml:space="preserve"> </w:t>
      </w:r>
      <w:r w:rsidRPr="001C45D7">
        <w:t>computing,</w:t>
      </w:r>
      <w:r w:rsidR="00FA6558" w:rsidRPr="001C45D7">
        <w:t xml:space="preserve"> </w:t>
      </w:r>
      <w:r w:rsidR="00B61442" w:rsidRPr="001C45D7">
        <w:t>the internet of things (</w:t>
      </w:r>
      <w:r w:rsidRPr="001C45D7">
        <w:t>IoT</w:t>
      </w:r>
      <w:r w:rsidR="00B61442" w:rsidRPr="001C45D7">
        <w:t>)</w:t>
      </w:r>
      <w:r w:rsidRPr="001C45D7">
        <w:t>,</w:t>
      </w:r>
      <w:r w:rsidR="00FA6558" w:rsidRPr="001C45D7">
        <w:t xml:space="preserve"> </w:t>
      </w:r>
      <w:r w:rsidRPr="001C45D7">
        <w:t>blockchain,</w:t>
      </w:r>
      <w:r w:rsidR="00FA6558" w:rsidRPr="001C45D7">
        <w:t xml:space="preserve"> </w:t>
      </w:r>
      <w:r w:rsidRPr="001C45D7">
        <w:t>artificial</w:t>
      </w:r>
      <w:r w:rsidR="00FA6558" w:rsidRPr="001C45D7">
        <w:t xml:space="preserve"> </w:t>
      </w:r>
      <w:r w:rsidRPr="001C45D7">
        <w:t>intelligence,</w:t>
      </w:r>
      <w:r w:rsidR="00FA6558" w:rsidRPr="001C45D7">
        <w:t xml:space="preserve"> </w:t>
      </w:r>
      <w:r w:rsidRPr="001C45D7">
        <w:t>smart</w:t>
      </w:r>
      <w:r w:rsidR="00FA6558" w:rsidRPr="001C45D7">
        <w:t xml:space="preserve"> </w:t>
      </w:r>
      <w:r w:rsidRPr="001C45D7">
        <w:t>sensors,</w:t>
      </w:r>
      <w:r w:rsidR="00FA6558" w:rsidRPr="001C45D7">
        <w:t xml:space="preserve"> </w:t>
      </w:r>
      <w:r w:rsidR="00117550" w:rsidRPr="001C45D7">
        <w:t xml:space="preserve">and </w:t>
      </w:r>
      <w:r w:rsidRPr="001C45D7">
        <w:t>drones</w:t>
      </w:r>
      <w:r w:rsidR="003B1611" w:rsidRPr="001C45D7">
        <w:t>,</w:t>
      </w:r>
      <w:r w:rsidR="00FA6558" w:rsidRPr="001C45D7">
        <w:t xml:space="preserve"> </w:t>
      </w:r>
      <w:r w:rsidRPr="001C45D7">
        <w:t>across</w:t>
      </w:r>
      <w:r w:rsidR="00FA6558" w:rsidRPr="001C45D7">
        <w:t xml:space="preserve"> </w:t>
      </w:r>
      <w:r w:rsidRPr="001C45D7">
        <w:t>different</w:t>
      </w:r>
      <w:r w:rsidR="00FA6558" w:rsidRPr="001C45D7">
        <w:t xml:space="preserve"> </w:t>
      </w:r>
      <w:r w:rsidRPr="001C45D7">
        <w:t>processes</w:t>
      </w:r>
      <w:r w:rsidR="00FA6558" w:rsidRPr="001C45D7">
        <w:t xml:space="preserve"> </w:t>
      </w:r>
      <w:r w:rsidRPr="001C45D7">
        <w:t>in</w:t>
      </w:r>
      <w:r w:rsidR="00FA6558" w:rsidRPr="001C45D7">
        <w:t xml:space="preserve"> </w:t>
      </w:r>
      <w:r w:rsidRPr="001C45D7">
        <w:t>upstream</w:t>
      </w:r>
      <w:r w:rsidR="00FA6558" w:rsidRPr="001C45D7">
        <w:t xml:space="preserve"> </w:t>
      </w:r>
      <w:r w:rsidRPr="001C45D7">
        <w:t>and</w:t>
      </w:r>
      <w:r w:rsidR="00FA6558" w:rsidRPr="001C45D7">
        <w:t xml:space="preserve"> </w:t>
      </w:r>
      <w:r w:rsidRPr="001C45D7">
        <w:t>downstream</w:t>
      </w:r>
      <w:r w:rsidR="00FA6558" w:rsidRPr="001C45D7">
        <w:t xml:space="preserve"> </w:t>
      </w:r>
      <w:r w:rsidRPr="001C45D7">
        <w:t>supply</w:t>
      </w:r>
      <w:r w:rsidR="00FA6558" w:rsidRPr="001C45D7">
        <w:t xml:space="preserve"> </w:t>
      </w:r>
      <w:r w:rsidRPr="001C45D7">
        <w:t>chain</w:t>
      </w:r>
      <w:r w:rsidR="00FA6558" w:rsidRPr="001C45D7">
        <w:t xml:space="preserve"> </w:t>
      </w:r>
      <w:r w:rsidR="00FA113B" w:rsidRPr="001C45D7">
        <w:t>activities</w:t>
      </w:r>
      <w:r w:rsidR="00366677" w:rsidRPr="001C45D7">
        <w:t xml:space="preserve"> </w:t>
      </w:r>
      <w:r w:rsidR="00366677" w:rsidRPr="001C45D7">
        <w:fldChar w:fldCharType="begin" w:fldLock="1"/>
      </w:r>
      <w:r w:rsidR="00366677" w:rsidRPr="001C45D7">
        <w:instrText>ADDIN CSL_CITATION {"citationItems":[{"id":"ITEM-1","itemData":{"DOI":"10.1016/j.bushor.2019.07.006","ISSN":"00076813","abstract":"With the rapid development of digital technologies, many supply chain professionals are wondering how to move forward. Three technologies are poised to change supply chain business processes: robotic process automation (RPA), artificial intelligence (AI)/machine learning (ML) and blockchain. Based on interviews with supply chain professionals in 14 large, mature manufacturing and service organizations, we outline the promise of each technology and forecast their broad-scale adoption potential. Organizations should take the following measures to ensure their readiness to adopt and effectively use one or more of these technologies: (1) identify a supply chain technology visionary who can lead through the maze of technologies and the changing digital landscape, (2) develop a digital technology roadmap for their supply chain processes, and (3) update foundational information systems.","author":[{"dropping-particle":"","family":"Hartley","given":"Janet L.","non-dropping-particle":"","parse-names":false,"suffix":""},{"dropping-particle":"","family":"Sawaya","given":"William J.","non-dropping-particle":"","parse-names":false,"suffix":""}],"container-title":"Business Horizons","id":"ITEM-1","issue":"6","issued":{"date-parts":[["2019"]]},"page":"707-715","title":"Tortoise, not the hare: Digital transformation of supply chain business processes","type":"article-journal","volume":"62"},"uris":["http://www.mendeley.com/documents/?uuid=eb68081d-f586-3a3f-8452-a5f13e497b42"]}],"mendeley":{"formattedCitation":"(Hartley and Sawaya, 2019)","plainTextFormattedCitation":"(Hartley and Sawaya, 2019)","previouslyFormattedCitation":"(Hartley and Sawaya, 2019)"},"properties":{"noteIndex":0},"schema":"https://github.com/citation-style-language/schema/raw/master/csl-citation.json"}</w:instrText>
      </w:r>
      <w:r w:rsidR="00366677" w:rsidRPr="001C45D7">
        <w:fldChar w:fldCharType="separate"/>
      </w:r>
      <w:r w:rsidR="00366677" w:rsidRPr="001C45D7">
        <w:rPr>
          <w:noProof/>
        </w:rPr>
        <w:t>(Hartley and Sawaya, 2019)</w:t>
      </w:r>
      <w:r w:rsidR="00366677" w:rsidRPr="001C45D7">
        <w:fldChar w:fldCharType="end"/>
      </w:r>
      <w:r w:rsidR="00757571" w:rsidRPr="001C45D7">
        <w:t>.</w:t>
      </w:r>
      <w:r w:rsidR="00FA6558" w:rsidRPr="001C45D7">
        <w:t xml:space="preserve"> </w:t>
      </w:r>
      <w:r w:rsidR="00757571" w:rsidRPr="001C45D7">
        <w:t>Supply</w:t>
      </w:r>
      <w:r w:rsidR="00FA6558" w:rsidRPr="001C45D7">
        <w:t xml:space="preserve"> </w:t>
      </w:r>
      <w:r w:rsidR="00757571" w:rsidRPr="001C45D7">
        <w:t>chain</w:t>
      </w:r>
      <w:r w:rsidR="00FA6558" w:rsidRPr="001C45D7">
        <w:t xml:space="preserve"> </w:t>
      </w:r>
      <w:r w:rsidR="00757571" w:rsidRPr="001C45D7">
        <w:t>digitalisation</w:t>
      </w:r>
      <w:r w:rsidR="00FA6558" w:rsidRPr="001C45D7">
        <w:t xml:space="preserve"> </w:t>
      </w:r>
      <w:r w:rsidR="00757571" w:rsidRPr="001C45D7">
        <w:t>is</w:t>
      </w:r>
      <w:r w:rsidR="00FA6558" w:rsidRPr="001C45D7">
        <w:t xml:space="preserve"> </w:t>
      </w:r>
      <w:r w:rsidR="00757571" w:rsidRPr="001C45D7">
        <w:t>perceived</w:t>
      </w:r>
      <w:r w:rsidR="00FA6558" w:rsidRPr="001C45D7">
        <w:t xml:space="preserve"> </w:t>
      </w:r>
      <w:r w:rsidR="00757571" w:rsidRPr="001C45D7">
        <w:t>to</w:t>
      </w:r>
      <w:r w:rsidR="00FA6558" w:rsidRPr="001C45D7">
        <w:t xml:space="preserve"> </w:t>
      </w:r>
      <w:r w:rsidR="00757571" w:rsidRPr="001C45D7">
        <w:t>be</w:t>
      </w:r>
      <w:r w:rsidR="00FA6558" w:rsidRPr="001C45D7">
        <w:t xml:space="preserve"> </w:t>
      </w:r>
      <w:r w:rsidR="00757571" w:rsidRPr="001C45D7">
        <w:t>a</w:t>
      </w:r>
      <w:r w:rsidR="00FA6558" w:rsidRPr="001C45D7">
        <w:t xml:space="preserve"> </w:t>
      </w:r>
      <w:r w:rsidR="00757571" w:rsidRPr="001C45D7">
        <w:t>promising</w:t>
      </w:r>
      <w:r w:rsidR="00FA6558" w:rsidRPr="001C45D7">
        <w:t xml:space="preserve"> </w:t>
      </w:r>
      <w:r w:rsidR="00757571" w:rsidRPr="001C45D7">
        <w:t>agenda</w:t>
      </w:r>
      <w:r w:rsidR="00FA6558" w:rsidRPr="001C45D7">
        <w:t xml:space="preserve"> </w:t>
      </w:r>
      <w:r w:rsidR="004A5506" w:rsidRPr="001C45D7">
        <w:t xml:space="preserve">for </w:t>
      </w:r>
      <w:r w:rsidR="00757571" w:rsidRPr="001C45D7">
        <w:t>enhanc</w:t>
      </w:r>
      <w:r w:rsidR="004A5506" w:rsidRPr="001C45D7">
        <w:t>ing</w:t>
      </w:r>
      <w:r w:rsidR="00FA6558" w:rsidRPr="001C45D7">
        <w:t xml:space="preserve"> </w:t>
      </w:r>
      <w:r w:rsidR="00757571" w:rsidRPr="001C45D7">
        <w:t>visibility</w:t>
      </w:r>
      <w:r w:rsidR="00FA6558" w:rsidRPr="001C45D7">
        <w:t xml:space="preserve"> </w:t>
      </w:r>
      <w:r w:rsidR="00757571" w:rsidRPr="001C45D7">
        <w:t>and</w:t>
      </w:r>
      <w:r w:rsidR="00FA6558" w:rsidRPr="001C45D7">
        <w:t xml:space="preserve"> </w:t>
      </w:r>
      <w:r w:rsidR="00757571" w:rsidRPr="001C45D7">
        <w:t>transparency</w:t>
      </w:r>
      <w:r w:rsidR="00FA6558" w:rsidRPr="001C45D7">
        <w:t xml:space="preserve"> </w:t>
      </w:r>
      <w:r w:rsidR="00757571" w:rsidRPr="001C45D7">
        <w:t>across</w:t>
      </w:r>
      <w:r w:rsidR="00FA6558" w:rsidRPr="001C45D7">
        <w:t xml:space="preserve"> </w:t>
      </w:r>
      <w:r w:rsidR="00757571" w:rsidRPr="001C45D7">
        <w:t>supply</w:t>
      </w:r>
      <w:r w:rsidR="00FA6558" w:rsidRPr="001C45D7">
        <w:t xml:space="preserve"> </w:t>
      </w:r>
      <w:r w:rsidR="00757571" w:rsidRPr="001C45D7">
        <w:t>chain</w:t>
      </w:r>
      <w:r w:rsidR="00117550" w:rsidRPr="001C45D7">
        <w:t>s</w:t>
      </w:r>
      <w:r w:rsidR="00D20B5B" w:rsidRPr="001C45D7">
        <w:t>,</w:t>
      </w:r>
      <w:r w:rsidR="00FA6558" w:rsidRPr="001C45D7">
        <w:t xml:space="preserve"> </w:t>
      </w:r>
      <w:r w:rsidR="00757571" w:rsidRPr="001C45D7">
        <w:t>since</w:t>
      </w:r>
      <w:r w:rsidR="00FA6558" w:rsidRPr="001C45D7">
        <w:t xml:space="preserve"> </w:t>
      </w:r>
      <w:r w:rsidR="00757571" w:rsidRPr="001C45D7">
        <w:t>it</w:t>
      </w:r>
      <w:r w:rsidR="00FA6558" w:rsidRPr="001C45D7">
        <w:t xml:space="preserve"> </w:t>
      </w:r>
      <w:r w:rsidR="00757571" w:rsidRPr="001C45D7">
        <w:t>would</w:t>
      </w:r>
      <w:r w:rsidR="00FA6558" w:rsidRPr="001C45D7">
        <w:t xml:space="preserve"> </w:t>
      </w:r>
      <w:r w:rsidR="00757571" w:rsidRPr="001C45D7">
        <w:t>facilitate</w:t>
      </w:r>
      <w:r w:rsidR="00FA6558" w:rsidRPr="001C45D7">
        <w:t xml:space="preserve"> </w:t>
      </w:r>
      <w:r w:rsidR="00757571" w:rsidRPr="001C45D7">
        <w:t>the</w:t>
      </w:r>
      <w:r w:rsidR="00FA6558" w:rsidRPr="001C45D7">
        <w:t xml:space="preserve"> </w:t>
      </w:r>
      <w:r w:rsidR="00757571" w:rsidRPr="001C45D7">
        <w:t>collection</w:t>
      </w:r>
      <w:r w:rsidR="00FA6558" w:rsidRPr="001C45D7">
        <w:t xml:space="preserve"> </w:t>
      </w:r>
      <w:r w:rsidR="00757571" w:rsidRPr="001C45D7">
        <w:t>and</w:t>
      </w:r>
      <w:r w:rsidR="00FA6558" w:rsidRPr="001C45D7">
        <w:t xml:space="preserve"> </w:t>
      </w:r>
      <w:r w:rsidR="00757571" w:rsidRPr="001C45D7">
        <w:t>sharing</w:t>
      </w:r>
      <w:r w:rsidR="00FA6558" w:rsidRPr="001C45D7">
        <w:t xml:space="preserve"> </w:t>
      </w:r>
      <w:r w:rsidR="00757571" w:rsidRPr="001C45D7">
        <w:t>of</w:t>
      </w:r>
      <w:r w:rsidR="00FA6558" w:rsidRPr="001C45D7">
        <w:t xml:space="preserve"> </w:t>
      </w:r>
      <w:r w:rsidR="00757571" w:rsidRPr="001C45D7">
        <w:t>real</w:t>
      </w:r>
      <w:r w:rsidR="00D20B5B" w:rsidRPr="001C45D7">
        <w:t>-</w:t>
      </w:r>
      <w:r w:rsidR="00757571" w:rsidRPr="001C45D7">
        <w:t>time</w:t>
      </w:r>
      <w:r w:rsidR="00FA6558" w:rsidRPr="001C45D7">
        <w:t xml:space="preserve"> </w:t>
      </w:r>
      <w:r w:rsidR="00757571" w:rsidRPr="001C45D7">
        <w:t>information</w:t>
      </w:r>
      <w:r w:rsidR="00FA6558" w:rsidRPr="001C45D7">
        <w:t xml:space="preserve"> </w:t>
      </w:r>
      <w:r w:rsidR="00757571" w:rsidRPr="001C45D7">
        <w:t>with</w:t>
      </w:r>
      <w:r w:rsidR="00FA6558" w:rsidRPr="001C45D7">
        <w:t xml:space="preserve"> </w:t>
      </w:r>
      <w:r w:rsidR="00757571" w:rsidRPr="001C45D7">
        <w:t>all</w:t>
      </w:r>
      <w:r w:rsidR="00FA6558" w:rsidRPr="001C45D7">
        <w:t xml:space="preserve"> </w:t>
      </w:r>
      <w:r w:rsidR="00757571" w:rsidRPr="001C45D7">
        <w:t>stakeholders</w:t>
      </w:r>
      <w:r w:rsidR="00FA6558" w:rsidRPr="001C45D7">
        <w:t xml:space="preserve"> </w:t>
      </w:r>
      <w:r w:rsidR="00757571" w:rsidRPr="001C45D7">
        <w:t>in</w:t>
      </w:r>
      <w:r w:rsidR="00FA6558" w:rsidRPr="001C45D7">
        <w:t xml:space="preserve"> </w:t>
      </w:r>
      <w:r w:rsidR="00757571" w:rsidRPr="001C45D7">
        <w:t>the</w:t>
      </w:r>
      <w:r w:rsidR="00FA6558" w:rsidRPr="001C45D7">
        <w:t xml:space="preserve"> </w:t>
      </w:r>
      <w:r w:rsidR="00757571" w:rsidRPr="001C45D7">
        <w:t>supply</w:t>
      </w:r>
      <w:r w:rsidR="00FA6558" w:rsidRPr="001C45D7">
        <w:t xml:space="preserve"> </w:t>
      </w:r>
      <w:r w:rsidR="00757571" w:rsidRPr="001C45D7">
        <w:t>chain</w:t>
      </w:r>
      <w:r w:rsidR="00F91330" w:rsidRPr="001C45D7">
        <w:t xml:space="preserve"> </w:t>
      </w:r>
      <w:r w:rsidR="00366677" w:rsidRPr="001C45D7">
        <w:fldChar w:fldCharType="begin" w:fldLock="1"/>
      </w:r>
      <w:r w:rsidR="00366677" w:rsidRPr="001C45D7">
        <w:instrText>ADDIN CSL_CITATION {"citationItems":[{"id":"ITEM-1","itemData":{"DOI":"10.1016/j.ijpe.2019.01.004","ISSN":"09255273","abstract":"Industry 4.0 has been considered a new industrial stage in which several emerging technologies are converging to provide digital solutions. However, there is a lack of understanding of how companies implement these technologies. Thus, we aim to understand the adoption patterns of Industry 4.0 technologies in manufacturing firms. We propose a conceptual framework for these technologies, which we divided into front-end and base technologies. Front-end technologies consider four dimensions: Smart Manufacturing, Smart Products, Smart Supply Chain and Smart Working, while base technologies consider four elements: internet of things, cloud services, big data and analytics. We performed a survey in 92 manufacturing companies to study the implementation of these technologies. Our findings show that Industry 4.0 is related to a systemic adoption of the front-end technologies, in which Smart Manufacturing plays a central role. Our results also show that the implementation of the base technologies is challenging companies, since big data and analytics are still low implemented in the sample studied. We propose a structure of Industry 4.0 technology layers and we show levels of adoption of these technologies and their implication for manufacturing companies.","author":[{"dropping-particle":"","family":"Frank","given":"Alejandro Germán","non-dropping-particle":"","parse-names":false,"suffix":""},{"dropping-particle":"","family":"Dalenogare","given":"Lucas Santos","non-dropping-particle":"","parse-names":false,"suffix":""},{"dropping-particle":"","family":"Ayala","given":"Néstor Fabián","non-dropping-particle":"","parse-names":false,"suffix":""}],"container-title":"International Journal of Production Economics","id":"ITEM-1","issued":{"date-parts":[["2019"]]},"title":"Industry 4.0 technologies: Implementation patterns in manufacturing companies","type":"article-journal"},"uris":["http://www.mendeley.com/documents/?uuid=dc1b13bf-54c1-4e46-9c49-0c67b9c1df1d"]},{"id":"ITEM-2","itemData":{"DOI":"10.1016/j.ijpe.2020.107617","ISSN":"09255273","abstract":"The many scholars approaching Industry 4.0 today need to confront the lack of an agreed-upon definition, posing serious limitations to theory building and research comparability. Since its initial German conceptualization in 2011, both the technological landscape and the understanding of the Industry 4.0 have evolved significantly leading to several ambiguities. In parallel, similar concepts often used as synonyms − such as “smart manufacturing”, “digital transformation”, and “fourth industrial revolution” − have increased the sense of confusion around the scope and characteristics of the phenomenon. This study approaches the issue through an analysis of almost 100 definitions of Industry 4.0 and related concepts. The review of academic publications has been complemented by a selection of the most influential non-academic sources, including governmental bodies and consulting companies. Each definition has been broken down into its underlying technological and non-technological definitional elements. This categorization will serve as a basis for future research to approach the phenomenon in its multiple facets.","author":[{"dropping-particle":"","family":"Culot","given":"Giovanna","non-dropping-particle":"","parse-names":false,"suffix":""},{"dropping-particle":"","family":"Nassimbeni","given":"Guido","non-dropping-particle":"","parse-names":false,"suffix":""},{"dropping-particle":"","family":"Orzes","given":"Guido","non-dropping-particle":"","parse-names":false,"suffix":""},{"dropping-particle":"","family":"Sartor","given":"Marco","non-dropping-particle":"","parse-names":false,"suffix":""}],"container-title":"International Journal of Production Economics","id":"ITEM-2","issued":{"date-parts":[["2020"]]},"title":"Behind the definition of Industry 4.0: Analysis and open questions","type":"article-journal"},"uris":["http://www.mendeley.com/documents/?uuid=9df0778a-f3b7-4546-ab95-e23343f1e786"]}],"mendeley":{"formattedCitation":"(Culot &lt;i&gt;et al.&lt;/i&gt;, 2020; Frank &lt;i&gt;et al.&lt;/i&gt;, 2019)","plainTextFormattedCitation":"(Culot et al., 2020; Frank et al., 2019)","previouslyFormattedCitation":"(Culot &lt;i&gt;et al.&lt;/i&gt;, 2020; Frank &lt;i&gt;et al.&lt;/i&gt;, 2019)"},"properties":{"noteIndex":0},"schema":"https://github.com/citation-style-language/schema/raw/master/csl-citation.json"}</w:instrText>
      </w:r>
      <w:r w:rsidR="00366677" w:rsidRPr="001C45D7">
        <w:fldChar w:fldCharType="separate"/>
      </w:r>
      <w:r w:rsidR="00366677" w:rsidRPr="001C45D7">
        <w:rPr>
          <w:noProof/>
        </w:rPr>
        <w:t xml:space="preserve">(Culot </w:t>
      </w:r>
      <w:r w:rsidR="00366677" w:rsidRPr="001C45D7">
        <w:rPr>
          <w:i/>
          <w:noProof/>
        </w:rPr>
        <w:t>et al.</w:t>
      </w:r>
      <w:r w:rsidR="00366677" w:rsidRPr="001C45D7">
        <w:rPr>
          <w:noProof/>
        </w:rPr>
        <w:t xml:space="preserve">, 2020; Frank </w:t>
      </w:r>
      <w:r w:rsidR="00366677" w:rsidRPr="001C45D7">
        <w:rPr>
          <w:i/>
          <w:noProof/>
        </w:rPr>
        <w:t>et al.</w:t>
      </w:r>
      <w:r w:rsidR="00366677" w:rsidRPr="001C45D7">
        <w:rPr>
          <w:noProof/>
        </w:rPr>
        <w:t>, 2019)</w:t>
      </w:r>
      <w:r w:rsidR="00366677" w:rsidRPr="001C45D7">
        <w:fldChar w:fldCharType="end"/>
      </w:r>
      <w:r w:rsidR="00757571" w:rsidRPr="001C45D7">
        <w:t>.</w:t>
      </w:r>
      <w:r w:rsidR="00FA6558" w:rsidRPr="001C45D7">
        <w:t xml:space="preserve"> </w:t>
      </w:r>
      <w:r w:rsidR="00757571" w:rsidRPr="001C45D7">
        <w:t>Furthermore,</w:t>
      </w:r>
      <w:r w:rsidR="00FA6558" w:rsidRPr="001C45D7">
        <w:t xml:space="preserve"> </w:t>
      </w:r>
      <w:r w:rsidR="00757571" w:rsidRPr="001C45D7">
        <w:t>enhanced</w:t>
      </w:r>
      <w:r w:rsidR="00FA6558" w:rsidRPr="001C45D7">
        <w:t xml:space="preserve"> </w:t>
      </w:r>
      <w:r w:rsidR="00757571" w:rsidRPr="001C45D7">
        <w:t>visibility</w:t>
      </w:r>
      <w:r w:rsidR="00FA6558" w:rsidRPr="001C45D7">
        <w:t xml:space="preserve"> </w:t>
      </w:r>
      <w:r w:rsidR="00757571" w:rsidRPr="001C45D7">
        <w:t>and</w:t>
      </w:r>
      <w:r w:rsidR="00FA6558" w:rsidRPr="001C45D7">
        <w:t xml:space="preserve"> </w:t>
      </w:r>
      <w:r w:rsidR="00757571" w:rsidRPr="001C45D7">
        <w:t>transparency</w:t>
      </w:r>
      <w:r w:rsidR="00FA6558" w:rsidRPr="001C45D7">
        <w:t xml:space="preserve"> </w:t>
      </w:r>
      <w:r w:rsidR="00757571" w:rsidRPr="001C45D7">
        <w:t>would</w:t>
      </w:r>
      <w:r w:rsidR="00FA6558" w:rsidRPr="001C45D7">
        <w:t xml:space="preserve"> </w:t>
      </w:r>
      <w:r w:rsidR="00757571" w:rsidRPr="001C45D7">
        <w:t>enable</w:t>
      </w:r>
      <w:r w:rsidR="00FA6558" w:rsidRPr="001C45D7">
        <w:t xml:space="preserve"> </w:t>
      </w:r>
      <w:r w:rsidR="00757571" w:rsidRPr="001C45D7">
        <w:t>firm</w:t>
      </w:r>
      <w:r w:rsidR="00D20B5B" w:rsidRPr="001C45D7">
        <w:t>s</w:t>
      </w:r>
      <w:r w:rsidR="00FA6558" w:rsidRPr="001C45D7">
        <w:t xml:space="preserve"> </w:t>
      </w:r>
      <w:r w:rsidR="00757571" w:rsidRPr="001C45D7">
        <w:t>to</w:t>
      </w:r>
      <w:r w:rsidR="00FA6558" w:rsidRPr="001C45D7">
        <w:t xml:space="preserve"> </w:t>
      </w:r>
      <w:r w:rsidR="00757571" w:rsidRPr="001C45D7">
        <w:t>engage</w:t>
      </w:r>
      <w:r w:rsidR="00FA6558" w:rsidRPr="001C45D7">
        <w:t xml:space="preserve"> </w:t>
      </w:r>
      <w:r w:rsidR="00757571" w:rsidRPr="001C45D7">
        <w:t>stakeholders</w:t>
      </w:r>
      <w:r w:rsidR="00FA6558" w:rsidRPr="001C45D7">
        <w:t xml:space="preserve"> </w:t>
      </w:r>
      <w:r w:rsidR="00757571" w:rsidRPr="001C45D7">
        <w:t>in</w:t>
      </w:r>
      <w:r w:rsidR="00FA6558" w:rsidRPr="001C45D7">
        <w:t xml:space="preserve"> </w:t>
      </w:r>
      <w:r w:rsidR="00757571" w:rsidRPr="001C45D7">
        <w:t>‘end-to-end’</w:t>
      </w:r>
      <w:r w:rsidR="00FA6558" w:rsidRPr="001C45D7">
        <w:t xml:space="preserve"> </w:t>
      </w:r>
      <w:r w:rsidR="00757571" w:rsidRPr="001C45D7">
        <w:t>integrated</w:t>
      </w:r>
      <w:r w:rsidR="00FA6558" w:rsidRPr="001C45D7">
        <w:t xml:space="preserve"> </w:t>
      </w:r>
      <w:r w:rsidR="00757571" w:rsidRPr="001C45D7">
        <w:t>planning</w:t>
      </w:r>
      <w:r w:rsidR="00FA6558" w:rsidRPr="001C45D7">
        <w:t xml:space="preserve"> </w:t>
      </w:r>
      <w:r w:rsidR="00757571" w:rsidRPr="001C45D7">
        <w:t>and</w:t>
      </w:r>
      <w:r w:rsidR="00FA6558" w:rsidRPr="001C45D7">
        <w:t xml:space="preserve"> </w:t>
      </w:r>
      <w:r w:rsidR="00757571" w:rsidRPr="001C45D7">
        <w:t>innovation</w:t>
      </w:r>
      <w:r w:rsidR="00FA6558" w:rsidRPr="001C45D7">
        <w:t xml:space="preserve"> </w:t>
      </w:r>
      <w:r w:rsidR="00757571" w:rsidRPr="001C45D7">
        <w:t>activities,</w:t>
      </w:r>
      <w:r w:rsidR="00FA6558" w:rsidRPr="001C45D7">
        <w:t xml:space="preserve"> </w:t>
      </w:r>
      <w:r w:rsidR="00757571" w:rsidRPr="001C45D7">
        <w:t>and</w:t>
      </w:r>
      <w:r w:rsidR="00FA6558" w:rsidRPr="001C45D7">
        <w:t xml:space="preserve"> </w:t>
      </w:r>
      <w:r w:rsidR="00757571" w:rsidRPr="001C45D7">
        <w:t>based</w:t>
      </w:r>
      <w:r w:rsidR="00FA6558" w:rsidRPr="001C45D7">
        <w:t xml:space="preserve"> </w:t>
      </w:r>
      <w:r w:rsidR="00757571" w:rsidRPr="001C45D7">
        <w:t>on</w:t>
      </w:r>
      <w:r w:rsidR="00FA6558" w:rsidRPr="001C45D7">
        <w:t xml:space="preserve"> </w:t>
      </w:r>
      <w:r w:rsidR="00757571" w:rsidRPr="001C45D7">
        <w:t>this,</w:t>
      </w:r>
      <w:r w:rsidR="00FA6558" w:rsidRPr="001C45D7">
        <w:t xml:space="preserve"> </w:t>
      </w:r>
      <w:r w:rsidR="00757571" w:rsidRPr="001C45D7">
        <w:t>firm</w:t>
      </w:r>
      <w:r w:rsidR="003F5D36" w:rsidRPr="001C45D7">
        <w:t>s</w:t>
      </w:r>
      <w:r w:rsidR="00FA6558" w:rsidRPr="001C45D7">
        <w:t xml:space="preserve"> </w:t>
      </w:r>
      <w:r w:rsidR="00757571" w:rsidRPr="001C45D7">
        <w:t>could</w:t>
      </w:r>
      <w:r w:rsidR="00FA6558" w:rsidRPr="001C45D7">
        <w:t xml:space="preserve"> </w:t>
      </w:r>
      <w:r w:rsidR="00757571" w:rsidRPr="001C45D7">
        <w:t>seamlessly</w:t>
      </w:r>
      <w:r w:rsidR="00FA6558" w:rsidRPr="001C45D7">
        <w:t xml:space="preserve"> </w:t>
      </w:r>
      <w:r w:rsidR="00757571" w:rsidRPr="001C45D7">
        <w:t>offer</w:t>
      </w:r>
      <w:r w:rsidR="00FA6558" w:rsidRPr="001C45D7">
        <w:t xml:space="preserve"> </w:t>
      </w:r>
      <w:r w:rsidR="00757571" w:rsidRPr="001C45D7">
        <w:t>better</w:t>
      </w:r>
      <w:r w:rsidR="00FA6558" w:rsidRPr="001C45D7">
        <w:t xml:space="preserve"> </w:t>
      </w:r>
      <w:r w:rsidR="00757571" w:rsidRPr="001C45D7">
        <w:t>service</w:t>
      </w:r>
      <w:r w:rsidR="00FA6558" w:rsidRPr="001C45D7">
        <w:t xml:space="preserve"> </w:t>
      </w:r>
      <w:r w:rsidR="003F5D36" w:rsidRPr="001C45D7">
        <w:t>to meet</w:t>
      </w:r>
      <w:r w:rsidR="00FA6558" w:rsidRPr="001C45D7">
        <w:t xml:space="preserve"> </w:t>
      </w:r>
      <w:r w:rsidR="00757571" w:rsidRPr="001C45D7">
        <w:t>the</w:t>
      </w:r>
      <w:r w:rsidR="00FA6558" w:rsidRPr="001C45D7">
        <w:t xml:space="preserve"> </w:t>
      </w:r>
      <w:r w:rsidR="00757571" w:rsidRPr="001C45D7">
        <w:t>need</w:t>
      </w:r>
      <w:r w:rsidR="00117550" w:rsidRPr="001C45D7">
        <w:t>s</w:t>
      </w:r>
      <w:r w:rsidR="00FA6558" w:rsidRPr="001C45D7">
        <w:t xml:space="preserve"> </w:t>
      </w:r>
      <w:r w:rsidR="00757571" w:rsidRPr="001C45D7">
        <w:t>of</w:t>
      </w:r>
      <w:r w:rsidR="00FA6558" w:rsidRPr="001C45D7">
        <w:t xml:space="preserve"> </w:t>
      </w:r>
      <w:r w:rsidR="003F5D36" w:rsidRPr="001C45D7">
        <w:t xml:space="preserve">their </w:t>
      </w:r>
      <w:r w:rsidR="00757571" w:rsidRPr="001C45D7">
        <w:t>customers</w:t>
      </w:r>
      <w:r w:rsidR="00366677" w:rsidRPr="001C45D7">
        <w:t xml:space="preserve"> </w:t>
      </w:r>
      <w:r w:rsidR="00366677" w:rsidRPr="001C45D7">
        <w:fldChar w:fldCharType="begin" w:fldLock="1"/>
      </w:r>
      <w:r w:rsidR="00366677" w:rsidRPr="001C45D7">
        <w:instrText>ADDIN CSL_CITATION {"citationItems":[{"id":"ITEM-1","itemData":{"abstract":"Good summary of Renan. Helpful overview generally.","author":[{"dropping-particle":"","family":"Alicke","given":"Knut","non-dropping-particle":"","parse-names":false,"suffix":""},{"dropping-particle":"","family":"Rachor","given":"Jurgen","non-dropping-particle":"","parse-names":false,"suffix":""},{"dropping-particle":"","family":"Seyfert","given":"Andreas","non-dropping-particle":"","parse-names":false,"suffix":""}],"container-title":"McKinsey &amp; Company","id":"ITEM-1","issue":"June","issued":{"date-parts":[["2016"]]},"page":"1-16","title":"Supply Chain 4.0 – the next-generation digital supply chain","type":"article-journal"},"uris":["http://www.mendeley.com/documents/?uuid=5b5ea058-4b89-3760-b62e-7a2057797e8f"]}],"mendeley":{"formattedCitation":"(Alicke &lt;i&gt;et al.&lt;/i&gt;, 2016)","plainTextFormattedCitation":"(Alicke et al., 2016)","previouslyFormattedCitation":"(Alicke &lt;i&gt;et al.&lt;/i&gt;, 2016)"},"properties":{"noteIndex":0},"schema":"https://github.com/citation-style-language/schema/raw/master/csl-citation.json"}</w:instrText>
      </w:r>
      <w:r w:rsidR="00366677" w:rsidRPr="001C45D7">
        <w:fldChar w:fldCharType="separate"/>
      </w:r>
      <w:r w:rsidR="00366677" w:rsidRPr="001C45D7">
        <w:rPr>
          <w:noProof/>
        </w:rPr>
        <w:t xml:space="preserve">(Alicke </w:t>
      </w:r>
      <w:r w:rsidR="00366677" w:rsidRPr="001C45D7">
        <w:rPr>
          <w:i/>
          <w:noProof/>
        </w:rPr>
        <w:t>et al.</w:t>
      </w:r>
      <w:r w:rsidR="00366677" w:rsidRPr="001C45D7">
        <w:rPr>
          <w:noProof/>
        </w:rPr>
        <w:t>, 2016)</w:t>
      </w:r>
      <w:r w:rsidR="00366677" w:rsidRPr="001C45D7">
        <w:fldChar w:fldCharType="end"/>
      </w:r>
      <w:r w:rsidR="00757571" w:rsidRPr="001C45D7">
        <w:t>.</w:t>
      </w:r>
      <w:r w:rsidR="00FA6558" w:rsidRPr="001C45D7">
        <w:t xml:space="preserve"> </w:t>
      </w:r>
      <w:r w:rsidR="00757571" w:rsidRPr="001C45D7">
        <w:t>As</w:t>
      </w:r>
      <w:r w:rsidR="00FA6558" w:rsidRPr="001C45D7">
        <w:t xml:space="preserve"> </w:t>
      </w:r>
      <w:r w:rsidR="00757571" w:rsidRPr="001C45D7">
        <w:t>such,</w:t>
      </w:r>
      <w:r w:rsidR="00FA6558" w:rsidRPr="001C45D7">
        <w:t xml:space="preserve"> </w:t>
      </w:r>
      <w:r w:rsidR="00757571" w:rsidRPr="001C45D7">
        <w:t>supply</w:t>
      </w:r>
      <w:r w:rsidR="00FA6558" w:rsidRPr="001C45D7">
        <w:t xml:space="preserve"> </w:t>
      </w:r>
      <w:r w:rsidR="00757571" w:rsidRPr="001C45D7">
        <w:t>chain</w:t>
      </w:r>
      <w:r w:rsidR="00FA6558" w:rsidRPr="001C45D7">
        <w:t xml:space="preserve"> </w:t>
      </w:r>
      <w:r w:rsidR="00757571" w:rsidRPr="001C45D7">
        <w:t>digitalisation</w:t>
      </w:r>
      <w:r w:rsidR="00FA6558" w:rsidRPr="001C45D7">
        <w:t xml:space="preserve"> </w:t>
      </w:r>
      <w:r w:rsidR="00757571" w:rsidRPr="001C45D7">
        <w:t>could</w:t>
      </w:r>
      <w:r w:rsidR="00FA6558" w:rsidRPr="001C45D7">
        <w:t xml:space="preserve"> </w:t>
      </w:r>
      <w:r w:rsidR="00757571" w:rsidRPr="001C45D7">
        <w:t>potentially</w:t>
      </w:r>
      <w:r w:rsidR="00FA6558" w:rsidRPr="001C45D7">
        <w:t xml:space="preserve"> </w:t>
      </w:r>
      <w:r w:rsidR="00E93BAF" w:rsidRPr="001C45D7">
        <w:t xml:space="preserve">enable </w:t>
      </w:r>
      <w:r w:rsidR="00757571" w:rsidRPr="001C45D7">
        <w:t>a</w:t>
      </w:r>
      <w:r w:rsidR="00FA6558" w:rsidRPr="001C45D7">
        <w:t xml:space="preserve"> </w:t>
      </w:r>
      <w:r w:rsidR="00757571" w:rsidRPr="001C45D7">
        <w:t>firm</w:t>
      </w:r>
      <w:r w:rsidR="00FA6558" w:rsidRPr="001C45D7">
        <w:t xml:space="preserve"> </w:t>
      </w:r>
      <w:r w:rsidR="00E93BAF" w:rsidRPr="001C45D7">
        <w:t xml:space="preserve">to </w:t>
      </w:r>
      <w:r w:rsidR="00757571" w:rsidRPr="001C45D7">
        <w:t>leap</w:t>
      </w:r>
      <w:r w:rsidR="00FA6558" w:rsidRPr="001C45D7">
        <w:t xml:space="preserve"> </w:t>
      </w:r>
      <w:r w:rsidR="00E93BAF" w:rsidRPr="001C45D7">
        <w:t xml:space="preserve">forward </w:t>
      </w:r>
      <w:r w:rsidR="00757571" w:rsidRPr="001C45D7">
        <w:t>in</w:t>
      </w:r>
      <w:r w:rsidR="00FA6558" w:rsidRPr="001C45D7">
        <w:t xml:space="preserve"> </w:t>
      </w:r>
      <w:r w:rsidR="00757571" w:rsidRPr="001C45D7">
        <w:t>its</w:t>
      </w:r>
      <w:r w:rsidR="00FA6558" w:rsidRPr="001C45D7">
        <w:t xml:space="preserve"> </w:t>
      </w:r>
      <w:r w:rsidR="00757571" w:rsidRPr="001C45D7">
        <w:t>competitiveness</w:t>
      </w:r>
      <w:r w:rsidR="00366677" w:rsidRPr="001C45D7">
        <w:t xml:space="preserve"> </w:t>
      </w:r>
      <w:r w:rsidR="00366677" w:rsidRPr="001C45D7">
        <w:fldChar w:fldCharType="begin" w:fldLock="1"/>
      </w:r>
      <w:r w:rsidR="00433778" w:rsidRPr="001C45D7">
        <w:instrText>ADDIN CSL_CITATION {"citationItems":[{"id":"ITEM-1","itemData":{"DOI":"10.1016/j.ijpe.2017.06.010","ISSN":"09255273","abstract":"Despite extensive research on future manufacturing and the forthcoming fourth industrial revolution (implying extensive digitalisation), there is a lack of understanding regarding the specific changes that can be expected for maintenance organisations. Therefore, developing scenarios for future maintenance is needed to define long-term strategies for the realisation of digitalised manufacturing. This empirical Delphi-based scenario planning study is the first within the maintenance realm, examining a total of 34 projections about potential changes to the internal and external environment of maintenance organisations, considering both hard (technological) and soft (social) dimensions. The paper describes a probable future of maintenance organisations in digitalised manufacturing in the year 2030, based on an extensive three-round Delphi survey with 25 maintenance experts at strategic level from the largest companies within the Swedish manufacturing industry. In particular, the study contributes with development of probable as well as wildcard scenarios for future maintenance. This includes e.g. advancement of data analytics, increased emphasis on education and training, novel principles for maintenance planning with a systems perspective, and stronger environmental legislation and standards. The scenarios may serve as direct input to strategic development in industrial maintenance organisations and are expected to substantially improve preparedness to the changes brought by digitalised manufacturing.","author":[{"dropping-particle":"","family":"Bokrantz","given":"Jon","non-dropping-particle":"","parse-names":false,"suffix":""},{"dropping-particle":"","family":"Skoogh","given":"Anders","non-dropping-particle":"","parse-names":false,"suffix":""},{"dropping-particle":"","family":"Berlin","given":"Cecilia","non-dropping-particle":"","parse-names":false,"suffix":""},{"dropping-particle":"","family":"Stahre","given":"Johan","non-dropping-particle":"","parse-names":false,"suffix":""}],"container-title":"International Journal of Production Economics","id":"ITEM-1","issued":{"date-parts":[["2017","9","1"]]},"page":"154-169","publisher":"Elsevier B.V.","title":"Maintenance in digitalised manufacturing: Delphi-based scenarios for 2030","type":"article-journal","volume":"191"},"uris":["http://www.mendeley.com/documents/?uuid=9e0ef3cd-ab3f-4d9e-b9ba-4df8ef376a77"]},{"id":"ITEM-2","itemData":{"DOI":"10.1108/IJLM-02-2018-0026","ISSN":"17586550","author":[{"dropping-particle":"","family":"Fosso Wamba","given":"Samuel","non-dropping-particle":"","parse-names":false,"suffix":""},{"dropping-particle":"","family":"Gunasekaran","given":"Angappa","non-dropping-particle":"","parse-names":false,"suffix":""},{"dropping-particle":"","family":"Papadopoulos","given":"Thanos","non-dropping-particle":"","parse-names":false,"suffix":""},{"dropping-particle":"","family":"Ngai","given":"Eric","non-dropping-particle":"","parse-names":false,"suffix":""}],"container-title":"International Journal of Logistics Management","id":"ITEM-2","issue":"2","issued":{"date-parts":[["2018"]]},"page":"478-484","publisher":"Emerald Group Publishing Ltd.","title":"Big data analytics in logistics and supply chain management","type":"article","volume":"29"},"uris":["http://www.mendeley.com/documents/?uuid=d571e27d-578d-47a1-b1ab-91475fe900aa"]}],"mendeley":{"formattedCitation":"(Bokrantz &lt;i&gt;et al.&lt;/i&gt;, 2017; Fosso Wamba &lt;i&gt;et al.&lt;/i&gt;, 2018)","plainTextFormattedCitation":"(Bokrantz et al., 2017; Fosso Wamba et al., 2018)","previouslyFormattedCitation":"(Bokrantz &lt;i&gt;et al.&lt;/i&gt;, 2017; Fosso Wamba &lt;i&gt;et al.&lt;/i&gt;, 2018)"},"properties":{"noteIndex":0},"schema":"https://github.com/citation-style-language/schema/raw/master/csl-citation.json"}</w:instrText>
      </w:r>
      <w:r w:rsidR="00366677" w:rsidRPr="001C45D7">
        <w:fldChar w:fldCharType="separate"/>
      </w:r>
      <w:r w:rsidR="00366677" w:rsidRPr="001C45D7">
        <w:rPr>
          <w:noProof/>
        </w:rPr>
        <w:t xml:space="preserve">(Bokrantz </w:t>
      </w:r>
      <w:r w:rsidR="00366677" w:rsidRPr="001C45D7">
        <w:rPr>
          <w:i/>
          <w:noProof/>
        </w:rPr>
        <w:t>et al.</w:t>
      </w:r>
      <w:r w:rsidR="00366677" w:rsidRPr="001C45D7">
        <w:rPr>
          <w:noProof/>
        </w:rPr>
        <w:t xml:space="preserve">, 2017; Fosso Wamba </w:t>
      </w:r>
      <w:r w:rsidR="00366677" w:rsidRPr="001C45D7">
        <w:rPr>
          <w:i/>
          <w:noProof/>
        </w:rPr>
        <w:t>et al.</w:t>
      </w:r>
      <w:r w:rsidR="00366677" w:rsidRPr="001C45D7">
        <w:rPr>
          <w:noProof/>
        </w:rPr>
        <w:t>, 2018)</w:t>
      </w:r>
      <w:r w:rsidR="00366677" w:rsidRPr="001C45D7">
        <w:fldChar w:fldCharType="end"/>
      </w:r>
      <w:r w:rsidR="00757571" w:rsidRPr="001C45D7">
        <w:t>.</w:t>
      </w:r>
      <w:r w:rsidR="00FA6558" w:rsidRPr="001C45D7">
        <w:t xml:space="preserve"> </w:t>
      </w:r>
      <w:r w:rsidR="00E90A35" w:rsidRPr="001C45D7">
        <w:t>For</w:t>
      </w:r>
      <w:r w:rsidR="00FA6558" w:rsidRPr="001C45D7">
        <w:t xml:space="preserve"> </w:t>
      </w:r>
      <w:r w:rsidR="00E90A35" w:rsidRPr="001C45D7">
        <w:t>this</w:t>
      </w:r>
      <w:r w:rsidR="00FA6558" w:rsidRPr="001C45D7">
        <w:t xml:space="preserve"> </w:t>
      </w:r>
      <w:r w:rsidR="00E90A35" w:rsidRPr="001C45D7">
        <w:t>reason,</w:t>
      </w:r>
      <w:r w:rsidR="00FA6558" w:rsidRPr="001C45D7">
        <w:t xml:space="preserve"> </w:t>
      </w:r>
      <w:r w:rsidR="00E90A35" w:rsidRPr="001C45D7">
        <w:t>many</w:t>
      </w:r>
      <w:r w:rsidR="00FA6558" w:rsidRPr="001C45D7">
        <w:t xml:space="preserve"> </w:t>
      </w:r>
      <w:r w:rsidR="00E90A35" w:rsidRPr="001C45D7">
        <w:t>Fortune</w:t>
      </w:r>
      <w:r w:rsidR="00FA6558" w:rsidRPr="001C45D7">
        <w:t xml:space="preserve"> </w:t>
      </w:r>
      <w:r w:rsidR="00E90A35" w:rsidRPr="001C45D7">
        <w:t>1</w:t>
      </w:r>
      <w:r w:rsidR="005C3761">
        <w:t>,</w:t>
      </w:r>
      <w:r w:rsidR="00E90A35" w:rsidRPr="001C45D7">
        <w:t>000</w:t>
      </w:r>
      <w:r w:rsidR="00FA6558" w:rsidRPr="001C45D7">
        <w:t xml:space="preserve"> </w:t>
      </w:r>
      <w:r w:rsidR="00E90A35" w:rsidRPr="001C45D7">
        <w:t>companies</w:t>
      </w:r>
      <w:r w:rsidR="00FA6558" w:rsidRPr="001C45D7">
        <w:t xml:space="preserve"> </w:t>
      </w:r>
      <w:r w:rsidR="00E90A35" w:rsidRPr="001C45D7">
        <w:t>are</w:t>
      </w:r>
      <w:r w:rsidR="00FA6558" w:rsidRPr="001C45D7">
        <w:t xml:space="preserve"> </w:t>
      </w:r>
      <w:r w:rsidR="00E90A35" w:rsidRPr="001C45D7">
        <w:t>intensively</w:t>
      </w:r>
      <w:r w:rsidR="00FA6558" w:rsidRPr="001C45D7">
        <w:t xml:space="preserve"> </w:t>
      </w:r>
      <w:r w:rsidR="00E90A35" w:rsidRPr="001C45D7">
        <w:t>experimenting</w:t>
      </w:r>
      <w:r w:rsidR="00FA6558" w:rsidRPr="001C45D7">
        <w:t xml:space="preserve"> </w:t>
      </w:r>
      <w:r w:rsidR="00E93BAF" w:rsidRPr="001C45D7">
        <w:t xml:space="preserve">with </w:t>
      </w:r>
      <w:r w:rsidR="00EA5385" w:rsidRPr="001C45D7">
        <w:t xml:space="preserve">various </w:t>
      </w:r>
      <w:r w:rsidR="00E90A35" w:rsidRPr="001C45D7">
        <w:t>form</w:t>
      </w:r>
      <w:r w:rsidR="00EA5385" w:rsidRPr="001C45D7">
        <w:t>s</w:t>
      </w:r>
      <w:r w:rsidR="00FA6558" w:rsidRPr="001C45D7">
        <w:t xml:space="preserve"> </w:t>
      </w:r>
      <w:r w:rsidR="00E90A35" w:rsidRPr="001C45D7">
        <w:t>of</w:t>
      </w:r>
      <w:r w:rsidR="00FA6558" w:rsidRPr="001C45D7">
        <w:t xml:space="preserve"> </w:t>
      </w:r>
      <w:r w:rsidR="00E90A35" w:rsidRPr="001C45D7">
        <w:t>supply</w:t>
      </w:r>
      <w:r w:rsidR="00FA6558" w:rsidRPr="001C45D7">
        <w:t xml:space="preserve"> </w:t>
      </w:r>
      <w:r w:rsidR="00E90A35" w:rsidRPr="001C45D7">
        <w:t>chain</w:t>
      </w:r>
      <w:r w:rsidR="00FA6558" w:rsidRPr="001C45D7">
        <w:t xml:space="preserve"> </w:t>
      </w:r>
      <w:r w:rsidR="00E90A35" w:rsidRPr="001C45D7">
        <w:t>digitalisation</w:t>
      </w:r>
      <w:r w:rsidR="00FA6558" w:rsidRPr="001C45D7">
        <w:t xml:space="preserve"> </w:t>
      </w:r>
      <w:r w:rsidR="00E90A35" w:rsidRPr="001C45D7">
        <w:fldChar w:fldCharType="begin" w:fldLock="1"/>
      </w:r>
      <w:r w:rsidR="00433778" w:rsidRPr="001C45D7">
        <w:instrText>ADDIN CSL_CITATION {"citationItems":[{"id":"ITEM-1","itemData":{"DOI":"10.1108/IJLM-02-2018-0026","ISSN":"17586550","author":[{"dropping-particle":"","family":"Fosso Wamba","given":"Samuel","non-dropping-particle":"","parse-names":false,"suffix":""},{"dropping-particle":"","family":"Gunasekaran","given":"Angappa","non-dropping-particle":"","parse-names":false,"suffix":""},{"dropping-particle":"","family":"Papadopoulos","given":"Thanos","non-dropping-particle":"","parse-names":false,"suffix":""},{"dropping-particle":"","family":"Ngai","given":"Eric","non-dropping-particle":"","parse-names":false,"suffix":""}],"container-title":"International Journal of Logistics Management","id":"ITEM-1","issue":"2","issued":{"date-parts":[["2018"]]},"page":"478-484","publisher":"Emerald Group Publishing Ltd.","title":"Big data analytics in logistics and supply chain management","type":"article","volume":"29"},"uris":["http://www.mendeley.com/documents/?uuid=d571e27d-578d-47a1-b1ab-91475fe900aa"]}],"mendeley":{"formattedCitation":"(Fosso Wamba &lt;i&gt;et al.&lt;/i&gt;, 2018)","plainTextFormattedCitation":"(Fosso Wamba et al., 2018)","previouslyFormattedCitation":"(Fosso Wamba &lt;i&gt;et al.&lt;/i&gt;, 2018)"},"properties":{"noteIndex":0},"schema":"https://github.com/citation-style-language/schema/raw/master/csl-citation.json"}</w:instrText>
      </w:r>
      <w:r w:rsidR="00E90A35" w:rsidRPr="001C45D7">
        <w:fldChar w:fldCharType="separate"/>
      </w:r>
      <w:r w:rsidR="00366677" w:rsidRPr="001C45D7">
        <w:rPr>
          <w:noProof/>
        </w:rPr>
        <w:t xml:space="preserve">(Fosso Wamba </w:t>
      </w:r>
      <w:r w:rsidR="00366677" w:rsidRPr="001C45D7">
        <w:rPr>
          <w:i/>
          <w:noProof/>
        </w:rPr>
        <w:t>et al.</w:t>
      </w:r>
      <w:r w:rsidR="00366677" w:rsidRPr="001C45D7">
        <w:rPr>
          <w:noProof/>
        </w:rPr>
        <w:t>, 2018)</w:t>
      </w:r>
      <w:r w:rsidR="00E90A35" w:rsidRPr="001C45D7">
        <w:fldChar w:fldCharType="end"/>
      </w:r>
      <w:r w:rsidR="00D96251" w:rsidRPr="001C45D7">
        <w:t xml:space="preserve"> </w:t>
      </w:r>
      <w:r w:rsidR="00EA5385" w:rsidRPr="001C45D7">
        <w:t xml:space="preserve">in order </w:t>
      </w:r>
      <w:r w:rsidR="00D96251" w:rsidRPr="001C45D7">
        <w:t>to acquire digital capability</w:t>
      </w:r>
      <w:r w:rsidR="00115D74" w:rsidRPr="001C45D7">
        <w:t xml:space="preserve"> across multiple stakeholders</w:t>
      </w:r>
      <w:r w:rsidR="00E90A35" w:rsidRPr="001C45D7">
        <w:t>.</w:t>
      </w:r>
      <w:r w:rsidR="00FA6558" w:rsidRPr="001C45D7">
        <w:t xml:space="preserve"> </w:t>
      </w:r>
      <w:r w:rsidR="00EA5385" w:rsidRPr="001C45D7">
        <w:t>The l</w:t>
      </w:r>
      <w:r w:rsidR="00296A84" w:rsidRPr="001C45D7">
        <w:t xml:space="preserve">atest </w:t>
      </w:r>
      <w:r w:rsidR="009F4063" w:rsidRPr="001C45D7">
        <w:t>empirical evidence suggest</w:t>
      </w:r>
      <w:r w:rsidR="00EA5385" w:rsidRPr="001C45D7">
        <w:t>s</w:t>
      </w:r>
      <w:r w:rsidR="009F4063" w:rsidRPr="001C45D7">
        <w:t xml:space="preserve"> </w:t>
      </w:r>
      <w:r w:rsidR="00C95D53" w:rsidRPr="001C45D7">
        <w:t xml:space="preserve">that </w:t>
      </w:r>
      <w:r w:rsidR="009F4063" w:rsidRPr="001C45D7">
        <w:t xml:space="preserve">digitalisation efforts in </w:t>
      </w:r>
      <w:r w:rsidR="00670C20" w:rsidRPr="001C45D7">
        <w:t xml:space="preserve">the </w:t>
      </w:r>
      <w:r w:rsidR="009F4063" w:rsidRPr="001C45D7">
        <w:t xml:space="preserve">supply chain offer </w:t>
      </w:r>
      <w:r w:rsidR="00670C20" w:rsidRPr="001C45D7">
        <w:t xml:space="preserve">firms </w:t>
      </w:r>
      <w:r w:rsidR="009F4063" w:rsidRPr="001C45D7">
        <w:t>opportunities to increase revenue or innovation</w:t>
      </w:r>
      <w:r w:rsidR="00670C20" w:rsidRPr="001C45D7">
        <w:t>,</w:t>
      </w:r>
      <w:r w:rsidR="009F4063" w:rsidRPr="001C45D7">
        <w:t xml:space="preserve"> </w:t>
      </w:r>
      <w:r w:rsidR="00C95D53" w:rsidRPr="001C45D7">
        <w:t xml:space="preserve">rather </w:t>
      </w:r>
      <w:r w:rsidR="009F4063" w:rsidRPr="001C45D7">
        <w:t xml:space="preserve">than </w:t>
      </w:r>
      <w:r w:rsidR="00720569" w:rsidRPr="001C45D7">
        <w:t xml:space="preserve">just </w:t>
      </w:r>
      <w:r w:rsidR="009F4063" w:rsidRPr="001C45D7">
        <w:t>to lower cost</w:t>
      </w:r>
      <w:r w:rsidR="00AB57B8" w:rsidRPr="001C45D7">
        <w:t>s</w:t>
      </w:r>
      <w:r w:rsidR="009F4063" w:rsidRPr="001C45D7">
        <w:t xml:space="preserve"> by setting new standards for operational efficiency (</w:t>
      </w:r>
      <w:proofErr w:type="spellStart"/>
      <w:r w:rsidR="009F4063" w:rsidRPr="001C45D7">
        <w:t>Bjorkdah</w:t>
      </w:r>
      <w:proofErr w:type="spellEnd"/>
      <w:r w:rsidR="009F4063" w:rsidRPr="001C45D7">
        <w:t xml:space="preserve">, 2020). </w:t>
      </w:r>
    </w:p>
    <w:p w14:paraId="35762ED3" w14:textId="5142F26C" w:rsidR="006C01A6" w:rsidRDefault="005B544C" w:rsidP="00566B02">
      <w:pPr>
        <w:pStyle w:val="BodyText"/>
      </w:pPr>
      <w:r w:rsidRPr="001C45D7">
        <w:t xml:space="preserve">On the other hand, the </w:t>
      </w:r>
      <w:r w:rsidR="00E90A35" w:rsidRPr="001C45D7">
        <w:t>progress</w:t>
      </w:r>
      <w:r w:rsidR="00FA6558" w:rsidRPr="001C45D7">
        <w:t xml:space="preserve"> </w:t>
      </w:r>
      <w:r w:rsidR="00E90A35" w:rsidRPr="001C45D7">
        <w:t>of</w:t>
      </w:r>
      <w:r w:rsidR="00FA6558" w:rsidRPr="001C45D7">
        <w:t xml:space="preserve"> </w:t>
      </w:r>
      <w:r w:rsidR="00E90A35" w:rsidRPr="001C45D7">
        <w:t>supply</w:t>
      </w:r>
      <w:r w:rsidR="00FA6558" w:rsidRPr="001C45D7">
        <w:t xml:space="preserve"> </w:t>
      </w:r>
      <w:r w:rsidR="00E90A35" w:rsidRPr="001C45D7">
        <w:t>chain</w:t>
      </w:r>
      <w:r w:rsidR="00FA6558" w:rsidRPr="001C45D7">
        <w:t xml:space="preserve"> </w:t>
      </w:r>
      <w:r w:rsidR="00E90A35" w:rsidRPr="001C45D7">
        <w:t>digitalisation</w:t>
      </w:r>
      <w:r w:rsidR="00FA6558" w:rsidRPr="001C45D7">
        <w:t xml:space="preserve"> </w:t>
      </w:r>
      <w:r w:rsidR="000A1574" w:rsidRPr="001C45D7">
        <w:t xml:space="preserve">among </w:t>
      </w:r>
      <w:r w:rsidR="00E90A35" w:rsidRPr="001C45D7">
        <w:t>SMEs</w:t>
      </w:r>
      <w:r w:rsidR="00FA6558" w:rsidRPr="001C45D7">
        <w:t xml:space="preserve"> </w:t>
      </w:r>
      <w:r w:rsidR="00E90A35" w:rsidRPr="001C45D7">
        <w:t>has</w:t>
      </w:r>
      <w:r w:rsidR="00FA6558" w:rsidRPr="001C45D7">
        <w:t xml:space="preserve"> </w:t>
      </w:r>
      <w:r w:rsidR="00E90A35" w:rsidRPr="001C45D7">
        <w:t>been</w:t>
      </w:r>
      <w:r w:rsidR="00FA6558" w:rsidRPr="001C45D7">
        <w:t xml:space="preserve"> </w:t>
      </w:r>
      <w:r w:rsidR="00E90A35" w:rsidRPr="001C45D7">
        <w:t>rather</w:t>
      </w:r>
      <w:r w:rsidR="00FA6558" w:rsidRPr="001C45D7">
        <w:t xml:space="preserve"> </w:t>
      </w:r>
      <w:r w:rsidR="00E90A35" w:rsidRPr="001C45D7">
        <w:t>slow</w:t>
      </w:r>
      <w:r w:rsidR="005C3761">
        <w:t>.</w:t>
      </w:r>
      <w:r w:rsidR="00FA6558" w:rsidRPr="001C45D7">
        <w:t xml:space="preserve"> </w:t>
      </w:r>
      <w:r w:rsidR="00CD05CB">
        <w:t>Other than innovative start-ups and tech SMEs</w:t>
      </w:r>
      <w:r w:rsidR="005C3761">
        <w:t>,</w:t>
      </w:r>
      <w:r w:rsidR="00CD05CB">
        <w:t xml:space="preserve"> there is a large “missing middle” of traditional </w:t>
      </w:r>
      <w:r w:rsidR="00CD05CB">
        <w:lastRenderedPageBreak/>
        <w:t xml:space="preserve">manufacturing SMEs which is lagging behind in terms of </w:t>
      </w:r>
      <w:r w:rsidR="005C3761">
        <w:t xml:space="preserve">supply chain </w:t>
      </w:r>
      <w:r w:rsidR="00CD05CB">
        <w:t>digitalisation efforts (</w:t>
      </w:r>
      <w:proofErr w:type="spellStart"/>
      <w:r w:rsidR="00CD05CB">
        <w:t>Kergroach</w:t>
      </w:r>
      <w:proofErr w:type="spellEnd"/>
      <w:r w:rsidR="00CD05CB">
        <w:t xml:space="preserve">, 2020). </w:t>
      </w:r>
      <w:r w:rsidR="00E90A35" w:rsidRPr="001C45D7">
        <w:t>This</w:t>
      </w:r>
      <w:r w:rsidR="00FA6558" w:rsidRPr="001C45D7">
        <w:t xml:space="preserve"> </w:t>
      </w:r>
      <w:r w:rsidR="00E90A35" w:rsidRPr="001C45D7">
        <w:t>is</w:t>
      </w:r>
      <w:r w:rsidR="00FA6558" w:rsidRPr="001C45D7">
        <w:t xml:space="preserve"> </w:t>
      </w:r>
      <w:r w:rsidR="00E90A35" w:rsidRPr="001C45D7">
        <w:t>mainly</w:t>
      </w:r>
      <w:r w:rsidR="00FA6558" w:rsidRPr="001C45D7">
        <w:t xml:space="preserve"> </w:t>
      </w:r>
      <w:r w:rsidR="00E90A35" w:rsidRPr="001C45D7">
        <w:t>due</w:t>
      </w:r>
      <w:r w:rsidR="00FA6558" w:rsidRPr="001C45D7">
        <w:t xml:space="preserve"> </w:t>
      </w:r>
      <w:r w:rsidR="00E90A35" w:rsidRPr="001C45D7">
        <w:t>to</w:t>
      </w:r>
      <w:r w:rsidR="00FA6558" w:rsidRPr="001C45D7">
        <w:t xml:space="preserve"> </w:t>
      </w:r>
      <w:r w:rsidR="0017604A">
        <w:t xml:space="preserve">traditional </w:t>
      </w:r>
      <w:r w:rsidR="00391879" w:rsidRPr="001C45D7">
        <w:t>SMEs</w:t>
      </w:r>
      <w:r w:rsidR="00302048" w:rsidRPr="001C45D7">
        <w:t>’</w:t>
      </w:r>
      <w:r w:rsidR="00391879" w:rsidRPr="001C45D7">
        <w:t xml:space="preserve"> </w:t>
      </w:r>
      <w:r w:rsidR="00302048" w:rsidRPr="001C45D7">
        <w:t xml:space="preserve">relative </w:t>
      </w:r>
      <w:r w:rsidR="00391879" w:rsidRPr="001C45D7">
        <w:t>lack</w:t>
      </w:r>
      <w:r w:rsidR="00FA6558" w:rsidRPr="001C45D7">
        <w:t xml:space="preserve"> </w:t>
      </w:r>
      <w:r w:rsidR="00E90A35" w:rsidRPr="001C45D7">
        <w:t>of</w:t>
      </w:r>
      <w:r w:rsidR="00FA6558" w:rsidRPr="001C45D7">
        <w:t xml:space="preserve"> </w:t>
      </w:r>
      <w:r w:rsidR="00391879" w:rsidRPr="001C45D7">
        <w:t xml:space="preserve">the </w:t>
      </w:r>
      <w:r w:rsidR="00E90A35" w:rsidRPr="001C45D7">
        <w:t>resources,</w:t>
      </w:r>
      <w:r w:rsidR="00FA6558" w:rsidRPr="001C45D7">
        <w:t xml:space="preserve"> </w:t>
      </w:r>
      <w:r w:rsidR="00E90A35" w:rsidRPr="001C45D7">
        <w:t>technical</w:t>
      </w:r>
      <w:r w:rsidR="00FA6558" w:rsidRPr="001C45D7">
        <w:t xml:space="preserve"> </w:t>
      </w:r>
      <w:r w:rsidR="00E90A35" w:rsidRPr="001C45D7">
        <w:t>knowledge,</w:t>
      </w:r>
      <w:r w:rsidR="00FA6558" w:rsidRPr="001C45D7">
        <w:t xml:space="preserve"> </w:t>
      </w:r>
      <w:r w:rsidR="00E90A35" w:rsidRPr="001C45D7">
        <w:t>infrastructure</w:t>
      </w:r>
      <w:r w:rsidR="00FA6558" w:rsidRPr="001C45D7">
        <w:t xml:space="preserve"> </w:t>
      </w:r>
      <w:r w:rsidR="00E90A35" w:rsidRPr="001C45D7">
        <w:t>and</w:t>
      </w:r>
      <w:r w:rsidR="00FA6558" w:rsidRPr="001C45D7">
        <w:t xml:space="preserve"> </w:t>
      </w:r>
      <w:r w:rsidR="00E90A35" w:rsidRPr="001C45D7">
        <w:t>management</w:t>
      </w:r>
      <w:r w:rsidR="00FA6558" w:rsidRPr="001C45D7">
        <w:t xml:space="preserve"> </w:t>
      </w:r>
      <w:r w:rsidR="00E90A35" w:rsidRPr="001C45D7">
        <w:t>capabilities</w:t>
      </w:r>
      <w:r w:rsidR="00FA6558" w:rsidRPr="001C45D7">
        <w:t xml:space="preserve"> </w:t>
      </w:r>
      <w:r w:rsidR="00E90A35" w:rsidRPr="001C45D7">
        <w:t>required</w:t>
      </w:r>
      <w:r w:rsidR="00FA6558" w:rsidRPr="001C45D7">
        <w:t xml:space="preserve"> </w:t>
      </w:r>
      <w:r w:rsidR="00E90A35" w:rsidRPr="001C45D7">
        <w:t>for</w:t>
      </w:r>
      <w:r w:rsidR="00FA6558" w:rsidRPr="001C45D7">
        <w:t xml:space="preserve"> </w:t>
      </w:r>
      <w:r w:rsidR="00E90A35" w:rsidRPr="001C45D7">
        <w:t>supply</w:t>
      </w:r>
      <w:r w:rsidR="00FA6558" w:rsidRPr="001C45D7">
        <w:t xml:space="preserve"> </w:t>
      </w:r>
      <w:r w:rsidR="00E90A35" w:rsidRPr="001C45D7">
        <w:t>chain</w:t>
      </w:r>
      <w:r w:rsidR="00FA6558" w:rsidRPr="001C45D7">
        <w:t xml:space="preserve"> </w:t>
      </w:r>
      <w:r w:rsidR="00E90A35" w:rsidRPr="001C45D7">
        <w:t>digitalisation</w:t>
      </w:r>
      <w:r w:rsidR="00FA6558" w:rsidRPr="001C45D7">
        <w:t xml:space="preserve"> </w:t>
      </w:r>
      <w:r w:rsidR="00E90A35" w:rsidRPr="001C45D7">
        <w:fldChar w:fldCharType="begin" w:fldLock="1"/>
      </w:r>
      <w:r w:rsidR="00E90A35" w:rsidRPr="001C45D7">
        <w:instrText>ADDIN CSL_CITATION {"citationItems":[{"id":"ITEM-1","itemData":{"DOI":"10.1007/978-3-030-25425-4_1","ISBN":"9783030254254","abstract":"Industry 4.0 can be the starting point for implementation projects as a low-risk entry into an adapted digitization strategy. In larger companies, comprehensive digitization initiatives are already integrated into the central corporate strategy, while smaller companies often have problems putting the Industry 4.0 paradigms into practice. As the backbone of the economy, small-and medium-sized enterprises (SMEs) have an enormous leverage effect, which is why it is crucial to develop specific concepts for smaller companies. Regardless of the size of a company, a digital transformation strategy offers opportunities for growth and sustainable competitiveness. This chapter will give an introductory overview of Industry 4.0 as the fourth industrial revolution and discuss the role of SMEs in this transition towards the digital transformation.","author":[{"dropping-particle":"","family":"Matt","given":"Dominik T.","non-dropping-particle":"","parse-names":false,"suffix":""},{"dropping-particle":"","family":"Rauch","given":"Erwin","non-dropping-particle":"","parse-names":false,"suffix":""}],"container-title":"Industry 4.0 for SMEs: Challenges, Opportunities and Requirements","id":"ITEM-1","issued":{"date-parts":[["2020","1","1"]]},"page":"3-36","publisher":"Palgrave Macmillan","title":"SME 4.0: The role of small-and medium-sized enterprises in the digital transformation","type":"chapter"},"uris":["http://www.mendeley.com/documents/?uuid=1853048d-2c84-3ecb-a7ae-898aae1bb271"]}],"mendeley":{"formattedCitation":"(Matt and Rauch, 2020)","plainTextFormattedCitation":"(Matt and Rauch, 2020)","previouslyFormattedCitation":"(Matt and Rauch, 2020)"},"properties":{"noteIndex":0},"schema":"https://github.com/citation-style-language/schema/raw/master/csl-citation.json"}</w:instrText>
      </w:r>
      <w:r w:rsidR="00E90A35" w:rsidRPr="001C45D7">
        <w:fldChar w:fldCharType="separate"/>
      </w:r>
      <w:r w:rsidR="00E90A35" w:rsidRPr="001C45D7">
        <w:rPr>
          <w:noProof/>
        </w:rPr>
        <w:t>(Matt</w:t>
      </w:r>
      <w:r w:rsidR="00FA6558" w:rsidRPr="001C45D7">
        <w:rPr>
          <w:noProof/>
        </w:rPr>
        <w:t xml:space="preserve"> </w:t>
      </w:r>
      <w:r w:rsidR="00E90A35" w:rsidRPr="001C45D7">
        <w:rPr>
          <w:noProof/>
        </w:rPr>
        <w:t>and</w:t>
      </w:r>
      <w:r w:rsidR="00FA6558" w:rsidRPr="001C45D7">
        <w:rPr>
          <w:noProof/>
        </w:rPr>
        <w:t xml:space="preserve"> </w:t>
      </w:r>
      <w:r w:rsidR="00E90A35" w:rsidRPr="001C45D7">
        <w:rPr>
          <w:noProof/>
        </w:rPr>
        <w:t>Rauch,</w:t>
      </w:r>
      <w:r w:rsidR="00FA6558" w:rsidRPr="001C45D7">
        <w:rPr>
          <w:noProof/>
        </w:rPr>
        <w:t xml:space="preserve"> </w:t>
      </w:r>
      <w:r w:rsidR="00E90A35" w:rsidRPr="001C45D7">
        <w:rPr>
          <w:noProof/>
        </w:rPr>
        <w:t>2020)</w:t>
      </w:r>
      <w:r w:rsidR="00E90A35" w:rsidRPr="001C45D7">
        <w:fldChar w:fldCharType="end"/>
      </w:r>
      <w:r w:rsidR="00E90A35" w:rsidRPr="001C45D7">
        <w:t>.</w:t>
      </w:r>
      <w:r w:rsidR="00FA6558" w:rsidRPr="001C45D7">
        <w:t xml:space="preserve"> </w:t>
      </w:r>
      <w:r w:rsidR="006C01A6">
        <w:t>Digital</w:t>
      </w:r>
      <w:r w:rsidR="00FA6558" w:rsidRPr="001C45D7">
        <w:t xml:space="preserve"> </w:t>
      </w:r>
      <w:r w:rsidR="006C01A6">
        <w:t xml:space="preserve">capability asymmetry created by this delay, </w:t>
      </w:r>
      <w:r w:rsidR="006C01A6" w:rsidRPr="00EA184A">
        <w:t xml:space="preserve">wherein a buyer has a superior digital capability than its SME supplier, </w:t>
      </w:r>
      <w:r w:rsidR="00E90A35" w:rsidRPr="001C45D7">
        <w:t>could</w:t>
      </w:r>
      <w:r w:rsidR="00FA6558" w:rsidRPr="001C45D7">
        <w:t xml:space="preserve"> </w:t>
      </w:r>
      <w:r w:rsidR="00E90A35" w:rsidRPr="001C45D7">
        <w:t>implicitly</w:t>
      </w:r>
      <w:r w:rsidR="00FA6558" w:rsidRPr="001C45D7">
        <w:t xml:space="preserve"> </w:t>
      </w:r>
      <w:r w:rsidR="00E90A35" w:rsidRPr="001C45D7">
        <w:t>create</w:t>
      </w:r>
      <w:r w:rsidR="00FA6558" w:rsidRPr="001C45D7">
        <w:t xml:space="preserve"> </w:t>
      </w:r>
      <w:r w:rsidR="00E90A35" w:rsidRPr="001C45D7">
        <w:t>a</w:t>
      </w:r>
      <w:r w:rsidR="00FA6558" w:rsidRPr="001C45D7">
        <w:t xml:space="preserve"> </w:t>
      </w:r>
      <w:r w:rsidR="00E90A35" w:rsidRPr="001C45D7">
        <w:t>new</w:t>
      </w:r>
      <w:r w:rsidR="00FA6558" w:rsidRPr="001C45D7">
        <w:t xml:space="preserve"> </w:t>
      </w:r>
      <w:r w:rsidR="00E90A35" w:rsidRPr="001C45D7">
        <w:t>type</w:t>
      </w:r>
      <w:r w:rsidR="00FA6558" w:rsidRPr="001C45D7">
        <w:t xml:space="preserve"> </w:t>
      </w:r>
      <w:r w:rsidR="00E90A35" w:rsidRPr="001C45D7">
        <w:t>of</w:t>
      </w:r>
      <w:r w:rsidR="00FA6558" w:rsidRPr="001C45D7">
        <w:t xml:space="preserve"> </w:t>
      </w:r>
      <w:r w:rsidR="00E90A35" w:rsidRPr="001C45D7">
        <w:t>dependence</w:t>
      </w:r>
      <w:r w:rsidR="00FA6558" w:rsidRPr="001C45D7">
        <w:t xml:space="preserve"> </w:t>
      </w:r>
      <w:r w:rsidR="00E90A35" w:rsidRPr="001C45D7">
        <w:t>for</w:t>
      </w:r>
      <w:r w:rsidR="00FA6558" w:rsidRPr="001C45D7">
        <w:t xml:space="preserve"> </w:t>
      </w:r>
      <w:r w:rsidR="00E90A35" w:rsidRPr="001C45D7">
        <w:t>SMEs</w:t>
      </w:r>
      <w:r w:rsidR="00FA6558" w:rsidRPr="001C45D7">
        <w:t xml:space="preserve"> </w:t>
      </w:r>
      <w:r w:rsidR="000042C2" w:rsidRPr="001C45D7">
        <w:t xml:space="preserve">in relation to </w:t>
      </w:r>
      <w:r w:rsidR="00E90A35" w:rsidRPr="001C45D7">
        <w:t>their</w:t>
      </w:r>
      <w:r w:rsidR="00FA6558" w:rsidRPr="001C45D7">
        <w:t xml:space="preserve"> </w:t>
      </w:r>
      <w:r w:rsidR="00E90A35" w:rsidRPr="001C45D7">
        <w:t>larger</w:t>
      </w:r>
      <w:r w:rsidR="00BC779F" w:rsidRPr="001C45D7">
        <w:t xml:space="preserve"> and more </w:t>
      </w:r>
      <w:r w:rsidR="00C226E2" w:rsidRPr="001C45D7">
        <w:t xml:space="preserve">digitally </w:t>
      </w:r>
      <w:r w:rsidR="00BC779F" w:rsidRPr="001C45D7">
        <w:t>capable</w:t>
      </w:r>
      <w:r w:rsidR="00FA6558" w:rsidRPr="001C45D7">
        <w:t xml:space="preserve"> </w:t>
      </w:r>
      <w:r w:rsidR="009E1FBE" w:rsidRPr="001C45D7">
        <w:t>partners</w:t>
      </w:r>
      <w:r w:rsidR="006C01A6">
        <w:t xml:space="preserve">. </w:t>
      </w:r>
      <w:r w:rsidR="00E90A35" w:rsidRPr="001C45D7">
        <w:t>One</w:t>
      </w:r>
      <w:r w:rsidR="00FA6558" w:rsidRPr="001C45D7">
        <w:t xml:space="preserve"> </w:t>
      </w:r>
      <w:r w:rsidR="00E90A35" w:rsidRPr="001C45D7">
        <w:t>negative</w:t>
      </w:r>
      <w:r w:rsidR="00FA6558" w:rsidRPr="001C45D7">
        <w:t xml:space="preserve"> </w:t>
      </w:r>
      <w:r w:rsidR="00E90A35" w:rsidRPr="001C45D7">
        <w:t>consequence</w:t>
      </w:r>
      <w:r w:rsidR="00FA6558" w:rsidRPr="001C45D7">
        <w:t xml:space="preserve"> </w:t>
      </w:r>
      <w:r w:rsidR="00E90A35" w:rsidRPr="001C45D7">
        <w:t>of</w:t>
      </w:r>
      <w:r w:rsidR="00FA6558" w:rsidRPr="001C45D7">
        <w:t xml:space="preserve"> </w:t>
      </w:r>
      <w:r w:rsidR="00E90A35" w:rsidRPr="001C45D7">
        <w:t>this</w:t>
      </w:r>
      <w:r w:rsidR="00FA6558" w:rsidRPr="001C45D7">
        <w:t xml:space="preserve"> </w:t>
      </w:r>
      <w:r w:rsidR="00E90A35" w:rsidRPr="001C45D7">
        <w:t>would</w:t>
      </w:r>
      <w:r w:rsidR="00FA6558" w:rsidRPr="001C45D7">
        <w:t xml:space="preserve"> </w:t>
      </w:r>
      <w:r w:rsidR="00E90A35" w:rsidRPr="001C45D7">
        <w:t>be</w:t>
      </w:r>
      <w:r w:rsidR="00FA6558" w:rsidRPr="001C45D7">
        <w:t xml:space="preserve"> </w:t>
      </w:r>
      <w:r w:rsidR="00D91FD9" w:rsidRPr="001C45D7">
        <w:t xml:space="preserve">the SMEs’ </w:t>
      </w:r>
      <w:r w:rsidR="00E90A35" w:rsidRPr="001C45D7">
        <w:t>further</w:t>
      </w:r>
      <w:r w:rsidR="00FA6558" w:rsidRPr="001C45D7">
        <w:t xml:space="preserve"> </w:t>
      </w:r>
      <w:r w:rsidR="00E90A35" w:rsidRPr="001C45D7">
        <w:t>expos</w:t>
      </w:r>
      <w:r w:rsidR="00D91FD9" w:rsidRPr="001C45D7">
        <w:t>ure</w:t>
      </w:r>
      <w:r w:rsidR="00FA6558" w:rsidRPr="001C45D7">
        <w:t xml:space="preserve"> </w:t>
      </w:r>
      <w:r w:rsidR="00E90A35" w:rsidRPr="001C45D7">
        <w:t>to</w:t>
      </w:r>
      <w:r w:rsidR="00FA6558" w:rsidRPr="001C45D7">
        <w:t xml:space="preserve"> </w:t>
      </w:r>
      <w:r w:rsidR="00F36904">
        <w:t xml:space="preserve">opportunism </w:t>
      </w:r>
      <w:r w:rsidR="00D91FD9" w:rsidRPr="001C45D7">
        <w:t xml:space="preserve">from their </w:t>
      </w:r>
      <w:r w:rsidR="009E1FBE" w:rsidRPr="001C45D7">
        <w:t>more</w:t>
      </w:r>
      <w:r w:rsidR="00FA6558" w:rsidRPr="001C45D7">
        <w:t xml:space="preserve"> </w:t>
      </w:r>
      <w:r w:rsidR="00D91FD9" w:rsidRPr="001C45D7">
        <w:t xml:space="preserve">digitally </w:t>
      </w:r>
      <w:r w:rsidR="009E1FBE" w:rsidRPr="001C45D7">
        <w:t>capable</w:t>
      </w:r>
      <w:r w:rsidR="00FA6558" w:rsidRPr="001C45D7">
        <w:t xml:space="preserve"> </w:t>
      </w:r>
      <w:r w:rsidR="009E1FBE" w:rsidRPr="001C45D7">
        <w:t>partners</w:t>
      </w:r>
      <w:r w:rsidR="00E90A35" w:rsidRPr="001C45D7">
        <w:t>.</w:t>
      </w:r>
      <w:r w:rsidR="00FA6558" w:rsidRPr="001C45D7">
        <w:t xml:space="preserve"> </w:t>
      </w:r>
    </w:p>
    <w:p w14:paraId="44EE45E2" w14:textId="48163EEE" w:rsidR="007305D4" w:rsidRPr="001C45D7" w:rsidRDefault="00E90A35" w:rsidP="00566B02">
      <w:pPr>
        <w:pStyle w:val="BodyText"/>
      </w:pPr>
      <w:r w:rsidRPr="001C45D7">
        <w:t>So</w:t>
      </w:r>
      <w:r w:rsidR="00FA6558" w:rsidRPr="001C45D7">
        <w:t xml:space="preserve"> </w:t>
      </w:r>
      <w:r w:rsidRPr="001C45D7">
        <w:t>far,</w:t>
      </w:r>
      <w:r w:rsidR="00FA6558" w:rsidRPr="001C45D7">
        <w:t xml:space="preserve"> </w:t>
      </w:r>
      <w:r w:rsidRPr="001C45D7">
        <w:t>the</w:t>
      </w:r>
      <w:r w:rsidR="00FA6558" w:rsidRPr="001C45D7">
        <w:t xml:space="preserve"> </w:t>
      </w:r>
      <w:r w:rsidRPr="001C45D7">
        <w:t>majority</w:t>
      </w:r>
      <w:r w:rsidR="00FA6558" w:rsidRPr="001C45D7">
        <w:t xml:space="preserve"> </w:t>
      </w:r>
      <w:r w:rsidRPr="001C45D7">
        <w:t>of</w:t>
      </w:r>
      <w:r w:rsidR="00FA6558" w:rsidRPr="001C45D7">
        <w:t xml:space="preserve"> </w:t>
      </w:r>
      <w:r w:rsidRPr="001C45D7">
        <w:t>research</w:t>
      </w:r>
      <w:r w:rsidR="00FA6558" w:rsidRPr="001C45D7">
        <w:t xml:space="preserve"> </w:t>
      </w:r>
      <w:r w:rsidRPr="001C45D7">
        <w:t>in</w:t>
      </w:r>
      <w:r w:rsidR="00FA6558" w:rsidRPr="001C45D7">
        <w:t xml:space="preserve"> </w:t>
      </w:r>
      <w:r w:rsidRPr="001C45D7">
        <w:t>this</w:t>
      </w:r>
      <w:r w:rsidR="00FA6558" w:rsidRPr="001C45D7">
        <w:t xml:space="preserve"> </w:t>
      </w:r>
      <w:r w:rsidRPr="001C45D7">
        <w:t>area</w:t>
      </w:r>
      <w:r w:rsidR="00FA6558" w:rsidRPr="001C45D7">
        <w:t xml:space="preserve"> </w:t>
      </w:r>
      <w:r w:rsidRPr="001C45D7">
        <w:t>has</w:t>
      </w:r>
      <w:r w:rsidR="00FA6558" w:rsidRPr="001C45D7">
        <w:t xml:space="preserve"> </w:t>
      </w:r>
      <w:r w:rsidRPr="001C45D7">
        <w:t>investigat</w:t>
      </w:r>
      <w:r w:rsidR="004C4367" w:rsidRPr="001C45D7">
        <w:t>ed</w:t>
      </w:r>
      <w:r w:rsidR="00FA6558" w:rsidRPr="001C45D7">
        <w:t xml:space="preserve"> </w:t>
      </w:r>
      <w:r w:rsidR="002F3BF4" w:rsidRPr="001C45D7">
        <w:t xml:space="preserve">the </w:t>
      </w:r>
      <w:r w:rsidRPr="001C45D7">
        <w:t>promises</w:t>
      </w:r>
      <w:r w:rsidR="00FA6558" w:rsidRPr="001C45D7">
        <w:t xml:space="preserve"> </w:t>
      </w:r>
      <w:r w:rsidRPr="001C45D7">
        <w:t>and</w:t>
      </w:r>
      <w:r w:rsidR="00FA6558" w:rsidRPr="001C45D7">
        <w:t xml:space="preserve"> </w:t>
      </w:r>
      <w:r w:rsidRPr="001C45D7">
        <w:t>benefits</w:t>
      </w:r>
      <w:r w:rsidR="00FA6558" w:rsidRPr="001C45D7">
        <w:t xml:space="preserve"> </w:t>
      </w:r>
      <w:r w:rsidRPr="001C45D7">
        <w:t>of</w:t>
      </w:r>
      <w:r w:rsidR="00FA6558" w:rsidRPr="001C45D7">
        <w:t xml:space="preserve"> </w:t>
      </w:r>
      <w:r w:rsidRPr="001C45D7">
        <w:t>supply</w:t>
      </w:r>
      <w:r w:rsidR="00FA6558" w:rsidRPr="001C45D7">
        <w:t xml:space="preserve"> </w:t>
      </w:r>
      <w:r w:rsidRPr="001C45D7">
        <w:t>chain</w:t>
      </w:r>
      <w:r w:rsidR="00FA6558" w:rsidRPr="001C45D7">
        <w:t xml:space="preserve"> </w:t>
      </w:r>
      <w:r w:rsidRPr="001C45D7">
        <w:t>digitalisation</w:t>
      </w:r>
      <w:r w:rsidR="004C4367" w:rsidRPr="001C45D7">
        <w:t>;</w:t>
      </w:r>
      <w:r w:rsidR="00FA6558" w:rsidRPr="001C45D7">
        <w:t xml:space="preserve"> </w:t>
      </w:r>
      <w:r w:rsidR="00973C28" w:rsidRPr="001C45D7">
        <w:t>in contrast</w:t>
      </w:r>
      <w:r w:rsidRPr="001C45D7">
        <w:t>,</w:t>
      </w:r>
      <w:r w:rsidR="00FA6558" w:rsidRPr="001C45D7">
        <w:t xml:space="preserve"> </w:t>
      </w:r>
      <w:r w:rsidRPr="001C45D7">
        <w:t>few</w:t>
      </w:r>
      <w:r w:rsidR="00FA6558" w:rsidRPr="001C45D7">
        <w:t xml:space="preserve"> </w:t>
      </w:r>
      <w:r w:rsidRPr="001C45D7">
        <w:t>studies</w:t>
      </w:r>
      <w:r w:rsidR="00FA6558" w:rsidRPr="001C45D7">
        <w:t xml:space="preserve"> </w:t>
      </w:r>
      <w:r w:rsidRPr="001C45D7">
        <w:t>have</w:t>
      </w:r>
      <w:r w:rsidR="00FA6558" w:rsidRPr="001C45D7">
        <w:t xml:space="preserve"> </w:t>
      </w:r>
      <w:r w:rsidR="00973C28" w:rsidRPr="001C45D7">
        <w:t xml:space="preserve">examined </w:t>
      </w:r>
      <w:r w:rsidR="005814EE" w:rsidRPr="001C45D7">
        <w:t xml:space="preserve">the </w:t>
      </w:r>
      <w:r w:rsidRPr="001C45D7">
        <w:t>dark</w:t>
      </w:r>
      <w:r w:rsidR="00FA6558" w:rsidRPr="001C45D7">
        <w:t xml:space="preserve"> </w:t>
      </w:r>
      <w:r w:rsidRPr="001C45D7">
        <w:t>side</w:t>
      </w:r>
      <w:r w:rsidR="005814EE" w:rsidRPr="001C45D7">
        <w:t>s</w:t>
      </w:r>
      <w:r w:rsidR="00FA6558" w:rsidRPr="001C45D7">
        <w:t xml:space="preserve"> </w:t>
      </w:r>
      <w:r w:rsidRPr="001C45D7">
        <w:t>of</w:t>
      </w:r>
      <w:r w:rsidR="00FA6558" w:rsidRPr="001C45D7">
        <w:t xml:space="preserve"> </w:t>
      </w:r>
      <w:r w:rsidRPr="001C45D7">
        <w:t>supply</w:t>
      </w:r>
      <w:r w:rsidR="00FA6558" w:rsidRPr="001C45D7">
        <w:t xml:space="preserve"> </w:t>
      </w:r>
      <w:r w:rsidRPr="001C45D7">
        <w:t>chain</w:t>
      </w:r>
      <w:r w:rsidR="00FA6558" w:rsidRPr="001C45D7">
        <w:t xml:space="preserve"> </w:t>
      </w:r>
      <w:r w:rsidRPr="001C45D7">
        <w:t>digitalisation</w:t>
      </w:r>
      <w:r w:rsidR="005814EE" w:rsidRPr="001C45D7">
        <w:t>,</w:t>
      </w:r>
      <w:r w:rsidR="00FA6558" w:rsidRPr="001C45D7">
        <w:t xml:space="preserve"> </w:t>
      </w:r>
      <w:r w:rsidRPr="001C45D7">
        <w:t>such</w:t>
      </w:r>
      <w:r w:rsidR="00FA6558" w:rsidRPr="001C45D7">
        <w:t xml:space="preserve"> </w:t>
      </w:r>
      <w:r w:rsidRPr="001C45D7">
        <w:t>as</w:t>
      </w:r>
      <w:r w:rsidR="00FA6558" w:rsidRPr="001C45D7">
        <w:t xml:space="preserve"> </w:t>
      </w:r>
      <w:r w:rsidR="00F36904">
        <w:t>digital capabilit</w:t>
      </w:r>
      <w:r w:rsidR="006C01A6">
        <w:t>y asymmetry</w:t>
      </w:r>
      <w:r w:rsidR="00896BC3">
        <w:t xml:space="preserve"> </w:t>
      </w:r>
      <w:r w:rsidR="00F36904">
        <w:t xml:space="preserve">and </w:t>
      </w:r>
      <w:r w:rsidR="00C36BA3">
        <w:t>resulting increase in</w:t>
      </w:r>
      <w:r w:rsidR="00C36BA3" w:rsidRPr="001C45D7">
        <w:t xml:space="preserve"> </w:t>
      </w:r>
      <w:r w:rsidRPr="001C45D7">
        <w:t>partner</w:t>
      </w:r>
      <w:r w:rsidR="00FA6558" w:rsidRPr="001C45D7">
        <w:t xml:space="preserve"> </w:t>
      </w:r>
      <w:r w:rsidRPr="001C45D7">
        <w:t>opportunism</w:t>
      </w:r>
      <w:r w:rsidR="00FA6558" w:rsidRPr="001C45D7">
        <w:t xml:space="preserve"> </w:t>
      </w:r>
      <w:r w:rsidR="009E1FBE" w:rsidRPr="001C45D7">
        <w:fldChar w:fldCharType="begin" w:fldLock="1"/>
      </w:r>
      <w:r w:rsidR="00A20C57" w:rsidRPr="001C45D7">
        <w:instrText>ADDIN CSL_CITATION {"citationItems":[{"id":"ITEM-1","itemData":{"DOI":"10.1111/jscm.12215","ISSN":"1523-2409","abstract":"Opportunism is a core issue in supply chain management. However, assumption-omitted testing and a focus on general opportunism as opposed to specific forms of opportunism have stubbornly limited our understanding of this construct. Grounded in a review of empirical studies of opportunism, we identify empirical challenges that perpetuate conceptual limitations in the study of opportunism in supply chains. Hence, we provide suggestions about research designs and data sources that support an agenda that steers research to refine and develop the theory about opportunism. Our call for a reinvigoration of the study of opportunism supports rigor—by discussing research design and data sources—and relevance—by identifying topics for future supply chain research.","author":[{"dropping-particle":"","family":"Lumineau","given":"Fabrice","non-dropping-particle":"","parse-names":false,"suffix":""},{"dropping-particle":"","family":"Oliveira","given":"Nuno","non-dropping-particle":"","parse-names":false,"suffix":""}],"container-title":"Journal of Supply Chain Management","id":"ITEM-1","issue":"1","issued":{"date-parts":[["2020","1","13"]]},"page":"73-87","publisher":"Blackwell Publishing Ltd","title":"Reinvigorating the Study of Opportunism in Supply Chain Management","type":"article-journal","volume":"56"},"uris":["http://www.mendeley.com/documents/?uuid=6041b8d1-7a0a-3f75-8fff-fe7dd6cf5bb4"]}],"mendeley":{"formattedCitation":"(Lumineau and Oliveira, 2020)","plainTextFormattedCitation":"(Lumineau and Oliveira, 2020)","previouslyFormattedCitation":"(Lumineau and Oliveira, 2020)"},"properties":{"noteIndex":0},"schema":"https://github.com/citation-style-language/schema/raw/master/csl-citation.json"}</w:instrText>
      </w:r>
      <w:r w:rsidR="009E1FBE" w:rsidRPr="001C45D7">
        <w:fldChar w:fldCharType="separate"/>
      </w:r>
      <w:r w:rsidR="009E1FBE" w:rsidRPr="001C45D7">
        <w:rPr>
          <w:noProof/>
        </w:rPr>
        <w:t>(Lumineau</w:t>
      </w:r>
      <w:r w:rsidR="00FA6558" w:rsidRPr="001C45D7">
        <w:rPr>
          <w:noProof/>
        </w:rPr>
        <w:t xml:space="preserve"> </w:t>
      </w:r>
      <w:r w:rsidR="009E1FBE" w:rsidRPr="001C45D7">
        <w:rPr>
          <w:noProof/>
        </w:rPr>
        <w:t>and</w:t>
      </w:r>
      <w:r w:rsidR="00FA6558" w:rsidRPr="001C45D7">
        <w:rPr>
          <w:noProof/>
        </w:rPr>
        <w:t xml:space="preserve"> </w:t>
      </w:r>
      <w:r w:rsidR="009E1FBE" w:rsidRPr="001C45D7">
        <w:rPr>
          <w:noProof/>
        </w:rPr>
        <w:t>Oliveira,</w:t>
      </w:r>
      <w:r w:rsidR="00FA6558" w:rsidRPr="001C45D7">
        <w:rPr>
          <w:noProof/>
        </w:rPr>
        <w:t xml:space="preserve"> </w:t>
      </w:r>
      <w:r w:rsidR="009E1FBE" w:rsidRPr="001C45D7">
        <w:rPr>
          <w:noProof/>
        </w:rPr>
        <w:t>2020)</w:t>
      </w:r>
      <w:r w:rsidR="009E1FBE" w:rsidRPr="001C45D7">
        <w:fldChar w:fldCharType="end"/>
      </w:r>
      <w:r w:rsidRPr="001C45D7">
        <w:t>.</w:t>
      </w:r>
      <w:r w:rsidR="00BC779F" w:rsidRPr="001C45D7">
        <w:t xml:space="preserve"> </w:t>
      </w:r>
      <w:r w:rsidR="009F4063" w:rsidRPr="001C45D7">
        <w:t xml:space="preserve">In addition, </w:t>
      </w:r>
      <w:r w:rsidR="00DD1ED6" w:rsidRPr="001C45D7">
        <w:t>the existing</w:t>
      </w:r>
      <w:r w:rsidR="009F4063" w:rsidRPr="001C45D7">
        <w:t xml:space="preserve"> literature </w:t>
      </w:r>
      <w:r w:rsidR="0011750D" w:rsidRPr="001C45D7">
        <w:t xml:space="preserve">has </w:t>
      </w:r>
      <w:r w:rsidR="00DD1ED6" w:rsidRPr="001C45D7">
        <w:t xml:space="preserve">acknowledged </w:t>
      </w:r>
      <w:r w:rsidR="009F4063" w:rsidRPr="001C45D7">
        <w:t xml:space="preserve">weak governance </w:t>
      </w:r>
      <w:r w:rsidR="00DD1ED6" w:rsidRPr="001C45D7">
        <w:t>as a potential reason for</w:t>
      </w:r>
      <w:r w:rsidR="009F4063" w:rsidRPr="001C45D7">
        <w:t xml:space="preserve"> </w:t>
      </w:r>
      <w:r w:rsidR="0054132C" w:rsidRPr="001C45D7">
        <w:t>such</w:t>
      </w:r>
      <w:r w:rsidR="009F4063" w:rsidRPr="001C45D7">
        <w:t xml:space="preserve"> asymmetric gain</w:t>
      </w:r>
      <w:r w:rsidR="00303762" w:rsidRPr="001C45D7">
        <w:t>s</w:t>
      </w:r>
      <w:r w:rsidR="009F4063" w:rsidRPr="001C45D7">
        <w:t xml:space="preserve"> in supply chain </w:t>
      </w:r>
      <w:r w:rsidR="0054132C" w:rsidRPr="001C45D7">
        <w:t>digitalisation</w:t>
      </w:r>
      <w:r w:rsidR="00C95D53" w:rsidRPr="001C45D7">
        <w:t xml:space="preserve"> </w:t>
      </w:r>
      <w:r w:rsidR="009F4063" w:rsidRPr="001C45D7">
        <w:t>(</w:t>
      </w:r>
      <w:proofErr w:type="spellStart"/>
      <w:r w:rsidR="009F4063" w:rsidRPr="001C45D7">
        <w:t>Bjorkdah</w:t>
      </w:r>
      <w:proofErr w:type="spellEnd"/>
      <w:r w:rsidR="009F4063" w:rsidRPr="001C45D7">
        <w:t xml:space="preserve">, 2020). </w:t>
      </w:r>
      <w:r w:rsidR="0054132C" w:rsidRPr="001C45D7">
        <w:t>There</w:t>
      </w:r>
      <w:r w:rsidR="00BC779F" w:rsidRPr="001C45D7">
        <w:t xml:space="preserve"> are</w:t>
      </w:r>
      <w:r w:rsidR="0054132C" w:rsidRPr="001C45D7">
        <w:t>, however,</w:t>
      </w:r>
      <w:r w:rsidR="00BC779F" w:rsidRPr="001C45D7">
        <w:t xml:space="preserve"> few studies </w:t>
      </w:r>
      <w:r w:rsidR="00F26190" w:rsidRPr="001C45D7">
        <w:t xml:space="preserve">that </w:t>
      </w:r>
      <w:r w:rsidR="00BC779F" w:rsidRPr="001C45D7">
        <w:t>investigat</w:t>
      </w:r>
      <w:r w:rsidR="00F26190" w:rsidRPr="001C45D7">
        <w:t>e</w:t>
      </w:r>
      <w:r w:rsidR="00BC779F" w:rsidRPr="001C45D7">
        <w:t xml:space="preserve"> the effectiveness of contractual and relational governance on suppressing buyer opportunism of this nature.</w:t>
      </w:r>
      <w:r w:rsidR="00F931B5" w:rsidRPr="001C45D7">
        <w:t xml:space="preserve"> </w:t>
      </w:r>
      <w:bookmarkStart w:id="4" w:name="_Hlk63338209"/>
      <w:r w:rsidR="00263C72" w:rsidRPr="001C45D7">
        <w:t>Using</w:t>
      </w:r>
      <w:r w:rsidR="009A2427" w:rsidRPr="001C45D7">
        <w:t xml:space="preserve"> </w:t>
      </w:r>
      <w:r w:rsidR="00263C72" w:rsidRPr="001C45D7">
        <w:t>re</w:t>
      </w:r>
      <w:r w:rsidR="009A2427" w:rsidRPr="001C45D7">
        <w:t>source dependence theory as a theoretical lens</w:t>
      </w:r>
      <w:bookmarkEnd w:id="4"/>
      <w:r w:rsidR="009A2427" w:rsidRPr="001C45D7">
        <w:t>, w</w:t>
      </w:r>
      <w:r w:rsidR="007305D4" w:rsidRPr="001C45D7">
        <w:t>e</w:t>
      </w:r>
      <w:r w:rsidR="00FA6558" w:rsidRPr="001C45D7">
        <w:t xml:space="preserve"> </w:t>
      </w:r>
      <w:r w:rsidR="007305D4" w:rsidRPr="001C45D7">
        <w:t>intend</w:t>
      </w:r>
      <w:r w:rsidR="00FA6558" w:rsidRPr="001C45D7">
        <w:t xml:space="preserve"> </w:t>
      </w:r>
      <w:r w:rsidR="007305D4" w:rsidRPr="001C45D7">
        <w:t>to</w:t>
      </w:r>
      <w:r w:rsidR="00FA6558" w:rsidRPr="001C45D7">
        <w:t xml:space="preserve"> </w:t>
      </w:r>
      <w:r w:rsidR="007305D4" w:rsidRPr="001C45D7">
        <w:t>fill</w:t>
      </w:r>
      <w:r w:rsidR="00FA6558" w:rsidRPr="001C45D7">
        <w:t xml:space="preserve"> </w:t>
      </w:r>
      <w:r w:rsidR="00BC779F" w:rsidRPr="001C45D7">
        <w:t>th</w:t>
      </w:r>
      <w:r w:rsidR="00263C72" w:rsidRPr="001C45D7">
        <w:t>ese</w:t>
      </w:r>
      <w:r w:rsidR="00BC779F" w:rsidRPr="001C45D7">
        <w:t xml:space="preserve"> gaps</w:t>
      </w:r>
      <w:r w:rsidR="009A2427" w:rsidRPr="001C45D7">
        <w:t>.</w:t>
      </w:r>
      <w:r w:rsidR="00FA6558" w:rsidRPr="001C45D7">
        <w:t xml:space="preserve"> </w:t>
      </w:r>
      <w:r w:rsidR="009A2427" w:rsidRPr="001C45D7">
        <w:t>F</w:t>
      </w:r>
      <w:r w:rsidR="007305D4" w:rsidRPr="001C45D7">
        <w:t>irst,</w:t>
      </w:r>
      <w:r w:rsidR="00FA6558" w:rsidRPr="001C45D7">
        <w:t xml:space="preserve"> </w:t>
      </w:r>
      <w:r w:rsidR="00896BC3">
        <w:t xml:space="preserve">taking the perspective of SME suppliers, </w:t>
      </w:r>
      <w:r w:rsidR="00990644" w:rsidRPr="001C45D7">
        <w:t>we</w:t>
      </w:r>
      <w:r w:rsidR="00FA6558" w:rsidRPr="001C45D7">
        <w:t xml:space="preserve"> </w:t>
      </w:r>
      <w:r w:rsidR="00990644" w:rsidRPr="001C45D7">
        <w:t>investigate</w:t>
      </w:r>
      <w:r w:rsidR="00FA6558" w:rsidRPr="001C45D7">
        <w:t xml:space="preserve"> </w:t>
      </w:r>
      <w:r w:rsidR="007305D4" w:rsidRPr="001C45D7">
        <w:t>(1)</w:t>
      </w:r>
      <w:r w:rsidR="00FA6558" w:rsidRPr="001C45D7">
        <w:t xml:space="preserve"> </w:t>
      </w:r>
      <w:r w:rsidR="00E50155" w:rsidRPr="001C45D7">
        <w:t xml:space="preserve">whether </w:t>
      </w:r>
      <w:r w:rsidR="007305D4" w:rsidRPr="001C45D7">
        <w:t>the</w:t>
      </w:r>
      <w:r w:rsidR="00FA6558" w:rsidRPr="001C45D7">
        <w:t xml:space="preserve"> </w:t>
      </w:r>
      <w:r w:rsidR="00896BC3" w:rsidRPr="003836D3">
        <w:t xml:space="preserve">supplier-perceived </w:t>
      </w:r>
      <w:r w:rsidR="00BC779F" w:rsidRPr="001C45D7">
        <w:t xml:space="preserve">digital capability </w:t>
      </w:r>
      <w:r w:rsidR="00C36BA3" w:rsidRPr="001C45D7">
        <w:t>asymmetry is</w:t>
      </w:r>
      <w:r w:rsidR="00FA6558" w:rsidRPr="001C45D7">
        <w:t xml:space="preserve"> </w:t>
      </w:r>
      <w:r w:rsidR="007305D4" w:rsidRPr="001C45D7">
        <w:t>related</w:t>
      </w:r>
      <w:r w:rsidR="00FA6558" w:rsidRPr="001C45D7">
        <w:t xml:space="preserve"> </w:t>
      </w:r>
      <w:r w:rsidR="007305D4" w:rsidRPr="001C45D7">
        <w:t>to</w:t>
      </w:r>
      <w:r w:rsidR="00FA6558" w:rsidRPr="001C45D7">
        <w:t xml:space="preserve"> </w:t>
      </w:r>
      <w:r w:rsidR="00E2796D" w:rsidRPr="001C45D7">
        <w:t>the</w:t>
      </w:r>
      <w:r w:rsidR="00FA6558" w:rsidRPr="001C45D7">
        <w:t xml:space="preserve"> </w:t>
      </w:r>
      <w:r w:rsidR="00E2796D" w:rsidRPr="001C45D7">
        <w:t>SME</w:t>
      </w:r>
      <w:r w:rsidR="00FA6558" w:rsidRPr="001C45D7">
        <w:t xml:space="preserve"> </w:t>
      </w:r>
      <w:r w:rsidR="00E2796D" w:rsidRPr="001C45D7">
        <w:t>suppliers</w:t>
      </w:r>
      <w:r w:rsidR="001660E1" w:rsidRPr="001C45D7">
        <w:t>’</w:t>
      </w:r>
      <w:r w:rsidR="00FA6558" w:rsidRPr="001C45D7">
        <w:t xml:space="preserve"> </w:t>
      </w:r>
      <w:r w:rsidR="007305D4" w:rsidRPr="001C45D7">
        <w:t>dependenc</w:t>
      </w:r>
      <w:r w:rsidR="00990644" w:rsidRPr="001C45D7">
        <w:t>e</w:t>
      </w:r>
      <w:r w:rsidR="00FA6558" w:rsidRPr="001C45D7">
        <w:t xml:space="preserve"> </w:t>
      </w:r>
      <w:r w:rsidR="007305D4" w:rsidRPr="001C45D7">
        <w:t>on</w:t>
      </w:r>
      <w:r w:rsidR="00FA6558" w:rsidRPr="001C45D7">
        <w:t xml:space="preserve"> </w:t>
      </w:r>
      <w:r w:rsidR="001660E1" w:rsidRPr="001C45D7">
        <w:t xml:space="preserve">their </w:t>
      </w:r>
      <w:r w:rsidR="007305D4" w:rsidRPr="001C45D7">
        <w:t>buyer</w:t>
      </w:r>
      <w:r w:rsidR="001660E1" w:rsidRPr="001C45D7">
        <w:t>s</w:t>
      </w:r>
      <w:r w:rsidR="007305D4" w:rsidRPr="001C45D7">
        <w:t>,</w:t>
      </w:r>
      <w:r w:rsidR="00FA6558" w:rsidRPr="001C45D7">
        <w:t xml:space="preserve"> </w:t>
      </w:r>
      <w:r w:rsidR="007305D4" w:rsidRPr="001C45D7">
        <w:t>and</w:t>
      </w:r>
      <w:r w:rsidR="00FA6558" w:rsidRPr="001C45D7">
        <w:t xml:space="preserve"> </w:t>
      </w:r>
      <w:r w:rsidR="007305D4" w:rsidRPr="001C45D7">
        <w:t>(2)</w:t>
      </w:r>
      <w:r w:rsidR="00FA6558" w:rsidRPr="001C45D7">
        <w:t xml:space="preserve"> </w:t>
      </w:r>
      <w:r w:rsidR="001E32CA" w:rsidRPr="001C45D7">
        <w:t xml:space="preserve">whether </w:t>
      </w:r>
      <w:r w:rsidR="007305D4" w:rsidRPr="001C45D7">
        <w:t>the</w:t>
      </w:r>
      <w:r w:rsidR="00FA6558" w:rsidRPr="001C45D7">
        <w:t xml:space="preserve"> </w:t>
      </w:r>
      <w:r w:rsidR="00BC779F" w:rsidRPr="001C45D7">
        <w:t>asymmetry</w:t>
      </w:r>
      <w:r w:rsidR="001E32CA" w:rsidRPr="001C45D7">
        <w:t>-</w:t>
      </w:r>
      <w:r w:rsidR="007305D4" w:rsidRPr="001C45D7">
        <w:t>induced</w:t>
      </w:r>
      <w:r w:rsidR="00FA6558" w:rsidRPr="001C45D7">
        <w:t xml:space="preserve"> </w:t>
      </w:r>
      <w:r w:rsidR="007305D4" w:rsidRPr="001C45D7">
        <w:t>dependence</w:t>
      </w:r>
      <w:r w:rsidR="00FA6558" w:rsidRPr="001C45D7">
        <w:t xml:space="preserve"> </w:t>
      </w:r>
      <w:r w:rsidR="007305D4" w:rsidRPr="001C45D7">
        <w:t>is</w:t>
      </w:r>
      <w:r w:rsidR="00FA6558" w:rsidRPr="001C45D7">
        <w:t xml:space="preserve"> </w:t>
      </w:r>
      <w:r w:rsidR="007305D4" w:rsidRPr="001C45D7">
        <w:t>related</w:t>
      </w:r>
      <w:r w:rsidR="00FA6558" w:rsidRPr="001C45D7">
        <w:t xml:space="preserve"> </w:t>
      </w:r>
      <w:r w:rsidR="007305D4" w:rsidRPr="001C45D7">
        <w:t>to</w:t>
      </w:r>
      <w:r w:rsidR="00FA6558" w:rsidRPr="001C45D7">
        <w:t xml:space="preserve"> </w:t>
      </w:r>
      <w:r w:rsidR="007305D4" w:rsidRPr="001C45D7">
        <w:t>the</w:t>
      </w:r>
      <w:r w:rsidR="00FA6558" w:rsidRPr="001C45D7">
        <w:t xml:space="preserve"> </w:t>
      </w:r>
      <w:r w:rsidR="00237098" w:rsidRPr="001C45D7">
        <w:t xml:space="preserve">extent </w:t>
      </w:r>
      <w:r w:rsidR="007305D4" w:rsidRPr="001C45D7">
        <w:t>of</w:t>
      </w:r>
      <w:r w:rsidR="00FA6558" w:rsidRPr="001C45D7">
        <w:t xml:space="preserve"> </w:t>
      </w:r>
      <w:r w:rsidR="007305D4" w:rsidRPr="001C45D7">
        <w:t>buyer</w:t>
      </w:r>
      <w:r w:rsidR="001F2C92" w:rsidRPr="001C45D7">
        <w:t>s</w:t>
      </w:r>
      <w:r w:rsidR="00237098" w:rsidRPr="001C45D7">
        <w:t>’</w:t>
      </w:r>
      <w:r w:rsidR="00FA6558" w:rsidRPr="001C45D7">
        <w:t xml:space="preserve"> </w:t>
      </w:r>
      <w:r w:rsidR="001F2C92" w:rsidRPr="001C45D7">
        <w:t>opportuni</w:t>
      </w:r>
      <w:r w:rsidR="00896BC3">
        <w:t>sm</w:t>
      </w:r>
      <w:r w:rsidR="007305D4" w:rsidRPr="001C45D7">
        <w:t>.</w:t>
      </w:r>
      <w:r w:rsidR="00FA6558" w:rsidRPr="001C45D7">
        <w:t xml:space="preserve"> </w:t>
      </w:r>
      <w:r w:rsidR="00BC779F" w:rsidRPr="001C45D7">
        <w:t>Then</w:t>
      </w:r>
      <w:r w:rsidR="007305D4" w:rsidRPr="001C45D7">
        <w:t>,</w:t>
      </w:r>
      <w:r w:rsidR="00FA6558" w:rsidRPr="001C45D7">
        <w:t xml:space="preserve"> </w:t>
      </w:r>
      <w:r w:rsidR="007305D4" w:rsidRPr="001C45D7">
        <w:t>we</w:t>
      </w:r>
      <w:r w:rsidR="00FA6558" w:rsidRPr="001C45D7">
        <w:t xml:space="preserve"> </w:t>
      </w:r>
      <w:r w:rsidR="007305D4" w:rsidRPr="001C45D7">
        <w:t>seek</w:t>
      </w:r>
      <w:r w:rsidR="00FA6558" w:rsidRPr="001C45D7">
        <w:t xml:space="preserve"> </w:t>
      </w:r>
      <w:r w:rsidR="007305D4" w:rsidRPr="001C45D7">
        <w:t>to</w:t>
      </w:r>
      <w:r w:rsidR="00FA6558" w:rsidRPr="001C45D7">
        <w:t xml:space="preserve"> </w:t>
      </w:r>
      <w:r w:rsidR="00BC779F" w:rsidRPr="001C45D7">
        <w:t xml:space="preserve">investigate </w:t>
      </w:r>
      <w:r w:rsidR="00345BD4" w:rsidRPr="001C45D7">
        <w:t xml:space="preserve">whether </w:t>
      </w:r>
      <w:r w:rsidR="007305D4" w:rsidRPr="001C45D7">
        <w:t>the</w:t>
      </w:r>
      <w:r w:rsidR="00FA6558" w:rsidRPr="001C45D7">
        <w:t xml:space="preserve"> </w:t>
      </w:r>
      <w:r w:rsidR="00990644" w:rsidRPr="001C45D7">
        <w:t>existing</w:t>
      </w:r>
      <w:r w:rsidR="00FA6558" w:rsidRPr="001C45D7">
        <w:t xml:space="preserve"> </w:t>
      </w:r>
      <w:r w:rsidR="007305D4" w:rsidRPr="001C45D7">
        <w:t>governance</w:t>
      </w:r>
      <w:r w:rsidR="00FA6558" w:rsidRPr="001C45D7">
        <w:t xml:space="preserve"> </w:t>
      </w:r>
      <w:r w:rsidR="007305D4" w:rsidRPr="001C45D7">
        <w:t>mechanism</w:t>
      </w:r>
      <w:r w:rsidR="00FA6558" w:rsidRPr="001C45D7">
        <w:t xml:space="preserve"> </w:t>
      </w:r>
      <w:r w:rsidR="007305D4" w:rsidRPr="001C45D7">
        <w:t>for</w:t>
      </w:r>
      <w:r w:rsidR="00FA6558" w:rsidRPr="001C45D7">
        <w:t xml:space="preserve"> </w:t>
      </w:r>
      <w:r w:rsidR="007305D4" w:rsidRPr="001C45D7">
        <w:t>buyer</w:t>
      </w:r>
      <w:r w:rsidR="00345BD4" w:rsidRPr="001C45D7">
        <w:t>–</w:t>
      </w:r>
      <w:r w:rsidR="007305D4" w:rsidRPr="001C45D7">
        <w:t>supplier</w:t>
      </w:r>
      <w:r w:rsidR="00FA6558" w:rsidRPr="001C45D7">
        <w:t xml:space="preserve"> </w:t>
      </w:r>
      <w:r w:rsidR="007305D4" w:rsidRPr="001C45D7">
        <w:t>relationship</w:t>
      </w:r>
      <w:r w:rsidR="00345BD4" w:rsidRPr="001C45D7">
        <w:t>s</w:t>
      </w:r>
      <w:r w:rsidR="00FA6558" w:rsidRPr="001C45D7">
        <w:t xml:space="preserve"> </w:t>
      </w:r>
      <w:r w:rsidR="007305D4" w:rsidRPr="001C45D7">
        <w:t>(</w:t>
      </w:r>
      <w:r w:rsidR="00990644" w:rsidRPr="001C45D7">
        <w:t>contractual</w:t>
      </w:r>
      <w:r w:rsidR="00FA6558" w:rsidRPr="001C45D7">
        <w:t xml:space="preserve"> </w:t>
      </w:r>
      <w:r w:rsidR="00990644" w:rsidRPr="001C45D7">
        <w:t>and</w:t>
      </w:r>
      <w:r w:rsidR="00FA6558" w:rsidRPr="001C45D7">
        <w:t xml:space="preserve"> </w:t>
      </w:r>
      <w:r w:rsidR="00990644" w:rsidRPr="001C45D7">
        <w:t>relational</w:t>
      </w:r>
      <w:r w:rsidR="00FA6558" w:rsidRPr="001C45D7">
        <w:t xml:space="preserve"> </w:t>
      </w:r>
      <w:r w:rsidR="00990644" w:rsidRPr="001C45D7">
        <w:t>governance</w:t>
      </w:r>
      <w:r w:rsidR="007305D4" w:rsidRPr="001C45D7">
        <w:t>)</w:t>
      </w:r>
      <w:r w:rsidR="00FA6558" w:rsidRPr="001C45D7">
        <w:t xml:space="preserve"> </w:t>
      </w:r>
      <w:r w:rsidR="007305D4" w:rsidRPr="001C45D7">
        <w:t>is</w:t>
      </w:r>
      <w:r w:rsidR="00FA6558" w:rsidRPr="001C45D7">
        <w:t xml:space="preserve"> </w:t>
      </w:r>
      <w:r w:rsidR="007305D4" w:rsidRPr="001C45D7">
        <w:t>still</w:t>
      </w:r>
      <w:r w:rsidR="00FA6558" w:rsidRPr="001C45D7">
        <w:t xml:space="preserve"> </w:t>
      </w:r>
      <w:r w:rsidR="007305D4" w:rsidRPr="001C45D7">
        <w:t>effective</w:t>
      </w:r>
      <w:r w:rsidR="00FA6558" w:rsidRPr="001C45D7">
        <w:t xml:space="preserve"> </w:t>
      </w:r>
      <w:r w:rsidR="007305D4" w:rsidRPr="001C45D7">
        <w:t>in</w:t>
      </w:r>
      <w:r w:rsidR="00FA6558" w:rsidRPr="001C45D7">
        <w:t xml:space="preserve"> </w:t>
      </w:r>
      <w:r w:rsidR="007305D4" w:rsidRPr="001C45D7">
        <w:t>suppressing</w:t>
      </w:r>
      <w:r w:rsidR="00FA6558" w:rsidRPr="001C45D7">
        <w:t xml:space="preserve"> </w:t>
      </w:r>
      <w:r w:rsidR="00BC779F" w:rsidRPr="001C45D7">
        <w:t>buyer</w:t>
      </w:r>
      <w:r w:rsidR="00FA6558" w:rsidRPr="001C45D7">
        <w:t xml:space="preserve"> </w:t>
      </w:r>
      <w:r w:rsidR="007305D4" w:rsidRPr="001C45D7">
        <w:t>opportunism</w:t>
      </w:r>
      <w:r w:rsidR="00BC779F" w:rsidRPr="001C45D7">
        <w:t xml:space="preserve"> stemm</w:t>
      </w:r>
      <w:r w:rsidR="00345BD4" w:rsidRPr="001C45D7">
        <w:t>ing</w:t>
      </w:r>
      <w:r w:rsidR="00BC779F" w:rsidRPr="001C45D7">
        <w:t xml:space="preserve"> from digital capability asymmetry</w:t>
      </w:r>
      <w:r w:rsidR="007305D4" w:rsidRPr="001C45D7">
        <w:t>.</w:t>
      </w:r>
    </w:p>
    <w:p w14:paraId="614E2723" w14:textId="77777777" w:rsidR="00B06D7D" w:rsidRPr="001C45D7" w:rsidRDefault="00B06D7D" w:rsidP="00566B02">
      <w:pPr>
        <w:pStyle w:val="BodyText"/>
      </w:pPr>
    </w:p>
    <w:p w14:paraId="612E0745" w14:textId="28650D87" w:rsidR="00C723B6" w:rsidRPr="001C45D7" w:rsidRDefault="00DF0848" w:rsidP="00D61D5C">
      <w:pPr>
        <w:pStyle w:val="Heading1"/>
        <w:keepNext w:val="0"/>
        <w:widowControl/>
      </w:pPr>
      <w:r w:rsidRPr="001C45D7">
        <w:t>Theoretical</w:t>
      </w:r>
      <w:r w:rsidR="00FA6558" w:rsidRPr="001C45D7">
        <w:t xml:space="preserve"> </w:t>
      </w:r>
      <w:r w:rsidRPr="001C45D7">
        <w:t>Background</w:t>
      </w:r>
    </w:p>
    <w:p w14:paraId="2E9DD238" w14:textId="77777777" w:rsidR="00E90A35" w:rsidRPr="001C45D7" w:rsidRDefault="00E90A35" w:rsidP="00D61D5C">
      <w:pPr>
        <w:widowControl/>
      </w:pPr>
    </w:p>
    <w:p w14:paraId="6532C324" w14:textId="4BE376B2" w:rsidR="00C723B6" w:rsidRPr="001C45D7" w:rsidRDefault="002B04D6" w:rsidP="00157836">
      <w:pPr>
        <w:pStyle w:val="Heading2"/>
      </w:pPr>
      <w:bookmarkStart w:id="5" w:name="_Hlk63323668"/>
      <w:r w:rsidRPr="001C45D7">
        <w:t>The d</w:t>
      </w:r>
      <w:r w:rsidR="004C74A1" w:rsidRPr="001C45D7">
        <w:t>ark</w:t>
      </w:r>
      <w:r w:rsidR="00FA1176" w:rsidRPr="001C45D7">
        <w:t xml:space="preserve"> </w:t>
      </w:r>
      <w:r w:rsidR="004C74A1" w:rsidRPr="001C45D7">
        <w:t>side</w:t>
      </w:r>
      <w:r w:rsidR="00FA6558" w:rsidRPr="001C45D7">
        <w:t xml:space="preserve"> </w:t>
      </w:r>
      <w:r w:rsidR="004C74A1" w:rsidRPr="001C45D7">
        <w:t>of</w:t>
      </w:r>
      <w:r w:rsidR="00FA6558" w:rsidRPr="001C45D7">
        <w:t xml:space="preserve"> </w:t>
      </w:r>
      <w:r w:rsidR="004C74A1" w:rsidRPr="001C45D7">
        <w:t>supply</w:t>
      </w:r>
      <w:r w:rsidR="00FA6558" w:rsidRPr="001C45D7">
        <w:t xml:space="preserve"> </w:t>
      </w:r>
      <w:r w:rsidR="004C74A1" w:rsidRPr="001C45D7">
        <w:t>chain</w:t>
      </w:r>
      <w:r w:rsidR="00FA6558" w:rsidRPr="001C45D7">
        <w:t xml:space="preserve"> </w:t>
      </w:r>
      <w:r w:rsidR="004C74A1" w:rsidRPr="001C45D7">
        <w:t>digitalisation</w:t>
      </w:r>
      <w:r w:rsidR="00C95D53" w:rsidRPr="001C45D7">
        <w:t>:</w:t>
      </w:r>
      <w:r w:rsidR="00FA6558" w:rsidRPr="001C45D7">
        <w:t xml:space="preserve"> </w:t>
      </w:r>
      <w:r w:rsidR="00896BC3">
        <w:t xml:space="preserve">digital capability asymmetry and </w:t>
      </w:r>
      <w:r w:rsidR="00C723B6" w:rsidRPr="001C45D7">
        <w:t>opportunism</w:t>
      </w:r>
      <w:r w:rsidR="00FA6558" w:rsidRPr="001C45D7">
        <w:t xml:space="preserve"> </w:t>
      </w:r>
      <w:r w:rsidR="00567585" w:rsidRPr="001C45D7">
        <w:t>against</w:t>
      </w:r>
      <w:r w:rsidR="00FA6558" w:rsidRPr="001C45D7">
        <w:t xml:space="preserve"> </w:t>
      </w:r>
      <w:r w:rsidR="00567585" w:rsidRPr="001C45D7">
        <w:t>SME</w:t>
      </w:r>
      <w:r w:rsidR="00FA6558" w:rsidRPr="001C45D7">
        <w:t xml:space="preserve"> </w:t>
      </w:r>
      <w:r w:rsidR="00BA413A" w:rsidRPr="001C45D7">
        <w:t>suppliers</w:t>
      </w:r>
    </w:p>
    <w:bookmarkEnd w:id="5"/>
    <w:p w14:paraId="6D3B86AB" w14:textId="1B1E4748" w:rsidR="000F70A8" w:rsidRPr="001C45D7" w:rsidRDefault="00D226EF" w:rsidP="00566B02">
      <w:pPr>
        <w:pStyle w:val="BodyText"/>
      </w:pPr>
      <w:r w:rsidRPr="001C45D7">
        <w:t>Engaging</w:t>
      </w:r>
      <w:r w:rsidR="00FA6558" w:rsidRPr="001C45D7">
        <w:t xml:space="preserve"> </w:t>
      </w:r>
      <w:r w:rsidR="00C95D53" w:rsidRPr="001C45D7">
        <w:t xml:space="preserve">in </w:t>
      </w:r>
      <w:r w:rsidRPr="001C45D7">
        <w:t>an</w:t>
      </w:r>
      <w:r w:rsidR="00FA6558" w:rsidRPr="001C45D7">
        <w:t xml:space="preserve"> </w:t>
      </w:r>
      <w:r w:rsidRPr="001C45D7">
        <w:t>inter-firm</w:t>
      </w:r>
      <w:r w:rsidR="00FA6558" w:rsidRPr="001C45D7">
        <w:t xml:space="preserve"> </w:t>
      </w:r>
      <w:r w:rsidRPr="001C45D7">
        <w:t>relationship</w:t>
      </w:r>
      <w:r w:rsidR="00FA6558" w:rsidRPr="001C45D7">
        <w:t xml:space="preserve"> </w:t>
      </w:r>
      <w:r w:rsidR="00AB1FFD" w:rsidRPr="001C45D7">
        <w:t>entails</w:t>
      </w:r>
      <w:r w:rsidR="00FA6558" w:rsidRPr="001C45D7">
        <w:t xml:space="preserve"> </w:t>
      </w:r>
      <w:r w:rsidRPr="001C45D7">
        <w:t>various</w:t>
      </w:r>
      <w:r w:rsidR="00FA6558" w:rsidRPr="001C45D7">
        <w:t xml:space="preserve"> </w:t>
      </w:r>
      <w:r w:rsidRPr="001C45D7">
        <w:t>exchange</w:t>
      </w:r>
      <w:r w:rsidR="00FA6558" w:rsidRPr="001C45D7">
        <w:t xml:space="preserve"> </w:t>
      </w:r>
      <w:r w:rsidRPr="001C45D7">
        <w:t>hazards</w:t>
      </w:r>
      <w:r w:rsidR="00FA6558" w:rsidRPr="001C45D7">
        <w:t xml:space="preserve"> </w:t>
      </w:r>
      <w:r w:rsidR="00CF745F" w:rsidRPr="001C45D7">
        <w:fldChar w:fldCharType="begin" w:fldLock="1"/>
      </w:r>
      <w:r w:rsidR="00CF745F" w:rsidRPr="001C45D7">
        <w:instrText>ADDIN CSL_CITATION {"citationItems":[{"id":"ITEM-1","itemData":{"DOI":"10.1002/smj.249","ISSN":"01432095","abstract":"Relational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Journal","id":"ITEM-1","issue":"8","issued":{"date-parts":[["2002","8"]]},"page":"707-725","title":"Do formal contracts and relational governance function as substitutes or complements?","type":"article-journal","volume":"23"},"uris":["http://www.mendeley.com/documents/?uuid=0f5b4bc5-de16-3976-800b-d5afcee477cc"]}],"mendeley":{"formattedCitation":"(Poppo and Zenger, 2002)","plainTextFormattedCitation":"(Poppo and Zenger, 2002)","previouslyFormattedCitation":"(Poppo and Zenger, 2002)"},"properties":{"noteIndex":0},"schema":"https://github.com/citation-style-language/schema/raw/master/csl-citation.json"}</w:instrText>
      </w:r>
      <w:r w:rsidR="00CF745F" w:rsidRPr="001C45D7">
        <w:fldChar w:fldCharType="separate"/>
      </w:r>
      <w:r w:rsidR="00CF745F" w:rsidRPr="001C45D7">
        <w:rPr>
          <w:noProof/>
        </w:rPr>
        <w:t>(Poppo</w:t>
      </w:r>
      <w:r w:rsidR="00FA6558" w:rsidRPr="001C45D7">
        <w:rPr>
          <w:noProof/>
        </w:rPr>
        <w:t xml:space="preserve"> </w:t>
      </w:r>
      <w:r w:rsidR="00CF745F" w:rsidRPr="001C45D7">
        <w:rPr>
          <w:noProof/>
        </w:rPr>
        <w:t>and</w:t>
      </w:r>
      <w:r w:rsidR="00FA6558" w:rsidRPr="001C45D7">
        <w:rPr>
          <w:noProof/>
        </w:rPr>
        <w:t xml:space="preserve"> </w:t>
      </w:r>
      <w:r w:rsidR="00CF745F" w:rsidRPr="001C45D7">
        <w:rPr>
          <w:noProof/>
        </w:rPr>
        <w:t>Zenger,</w:t>
      </w:r>
      <w:r w:rsidR="00FA6558" w:rsidRPr="001C45D7">
        <w:rPr>
          <w:noProof/>
        </w:rPr>
        <w:t xml:space="preserve"> </w:t>
      </w:r>
      <w:r w:rsidR="00CF745F" w:rsidRPr="001C45D7">
        <w:rPr>
          <w:noProof/>
        </w:rPr>
        <w:t>2002)</w:t>
      </w:r>
      <w:r w:rsidR="00CF745F" w:rsidRPr="001C45D7">
        <w:fldChar w:fldCharType="end"/>
      </w:r>
      <w:r w:rsidR="00A426A6" w:rsidRPr="001C45D7">
        <w:t>,</w:t>
      </w:r>
      <w:r w:rsidR="00FA6558" w:rsidRPr="001C45D7">
        <w:t xml:space="preserve"> </w:t>
      </w:r>
      <w:r w:rsidR="00A426A6" w:rsidRPr="001C45D7">
        <w:t xml:space="preserve">and the </w:t>
      </w:r>
      <w:r w:rsidR="004C4367" w:rsidRPr="001C45D7">
        <w:t xml:space="preserve">opportunistic </w:t>
      </w:r>
      <w:r w:rsidRPr="001C45D7">
        <w:t>behaviours</w:t>
      </w:r>
      <w:r w:rsidR="00FA6558" w:rsidRPr="001C45D7">
        <w:t xml:space="preserve"> </w:t>
      </w:r>
      <w:r w:rsidR="00A426A6" w:rsidRPr="001C45D7">
        <w:t xml:space="preserve">of </w:t>
      </w:r>
      <w:r w:rsidRPr="001C45D7">
        <w:t>an</w:t>
      </w:r>
      <w:r w:rsidR="00FA6558" w:rsidRPr="001C45D7">
        <w:t xml:space="preserve"> </w:t>
      </w:r>
      <w:r w:rsidRPr="001C45D7">
        <w:t>exchange</w:t>
      </w:r>
      <w:r w:rsidR="00FA6558" w:rsidRPr="001C45D7">
        <w:t xml:space="preserve"> </w:t>
      </w:r>
      <w:r w:rsidRPr="001C45D7">
        <w:t>partner</w:t>
      </w:r>
      <w:r w:rsidR="00FA6558" w:rsidRPr="001C45D7">
        <w:t xml:space="preserve"> </w:t>
      </w:r>
      <w:r w:rsidRPr="001C45D7">
        <w:t>is</w:t>
      </w:r>
      <w:r w:rsidR="00FA6558" w:rsidRPr="001C45D7">
        <w:t xml:space="preserve"> </w:t>
      </w:r>
      <w:r w:rsidRPr="001C45D7">
        <w:t>one</w:t>
      </w:r>
      <w:r w:rsidR="00FA6558" w:rsidRPr="001C45D7">
        <w:t xml:space="preserve"> </w:t>
      </w:r>
      <w:r w:rsidRPr="001C45D7">
        <w:t>of</w:t>
      </w:r>
      <w:r w:rsidR="00FA6558" w:rsidRPr="001C45D7">
        <w:t xml:space="preserve"> </w:t>
      </w:r>
      <w:r w:rsidRPr="001C45D7">
        <w:t>these</w:t>
      </w:r>
      <w:bookmarkStart w:id="6" w:name="_Hlk63401075"/>
      <w:r w:rsidRPr="001C45D7">
        <w:t>.</w:t>
      </w:r>
      <w:r w:rsidR="00FA6558" w:rsidRPr="001C45D7">
        <w:t xml:space="preserve"> </w:t>
      </w:r>
      <w:r w:rsidRPr="001C45D7">
        <w:t>Partner</w:t>
      </w:r>
      <w:r w:rsidR="00FA6558" w:rsidRPr="001C45D7">
        <w:t xml:space="preserve"> </w:t>
      </w:r>
      <w:r w:rsidRPr="001C45D7">
        <w:t>opportunism</w:t>
      </w:r>
      <w:r w:rsidR="00FA6558" w:rsidRPr="001C45D7">
        <w:t xml:space="preserve"> </w:t>
      </w:r>
      <w:r w:rsidRPr="001C45D7">
        <w:t>in</w:t>
      </w:r>
      <w:r w:rsidR="00FA6558" w:rsidRPr="001C45D7">
        <w:t xml:space="preserve"> </w:t>
      </w:r>
      <w:r w:rsidRPr="001C45D7">
        <w:t>an</w:t>
      </w:r>
      <w:r w:rsidR="00FA6558" w:rsidRPr="001C45D7">
        <w:t xml:space="preserve"> </w:t>
      </w:r>
      <w:r w:rsidRPr="001C45D7">
        <w:t>inter-firm</w:t>
      </w:r>
      <w:r w:rsidR="00FA6558" w:rsidRPr="001C45D7">
        <w:t xml:space="preserve"> </w:t>
      </w:r>
      <w:r w:rsidRPr="001C45D7">
        <w:t>relationship</w:t>
      </w:r>
      <w:r w:rsidR="00FA6558" w:rsidRPr="001C45D7">
        <w:t xml:space="preserve"> </w:t>
      </w:r>
      <w:r w:rsidRPr="001C45D7">
        <w:t>refers</w:t>
      </w:r>
      <w:r w:rsidR="00FA6558" w:rsidRPr="001C45D7">
        <w:t xml:space="preserve"> </w:t>
      </w:r>
      <w:r w:rsidRPr="001C45D7">
        <w:t>to</w:t>
      </w:r>
      <w:r w:rsidR="00FA6558" w:rsidRPr="001C45D7">
        <w:t xml:space="preserve"> </w:t>
      </w:r>
      <w:r w:rsidRPr="001C45D7">
        <w:t>a</w:t>
      </w:r>
      <w:r w:rsidR="00FA6558" w:rsidRPr="001C45D7">
        <w:t xml:space="preserve"> </w:t>
      </w:r>
      <w:r w:rsidRPr="001C45D7">
        <w:t>firm</w:t>
      </w:r>
      <w:r w:rsidR="00433778" w:rsidRPr="001C45D7">
        <w:t>’s</w:t>
      </w:r>
      <w:r w:rsidR="00FA6558" w:rsidRPr="001C45D7">
        <w:t xml:space="preserve"> </w:t>
      </w:r>
      <w:r w:rsidR="00433778" w:rsidRPr="001C45D7">
        <w:t xml:space="preserve">self-interest seeking behaviours with guile </w:t>
      </w:r>
      <w:r w:rsidR="00822E4D" w:rsidRPr="001C45D7">
        <w:fldChar w:fldCharType="begin" w:fldLock="1"/>
      </w:r>
      <w:r w:rsidR="00822E4D" w:rsidRPr="001C45D7">
        <w:instrText>ADDIN CSL_CITATION {"citationItems":[{"id":"ITEM-1","itemData":{"author":[{"dropping-particle":"","family":"Williamson","given":"O. E.","non-dropping-particle":"","parse-names":false,"suffix":""}],"id":"ITEM-1","issued":{"date-parts":[["1975"]]},"publisher":"Free Press","title":"Markets and hierarchies: analysis and antitrust implications: a study in the economics of internal organization","type":"book"},"uris":["http://www.mendeley.com/documents/?uuid=8cddf403-88d9-47c3-900a-99b3200c634a"]}],"mendeley":{"formattedCitation":"(Williamson, 1975)","plainTextFormattedCitation":"(Williamson, 1975)"},"properties":{"noteIndex":0},"schema":"https://github.com/citation-style-language/schema/raw/master/csl-citation.json"}</w:instrText>
      </w:r>
      <w:r w:rsidR="00822E4D" w:rsidRPr="001C45D7">
        <w:fldChar w:fldCharType="separate"/>
      </w:r>
      <w:r w:rsidR="00822E4D" w:rsidRPr="001C45D7">
        <w:rPr>
          <w:noProof/>
        </w:rPr>
        <w:t xml:space="preserve">(Williamson, </w:t>
      </w:r>
      <w:r w:rsidR="00822E4D" w:rsidRPr="001C45D7">
        <w:rPr>
          <w:noProof/>
        </w:rPr>
        <w:lastRenderedPageBreak/>
        <w:t>1975)</w:t>
      </w:r>
      <w:r w:rsidR="00822E4D" w:rsidRPr="001C45D7">
        <w:fldChar w:fldCharType="end"/>
      </w:r>
      <w:r w:rsidR="00FA6558" w:rsidRPr="001C45D7">
        <w:t xml:space="preserve"> </w:t>
      </w:r>
      <w:r w:rsidR="00CF32E7" w:rsidRPr="001C45D7">
        <w:t xml:space="preserve">and </w:t>
      </w:r>
      <w:r w:rsidR="004F7C08" w:rsidRPr="001C45D7">
        <w:t>aim</w:t>
      </w:r>
      <w:r w:rsidR="00896BC3">
        <w:t>s</w:t>
      </w:r>
      <w:r w:rsidR="004F7C08" w:rsidRPr="001C45D7">
        <w:t xml:space="preserve"> at</w:t>
      </w:r>
      <w:r w:rsidR="00CF32E7" w:rsidRPr="001C45D7">
        <w:t xml:space="preserve"> </w:t>
      </w:r>
      <w:r w:rsidR="004F7C08" w:rsidRPr="001C45D7">
        <w:t xml:space="preserve">this firm’s </w:t>
      </w:r>
      <w:r w:rsidRPr="001C45D7">
        <w:t>unilateral</w:t>
      </w:r>
      <w:r w:rsidR="00FA6558" w:rsidRPr="001C45D7">
        <w:t xml:space="preserve"> </w:t>
      </w:r>
      <w:r w:rsidRPr="001C45D7">
        <w:t>gains</w:t>
      </w:r>
      <w:r w:rsidR="00FA6558" w:rsidRPr="001C45D7">
        <w:t xml:space="preserve"> </w:t>
      </w:r>
      <w:r w:rsidRPr="001C45D7">
        <w:t>at</w:t>
      </w:r>
      <w:r w:rsidR="00FA6558" w:rsidRPr="001C45D7">
        <w:t xml:space="preserve"> </w:t>
      </w:r>
      <w:r w:rsidRPr="001C45D7">
        <w:t>the</w:t>
      </w:r>
      <w:r w:rsidR="00FA6558" w:rsidRPr="001C45D7">
        <w:t xml:space="preserve"> </w:t>
      </w:r>
      <w:r w:rsidRPr="001C45D7">
        <w:t>expense</w:t>
      </w:r>
      <w:r w:rsidR="00FA6558" w:rsidRPr="001C45D7">
        <w:t xml:space="preserve"> </w:t>
      </w:r>
      <w:r w:rsidRPr="001C45D7">
        <w:t>of</w:t>
      </w:r>
      <w:r w:rsidR="00FA6558" w:rsidRPr="001C45D7">
        <w:t xml:space="preserve"> </w:t>
      </w:r>
      <w:r w:rsidRPr="001C45D7">
        <w:t>the</w:t>
      </w:r>
      <w:r w:rsidR="00FA6558" w:rsidRPr="001C45D7">
        <w:t xml:space="preserve"> </w:t>
      </w:r>
      <w:r w:rsidRPr="001C45D7">
        <w:t>other</w:t>
      </w:r>
      <w:r w:rsidR="00FA6558" w:rsidRPr="001C45D7">
        <w:t xml:space="preserve"> </w:t>
      </w:r>
      <w:r w:rsidRPr="001C45D7">
        <w:t>firms</w:t>
      </w:r>
      <w:r w:rsidR="00FA6558" w:rsidRPr="001C45D7">
        <w:t xml:space="preserve"> </w:t>
      </w:r>
      <w:r w:rsidRPr="001C45D7">
        <w:t>involved</w:t>
      </w:r>
      <w:r w:rsidR="00FA6558" w:rsidRPr="001C45D7">
        <w:t xml:space="preserve"> </w:t>
      </w:r>
      <w:r w:rsidR="00CF745F" w:rsidRPr="001C45D7">
        <w:fldChar w:fldCharType="begin" w:fldLock="1"/>
      </w:r>
      <w:r w:rsidR="004A2B48" w:rsidRPr="001C45D7">
        <w:instrText>ADDIN CSL_CITATION {"citationItems":[{"id":"ITEM-1","itemData":{"DOI":"10.1002/smj.249","ISSN":"01432095","abstract":"Relational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Journal","id":"ITEM-1","issue":"8","issued":{"date-parts":[["2002","8"]]},"page":"707-725","title":"Do formal contracts and relational governance function as substitutes or complements?","type":"article-journal","volume":"23"},"uris":["http://www.mendeley.com/documents/?uuid=0f5b4bc5-de16-3976-800b-d5afcee477cc"]},{"id":"ITEM-2","itemData":{"DOI":"10.5465/AMJ.2007.25526452","ISSN":"00014273","abstract":"This study extends research on strategic alliances by exploring independent and combined effects of distributive, procedural, and interactional justice in these alliances. An integrated framework links cooperation payoffs with organizational justice as perceived by boundary-spanning alliance executives, through whom justice perceptions become parent actions. Analysis of 127 alliances demonstrates that when goal differences between parties are high, the joint effect on alliance performance of procedural and distributive justice is significantly positive. When interactional justice is high, procedural justice exerts a stronger performance effect. This perspective enriches alliance research, especially regarding procedural formalization, incentive structure, and interparty attachment. Copyright of the Academy of Management, all rights reserved.","author":[{"dropping-particle":"","family":"Luo","given":"Yadong","non-dropping-particle":"","parse-names":false,"suffix":""}],"container-title":"Academy of Management Journal","id":"ITEM-2","issue":"3","issued":{"date-parts":[["2007"]]},"page":"644-664","publisher":"Academy of Management","title":"The independent and interactive roles of procedural, distributive, and interactional justice in strategic alliances","type":"article-journal","volume":"50"},"uris":["http://www.mendeley.com/documents/?uuid=b7611b1b-6a49-3e53-955a-b60d7a896c72"]}],"mendeley":{"formattedCitation":"(Luo, 2007; Poppo and Zenger, 2002)","plainTextFormattedCitation":"(Luo, 2007; Poppo and Zenger, 2002)","previouslyFormattedCitation":"(Luo, 2007; Poppo and Zenger, 2002)"},"properties":{"noteIndex":0},"schema":"https://github.com/citation-style-language/schema/raw/master/csl-citation.json"}</w:instrText>
      </w:r>
      <w:r w:rsidR="00CF745F" w:rsidRPr="001C45D7">
        <w:fldChar w:fldCharType="separate"/>
      </w:r>
      <w:bookmarkStart w:id="7" w:name="_Hlk63323854"/>
      <w:r w:rsidR="004A2B48" w:rsidRPr="001C45D7">
        <w:rPr>
          <w:noProof/>
        </w:rPr>
        <w:t>(Luo, 2007; Poppo and Zenger, 2002</w:t>
      </w:r>
      <w:bookmarkEnd w:id="7"/>
      <w:r w:rsidR="004A2B48" w:rsidRPr="001C45D7">
        <w:rPr>
          <w:noProof/>
        </w:rPr>
        <w:t>)</w:t>
      </w:r>
      <w:r w:rsidR="00CF745F" w:rsidRPr="001C45D7">
        <w:fldChar w:fldCharType="end"/>
      </w:r>
      <w:r w:rsidRPr="001C45D7">
        <w:t>.</w:t>
      </w:r>
      <w:r w:rsidR="00FA6558" w:rsidRPr="001C45D7">
        <w:t xml:space="preserve"> </w:t>
      </w:r>
      <w:bookmarkEnd w:id="6"/>
      <w:r w:rsidR="006E4923" w:rsidRPr="001C45D7">
        <w:t xml:space="preserve">Partner opportunism can take many different forms </w:t>
      </w:r>
      <w:r w:rsidR="006E4923" w:rsidRPr="001C45D7">
        <w:fldChar w:fldCharType="begin" w:fldLock="1"/>
      </w:r>
      <w:r w:rsidR="006E4923" w:rsidRPr="001C45D7">
        <w:instrText>ADDIN CSL_CITATION {"citationItems":[{"id":"ITEM-1","itemData":{"DOI":"10.1016/S0883-9026(97)00069-4","ISSN":"08839026","abstract":"Like a photographer trying to take a perfect picture, an entrepreneur trying to increase the odds of survival must learn very quickly that focus is everything. And what demands an entrepreneur's immediate focus is the development of new products. Entrepreneurial ventures depend on the rapid creation of new products to gain access to early cash flows, create legitimacy, grab early market share, and increase their odds of survival (Schoonhoven, Eisenhardt, and Lymman 1990). However, the increasing costs and complexity of new product development are making it difficult for entrepreneurial ventures to contain the assets needed for successful R&amp;D within their boundaries, forcing them to reach beyond their borders to access resources. Barley et al. (1992) document the use of more than 900 contractual research agreements within the biotechnology industry alone. Recent research has also found a positive relationship between the use of alliances in the R&amp;D process and the rate of new product development (Deeds and Hill 1996; Shan, Walker, and Kogut 1994). This particular study focuses on the use of relational contracts in the R&amp;D process and extends the prior work on relational contracts to create an explanatory model of the deterrents to opportunism within a relational contract. The article begins with a discussion of the traditional modes of deterring opportunism and of modes of deterring opportunism based on the development of a strong cross-boundary relationship. From this discussion, hypotheses are derived that relate certain characteristics of the alliance (frequency of communication, strength of contractual deterrents, hostage investments, age of the relationship, etc.) to the level of opportunism within the relationship. These hypotheses are then tested on a sample of 109 research alliances in the biotechnology industry. We found significant evidence that a strong relationship between the partners serves as a much more effective deterrent to opportunistic action than the creation of hostage investments or contingent claims contracts. In particular, the results for frequency of communication and the background of the firm highlight the importance of the top management team's understanding and involvement in the management of research alliances. The strong results for background congruence indicates the importance of shared expectations and understandings between the partners. The strong empirical results for the hypothesized U-shaped relationship between …","author":[{"dropping-particle":"","family":"Deeds","given":"David L.","non-dropping-particle":"","parse-names":false,"suffix":""},{"dropping-particle":"","family":"Hill","given":"Charles W.L.","non-dropping-particle":"","parse-names":false,"suffix":""}],"container-title":"Journal of Business Venturing","id":"ITEM-1","issue":"2","issued":{"date-parts":[["1999"]]},"page":"141-163","title":"An examination of opportunistic action within research alliances: Evidence from the biotechnology industry","type":"article-journal","volume":"14"},"uris":["http://www.mendeley.com/documents/?uuid=ba020f76-0596-4fc5-aba0-08186f6c1042"]}],"mendeley":{"formattedCitation":"(Deeds and Hill, 1999)","plainTextFormattedCitation":"(Deeds and Hill, 1999)","previouslyFormattedCitation":"(Deeds and Hill, 1999)"},"properties":{"noteIndex":0},"schema":"https://github.com/citation-style-language/schema/raw/master/csl-citation.json"}</w:instrText>
      </w:r>
      <w:r w:rsidR="006E4923" w:rsidRPr="001C45D7">
        <w:fldChar w:fldCharType="separate"/>
      </w:r>
      <w:r w:rsidR="006E4923" w:rsidRPr="001C45D7">
        <w:rPr>
          <w:noProof/>
        </w:rPr>
        <w:t>(Deeds and Hill, 1999)</w:t>
      </w:r>
      <w:r w:rsidR="006E4923" w:rsidRPr="001C45D7">
        <w:fldChar w:fldCharType="end"/>
      </w:r>
      <w:r w:rsidR="006E4923" w:rsidRPr="001C45D7">
        <w:t>. The passive or subtle form of opportuni</w:t>
      </w:r>
      <w:r w:rsidR="00BF5352" w:rsidRPr="001C45D7">
        <w:t>s</w:t>
      </w:r>
      <w:r w:rsidR="00A367BD" w:rsidRPr="001C45D7">
        <w:t>m</w:t>
      </w:r>
      <w:r w:rsidR="006E4923" w:rsidRPr="001C45D7">
        <w:t xml:space="preserve"> involves </w:t>
      </w:r>
      <w:r w:rsidR="00A367BD" w:rsidRPr="001C45D7">
        <w:t xml:space="preserve">an </w:t>
      </w:r>
      <w:r w:rsidR="006E4923" w:rsidRPr="001C45D7">
        <w:t xml:space="preserve">exchange partner intentionally failing to commit or withholding required resources for joint efforts </w:t>
      </w:r>
      <w:r w:rsidR="006E4923" w:rsidRPr="001C45D7">
        <w:fldChar w:fldCharType="begin" w:fldLock="1"/>
      </w:r>
      <w:r w:rsidR="00D96251" w:rsidRPr="001C45D7">
        <w:instrText>ADDIN CSL_CITATION {"citationItems":[{"id":"ITEM-1","itemData":{"DOI":"10.5465/ambpp.1996.4978070","ISSN":"0065-0668","abstract":"This paper examines the choice between equity and non-equity forms of inter-firm alliances from an integrated risk perspective, which combines relational risk and performance risk in inter-firm alliances. Relational risk relates to co-operation among alliance partners, while performance risk has to do with the hazards of not achieving the performance objectives of an alliance, given co-operation. We suggest that equity alliance is adopted to control relational risk, while non-equity alliance is aimed at minimizing performance risk. Existing studies on the choice of alliance configurations are examined from the proposed risk perspective, and a number of key propositions are advanced for empirical testing and further development of the perspective.","author":[{"dropping-particle":"","family":"Das","given":"T. K.","non-dropping-particle":"","parse-names":false,"suffix":""},{"dropping-particle":"","family":"Teng","given":"B.-S.","non-dropping-particle":"","parse-names":false,"suffix":""}],"container-title":"Academy of Management Proceedings","id":"ITEM-1","issue":"1","issued":{"date-parts":[["1996","8","1"]]},"page":"11-15","publisher":"The Academy of Management","title":"RISK TYPES AND INTERFIRM ALLIANCE STRUCTURES.","type":"article-journal","volume":"1996"},"uris":["http://www.mendeley.com/documents/?uuid=d1d1749d-9874-3937-9315-e88df3acf59d"]},{"id":"ITEM-2","itemData":{"DOI":"10.1016/j.jom.2011.06.001","ISSN":"02726963","abstract":"Service provider opportunism is widely noted as a principal risk with outsourcing. Indeed, economic theory regarding the factors which influence the outsourcing decision, treats opportunism as a core behavioral assumption. It is assumed that if given the opportunity, outsourcing providers will act in a self-serving manner despite the potentially negative impact it may have on their customer. Other researchers have suggested that opportunism is not an unwavering human behavior, but rather can be substantively influenced by the management practices which define the relationship. Building on these arguments, this study investigates the validity of these divergent positions. Hierarchical linear regression is used to examine dyadic data on 102 information technology, logistics, and other business process outsourcing relationships. We test a model which hypothesizes that the buying firm's reliance on different bases of inter-firm power will have differing effects on the risk of opportunism (shirking and poaching). These hypotheses are evaluated while concurrently examining the influence of exchange hazards (relationship-specific investments and technological uncertainty) on provider shirking and poaching. The results offer strong evidence that buyer reliance on mediated forms of power (i.e. rewards, coercive, legal legitimate) enhance the risk of both provider shirking and poaching, while non-mediated power (i.e. expert, referent) is associated with a diminished level of opportunistic behavior. Interestingly, relationship-specific investments have a significant effect on some forms of opportunistic behavior but not on other forms of opportunistic behavior. Technological uncertainty did not have a significant impact on provider opportunism. © 2011 Elsevier B.V. All rights reserved.","author":[{"dropping-particle":"","family":"Handley","given":"Sean M.","non-dropping-particle":"","parse-names":false,"suffix":""},{"dropping-particle":"","family":"Benton","given":"W. C.","non-dropping-particle":"","parse-names":false,"suffix":""}],"container-title":"Journal of Operations Management","id":"ITEM-2","issue":"1-2","issued":{"date-parts":[["2012","1"]]},"page":"55-68","title":"The influence of exchange hazards and power on opportunism in outsourcing relationships","type":"article-journal","volume":"30"},"uris":["http://www.mendeley.com/documents/?uuid=dd85ab59-d3e5-3bb4-b4b1-c59b90b487d5"]},{"id":"ITEM-3","itemData":{"DOI":"10.5465/AMJ.2007.25526452","ISSN":"00014273","abstract":"This study extends research on strategic alliances by exploring independent and combined effects of distributive, procedural, and interactional justice in these alliances. An integrated framework links cooperation payoffs with organizational justice as perceived by boundary-spanning alliance executives, through whom justice perceptions become parent actions. Analysis of 127 alliances demonstrates that when goal differences between parties are high, the joint effect on alliance performance of procedural and distributive justice is significantly positive. When interactional justice is high, procedural justice exerts a stronger performance effect. This perspective enriches alliance research, especially regarding procedural formalization, incentive structure, and interparty attachment. Copyright of the Academy of Management, all rights reserved.","author":[{"dropping-particle":"","family":"Luo","given":"Yadong","non-dropping-particle":"","parse-names":false,"suffix":""}],"container-title":"Academy of Management Journal","id":"ITEM-3","issue":"3","issued":{"date-parts":[["2007"]]},"page":"644-664","publisher":"Academy of Management","title":"The independent and interactive roles of procedural, distributive, and interactional justice in strategic alliances","type":"article-journal","volume":"50"},"uris":["http://www.mendeley.com/documents/?uuid=b7611b1b-6a49-3e53-955a-b60d7a896c72"]}],"mendeley":{"formattedCitation":"(Das and Teng, 1996; Handley and Benton, 2012; Luo, 2007)","plainTextFormattedCitation":"(Das and Teng, 1996; Handley and Benton, 2012; Luo, 2007)","previouslyFormattedCitation":"(Das and Teng, 1996; Handley and Benton, 2012; Luo, 2007)"},"properties":{"noteIndex":0},"schema":"https://github.com/citation-style-language/schema/raw/master/csl-citation.json"}</w:instrText>
      </w:r>
      <w:r w:rsidR="006E4923" w:rsidRPr="001C45D7">
        <w:fldChar w:fldCharType="separate"/>
      </w:r>
      <w:r w:rsidR="006E4923" w:rsidRPr="001C45D7">
        <w:rPr>
          <w:noProof/>
        </w:rPr>
        <w:t>(Das and Teng, 1996; Handley and Benton, 2012; Luo, 2007)</w:t>
      </w:r>
      <w:r w:rsidR="006E4923" w:rsidRPr="001C45D7">
        <w:fldChar w:fldCharType="end"/>
      </w:r>
      <w:r w:rsidR="001433AC" w:rsidRPr="001C45D7">
        <w:t>,</w:t>
      </w:r>
      <w:r w:rsidR="00BF5352" w:rsidRPr="001C45D7">
        <w:t xml:space="preserve"> while</w:t>
      </w:r>
      <w:r w:rsidR="006E4923" w:rsidRPr="001C45D7">
        <w:t xml:space="preserve"> </w:t>
      </w:r>
      <w:r w:rsidR="00BC1828" w:rsidRPr="001C45D7">
        <w:t xml:space="preserve">a </w:t>
      </w:r>
      <w:r w:rsidR="00BF5352" w:rsidRPr="001C45D7">
        <w:t>m</w:t>
      </w:r>
      <w:r w:rsidR="006E4923" w:rsidRPr="001C45D7">
        <w:t xml:space="preserve">ore blatant form would involve </w:t>
      </w:r>
      <w:r w:rsidR="00BF5352" w:rsidRPr="001C45D7">
        <w:t>an exchange partner active</w:t>
      </w:r>
      <w:r w:rsidR="00FA1176" w:rsidRPr="001C45D7">
        <w:t>ly</w:t>
      </w:r>
      <w:r w:rsidR="00BF5352" w:rsidRPr="001C45D7">
        <w:t xml:space="preserve"> </w:t>
      </w:r>
      <w:r w:rsidR="006E4923" w:rsidRPr="001C45D7">
        <w:t xml:space="preserve">distorting information </w:t>
      </w:r>
      <w:r w:rsidR="00CB75BA" w:rsidRPr="001C45D7">
        <w:t xml:space="preserve">or </w:t>
      </w:r>
      <w:r w:rsidR="006052C5" w:rsidRPr="001C45D7">
        <w:t xml:space="preserve">practising deception </w:t>
      </w:r>
      <w:r w:rsidR="006E4923" w:rsidRPr="001C45D7">
        <w:t>for its own gain (Deeds and Hill, 1999; Luo, 2007).</w:t>
      </w:r>
      <w:r w:rsidR="004135B5" w:rsidRPr="001C45D7">
        <w:t xml:space="preserve"> </w:t>
      </w:r>
      <w:r w:rsidR="001433AC" w:rsidRPr="001C45D7">
        <w:t>P</w:t>
      </w:r>
      <w:r w:rsidR="004135B5" w:rsidRPr="001C45D7">
        <w:t>artner opportunism is prevalent</w:t>
      </w:r>
      <w:r w:rsidR="001433AC" w:rsidRPr="001C45D7">
        <w:t>,</w:t>
      </w:r>
      <w:r w:rsidR="004135B5" w:rsidRPr="001C45D7">
        <w:t xml:space="preserve"> since </w:t>
      </w:r>
      <w:r w:rsidRPr="001C45D7">
        <w:t>an</w:t>
      </w:r>
      <w:r w:rsidR="00FA6558" w:rsidRPr="001C45D7">
        <w:t xml:space="preserve"> </w:t>
      </w:r>
      <w:r w:rsidRPr="001C45D7">
        <w:t>actor</w:t>
      </w:r>
      <w:r w:rsidR="00FA6558" w:rsidRPr="001C45D7">
        <w:t xml:space="preserve"> </w:t>
      </w:r>
      <w:r w:rsidRPr="001C45D7">
        <w:t>in</w:t>
      </w:r>
      <w:r w:rsidR="00FA6558" w:rsidRPr="001C45D7">
        <w:t xml:space="preserve"> </w:t>
      </w:r>
      <w:r w:rsidRPr="001C45D7">
        <w:t>an</w:t>
      </w:r>
      <w:r w:rsidR="00FA6558" w:rsidRPr="001C45D7">
        <w:t xml:space="preserve"> </w:t>
      </w:r>
      <w:r w:rsidRPr="001C45D7">
        <w:t>economic</w:t>
      </w:r>
      <w:r w:rsidR="00FA6558" w:rsidRPr="001C45D7">
        <w:t xml:space="preserve"> </w:t>
      </w:r>
      <w:r w:rsidRPr="001C45D7">
        <w:t>exchange</w:t>
      </w:r>
      <w:r w:rsidR="00FA6558" w:rsidRPr="001C45D7">
        <w:t xml:space="preserve"> </w:t>
      </w:r>
      <w:r w:rsidRPr="001C45D7">
        <w:t>tends</w:t>
      </w:r>
      <w:r w:rsidR="00FA6558" w:rsidRPr="001C45D7">
        <w:t xml:space="preserve"> </w:t>
      </w:r>
      <w:r w:rsidRPr="001C45D7">
        <w:t>to</w:t>
      </w:r>
      <w:r w:rsidR="00FA6558" w:rsidRPr="001C45D7">
        <w:t xml:space="preserve"> </w:t>
      </w:r>
      <w:r w:rsidRPr="001C45D7">
        <w:t>maximise</w:t>
      </w:r>
      <w:r w:rsidR="00FA6558" w:rsidRPr="001C45D7">
        <w:t xml:space="preserve"> </w:t>
      </w:r>
      <w:r w:rsidRPr="001C45D7">
        <w:t>its</w:t>
      </w:r>
      <w:r w:rsidR="00FA6558" w:rsidRPr="001C45D7">
        <w:t xml:space="preserve"> </w:t>
      </w:r>
      <w:r w:rsidRPr="001C45D7">
        <w:t>own</w:t>
      </w:r>
      <w:r w:rsidR="00FA6558" w:rsidRPr="001C45D7">
        <w:t xml:space="preserve"> </w:t>
      </w:r>
      <w:r w:rsidRPr="001C45D7">
        <w:t>interest</w:t>
      </w:r>
      <w:r w:rsidR="00C54D88" w:rsidRPr="001C45D7">
        <w:t>s</w:t>
      </w:r>
      <w:r w:rsidR="00FA6558" w:rsidRPr="001C45D7">
        <w:t xml:space="preserve"> </w:t>
      </w:r>
      <w:r w:rsidRPr="001C45D7">
        <w:t>at</w:t>
      </w:r>
      <w:r w:rsidR="00FA6558" w:rsidRPr="001C45D7">
        <w:t xml:space="preserve"> </w:t>
      </w:r>
      <w:r w:rsidRPr="001C45D7">
        <w:t>the</w:t>
      </w:r>
      <w:r w:rsidR="00FA6558" w:rsidRPr="001C45D7">
        <w:t xml:space="preserve"> </w:t>
      </w:r>
      <w:r w:rsidRPr="001C45D7">
        <w:t>expense</w:t>
      </w:r>
      <w:r w:rsidR="00FA6558" w:rsidRPr="001C45D7">
        <w:t xml:space="preserve"> </w:t>
      </w:r>
      <w:r w:rsidRPr="001C45D7">
        <w:t>of</w:t>
      </w:r>
      <w:r w:rsidR="00FA6558" w:rsidRPr="001C45D7">
        <w:t xml:space="preserve"> </w:t>
      </w:r>
      <w:r w:rsidRPr="001C45D7">
        <w:t>its</w:t>
      </w:r>
      <w:r w:rsidR="00FA6558" w:rsidRPr="001C45D7">
        <w:t xml:space="preserve"> </w:t>
      </w:r>
      <w:r w:rsidRPr="001C45D7">
        <w:t>counterpart</w:t>
      </w:r>
      <w:r w:rsidR="00FA6558" w:rsidRPr="001C45D7">
        <w:t xml:space="preserve"> </w:t>
      </w:r>
      <w:r w:rsidRPr="001C45D7">
        <w:t>if</w:t>
      </w:r>
      <w:r w:rsidR="00FA6558" w:rsidRPr="001C45D7">
        <w:t xml:space="preserve"> </w:t>
      </w:r>
      <w:r w:rsidRPr="001C45D7">
        <w:t>a</w:t>
      </w:r>
      <w:r w:rsidR="004C4367" w:rsidRPr="001C45D7">
        <w:t>n opportunity arises</w:t>
      </w:r>
      <w:r w:rsidR="001433AC" w:rsidRPr="001C45D7">
        <w:t xml:space="preserve"> (</w:t>
      </w:r>
      <w:r w:rsidR="001433AC" w:rsidRPr="001C45D7">
        <w:fldChar w:fldCharType="begin" w:fldLock="1"/>
      </w:r>
      <w:r w:rsidR="001433AC" w:rsidRPr="001C45D7">
        <w:instrText>ADDIN CSL_CITATION {"citationItems":[{"id":"ITEM-1","itemData":{"DOI":"10.1086/467149","ISSN":"0022-2186","abstract":"I.\\nINTRODUCTION\\nIN two recent papers I examined the effects of relationship-specific in-\\nvestment on the duration of contracts negotiated between electric utilities\\nand coal suppliers.' That work demonstrated that when relationship-\\nspecific investment is important for a cost-minimizing supply relationship,\\ncontracts are frequently utilized that specify ex ante the terms and condi-\\ntions of trade over many future years. In this article I examine the charac-\\nteristics of the price-adjustment provisions specified in these long-term\\ncoal contracts. I utilize a sample of about 250 coal contracts to analyze the\\nstructure of formal price-adjustment provisions in coal contracts in order\\nto determine the factors that affect initial negotiated contract prices and to\\nexamine actual transaction-price behavior over time.\\nThere has been much recent theoretical work, as well as some related\\nempirical work, that has focused on the benefits of long-term contracts\\nwhen relationship-specific investments are important.2 There has also\\nbeen some theoretical work that focuses on the contractual arrangements\\nthat may be chosen to mitigate opportunism problems and guard against","author":[{"dropping-particle":"","family":"Joskow","given":"Paul L.","non-dropping-particle":"","parse-names":false,"suffix":""}],"container-title":"The Journal of Law and Economics","id":"ITEM-1","issue":"1","issued":{"date-parts":[["1988","4"]]},"page":"47-83","publisher":"University of Chicago Press","title":"Price Adjustment in Long-Term Contracts: The Case of Coal","type":"article-journal","volume":"31"},"uris":["http://www.mendeley.com/documents/?uuid=04bf1fae-4fe5-3d1c-a6e4-e4d050ca08b1"]}],"mendeley":{"formattedCitation":"(Joskow, 1988)","manualFormatting":"Joskow, 1988)","plainTextFormattedCitation":"(Joskow, 1988)","previouslyFormattedCitation":"(Joskow, 1988)"},"properties":{"noteIndex":0},"schema":"https://github.com/citation-style-language/schema/raw/master/csl-citation.json"}</w:instrText>
      </w:r>
      <w:r w:rsidR="001433AC" w:rsidRPr="001C45D7">
        <w:fldChar w:fldCharType="separate"/>
      </w:r>
      <w:r w:rsidR="001433AC" w:rsidRPr="001C45D7">
        <w:rPr>
          <w:noProof/>
        </w:rPr>
        <w:t>Joskow, 1988)</w:t>
      </w:r>
      <w:r w:rsidR="001433AC" w:rsidRPr="001C45D7">
        <w:fldChar w:fldCharType="end"/>
      </w:r>
      <w:r w:rsidRPr="001C45D7">
        <w:t>.</w:t>
      </w:r>
      <w:r w:rsidR="00FA6558" w:rsidRPr="001C45D7">
        <w:t xml:space="preserve"> </w:t>
      </w:r>
      <w:r w:rsidRPr="001C45D7">
        <w:t>Opportunism</w:t>
      </w:r>
      <w:r w:rsidR="00FA6558" w:rsidRPr="001C45D7">
        <w:t xml:space="preserve"> </w:t>
      </w:r>
      <w:r w:rsidRPr="001C45D7">
        <w:t>in</w:t>
      </w:r>
      <w:r w:rsidR="00FA6558" w:rsidRPr="001C45D7">
        <w:t xml:space="preserve"> </w:t>
      </w:r>
      <w:r w:rsidRPr="001C45D7">
        <w:t>an</w:t>
      </w:r>
      <w:r w:rsidR="00FA6558" w:rsidRPr="001C45D7">
        <w:t xml:space="preserve"> </w:t>
      </w:r>
      <w:r w:rsidR="00BA413A" w:rsidRPr="001C45D7">
        <w:t>exchange</w:t>
      </w:r>
      <w:r w:rsidR="00FA6558" w:rsidRPr="001C45D7">
        <w:t xml:space="preserve"> </w:t>
      </w:r>
      <w:r w:rsidR="00BA413A" w:rsidRPr="001C45D7">
        <w:t>relationship</w:t>
      </w:r>
      <w:r w:rsidR="00FA6558" w:rsidRPr="001C45D7">
        <w:t xml:space="preserve"> </w:t>
      </w:r>
      <w:r w:rsidRPr="001C45D7">
        <w:t>can</w:t>
      </w:r>
      <w:r w:rsidR="00FA6558" w:rsidRPr="001C45D7">
        <w:t xml:space="preserve"> </w:t>
      </w:r>
      <w:r w:rsidRPr="001C45D7">
        <w:t>do</w:t>
      </w:r>
      <w:r w:rsidR="00FA6558" w:rsidRPr="001C45D7">
        <w:t xml:space="preserve"> </w:t>
      </w:r>
      <w:r w:rsidRPr="001C45D7">
        <w:t>serious</w:t>
      </w:r>
      <w:r w:rsidR="00FA6558" w:rsidRPr="001C45D7">
        <w:t xml:space="preserve"> </w:t>
      </w:r>
      <w:r w:rsidRPr="001C45D7">
        <w:t>economic</w:t>
      </w:r>
      <w:r w:rsidR="00FA6558" w:rsidRPr="001C45D7">
        <w:t xml:space="preserve"> </w:t>
      </w:r>
      <w:r w:rsidRPr="001C45D7">
        <w:t>and</w:t>
      </w:r>
      <w:r w:rsidR="00FA6558" w:rsidRPr="001C45D7">
        <w:t xml:space="preserve"> </w:t>
      </w:r>
      <w:r w:rsidRPr="001C45D7">
        <w:t>relational</w:t>
      </w:r>
      <w:r w:rsidR="00FA6558" w:rsidRPr="001C45D7">
        <w:t xml:space="preserve"> </w:t>
      </w:r>
      <w:r w:rsidRPr="001C45D7">
        <w:t>damage</w:t>
      </w:r>
      <w:r w:rsidR="00FA6558" w:rsidRPr="001C45D7">
        <w:t xml:space="preserve"> </w:t>
      </w:r>
      <w:r w:rsidR="00D05CD5" w:rsidRPr="001C45D7">
        <w:t>to</w:t>
      </w:r>
      <w:r w:rsidR="00FA6558" w:rsidRPr="001C45D7">
        <w:t xml:space="preserve"> </w:t>
      </w:r>
      <w:r w:rsidRPr="001C45D7">
        <w:t>involved</w:t>
      </w:r>
      <w:r w:rsidR="00FA6558" w:rsidRPr="001C45D7">
        <w:t xml:space="preserve"> </w:t>
      </w:r>
      <w:r w:rsidRPr="001C45D7">
        <w:t>parties</w:t>
      </w:r>
      <w:r w:rsidR="00FA6558" w:rsidRPr="001C45D7">
        <w:t xml:space="preserve"> </w:t>
      </w:r>
      <w:r w:rsidR="00F91330" w:rsidRPr="001C45D7">
        <w:fldChar w:fldCharType="begin" w:fldLock="1"/>
      </w:r>
      <w:r w:rsidR="00F91330" w:rsidRPr="001C45D7">
        <w:instrText>ADDIN CSL_CITATION {"citationItems":[{"id":"ITEM-1","itemData":{"DOI":"10.5465/AMJ.2007.25526452","ISSN":"00014273","abstract":"This study extends research on strategic alliances by exploring independent and combined effects of distributive, procedural, and interactional justice in these alliances. An integrated framework links cooperation payoffs with organizational justice as perceived by boundary-spanning alliance executives, through whom justice perceptions become parent actions. Analysis of 127 alliances demonstrates that when goal differences between parties are high, the joint effect on alliance performance of procedural and distributive justice is significantly positive. When interactional justice is high, procedural justice exerts a stronger performance effect. This perspective enriches alliance research, especially regarding procedural formalization, incentive structure, and interparty attachment. Copyright of the Academy of Management, all rights reserved.","author":[{"dropping-particle":"","family":"Luo","given":"Yadong","non-dropping-particle":"","parse-names":false,"suffix":""}],"container-title":"Academy of Management Journal","id":"ITEM-1","issue":"3","issued":{"date-parts":[["2007"]]},"page":"644-664","publisher":"Academy of Management","title":"The independent and interactive roles of procedural, distributive, and interactional justice in strategic alliances","type":"article-journal","volume":"50"},"uris":["http://www.mendeley.com/documents/?uuid=b7611b1b-6a49-3e53-955a-b60d7a896c72"]},{"id":"ITEM-2","itemData":{"DOI":"10.1016/j.jom.2006.05.006","ISSN":"02726963","abstract":"Common prescriptions for improving the performance of supermarket retailers center on using key suppliers as \"category captains\" and leveraging their resources and capabilities to implement effective category management that will both reduce retailer costs and provide a basis for differentiation. However, despite these widespread prescriptions, the potential for supplier opportunism means that supermarket retailers are either skeptical or have failed to make such category management relationships with key suppliers work. Drawing on agency, transaction costs, and network theory, we synthesize insights from qualitative fieldwork with retailer and supplier managers and primary data from 73 category managers in U.K. supermarket retailers to empirically examine antecedents and consequences of category-level focal supplier opportunism. Our findings suggest that focal supplier opportunism decreases retailer category performance and increases militant behaviors among non-focal suppliers in the category supply chain. Consistent with retailer fears, we find that focal suppliers with significant influence in retailers' category management efforts are more likely to engage in opportunistic behavior. However, our results also reveal that retailer fears that being dependent on a focal supplier will lead to greater supplier opportunism are largely unfounded, while supplier dependence on the retailer is also unrelated to focal supplier opportunism. Finally, we find that retailers' ability to monitor - but not to punish - its focal suppliers is negatively related to opportunistic behavior among focal suppliers. © 2006 Elsevier B.V. All rights reserved.","author":[{"dropping-particle":"","family":"Morgan","given":"Neil A.","non-dropping-particle":"","parse-names":false,"suffix":""},{"dropping-particle":"","family":"Kaleka","given":"Anna","non-dropping-particle":"","parse-names":false,"suffix":""},{"dropping-particle":"","family":"Gooner","given":"Richard A.","non-dropping-particle":"","parse-names":false,"suffix":""}],"container-title":"Journal of Operations Management","id":"ITEM-2","issue":"2","issued":{"date-parts":[["2007","3"]]},"page":"512-527","title":"Focal supplier opportunism in supermarket retailer category management","type":"article-journal","volume":"25"},"uris":["http://www.mendeley.com/documents/?uuid=123e731b-1487-321a-8daa-c5d0a12c72d1"]},{"id":"ITEM-3","itemData":{"DOI":"10.1016/j.jom.2011.06.001","ISSN":"02726963","abstract":"Service provider opportunism is widely noted as a principal risk with outsourcing. Indeed, economic theory regarding the factors which influence the outsourcing decision, treats opportunism as a core behavioral assumption. It is assumed that if given the opportunity, outsourcing providers will act in a self-serving manner despite the potentially negative impact it may have on their customer. Other researchers have suggested that opportunism is not an unwavering human behavior, but rather can be substantively influenced by the management practices which define the relationship. Building on these arguments, this study investigates the validity of these divergent positions. Hierarchical linear regression is used to examine dyadic data on 102 information technology, logistics, and other business process outsourcing relationships. We test a model which hypothesizes that the buying firm's reliance on different bases of inter-firm power will have differing effects on the risk of opportunism (shirking and poaching). These hypotheses are evaluated while concurrently examining the influence of exchange hazards (relationship-specific investments and technological uncertainty) on provider shirking and poaching. The results offer strong evidence that buyer reliance on mediated forms of power (i.e. rewards, coercive, legal legitimate) enhance the risk of both provider shirking and poaching, while non-mediated power (i.e. expert, referent) is associated with a diminished level of opportunistic behavior. Interestingly, relationship-specific investments have a significant effect on some forms of opportunistic behavior but not on other forms of opportunistic behavior. Technological uncertainty did not have a significant impact on provider opportunism. © 2011 Elsevier B.V. All rights reserved.","author":[{"dropping-particle":"","family":"Handley","given":"Sean M.","non-dropping-particle":"","parse-names":false,"suffix":""},{"dropping-particle":"","family":"Benton","given":"W. C.","non-dropping-particle":"","parse-names":false,"suffix":""}],"container-title":"Journal of Operations Management","id":"ITEM-3","issue":"1-2","issued":{"date-parts":[["2012","1"]]},"page":"55-68","title":"The influence of exchange hazards and power on opportunism in outsourcing relationships","type":"article-journal","volume":"30"},"uris":["http://www.mendeley.com/documents/?uuid=dd85ab59-d3e5-3bb4-b4b1-c59b90b487d5"]}],"mendeley":{"formattedCitation":"(Handley and Benton, 2012; Luo, 2007; Morgan &lt;i&gt;et al.&lt;/i&gt;, 2007)","plainTextFormattedCitation":"(Handley and Benton, 2012; Luo, 2007; Morgan et al., 2007)","previouslyFormattedCitation":"(Handley and Benton, 2012; Luo, 2007; Morgan &lt;i&gt;et al.&lt;/i&gt;, 2007)"},"properties":{"noteIndex":0},"schema":"https://github.com/citation-style-language/schema/raw/master/csl-citation.json"}</w:instrText>
      </w:r>
      <w:r w:rsidR="00F91330" w:rsidRPr="001C45D7">
        <w:fldChar w:fldCharType="separate"/>
      </w:r>
      <w:r w:rsidR="00F91330" w:rsidRPr="001C45D7">
        <w:rPr>
          <w:noProof/>
        </w:rPr>
        <w:t>(Handley and Benton, 2012; Luo, 2007)</w:t>
      </w:r>
      <w:r w:rsidR="00F91330" w:rsidRPr="001C45D7">
        <w:fldChar w:fldCharType="end"/>
      </w:r>
      <w:r w:rsidR="00F91330" w:rsidRPr="001C45D7">
        <w:t xml:space="preserve">. </w:t>
      </w:r>
      <w:r w:rsidR="004B5090" w:rsidRPr="004B5090">
        <w:t>Broadly literature on opportunism in</w:t>
      </w:r>
      <w:r w:rsidR="0040255E">
        <w:t xml:space="preserve"> a</w:t>
      </w:r>
      <w:r w:rsidR="004B5090" w:rsidRPr="004B5090">
        <w:t xml:space="preserve"> buyer-supplier </w:t>
      </w:r>
      <w:r w:rsidR="0040255E">
        <w:t xml:space="preserve">relationship, </w:t>
      </w:r>
      <w:r w:rsidR="004B5090" w:rsidRPr="004B5090">
        <w:t xml:space="preserve">discusses methods of controlling or minimising </w:t>
      </w:r>
      <w:r w:rsidR="004B5090">
        <w:t>partners’</w:t>
      </w:r>
      <w:r w:rsidR="004B5090" w:rsidRPr="004B5090">
        <w:t xml:space="preserve"> overt-opportunism. But there is an open call to review the basic understanding of buyer’s opportunism with guile which is insidious and has negative consequences to the suppliers</w:t>
      </w:r>
      <w:r w:rsidR="0073388D">
        <w:t xml:space="preserve"> (Kelly </w:t>
      </w:r>
      <w:r w:rsidR="0073388D" w:rsidRPr="00753B04">
        <w:rPr>
          <w:i/>
          <w:iCs/>
        </w:rPr>
        <w:t>et al</w:t>
      </w:r>
      <w:r w:rsidR="0073388D">
        <w:t xml:space="preserve">., 2018). </w:t>
      </w:r>
    </w:p>
    <w:p w14:paraId="65514A09" w14:textId="02AA3010" w:rsidR="00D226EF" w:rsidRPr="001C45D7" w:rsidRDefault="00D226EF" w:rsidP="00566B02">
      <w:pPr>
        <w:pStyle w:val="BodyText"/>
      </w:pPr>
      <w:r w:rsidRPr="001C45D7">
        <w:t>Scholars</w:t>
      </w:r>
      <w:r w:rsidR="00FA6558" w:rsidRPr="001C45D7">
        <w:t xml:space="preserve"> </w:t>
      </w:r>
      <w:r w:rsidRPr="001C45D7">
        <w:t>have</w:t>
      </w:r>
      <w:r w:rsidR="00FA6558" w:rsidRPr="001C45D7">
        <w:t xml:space="preserve"> </w:t>
      </w:r>
      <w:r w:rsidRPr="001C45D7">
        <w:t>identified</w:t>
      </w:r>
      <w:r w:rsidR="00FA6558" w:rsidRPr="001C45D7">
        <w:t xml:space="preserve"> </w:t>
      </w:r>
      <w:r w:rsidRPr="001C45D7">
        <w:t>various</w:t>
      </w:r>
      <w:r w:rsidR="00FA6558" w:rsidRPr="001C45D7">
        <w:t xml:space="preserve"> </w:t>
      </w:r>
      <w:r w:rsidRPr="001C45D7">
        <w:t>drivers</w:t>
      </w:r>
      <w:r w:rsidR="00FA6558" w:rsidRPr="001C45D7">
        <w:t xml:space="preserve"> </w:t>
      </w:r>
      <w:r w:rsidRPr="001C45D7">
        <w:t>of</w:t>
      </w:r>
      <w:r w:rsidR="00FA6558" w:rsidRPr="001C45D7">
        <w:t xml:space="preserve"> </w:t>
      </w:r>
      <w:r w:rsidRPr="001C45D7">
        <w:t>partner</w:t>
      </w:r>
      <w:r w:rsidR="00FA6558" w:rsidRPr="001C45D7">
        <w:t xml:space="preserve"> </w:t>
      </w:r>
      <w:r w:rsidRPr="001C45D7">
        <w:t>opportunism</w:t>
      </w:r>
      <w:r w:rsidR="00124AD3" w:rsidRPr="001C45D7">
        <w:t>,</w:t>
      </w:r>
      <w:r w:rsidR="00FA6558" w:rsidRPr="001C45D7">
        <w:t xml:space="preserve"> </w:t>
      </w:r>
      <w:r w:rsidRPr="001C45D7">
        <w:t>such</w:t>
      </w:r>
      <w:r w:rsidR="00FA6558" w:rsidRPr="001C45D7">
        <w:t xml:space="preserve"> </w:t>
      </w:r>
      <w:r w:rsidRPr="001C45D7">
        <w:t>as</w:t>
      </w:r>
      <w:r w:rsidR="004C4367" w:rsidRPr="001C45D7">
        <w:t>:</w:t>
      </w:r>
      <w:r w:rsidR="00FA6558" w:rsidRPr="001C45D7">
        <w:t xml:space="preserve"> </w:t>
      </w:r>
      <w:r w:rsidR="003F2868" w:rsidRPr="001C45D7">
        <w:t xml:space="preserve">(1) </w:t>
      </w:r>
      <w:r w:rsidRPr="001C45D7">
        <w:t>uncertainty</w:t>
      </w:r>
      <w:r w:rsidR="00FA6558" w:rsidRPr="001C45D7">
        <w:t xml:space="preserve"> </w:t>
      </w:r>
      <w:r w:rsidR="00CF745F" w:rsidRPr="001C45D7">
        <w:fldChar w:fldCharType="begin" w:fldLock="1"/>
      </w:r>
      <w:r w:rsidR="00433778" w:rsidRPr="001C45D7">
        <w:instrText>ADDIN CSL_CITATION {"citationItems":[{"id":"ITEM-1","itemData":{"DOI":"10.1016/j.jbusvent.2005.02.003","ISSN":"08839026","abstract":"SME leaders with R&amp;D alliances face significant challenges in balancing the need for resource acquisition in the innovation process and the potential for opportunistic behavior by alliance partners. This study, utilizing a sample of 456 SMEs from eight countries, examines how the resource capacity of the SME and the institutional environment are related to the perceptions that owners and managers have about the opportunistic behavior of alliance partners. The results suggest that firm size moderates the relationship between the technological munificence and the predominant culture of the domestic market of the SME and concerns about the opportunistic behavior of an SME alliance partner. © 2005 Elsevier Inc. All rights reserved.","author":[{"dropping-particle":"","family":"Dickson","given":"Pat H.","non-dropping-particle":"","parse-names":false,"suffix":""},{"dropping-particle":"","family":"Weaver","given":"K. Mark","non-dropping-particle":"","parse-names":false,"suffix":""},{"dropping-particle":"","family":"Hoy","given":"Frank","non-dropping-particle":"","parse-names":false,"suffix":""}],"container-title":"Journal of Business Venturing","id":"ITEM-1","issue":"4","issued":{"date-parts":[["2006","7","1"]]},"page":"487-513","publisher":"Elsevier","title":"Opportunism in the R&amp;D alliances of SMES: The roles of the institutional environment and SME size","type":"article-journal","volume":"21"},"uris":["http://www.mendeley.com/documents/?uuid=b56281e2-d479-346d-8153-acd0cf4d6021"]},{"id":"ITEM-2","itemData":{"DOI":"10.1002/(sici)1097-0266(199708)18:7&lt;535::aid-smj885&gt;3.3.co;2-q","ISSN":"01432095","abstract":"This study of automotive transaction relationships in the U.S.A. and Japan offers data which indicate that transaction costs do not necessarily increase with an increase in relation-specific investments. We empirically examine the conditions under which transactors can simultaneously achieve the twin benefits of high asset specificity and low transaction costs. This is possible because the different safeguards which can be employed to control opportunism have different set-up costs and result in different transaction costs over different time horizons. We examine in detail the practices of Japanese firms which result in effective interfirm collaboration. © 1997 by John Wiley &amp; Sons, Ltd.","author":[{"dropping-particle":"","family":"Dyer","given":"Jeffrey H.","non-dropping-particle":"","parse-names":false,"suffix":""}],"container-title":"Strategic Management Journal","id":"ITEM-2","issue":"7","issued":{"date-parts":[["1997"]]},"page":"535-556","title":"Effective interfirm collaboration: How firms minimize transaction costs and maximize transaction value","type":"article-journal","volume":"18"},"uris":["http://www.mendeley.com/documents/?uuid=4cdc9579-35ad-3cc8-b9a3-dc6cfe1645a6"]},{"id":"ITEM-3","itemData":{"DOI":"10.1002/smj.249","ISSN":"01432095","abstract":"Relational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Journal","id":"ITEM-3","issue":"8","issued":{"date-parts":[["2002","8"]]},"page":"707-725","title":"Do formal contracts and relational governance function as substitutes or complements?","type":"article-journal","volume":"23"},"uris":["http://www.mendeley.com/documents/?uuid=0f5b4bc5-de16-3976-800b-d5afcee477cc"]},{"id":"ITEM-4","itemData":{"DOI":"10.1177/0092070399273001","ISSN":"00920703","abstract":"Prior research provides evidence that manufacturer investment of specific assets dedicated to a particular supplier (manufacturer asset specificity) is an antecedent of joint action in manufacturer-supplier relationships. The authors build on prior research to identify several variables that moderate the effect of manufacturer asset specificity on joint action. Drawing from transaction cost analysis and relational exchange theory, the authors propose a conceptual model that explicates the moderating role of three contextual variables: specific asset investments by the supplier (reciprocal asset investments), manufacturer decision-making uncertainty, and manufacturer trust in the supplier. Consistent with their hypotheses, results from a survey affirms in three SIC codes show that decision-making uncertainty and trust enhance the effect of manufacturer asset specificity on joint action. Contrary to expectation, however, the moderating effect of reciprocal asset investments was not significant. Theoretical and managerial implications of the results are discussed. Copyright © 1999 by Academy of Marketing Science.","author":[{"dropping-particle":"","family":"Joshi","given":"Ashwin W.","non-dropping-particle":"","parse-names":false,"suffix":""},{"dropping-particle":"","family":"Stump","given":"Rodney L.","non-dropping-particle":"","parse-names":false,"suffix":""}],"container-title":"Journal of the Academy of Marketing Science","id":"ITEM-4","issue":"3","issued":{"date-parts":[["1999"]]},"page":"291-305","publisher":"Springer New York LLC","title":"The contingent effect of specific asset investments on joint action in manufacturer-supplier relationships: An empirical test of the moderating role of reciprocal asset investments, uncertainty, and trust","type":"article-journal","volume":"27"},"uris":["http://www.mendeley.com/documents/?uuid=17b5032d-b7f6-375c-99c8-9e02ee59cb87"]},{"id":"ITEM-5","itemData":{"DOI":"10.1016/S0167-2681(97)00082-6","ISSN":"01672681","abstract":"This study examines the determinants of inter-organizational trust by using survey data from over 1000 suppliers in the automotive industry. Drawing on transaction cost economics, game theory and sociological exchange theory, we define trust and derive a model of its determinants. Regression analysis results indicate that determinants of trust are different from determinants of opportunism. US-Japanese differences are found in three respects: (i) the way trust is conceptualised by suppliers is more complex in Japan than in the US; (ii) the level of trust is higher in Japan than in the US; and (iii) the factors facilitating trust and those attenuating opportunism differ in the US and Japan.","author":[{"dropping-particle":"","family":"Sako","given":"Mari","non-dropping-particle":"","parse-names":false,"suffix":""},{"dropping-particle":"","family":"Helper","given":"Susan","non-dropping-particle":"","parse-names":false,"suffix":""}],"container-title":"Journal of Economic Behavior and Organization","id":"ITEM-5","issue":"3","issued":{"date-parts":[["1998","3","1"]]},"page":"387-417","publisher":"Elsevier","title":"Determinants of trust in supplier relations: Evidence from the automotive industry in Japan and the United States","type":"article-journal","volume":"34"},"uris":["http://www.mendeley.com/documents/?uuid=1e548169-0943-3e3c-896f-6545912fd369"]}],"mendeley":{"formattedCitation":"(Dickson &lt;i&gt;et al.&lt;/i&gt;, 2006; Dyer, 1997; Joshi and Stump, 1999; Poppo and Zenger, 2002; Sako and Helper, 1998)","manualFormatting":"(Dyer, 1997; Poppo and Zenger, 2002; Dickson et al., 2006)","plainTextFormattedCitation":"(Dickson et al., 2006; Dyer, 1997; Joshi and Stump, 1999; Poppo and Zenger, 2002; Sako and Helper, 1998)","previouslyFormattedCitation":"(Dickson &lt;i&gt;et al.&lt;/i&gt;, 2006; Dyer, 1997; Joshi and Stump, 1999; Poppo and Zenger, 2002; Sako and Helper, 1998)"},"properties":{"noteIndex":0},"schema":"https://github.com/citation-style-language/schema/raw/master/csl-citation.json"}</w:instrText>
      </w:r>
      <w:r w:rsidR="00CF745F" w:rsidRPr="001C45D7">
        <w:fldChar w:fldCharType="separate"/>
      </w:r>
      <w:r w:rsidR="00881C19" w:rsidRPr="001C45D7">
        <w:rPr>
          <w:noProof/>
        </w:rPr>
        <w:t>(Dyer,</w:t>
      </w:r>
      <w:r w:rsidR="00FA6558" w:rsidRPr="001C45D7">
        <w:rPr>
          <w:noProof/>
        </w:rPr>
        <w:t xml:space="preserve"> </w:t>
      </w:r>
      <w:r w:rsidR="00881C19" w:rsidRPr="001C45D7">
        <w:rPr>
          <w:noProof/>
        </w:rPr>
        <w:t>1997;</w:t>
      </w:r>
      <w:r w:rsidR="00FA6558" w:rsidRPr="001C45D7">
        <w:rPr>
          <w:noProof/>
        </w:rPr>
        <w:t xml:space="preserve"> </w:t>
      </w:r>
      <w:r w:rsidR="00881C19" w:rsidRPr="001C45D7">
        <w:rPr>
          <w:noProof/>
        </w:rPr>
        <w:t>Poppo</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Zenger,</w:t>
      </w:r>
      <w:r w:rsidR="00FA6558" w:rsidRPr="001C45D7">
        <w:rPr>
          <w:noProof/>
        </w:rPr>
        <w:t xml:space="preserve"> </w:t>
      </w:r>
      <w:r w:rsidR="00881C19" w:rsidRPr="001C45D7">
        <w:rPr>
          <w:noProof/>
        </w:rPr>
        <w:t>2002;</w:t>
      </w:r>
      <w:r w:rsidR="00FA6558" w:rsidRPr="001C45D7">
        <w:rPr>
          <w:noProof/>
        </w:rPr>
        <w:t xml:space="preserve"> </w:t>
      </w:r>
      <w:r w:rsidR="00CF745F" w:rsidRPr="001C45D7">
        <w:fldChar w:fldCharType="end"/>
      </w:r>
      <w:r w:rsidR="00FA6558" w:rsidRPr="001C45D7">
        <w:t xml:space="preserve"> </w:t>
      </w:r>
      <w:r w:rsidR="003F2868" w:rsidRPr="001C45D7">
        <w:t>(2)</w:t>
      </w:r>
      <w:r w:rsidR="00366677" w:rsidRPr="001C45D7">
        <w:t xml:space="preserve"> </w:t>
      </w:r>
      <w:r w:rsidRPr="001C45D7">
        <w:t>asset</w:t>
      </w:r>
      <w:r w:rsidR="00FA6558" w:rsidRPr="001C45D7">
        <w:t xml:space="preserve"> </w:t>
      </w:r>
      <w:r w:rsidRPr="001C45D7">
        <w:t>specification</w:t>
      </w:r>
      <w:r w:rsidR="00FA6558" w:rsidRPr="001C45D7">
        <w:t xml:space="preserve"> </w:t>
      </w:r>
      <w:r w:rsidR="00CF745F" w:rsidRPr="001C45D7">
        <w:fldChar w:fldCharType="begin" w:fldLock="1"/>
      </w:r>
      <w:r w:rsidR="00916D0D" w:rsidRPr="001C45D7">
        <w:instrText>ADDIN CSL_CITATION {"citationItems":[{"id":"ITEM-1","itemData":{"DOI":"10.1002/smj.249","ISSN":"01432095","abstract":"Relational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Journal","id":"ITEM-1","issue":"8","issued":{"date-parts":[["2002","8"]]},"page":"707-725","title":"Do formal contracts and relational governance function as substitutes or complements?","type":"article-journal","volume":"23"},"uris":["http://www.mendeley.com/documents/?uuid=0f5b4bc5-de16-3976-800b-d5afcee477cc"]},{"id":"ITEM-2","itemData":{"DOI":"10.1016/j.jbusvent.2005.02.003","ISSN":"08839026","abstract":"SME leaders with R&amp;D alliances face significant challenges in balancing the need for resource acquisition in the innovation process and the potential for opportunistic behavior by alliance partners. This study, utilizing a sample of 456 SMEs from eight countries, examines how the resource capacity of the SME and the institutional environment are related to the perceptions that owners and managers have about the opportunistic behavior of alliance partners. The results suggest that firm size moderates the relationship between the technological munificence and the predominant culture of the domestic market of the SME and concerns about the opportunistic behavior of an SME alliance partner. © 2005 Elsevier Inc. All rights reserved.","author":[{"dropping-particle":"","family":"Dickson","given":"Pat H.","non-dropping-particle":"","parse-names":false,"suffix":""},{"dropping-particle":"","family":"Weaver","given":"K. Mark","non-dropping-particle":"","parse-names":false,"suffix":""},{"dropping-particle":"","family":"Hoy","given":"Frank","non-dropping-particle":"","parse-names":false,"suffix":""}],"container-title":"Journal of Business Venturing","id":"ITEM-2","issue":"4","issued":{"date-parts":[["2006","7","1"]]},"page":"487-513","publisher":"Elsevier","title":"Opportunism in the R&amp;D alliances of SMES: The roles of the institutional environment and SME size","type":"article-journal","volume":"21"},"uris":["http://www.mendeley.com/documents/?uuid=b56281e2-d479-346d-8153-acd0cf4d6021"]},{"id":"ITEM-3","itemData":{"DOI":"10.1002/(sici)1097-0266(199708)18:7&lt;535::aid-smj885&gt;3.3.co;2-q","ISSN":"01432095","abstract":"This study of automotive transaction relationships in the U.S.A. and Japan offers data which indicate that transaction costs do not necessarily increase with an increase in relation-specific investments. We empirically examine the conditions under which transactors can simultaneously achieve the twin benefits of high asset specificity and low transaction costs. This is possible because the different safeguards which can be employed to control opportunism have different set-up costs and result in different transaction costs over different time horizons. We examine in detail the practices of Japanese firms which result in effective interfirm collaboration. © 1997 by John Wiley &amp; Sons, Ltd.","author":[{"dropping-particle":"","family":"Dyer","given":"Jeffrey H.","non-dropping-particle":"","parse-names":false,"suffix":""}],"container-title":"Strategic Management Journal","id":"ITEM-3","issue":"7","issued":{"date-parts":[["1997"]]},"page":"535-556","title":"Effective interfirm collaboration: How firms minimize transaction costs and maximize transaction value","type":"article-journal","volume":"18"},"uris":["http://www.mendeley.com/documents/?uuid=4cdc9579-35ad-3cc8-b9a3-dc6cfe1645a6"]},{"id":"ITEM-4","itemData":{"author":[{"dropping-particle":"","family":"Artz","given":"Kendall W","non-dropping-particle":"","parse-names":false,"suffix":""},{"dropping-particle":"","family":"Brush","given":"Thomas H","non-dropping-particle":"","parse-names":false,"suffix":""}],"container-title":"Journal of Economic Behavior &amp; Organization","id":"ITEM-4","issue":"4","issued":{"date-parts":[["2000"]]},"page":"337-362","title":"Asset specificity, uncertainty and relational norms: an examination of coordination costs in collaborative strategic alliances","type":"article-journal","volume":"41"},"uris":["http://www.mendeley.com/documents/?uuid=96474597-8154-467e-84db-dd7566d76f27"]}],"mendeley":{"formattedCitation":"(Artz and Brush, 2000; Dickson &lt;i&gt;et al.&lt;/i&gt;, 2006; Dyer, 1997; Poppo and Zenger, 2002)","manualFormatting":"(Dyer, 1997; Artz and Brush, 2000; Poppo and Zenger, 2002; Dickson et al., 2006)","plainTextFormattedCitation":"(Artz and Brush, 2000; Dickson et al., 2006; Dyer, 1997; Poppo and Zenger, 2002)","previouslyFormattedCitation":"(Artz and Brush, 2000; Dickson &lt;i&gt;et al.&lt;/i&gt;, 2006; Dyer, 1997; Poppo and Zenger, 2002)"},"properties":{"noteIndex":0},"schema":"https://github.com/citation-style-language/schema/raw/master/csl-citation.json"}</w:instrText>
      </w:r>
      <w:r w:rsidR="00CF745F" w:rsidRPr="001C45D7">
        <w:fldChar w:fldCharType="separate"/>
      </w:r>
      <w:r w:rsidR="00881C19" w:rsidRPr="001C45D7">
        <w:rPr>
          <w:noProof/>
        </w:rPr>
        <w:t>(Dyer,</w:t>
      </w:r>
      <w:r w:rsidR="00FA6558" w:rsidRPr="001C45D7">
        <w:rPr>
          <w:noProof/>
        </w:rPr>
        <w:t xml:space="preserve"> </w:t>
      </w:r>
      <w:r w:rsidR="00881C19" w:rsidRPr="001C45D7">
        <w:rPr>
          <w:noProof/>
        </w:rPr>
        <w:t>1997;</w:t>
      </w:r>
      <w:r w:rsidR="00FA6558" w:rsidRPr="001C45D7">
        <w:rPr>
          <w:noProof/>
        </w:rPr>
        <w:t xml:space="preserve"> </w:t>
      </w:r>
      <w:r w:rsidR="00881C19" w:rsidRPr="001C45D7">
        <w:rPr>
          <w:noProof/>
        </w:rPr>
        <w:t>Artz</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Brush,</w:t>
      </w:r>
      <w:r w:rsidR="00FA6558" w:rsidRPr="001C45D7">
        <w:rPr>
          <w:noProof/>
        </w:rPr>
        <w:t xml:space="preserve"> </w:t>
      </w:r>
      <w:r w:rsidR="00881C19" w:rsidRPr="001C45D7">
        <w:rPr>
          <w:noProof/>
        </w:rPr>
        <w:t>2000;</w:t>
      </w:r>
      <w:r w:rsidR="00FA6558" w:rsidRPr="001C45D7">
        <w:rPr>
          <w:noProof/>
        </w:rPr>
        <w:t xml:space="preserve"> </w:t>
      </w:r>
      <w:r w:rsidR="00881C19" w:rsidRPr="001C45D7">
        <w:rPr>
          <w:noProof/>
        </w:rPr>
        <w:t>Poppo</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Zenger,</w:t>
      </w:r>
      <w:r w:rsidR="00FA6558" w:rsidRPr="001C45D7">
        <w:rPr>
          <w:noProof/>
        </w:rPr>
        <w:t xml:space="preserve"> </w:t>
      </w:r>
      <w:r w:rsidR="00881C19" w:rsidRPr="001C45D7">
        <w:rPr>
          <w:noProof/>
        </w:rPr>
        <w:t>2002;</w:t>
      </w:r>
      <w:r w:rsidR="00FA6558" w:rsidRPr="001C45D7">
        <w:rPr>
          <w:noProof/>
        </w:rPr>
        <w:t xml:space="preserve"> </w:t>
      </w:r>
      <w:r w:rsidR="00CF745F" w:rsidRPr="001C45D7">
        <w:fldChar w:fldCharType="end"/>
      </w:r>
      <w:r w:rsidR="003F2868" w:rsidRPr="001C45D7">
        <w:t xml:space="preserve"> (3) </w:t>
      </w:r>
      <w:r w:rsidRPr="001C45D7">
        <w:t>information</w:t>
      </w:r>
      <w:r w:rsidR="00FA6558" w:rsidRPr="001C45D7">
        <w:t xml:space="preserve"> </w:t>
      </w:r>
      <w:r w:rsidRPr="001C45D7">
        <w:t>asymmetry</w:t>
      </w:r>
      <w:r w:rsidR="00FA6558" w:rsidRPr="001C45D7">
        <w:t xml:space="preserve"> </w:t>
      </w:r>
      <w:r w:rsidR="00CF745F" w:rsidRPr="001C45D7">
        <w:fldChar w:fldCharType="begin" w:fldLock="1"/>
      </w:r>
      <w:r w:rsidR="00433778" w:rsidRPr="001C45D7">
        <w:instrText>ADDIN CSL_CITATION {"citationItems":[{"id":"ITEM-1","itemData":{"DOI":"10.1007/s10869-009-9132-2","ISSN":"08893268","abstract":"Purpose: We present a comprehensive framework of the key determinants of partner opportunism in strategic alliances. Design/methodology/approach: We propose an extended definition of partner opportunism and three categories of the determinants of partner opportunism based on a review of the literature. These categories comprise economic factors (equity involvement, asymmetric alliance-specific investments, mutual hostages, and payoff inequity), relational factors (cultural diversity and goal incompatibilities), and temporal factors (alliance horizon and pressures for quick results). Findings: The framework of determinants makes clear how the various determinants of partner opportunism may be differentially salient in the three major alliance types, namely, equity joint ventures, minority equity alliances, and nonequity alliances. Implications: Based on the framework, a number of propositions are developed to facilitate empirical research on partner opportunism. Managerial implications flowing from the proposed framework are also discussed. Originality/value: Although scholars in various disciplines have studied the general topic of opportunistic behavior, our understanding of partner opportunism in strategic alliances appears to be fragmented and inadequate. As partner opportunism is acknowledged as a significant threat to alliance survival and success, a comprehensive framework of the key determinants of such opportunism should improve our understanding of this phenomenon and to also provide an impetus for future research. The article also responds to the need of alliance managers for a framework of key factors that are responsible for partner opportunism so that they may be able to deploy appropriate deterrence mechanisms to minimize opportunistic behaviors. © Springer Science+Business Media, LLC 2009.","author":[{"dropping-particle":"","family":"Das","given":"T K","non-dropping-particle":"","parse-names":false,"suffix":""},{"dropping-particle":"","family":"Rahman","given":"Noushi","non-dropping-particle":"","parse-names":false,"suffix":""}],"container-title":"Journal of Business and Psychology","id":"ITEM-1","issue":"1","issued":{"date-parts":[["2010"]]},"page":"55-74","title":"Determinants of partner opportunism in strategic alliances: A conceptual Framework","type":"article-journal","volume":"25"},"uris":["http://www.mendeley.com/documents/?uuid=f10bd911-261c-3f99-92bd-1796ca01fbea"]},{"id":"ITEM-2","itemData":{"DOI":"10.1509/jmkg.64.4.36.18070","ISSN":"00222429","abstract":"Much of the recent literature on interfirm relationships has focused on strategies for controlling opportunism. Somewhat surprisingly, little attention has been paid in this literature to the opportunism construct itself. Specifically, prior research has failed to recognize the different types of behavior that are hidden behind the general opportunism label. As a consequence, the knowledge of strategies for managing opportunism remains incomplete. The authors review the original and emergent conceptualizations of opportunism and illustrate them using actual industry cases. The authors also develop a conceptual framework of governance strategies that can be used to manage different forms of opportunism.","author":[{"dropping-particle":"","family":"Wathne","given":"Kenneth H.","non-dropping-particle":"","parse-names":false,"suffix":""},{"dropping-particle":"","family":"Heide","given":"Jan B.","non-dropping-particle":"","parse-names":false,"suffix":""}],"container-title":"Journal of Marketing","id":"ITEM-2","issue":"4","issued":{"date-parts":[["2000"]]},"page":"36-51","publisher":"American Marketing Association","title":"Opportunism in interfirm relationships: Forms, outcomes, and solutions","type":"article-journal","volume":"64"},"uris":["http://www.mendeley.com/documents/?uuid=80dc6877-4f46-3116-b6d7-3af239bd0b0b"]},{"id":"ITEM-3","itemData":{"DOI":"10.1287/orsc.14.1.45.12811","abstract":"Please scroll down for article-it is on subsequent pages With 12,500 members from nearly 90 countries, INFORMS is the largest international association of operations research (O.R.) and analytics professionals and students. INFORMS provides unique networking and learning opportunities for individual professionals, and organizations of all types and sizes, to better understand and use O.R. and analytics tools and methods to transform strategic visions and achieve better outcomes. For more information on INFORMS, its publications, membership, or meetings visit","author":[{"dropping-particle":"","family":"Carson","given":"Stephen J","non-dropping-particle":"","parse-names":false,"suffix":""},{"dropping-particle":"","family":"Madhok","given":"Anoop","non-dropping-particle":"","parse-names":false,"suffix":""},{"dropping-particle":"","family":"Varman","given":"Rohit","non-dropping-particle":"","parse-names":false,"suffix":""},{"dropping-particle":"","family":"John","given":"George","non-dropping-particle":"","parse-names":false,"suffix":""}],"container-title":"Organization Science","id":"ITEM-3","issue":"1","issued":{"date-parts":[["2003"]]},"page":"45-56","publisher":"Institute for Operations Research and Management Sciences","title":"Information Processing Moderators of the Effectiveness of Trust-Based Governance in Interfirm R&amp;D Collaboration","type":"article-journal","volume":"14"},"uris":["http://www.mendeley.com/documents/?uuid=efde160d-84a5-35b4-bc5a-b0f0408808f5"]}],"mendeley":{"formattedCitation":"(Carson &lt;i&gt;et al.&lt;/i&gt;, 2003; Das and Rahman, 2010; Wathne and Heide, 2000)","manualFormatting":"(Carson et al., 2003; Wathne and Heide, 2000)","plainTextFormattedCitation":"(Carson et al., 2003; Das and Rahman, 2010; Wathne and Heide, 2000)","previouslyFormattedCitation":"(Carson &lt;i&gt;et al.&lt;/i&gt;, 2003; Das and Rahman, 2010; Wathne and Heide, 2000)"},"properties":{"noteIndex":0},"schema":"https://github.com/citation-style-language/schema/raw/master/csl-citation.json"}</w:instrText>
      </w:r>
      <w:r w:rsidR="00CF745F" w:rsidRPr="001C45D7">
        <w:fldChar w:fldCharType="separate"/>
      </w:r>
      <w:r w:rsidR="004A2B48" w:rsidRPr="001C45D7">
        <w:rPr>
          <w:noProof/>
        </w:rPr>
        <w:t xml:space="preserve">(Carson </w:t>
      </w:r>
      <w:r w:rsidR="004A2B48" w:rsidRPr="001C45D7">
        <w:rPr>
          <w:i/>
          <w:noProof/>
        </w:rPr>
        <w:t>et al.</w:t>
      </w:r>
      <w:r w:rsidR="004A2B48" w:rsidRPr="001C45D7">
        <w:rPr>
          <w:noProof/>
        </w:rPr>
        <w:t>, 2003)</w:t>
      </w:r>
      <w:r w:rsidR="00CF745F" w:rsidRPr="001C45D7">
        <w:fldChar w:fldCharType="end"/>
      </w:r>
      <w:r w:rsidR="007B6F1E" w:rsidRPr="001C45D7">
        <w:t>;</w:t>
      </w:r>
      <w:r w:rsidR="00FA6558" w:rsidRPr="001C45D7">
        <w:t xml:space="preserve"> </w:t>
      </w:r>
      <w:r w:rsidRPr="001C45D7">
        <w:t>and</w:t>
      </w:r>
      <w:r w:rsidR="00FA6558" w:rsidRPr="001C45D7">
        <w:t xml:space="preserve"> </w:t>
      </w:r>
      <w:r w:rsidR="003F2868" w:rsidRPr="001C45D7">
        <w:t xml:space="preserve">(4) </w:t>
      </w:r>
      <w:r w:rsidRPr="001C45D7">
        <w:t>dependence</w:t>
      </w:r>
      <w:r w:rsidR="00FA6558" w:rsidRPr="001C45D7">
        <w:t xml:space="preserve"> </w:t>
      </w:r>
      <w:r w:rsidR="00CF745F" w:rsidRPr="001C45D7">
        <w:fldChar w:fldCharType="begin" w:fldLock="1"/>
      </w:r>
      <w:r w:rsidR="00433778" w:rsidRPr="001C45D7">
        <w:instrText>ADDIN CSL_CITATION {"citationItems":[{"id":"ITEM-1","itemData":{"DOI":"10.1177/002224379503200309","ISSN":"0022-2437","abstract":"Channels research has consistently argued that asymmetric channel relationships are more dysfunctional than those characterized by symmetric interdependence. The authors propose that the degree of ...","author":[{"dropping-particle":"","family":"Kumar","given":"Nirmalya","non-dropping-particle":"","parse-names":false,"suffix":""},{"dropping-particle":"","family":"Scheer","given":"Lisa K.","non-dropping-particle":"","parse-names":false,"suffix":""},{"dropping-particle":"","family":"Steenkamp","given":"Jan-Benedict E. M.","non-dropping-particle":"","parse-names":false,"suffix":""}],"container-title":"Journal of Marketing Research","id":"ITEM-1","issue":"3","issued":{"date-parts":[["1995","8"]]},"page":"348-356","publisher":"SAGE Publications","title":"The Effects of Perceived Interdependence on Dealer Attitudes","type":"article-journal","volume":"32"},"uris":["http://www.mendeley.com/documents/?uuid=f091783d-7d90-3eaf-bd14-335656e6d5d7"]},{"id":"ITEM-2","itemData":{"DOI":"10.1111/j.1467-6486.1996.tb00163.x","ISSN":"00222380","abstract":"This paper is concerned with exploring the degree to which industry structure determines firm performance. Most of the business policy literature follows Porter in arguing that industry structure has an important influence on firm level profit rates. The arguments contained in this paper take a counter position. It is argued that a plausible alternative to the hypothesis that industry structure matters is the hypothesis that (holding demand constant) individual firm differences are the most important determinant of firm profitability.","author":[{"dropping-particle":"","family":"Hill","given":"Charles W.L.","non-dropping-particle":"","parse-names":false,"suffix":""},{"dropping-particle":"","family":"Deeds","given":"David L.","non-dropping-particle":"","parse-names":false,"suffix":""}],"container-title":"Journal of Management Studies","id":"ITEM-2","issue":"4","issued":{"date-parts":[["1996"]]},"page":"429-451","publisher":"Blackwell Publishing Ltd","title":"The importance of industry structure for the determination of firm profitability: A neo-Austrian perspective","type":"article-journal","volume":"33"},"uris":["http://www.mendeley.com/documents/?uuid=f2a238b3-cd1d-3ca9-82d2-cfaec7cba052"]},{"id":"ITEM-3","itemData":{"DOI":"10.1177/0092070399273001","ISSN":"00920703","abstract":"Prior research provides evidence that manufacturer investment of specific assets dedicated to a particular supplier (manufacturer asset specificity) is an antecedent of joint action in manufacturer-supplier relationships. The authors build on prior research to identify several variables that moderate the effect of manufacturer asset specificity on joint action. Drawing from transaction cost analysis and relational exchange theory, the authors propose a conceptual model that explicates the moderating role of three contextual variables: specific asset investments by the supplier (reciprocal asset investments), manufacturer decision-making uncertainty, and manufacturer trust in the supplier. Consistent with their hypotheses, results from a survey affirms in three SIC codes show that decision-making uncertainty and trust enhance the effect of manufacturer asset specificity on joint action. Contrary to expectation, however, the moderating effect of reciprocal asset investments was not significant. Theoretical and managerial implications of the results are discussed. Copyright © 1999 by Academy of Marketing Science.","author":[{"dropping-particle":"","family":"Joshi","given":"Ashwin W.","non-dropping-particle":"","parse-names":false,"suffix":""},{"dropping-particle":"","family":"Stump","given":"Rodney L.","non-dropping-particle":"","parse-names":false,"suffix":""}],"container-title":"Journal of the Academy of Marketing Science","id":"ITEM-3","issue":"3","issued":{"date-parts":[["1999"]]},"page":"291-305","publisher":"Springer New York LLC","title":"The contingent effect of specific asset investments on joint action in manufacturer-supplier relationships: An empirical test of the moderating role of reciprocal asset investments, uncertainty, and trust","type":"article-journal","volume":"27"},"uris":["http://www.mendeley.com/documents/?uuid=17b5032d-b7f6-375c-99c8-9e02ee59cb87"]},{"id":"ITEM-4","itemData":{"DOI":"10.5465/256427","ISSN":"0001-4273","abstract":"This study examines Williamson’s (1975) concept of opportunism in relations between farm and power equipment dealers and their primary supplier organization. Results from a national survey generally support hypotheses predicting that dealer opportunism will be negatively related to dealer dependence on a primary supplier and positively related to supplier control over dealer decisions.","author":[{"dropping-particle":"","family":"Provan","given":"Keith G.","non-dropping-particle":"","parse-names":false,"suffix":""},{"dropping-particle":"","family":"Skinner","given":"Steven J.","non-dropping-particle":"","parse-names":false,"suffix":""}],"container-title":"Academy of Management Journal","id":"ITEM-4","issue":"1","issued":{"date-parts":[["1989","3"]]},"page":"202-212","publisher":"Academy of Management","title":"Interorganizational Dependence and Control as Predictors of Opportunism in Dealer-Supplier Relations","type":"article-journal","volume":"32"},"uris":["http://www.mendeley.com/documents/?uuid=6495a7b4-ed35-4364-8ddc-c68e1ff80bfe"]}],"mendeley":{"formattedCitation":"(Hill and Deeds, 1996; Joshi and Stump, 1999; Kumar &lt;i&gt;et al.&lt;/i&gt;, 1995; Provan and Skinner, 1989)","manualFormatting":"(Provan and Skinner, 1989; Kumar et al., 1995; Hill and Deeds, 1996)","plainTextFormattedCitation":"(Hill and Deeds, 1996; Joshi and Stump, 1999; Kumar et al., 1995; Provan and Skinner, 1989)","previouslyFormattedCitation":"(Hill and Deeds, 1996; Joshi and Stump, 1999; Kumar &lt;i&gt;et al.&lt;/i&gt;, 1995; Provan and Skinner, 1989)"},"properties":{"noteIndex":0},"schema":"https://github.com/citation-style-language/schema/raw/master/csl-citation.json"}</w:instrText>
      </w:r>
      <w:r w:rsidR="00CF745F" w:rsidRPr="001C45D7">
        <w:fldChar w:fldCharType="separate"/>
      </w:r>
      <w:r w:rsidR="00881C19" w:rsidRPr="001C45D7">
        <w:rPr>
          <w:noProof/>
        </w:rPr>
        <w:t>(Provan</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Skinner,</w:t>
      </w:r>
      <w:r w:rsidR="00FA6558" w:rsidRPr="001C45D7">
        <w:rPr>
          <w:noProof/>
        </w:rPr>
        <w:t xml:space="preserve"> </w:t>
      </w:r>
      <w:r w:rsidR="00881C19" w:rsidRPr="001C45D7">
        <w:rPr>
          <w:noProof/>
        </w:rPr>
        <w:t>1989;</w:t>
      </w:r>
      <w:r w:rsidR="00FA6558" w:rsidRPr="001C45D7">
        <w:rPr>
          <w:noProof/>
        </w:rPr>
        <w:t xml:space="preserve"> </w:t>
      </w:r>
      <w:r w:rsidR="00881C19" w:rsidRPr="001C45D7">
        <w:rPr>
          <w:noProof/>
        </w:rPr>
        <w:t>Kumar</w:t>
      </w:r>
      <w:r w:rsidR="00366677" w:rsidRPr="001C45D7">
        <w:rPr>
          <w:noProof/>
        </w:rPr>
        <w:t xml:space="preserve"> </w:t>
      </w:r>
      <w:r w:rsidR="00127185" w:rsidRPr="001C45D7">
        <w:rPr>
          <w:rFonts w:eastAsiaTheme="minorEastAsia" w:hint="eastAsia"/>
          <w:i/>
          <w:noProof/>
          <w:lang w:eastAsia="ko-KR"/>
        </w:rPr>
        <w:t>et al.</w:t>
      </w:r>
      <w:r w:rsidR="00881C19" w:rsidRPr="001C45D7">
        <w:rPr>
          <w:noProof/>
        </w:rPr>
        <w:t>,</w:t>
      </w:r>
      <w:r w:rsidR="00FA6558" w:rsidRPr="001C45D7">
        <w:rPr>
          <w:noProof/>
        </w:rPr>
        <w:t xml:space="preserve"> </w:t>
      </w:r>
      <w:r w:rsidR="00881C19" w:rsidRPr="001C45D7">
        <w:rPr>
          <w:noProof/>
        </w:rPr>
        <w:t>1995;</w:t>
      </w:r>
      <w:r w:rsidR="00FA6558" w:rsidRPr="001C45D7">
        <w:rPr>
          <w:noProof/>
        </w:rPr>
        <w:t xml:space="preserve"> </w:t>
      </w:r>
      <w:r w:rsidR="00881C19" w:rsidRPr="001C45D7">
        <w:rPr>
          <w:noProof/>
        </w:rPr>
        <w:t>Hill</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Deeds,</w:t>
      </w:r>
      <w:r w:rsidR="00FA6558" w:rsidRPr="001C45D7">
        <w:rPr>
          <w:noProof/>
        </w:rPr>
        <w:t xml:space="preserve"> </w:t>
      </w:r>
      <w:r w:rsidR="00881C19" w:rsidRPr="001C45D7">
        <w:rPr>
          <w:noProof/>
        </w:rPr>
        <w:t>1996)</w:t>
      </w:r>
      <w:r w:rsidR="00CF745F" w:rsidRPr="001C45D7">
        <w:fldChar w:fldCharType="end"/>
      </w:r>
      <w:r w:rsidR="00CF745F" w:rsidRPr="001C45D7">
        <w:t>.</w:t>
      </w:r>
      <w:r w:rsidR="00FA6558" w:rsidRPr="001C45D7">
        <w:t xml:space="preserve"> </w:t>
      </w:r>
      <w:r w:rsidR="004135B5" w:rsidRPr="001C45D7">
        <w:t>D</w:t>
      </w:r>
      <w:r w:rsidRPr="001C45D7">
        <w:t>ependence,</w:t>
      </w:r>
      <w:r w:rsidR="00FA6558" w:rsidRPr="001C45D7">
        <w:t xml:space="preserve"> </w:t>
      </w:r>
      <w:r w:rsidRPr="001C45D7">
        <w:t>which</w:t>
      </w:r>
      <w:r w:rsidR="00FA6558" w:rsidRPr="001C45D7">
        <w:t xml:space="preserve"> </w:t>
      </w:r>
      <w:r w:rsidRPr="001C45D7">
        <w:t>is</w:t>
      </w:r>
      <w:r w:rsidR="00FA6558" w:rsidRPr="001C45D7">
        <w:t xml:space="preserve"> </w:t>
      </w:r>
      <w:r w:rsidRPr="001C45D7">
        <w:t>the</w:t>
      </w:r>
      <w:r w:rsidR="00FA6558" w:rsidRPr="001C45D7">
        <w:t xml:space="preserve"> </w:t>
      </w:r>
      <w:r w:rsidRPr="001C45D7">
        <w:t>main</w:t>
      </w:r>
      <w:r w:rsidR="00FA6558" w:rsidRPr="001C45D7">
        <w:t xml:space="preserve"> </w:t>
      </w:r>
      <w:r w:rsidRPr="001C45D7">
        <w:t>focus</w:t>
      </w:r>
      <w:r w:rsidR="00FA6558" w:rsidRPr="001C45D7">
        <w:t xml:space="preserve"> </w:t>
      </w:r>
      <w:r w:rsidRPr="001C45D7">
        <w:t>of</w:t>
      </w:r>
      <w:r w:rsidR="00FA6558" w:rsidRPr="001C45D7">
        <w:t xml:space="preserve"> </w:t>
      </w:r>
      <w:r w:rsidRPr="001C45D7">
        <w:t>this</w:t>
      </w:r>
      <w:r w:rsidR="00FA6558" w:rsidRPr="001C45D7">
        <w:t xml:space="preserve"> </w:t>
      </w:r>
      <w:r w:rsidRPr="001C45D7">
        <w:t>paper,</w:t>
      </w:r>
      <w:r w:rsidR="00FA6558" w:rsidRPr="001C45D7">
        <w:t xml:space="preserve"> </w:t>
      </w:r>
      <w:r w:rsidRPr="001C45D7">
        <w:t>refers</w:t>
      </w:r>
      <w:r w:rsidR="00FA6558" w:rsidRPr="001C45D7">
        <w:t xml:space="preserve"> </w:t>
      </w:r>
      <w:r w:rsidRPr="001C45D7">
        <w:t>to</w:t>
      </w:r>
      <w:r w:rsidR="00FA6558" w:rsidRPr="001C45D7">
        <w:t xml:space="preserve"> </w:t>
      </w:r>
      <w:r w:rsidR="004C4367" w:rsidRPr="001C45D7">
        <w:t xml:space="preserve">a firm’s </w:t>
      </w:r>
      <w:r w:rsidRPr="001C45D7">
        <w:t>need</w:t>
      </w:r>
      <w:r w:rsidR="00FA6558" w:rsidRPr="001C45D7">
        <w:t xml:space="preserve"> </w:t>
      </w:r>
      <w:r w:rsidRPr="001C45D7">
        <w:t>to</w:t>
      </w:r>
      <w:r w:rsidR="00FA6558" w:rsidRPr="001C45D7">
        <w:t xml:space="preserve"> </w:t>
      </w:r>
      <w:r w:rsidRPr="001C45D7">
        <w:t>maintain</w:t>
      </w:r>
      <w:r w:rsidR="00FA6558" w:rsidRPr="001C45D7">
        <w:t xml:space="preserve"> </w:t>
      </w:r>
      <w:r w:rsidRPr="001C45D7">
        <w:t>relationships</w:t>
      </w:r>
      <w:r w:rsidR="00FA6558" w:rsidRPr="001C45D7">
        <w:t xml:space="preserve"> </w:t>
      </w:r>
      <w:r w:rsidRPr="001C45D7">
        <w:t>with</w:t>
      </w:r>
      <w:r w:rsidR="00FA6558" w:rsidRPr="001C45D7">
        <w:t xml:space="preserve"> </w:t>
      </w:r>
      <w:r w:rsidRPr="001C45D7">
        <w:t>other</w:t>
      </w:r>
      <w:r w:rsidR="00FA6558" w:rsidRPr="001C45D7">
        <w:t xml:space="preserve"> </w:t>
      </w:r>
      <w:r w:rsidRPr="001C45D7">
        <w:t>firms</w:t>
      </w:r>
      <w:r w:rsidR="00FA6558" w:rsidRPr="001C45D7">
        <w:t xml:space="preserve"> </w:t>
      </w:r>
      <w:r w:rsidRPr="001C45D7">
        <w:t>in</w:t>
      </w:r>
      <w:r w:rsidR="00FA6558" w:rsidRPr="001C45D7">
        <w:t xml:space="preserve"> </w:t>
      </w:r>
      <w:r w:rsidRPr="001C45D7">
        <w:t>order</w:t>
      </w:r>
      <w:r w:rsidR="00FA6558" w:rsidRPr="001C45D7">
        <w:t xml:space="preserve"> </w:t>
      </w:r>
      <w:r w:rsidRPr="001C45D7">
        <w:t>to</w:t>
      </w:r>
      <w:r w:rsidR="00FA6558" w:rsidRPr="001C45D7">
        <w:t xml:space="preserve"> </w:t>
      </w:r>
      <w:r w:rsidRPr="001C45D7">
        <w:t>achieve</w:t>
      </w:r>
      <w:r w:rsidR="00FA6558" w:rsidRPr="001C45D7">
        <w:t xml:space="preserve"> </w:t>
      </w:r>
      <w:r w:rsidRPr="001C45D7">
        <w:t>its</w:t>
      </w:r>
      <w:r w:rsidR="00FA6558" w:rsidRPr="001C45D7">
        <w:t xml:space="preserve"> </w:t>
      </w:r>
      <w:r w:rsidRPr="001C45D7">
        <w:t>goals</w:t>
      </w:r>
      <w:r w:rsidR="00FA6558" w:rsidRPr="001C45D7">
        <w:t xml:space="preserve"> </w:t>
      </w:r>
      <w:r w:rsidR="00CF745F" w:rsidRPr="001C45D7">
        <w:fldChar w:fldCharType="begin" w:fldLock="1"/>
      </w:r>
      <w:r w:rsidR="00E47D16" w:rsidRPr="001C45D7">
        <w:instrText>ADDIN CSL_CITATION {"citationItems":[{"id":"ITEM-1","itemData":{"DOI":"10.2307/2089716","ISSN":"00031224","abstract":"A simple theory of power relations is developed in an effort to resolve some of the ambiguities surrounding \"power,\" \"authority,\" \"legitimacy,\" and power \"structures,\" through bringing them together in a coherent scheme. After defining a reciprocal power-dependence relation, attention is focused upon properties of balance and \"balancing operations\" in such relations. The theory dictates exactly four generic types of balancing process, and discussion of these leads directly into processes of group formation, including the emergence of group norms, role structure and status hierarchy, all presented as the outcome of balancing tendencies in power relations. Within the framework of this theory, authority appears quite naturally to be legitimized power, vested in roles, and \"legitimation\" is seen as a special case of the coalition process through which norms and role-prescriptions are formed. Finally, through treating both persons and groups as actors in a power-network (two or more connected power-dependence relations) the door is opened for meaningful analysis of complex power structures. Brief reference is made to findings from two experiments pertaining to hypotheses advanced in this theory.","author":[{"dropping-particle":"","family":"Emerson","given":"Richard M.","non-dropping-particle":"","parse-names":false,"suffix":""}],"container-title":"American Sociological Review","id":"ITEM-1","issue":"1","issued":{"date-parts":[["1962","2"]]},"page":"31","publisher":"SAGE Publications","title":"Power-Dependence Relations","type":"article-journal","volume":"27"},"uris":["http://www.mendeley.com/documents/?uuid=d0dc5402-6fc9-3cb1-b66d-6542d8f67e8c"]},{"id":"ITEM-2","itemData":{"DOI":"10.1177/002224379503200309","ISSN":"0022-2437","abstract":"Channels research has consistently argued that asymmetric channel relationships are more dysfunctional than those characterized by symmetric interdependence. The authors propose that the degree of ...","author":[{"dropping-particle":"","family":"Kumar","given":"Nirmalya","non-dropping-particle":"","parse-names":false,"suffix":""},{"dropping-particle":"","family":"Scheer","given":"Lisa K.","non-dropping-particle":"","parse-names":false,"suffix":""},{"dropping-particle":"","family":"Steenkamp","given":"Jan-Benedict E. M.","non-dropping-particle":"","parse-names":false,"suffix":""}],"container-title":"Journal of Marketing Research","id":"ITEM-2","issue":"3","issued":{"date-parts":[["1995","8"]]},"page":"348-356","publisher":"SAGE Publications","title":"The Effects of Perceived Interdependence on Dealer Attitudes","type":"article-journal","volume":"32"},"uris":["http://www.mendeley.com/documents/?uuid=f091783d-7d90-3eaf-bd14-335656e6d5d7"]}],"mendeley":{"formattedCitation":"(Emerson, 1962; Kumar &lt;i&gt;et al.&lt;/i&gt;, 1995)","manualFormatting":"(Emerson, 1962; Kumar et al., 1995)","plainTextFormattedCitation":"(Emerson, 1962; Kumar et al., 1995)","previouslyFormattedCitation":"(Emerson, 1962; Kumar &lt;i&gt;et al.&lt;/i&gt;, 1995)"},"properties":{"noteIndex":0},"schema":"https://github.com/citation-style-language/schema/raw/master/csl-citation.json"}</w:instrText>
      </w:r>
      <w:r w:rsidR="00CF745F" w:rsidRPr="001C45D7">
        <w:fldChar w:fldCharType="separate"/>
      </w:r>
      <w:r w:rsidR="00881C19" w:rsidRPr="001C45D7">
        <w:rPr>
          <w:noProof/>
        </w:rPr>
        <w:t>(Emerson,</w:t>
      </w:r>
      <w:r w:rsidR="00FA6558" w:rsidRPr="001C45D7">
        <w:rPr>
          <w:noProof/>
        </w:rPr>
        <w:t xml:space="preserve"> </w:t>
      </w:r>
      <w:r w:rsidR="00881C19" w:rsidRPr="001C45D7">
        <w:rPr>
          <w:noProof/>
        </w:rPr>
        <w:t>1962;</w:t>
      </w:r>
      <w:r w:rsidR="00FA6558" w:rsidRPr="001C45D7">
        <w:rPr>
          <w:noProof/>
        </w:rPr>
        <w:t xml:space="preserve"> </w:t>
      </w:r>
      <w:r w:rsidR="00881C19" w:rsidRPr="001C45D7">
        <w:rPr>
          <w:noProof/>
        </w:rPr>
        <w:t>Kumar</w:t>
      </w:r>
      <w:r w:rsidR="00916D0D" w:rsidRPr="001C45D7">
        <w:rPr>
          <w:noProof/>
        </w:rPr>
        <w:t xml:space="preserve"> </w:t>
      </w:r>
      <w:r w:rsidR="00127185" w:rsidRPr="001C45D7">
        <w:rPr>
          <w:rFonts w:eastAsiaTheme="minorEastAsia" w:hint="eastAsia"/>
          <w:i/>
          <w:noProof/>
          <w:lang w:eastAsia="ko-KR"/>
        </w:rPr>
        <w:t>et al.</w:t>
      </w:r>
      <w:r w:rsidR="00881C19" w:rsidRPr="001C45D7">
        <w:rPr>
          <w:noProof/>
        </w:rPr>
        <w:t>,</w:t>
      </w:r>
      <w:r w:rsidR="00FA6558" w:rsidRPr="001C45D7">
        <w:rPr>
          <w:noProof/>
        </w:rPr>
        <w:t xml:space="preserve"> </w:t>
      </w:r>
      <w:r w:rsidR="00881C19" w:rsidRPr="001C45D7">
        <w:rPr>
          <w:noProof/>
        </w:rPr>
        <w:t>1995)</w:t>
      </w:r>
      <w:r w:rsidR="00CF745F" w:rsidRPr="001C45D7">
        <w:fldChar w:fldCharType="end"/>
      </w:r>
      <w:r w:rsidRPr="001C45D7">
        <w:t>.</w:t>
      </w:r>
      <w:r w:rsidR="00FA6558" w:rsidRPr="001C45D7">
        <w:t xml:space="preserve"> </w:t>
      </w:r>
      <w:r w:rsidRPr="001C45D7">
        <w:t>As</w:t>
      </w:r>
      <w:r w:rsidR="00FA1176" w:rsidRPr="001C45D7">
        <w:t xml:space="preserve"> </w:t>
      </w:r>
      <w:r w:rsidRPr="001C45D7">
        <w:t>resource</w:t>
      </w:r>
      <w:r w:rsidR="00FA6558" w:rsidRPr="001C45D7">
        <w:t xml:space="preserve"> </w:t>
      </w:r>
      <w:r w:rsidRPr="001C45D7">
        <w:t>dependence</w:t>
      </w:r>
      <w:r w:rsidR="00FA6558" w:rsidRPr="001C45D7">
        <w:t xml:space="preserve"> </w:t>
      </w:r>
      <w:r w:rsidRPr="001C45D7">
        <w:t>theory</w:t>
      </w:r>
      <w:r w:rsidR="00FA6558" w:rsidRPr="001C45D7">
        <w:t xml:space="preserve"> </w:t>
      </w:r>
      <w:r w:rsidRPr="001C45D7">
        <w:t>postulates,</w:t>
      </w:r>
      <w:r w:rsidR="00FA6558" w:rsidRPr="001C45D7">
        <w:t xml:space="preserve"> </w:t>
      </w:r>
      <w:r w:rsidR="00E66B3E" w:rsidRPr="001C45D7">
        <w:t xml:space="preserve">the </w:t>
      </w:r>
      <w:r w:rsidRPr="001C45D7">
        <w:t>survival</w:t>
      </w:r>
      <w:r w:rsidR="00FA6558" w:rsidRPr="001C45D7">
        <w:t xml:space="preserve"> </w:t>
      </w:r>
      <w:r w:rsidRPr="001C45D7">
        <w:t>of</w:t>
      </w:r>
      <w:r w:rsidR="00FA6558" w:rsidRPr="001C45D7">
        <w:t xml:space="preserve"> </w:t>
      </w:r>
      <w:r w:rsidRPr="001C45D7">
        <w:t>a</w:t>
      </w:r>
      <w:r w:rsidR="00FA6558" w:rsidRPr="001C45D7">
        <w:t xml:space="preserve"> </w:t>
      </w:r>
      <w:r w:rsidRPr="001C45D7">
        <w:t>firm</w:t>
      </w:r>
      <w:r w:rsidR="00FA6558" w:rsidRPr="001C45D7">
        <w:t xml:space="preserve"> </w:t>
      </w:r>
      <w:r w:rsidRPr="001C45D7">
        <w:t>is</w:t>
      </w:r>
      <w:r w:rsidR="00FA6558" w:rsidRPr="001C45D7">
        <w:t xml:space="preserve"> </w:t>
      </w:r>
      <w:r w:rsidRPr="001C45D7">
        <w:t>often</w:t>
      </w:r>
      <w:r w:rsidR="00FA6558" w:rsidRPr="001C45D7">
        <w:t xml:space="preserve"> </w:t>
      </w:r>
      <w:r w:rsidRPr="001C45D7">
        <w:t>dependent</w:t>
      </w:r>
      <w:r w:rsidR="00FA6558" w:rsidRPr="001C45D7">
        <w:t xml:space="preserve"> </w:t>
      </w:r>
      <w:r w:rsidRPr="001C45D7">
        <w:t>on</w:t>
      </w:r>
      <w:r w:rsidR="00FA6558" w:rsidRPr="001C45D7">
        <w:t xml:space="preserve"> </w:t>
      </w:r>
      <w:r w:rsidRPr="001C45D7">
        <w:t>its</w:t>
      </w:r>
      <w:r w:rsidR="00FA6558" w:rsidRPr="001C45D7">
        <w:t xml:space="preserve"> </w:t>
      </w:r>
      <w:r w:rsidRPr="001C45D7">
        <w:t>ability</w:t>
      </w:r>
      <w:r w:rsidR="00FA6558" w:rsidRPr="001C45D7">
        <w:t xml:space="preserve"> </w:t>
      </w:r>
      <w:r w:rsidRPr="001C45D7">
        <w:t>to</w:t>
      </w:r>
      <w:r w:rsidR="00FA6558" w:rsidRPr="001C45D7">
        <w:t xml:space="preserve"> </w:t>
      </w:r>
      <w:r w:rsidRPr="001C45D7">
        <w:t>secure</w:t>
      </w:r>
      <w:r w:rsidR="00FA6558" w:rsidRPr="001C45D7">
        <w:t xml:space="preserve"> </w:t>
      </w:r>
      <w:r w:rsidRPr="001C45D7">
        <w:t>critical</w:t>
      </w:r>
      <w:r w:rsidR="00FA6558" w:rsidRPr="001C45D7">
        <w:t xml:space="preserve"> </w:t>
      </w:r>
      <w:r w:rsidRPr="001C45D7">
        <w:t>resource</w:t>
      </w:r>
      <w:r w:rsidR="000D6179" w:rsidRPr="001C45D7">
        <w:t>s</w:t>
      </w:r>
      <w:r w:rsidR="00FA6558" w:rsidRPr="001C45D7">
        <w:t xml:space="preserve"> </w:t>
      </w:r>
      <w:r w:rsidRPr="001C45D7">
        <w:t>from</w:t>
      </w:r>
      <w:r w:rsidR="00FA6558" w:rsidRPr="001C45D7">
        <w:t xml:space="preserve"> </w:t>
      </w:r>
      <w:r w:rsidRPr="001C45D7">
        <w:t>other</w:t>
      </w:r>
      <w:r w:rsidR="00FA6558" w:rsidRPr="001C45D7">
        <w:t xml:space="preserve"> </w:t>
      </w:r>
      <w:r w:rsidRPr="001C45D7">
        <w:t>firms</w:t>
      </w:r>
      <w:r w:rsidR="00FA6558" w:rsidRPr="001C45D7">
        <w:t xml:space="preserve"> </w:t>
      </w:r>
      <w:r w:rsidR="00CF745F" w:rsidRPr="001C45D7">
        <w:fldChar w:fldCharType="begin" w:fldLock="1"/>
      </w:r>
      <w:r w:rsidR="004A2B48" w:rsidRPr="001C45D7">
        <w:instrText>ADDIN CSL_CITATION {"citationItems":[{"id":"ITEM-1","itemData":{"ISBN":"0060451939","abstract":"The External Control of Organizations explores how external constraints affect organizations and provides insights for designing and managing organizations to mitigate these constraints. All organizations are dependent on the environment for their survival. As the authors contend, it is the fact of the organizations dependence on the environment that makes the external constraint and control of organizational behavior both possible and almost inevitable. Organizations can either try to change their environments through political means or form interorganizational relationships to control or absorb uncertainty. This seminal book established the resource dependence approach that has informed so many other important organization theories.","author":[{"dropping-particle":"","family":"Pfeffer","given":"Jeffrey","non-dropping-particle":"","parse-names":false,"suffix":""},{"dropping-particle":"","family":"Salancik","given":"Gerald R","non-dropping-particle":"","parse-names":false,"suffix":""}],"id":"ITEM-1","issued":{"date-parts":[["1978"]]},"publisher":"Harper &amp; Row","publisher-place":"New York","title":"The External Control of Organizations: A Resource Dependence Perspective","type":"book"},"uris":["http://www.mendeley.com/documents/?uuid=ff182e2d-9024-41b7-8ce5-d847863e836c"]},{"id":"ITEM-2","itemData":{"DOI":"10.2189/asqu.2005.50.2.167","ISSN":"00018392","abstract":"Despite ubiquitous references to Pfeffer and Salancik's classic volume, The External Control of Organizations, resource dependence theory is more of an appealing metaphor than a foundation for testable empirical research. We argue that several ambiguities in the resource dependence model account in part for this and propose a reformulation of resource dependence theory that addresses these ambiguities, yields novel predictions and findings, and reconciles them with seemingly contradictory empirical evidence from past studies. We identify two distinct theoretical dimensions of resource dependence, power imbalance and mutual dependence, which in the original theory were combined in the construct of interdependence and yet have opposite effects on an organization's ability to reduce dependencies by absorbing sources of external constraint. Results from a study of interindustry mergers and acquisitions among U.S. public companies in the period 1985-2000 indicate that, while mutual dependence is a key driver of mergers and acquisitions, power imbalance acts as an obstacle to their formation. We conclude that our reformulation of the resource dependence model contributes to realizing the potential of resource dependency as a powerful explanation of interorganizational action. © 2005 by Johnson Graduate School, Cornell University.","author":[{"dropping-particle":"","family":"Casciaro","given":"Tiziana","non-dropping-particle":"","parse-names":false,"suffix":""},{"dropping-particle":"","family":"Piskorski","given":"Mikołaj Jan","non-dropping-particle":"","parse-names":false,"suffix":""}],"container-title":"Administrative Science Quarterly","id":"ITEM-2","issue":"2","issued":{"date-parts":[["2005"]]},"page":"167-199","publisher":"Cornell University","title":"Power imbalance, mutual dependence, and constraint absorption: A closer look at resource dependence theory","type":"article","volume":"50"},"uris":["http://www.mendeley.com/documents/?uuid=6fcb4993-8549-3859-9d14-20403f9cfab5"]}],"mendeley":{"formattedCitation":"(Casciaro and Piskorski, 2005; Pfeffer and Salancik, 1978)","plainTextFormattedCitation":"(Casciaro and Piskorski, 2005; Pfeffer and Salancik, 1978)","previouslyFormattedCitation":"(Casciaro and Piskorski, 2005; Pfeffer and Salancik, 1978)"},"properties":{"noteIndex":0},"schema":"https://github.com/citation-style-language/schema/raw/master/csl-citation.json"}</w:instrText>
      </w:r>
      <w:r w:rsidR="00CF745F" w:rsidRPr="001C45D7">
        <w:fldChar w:fldCharType="separate"/>
      </w:r>
      <w:r w:rsidR="004A2B48" w:rsidRPr="001C45D7">
        <w:rPr>
          <w:noProof/>
        </w:rPr>
        <w:t>(Casciaro and Piskorski, 2005; Pfeffer and Salancik, 1978)</w:t>
      </w:r>
      <w:r w:rsidR="00CF745F" w:rsidRPr="001C45D7">
        <w:fldChar w:fldCharType="end"/>
      </w:r>
      <w:r w:rsidRPr="001C45D7">
        <w:t>.</w:t>
      </w:r>
      <w:r w:rsidR="00FA6558" w:rsidRPr="001C45D7">
        <w:t xml:space="preserve"> </w:t>
      </w:r>
      <w:r w:rsidR="00CF745F" w:rsidRPr="001C45D7">
        <w:fldChar w:fldCharType="begin" w:fldLock="1"/>
      </w:r>
      <w:r w:rsidR="00CF745F" w:rsidRPr="001C45D7">
        <w:instrText>ADDIN CSL_CITATION {"citationItems":[{"id":"ITEM-1","itemData":{"DOI":"10.1016/0048-7333(86)90027-2","ISSN":"00487333","abstract":"This paper attempts to explain why innovating firms often fail to obtain significant economic returns from an innovation, while customers, imitators and other industry participants benefit Business strategy - particularly as it relates to the firm's decision to integrate and collaborate - is shown to be an important factor. The paper demonstrates that when imitation is easy, markets don't work well, and the profits from innovation may accrue to the owners of certain complementary assets, rather than to the developers of the intellectual property. This speaks to the need, in certain cases, for the innovating firm to establish a prior position in these complementary assets. The paper also indicates that innovators with new products and processes which provide value to consumers may sometimes be so ill positioned in the market that they necessarily will fail. The analysis provides a theoretical foundation for the proposition that manufacturing often matters, particularly to innovating nations. Innovating firms without the requisite manufacturing and related capacities may die, even though they are the best at innovation. Implications for trade policy and domestic economic policy are examined. © 1986.","author":[{"dropping-particle":"","family":"Teece","given":"David J.","non-dropping-particle":"","parse-names":false,"suffix":""}],"container-title":"Research Policy","id":"ITEM-1","issue":"6","issued":{"date-parts":[["1986","12","1"]]},"page":"285-305","publisher":"North-Holland","title":"Profiting from technological innovation: Implications for integration, collaboration, licensing and public policy","type":"article-journal","volume":"15"},"uris":["http://www.mendeley.com/documents/?uuid=ce26624c-3f55-3d42-b3ff-42f6ebd084b6"]}],"mendeley":{"formattedCitation":"(Teece, 1986)","manualFormatting":"Teece (1986)","plainTextFormattedCitation":"(Teece, 1986)","previouslyFormattedCitation":"(Teece, 1986)"},"properties":{"noteIndex":0},"schema":"https://github.com/citation-style-language/schema/raw/master/csl-citation.json"}</w:instrText>
      </w:r>
      <w:r w:rsidR="00CF745F" w:rsidRPr="001C45D7">
        <w:fldChar w:fldCharType="separate"/>
      </w:r>
      <w:r w:rsidR="00CF745F" w:rsidRPr="001C45D7">
        <w:rPr>
          <w:noProof/>
        </w:rPr>
        <w:t>Teece</w:t>
      </w:r>
      <w:r w:rsidR="00FA6558" w:rsidRPr="001C45D7">
        <w:rPr>
          <w:noProof/>
        </w:rPr>
        <w:t xml:space="preserve"> </w:t>
      </w:r>
      <w:r w:rsidR="00CF745F" w:rsidRPr="001C45D7">
        <w:rPr>
          <w:noProof/>
        </w:rPr>
        <w:t>(1986)</w:t>
      </w:r>
      <w:r w:rsidR="00CF745F" w:rsidRPr="001C45D7">
        <w:fldChar w:fldCharType="end"/>
      </w:r>
      <w:r w:rsidR="00FA6558" w:rsidRPr="001C45D7">
        <w:t xml:space="preserve"> </w:t>
      </w:r>
      <w:r w:rsidRPr="001C45D7">
        <w:t>suggested</w:t>
      </w:r>
      <w:r w:rsidR="00FA6558" w:rsidRPr="001C45D7">
        <w:t xml:space="preserve"> </w:t>
      </w:r>
      <w:r w:rsidRPr="001C45D7">
        <w:t>that</w:t>
      </w:r>
      <w:r w:rsidR="00FA6558" w:rsidRPr="001C45D7">
        <w:t xml:space="preserve"> </w:t>
      </w:r>
      <w:r w:rsidRPr="001C45D7">
        <w:t>when</w:t>
      </w:r>
      <w:r w:rsidR="00FA6558" w:rsidRPr="001C45D7">
        <w:t xml:space="preserve"> </w:t>
      </w:r>
      <w:r w:rsidRPr="001C45D7">
        <w:t>interactions</w:t>
      </w:r>
      <w:r w:rsidR="00FA6558" w:rsidRPr="001C45D7">
        <w:t xml:space="preserve"> </w:t>
      </w:r>
      <w:r w:rsidRPr="001C45D7">
        <w:t>between</w:t>
      </w:r>
      <w:r w:rsidR="00FA6558" w:rsidRPr="001C45D7">
        <w:t xml:space="preserve"> </w:t>
      </w:r>
      <w:r w:rsidRPr="001C45D7">
        <w:t>parties</w:t>
      </w:r>
      <w:r w:rsidR="00FA6558" w:rsidRPr="001C45D7">
        <w:t xml:space="preserve"> </w:t>
      </w:r>
      <w:r w:rsidRPr="001C45D7">
        <w:t>are</w:t>
      </w:r>
      <w:r w:rsidR="00FA6558" w:rsidRPr="001C45D7">
        <w:t xml:space="preserve"> </w:t>
      </w:r>
      <w:r w:rsidRPr="001C45D7">
        <w:t>maintained</w:t>
      </w:r>
      <w:r w:rsidR="00FA6558" w:rsidRPr="001C45D7">
        <w:t xml:space="preserve"> </w:t>
      </w:r>
      <w:r w:rsidR="00CF4CC2" w:rsidRPr="001C45D7">
        <w:t xml:space="preserve">over </w:t>
      </w:r>
      <w:r w:rsidRPr="001C45D7">
        <w:t>a</w:t>
      </w:r>
      <w:r w:rsidR="00FA6558" w:rsidRPr="001C45D7">
        <w:t xml:space="preserve"> </w:t>
      </w:r>
      <w:r w:rsidRPr="001C45D7">
        <w:t>prolong</w:t>
      </w:r>
      <w:r w:rsidR="004C4367" w:rsidRPr="001C45D7">
        <w:t>ed</w:t>
      </w:r>
      <w:r w:rsidR="00FA6558" w:rsidRPr="001C45D7">
        <w:t xml:space="preserve"> </w:t>
      </w:r>
      <w:r w:rsidRPr="001C45D7">
        <w:t>period</w:t>
      </w:r>
      <w:r w:rsidR="00FA6558" w:rsidRPr="001C45D7">
        <w:t xml:space="preserve"> </w:t>
      </w:r>
      <w:r w:rsidRPr="001C45D7">
        <w:t>of</w:t>
      </w:r>
      <w:r w:rsidR="00FA6558" w:rsidRPr="001C45D7">
        <w:t xml:space="preserve"> </w:t>
      </w:r>
      <w:r w:rsidRPr="001C45D7">
        <w:t>time,</w:t>
      </w:r>
      <w:r w:rsidR="00FA6558" w:rsidRPr="001C45D7">
        <w:t xml:space="preserve"> </w:t>
      </w:r>
      <w:r w:rsidRPr="001C45D7">
        <w:t>both</w:t>
      </w:r>
      <w:r w:rsidR="00FA6558" w:rsidRPr="001C45D7">
        <w:t xml:space="preserve"> </w:t>
      </w:r>
      <w:r w:rsidRPr="001C45D7">
        <w:t>parties</w:t>
      </w:r>
      <w:r w:rsidR="00FA6558" w:rsidRPr="001C45D7">
        <w:t xml:space="preserve"> </w:t>
      </w:r>
      <w:r w:rsidRPr="001C45D7">
        <w:t>may</w:t>
      </w:r>
      <w:r w:rsidR="00FA6558" w:rsidRPr="001C45D7">
        <w:t xml:space="preserve"> </w:t>
      </w:r>
      <w:r w:rsidRPr="001C45D7">
        <w:t>become</w:t>
      </w:r>
      <w:r w:rsidR="00FA6558" w:rsidRPr="001C45D7">
        <w:t xml:space="preserve"> </w:t>
      </w:r>
      <w:r w:rsidRPr="001C45D7">
        <w:t>dependent</w:t>
      </w:r>
      <w:r w:rsidR="00FA6558" w:rsidRPr="001C45D7">
        <w:t xml:space="preserve"> </w:t>
      </w:r>
      <w:r w:rsidRPr="001C45D7">
        <w:t>on</w:t>
      </w:r>
      <w:r w:rsidR="00FA6558" w:rsidRPr="001C45D7">
        <w:t xml:space="preserve"> </w:t>
      </w:r>
      <w:r w:rsidRPr="001C45D7">
        <w:t>each</w:t>
      </w:r>
      <w:r w:rsidR="00FA6558" w:rsidRPr="001C45D7">
        <w:t xml:space="preserve"> </w:t>
      </w:r>
      <w:r w:rsidRPr="001C45D7">
        <w:t>other,</w:t>
      </w:r>
      <w:r w:rsidR="00FA6558" w:rsidRPr="001C45D7">
        <w:t xml:space="preserve"> </w:t>
      </w:r>
      <w:r w:rsidRPr="001C45D7">
        <w:t>entering</w:t>
      </w:r>
      <w:r w:rsidR="00FA6558" w:rsidRPr="001C45D7">
        <w:t xml:space="preserve"> </w:t>
      </w:r>
      <w:r w:rsidRPr="001C45D7">
        <w:t>the</w:t>
      </w:r>
      <w:r w:rsidR="00FA6558" w:rsidRPr="001C45D7">
        <w:t xml:space="preserve"> </w:t>
      </w:r>
      <w:r w:rsidRPr="001C45D7">
        <w:t>stage</w:t>
      </w:r>
      <w:r w:rsidR="00FA6558" w:rsidRPr="001C45D7">
        <w:t xml:space="preserve"> </w:t>
      </w:r>
      <w:r w:rsidRPr="001C45D7">
        <w:t>of</w:t>
      </w:r>
      <w:r w:rsidR="00FA6558" w:rsidRPr="001C45D7">
        <w:t xml:space="preserve"> </w:t>
      </w:r>
      <w:r w:rsidRPr="001C45D7">
        <w:t>bilateral</w:t>
      </w:r>
      <w:r w:rsidR="00FA6558" w:rsidRPr="001C45D7">
        <w:t xml:space="preserve"> </w:t>
      </w:r>
      <w:r w:rsidRPr="001C45D7">
        <w:t>dependence.</w:t>
      </w:r>
      <w:r w:rsidR="00FA6558" w:rsidRPr="001C45D7">
        <w:t xml:space="preserve"> </w:t>
      </w:r>
      <w:r w:rsidRPr="001C45D7">
        <w:t>When</w:t>
      </w:r>
      <w:r w:rsidR="00FA6558" w:rsidRPr="001C45D7">
        <w:t xml:space="preserve"> </w:t>
      </w:r>
      <w:r w:rsidRPr="001C45D7">
        <w:t>this</w:t>
      </w:r>
      <w:r w:rsidR="00FA6558" w:rsidRPr="001C45D7">
        <w:t xml:space="preserve"> </w:t>
      </w:r>
      <w:r w:rsidRPr="001C45D7">
        <w:t>happens,</w:t>
      </w:r>
      <w:r w:rsidR="00FA6558" w:rsidRPr="001C45D7">
        <w:t xml:space="preserve"> </w:t>
      </w:r>
      <w:r w:rsidRPr="001C45D7">
        <w:t>both</w:t>
      </w:r>
      <w:r w:rsidR="00FA6558" w:rsidRPr="001C45D7">
        <w:t xml:space="preserve"> </w:t>
      </w:r>
      <w:r w:rsidRPr="001C45D7">
        <w:t>parties</w:t>
      </w:r>
      <w:r w:rsidR="00FA6558" w:rsidRPr="001C45D7">
        <w:t xml:space="preserve"> </w:t>
      </w:r>
      <w:r w:rsidRPr="001C45D7">
        <w:t>would</w:t>
      </w:r>
      <w:r w:rsidR="00FA6558" w:rsidRPr="001C45D7">
        <w:t xml:space="preserve"> </w:t>
      </w:r>
      <w:r w:rsidRPr="001C45D7">
        <w:t>be</w:t>
      </w:r>
      <w:r w:rsidR="00FA6558" w:rsidRPr="001C45D7">
        <w:t xml:space="preserve"> </w:t>
      </w:r>
      <w:r w:rsidRPr="001C45D7">
        <w:t>more</w:t>
      </w:r>
      <w:r w:rsidR="00FA6558" w:rsidRPr="001C45D7">
        <w:t xml:space="preserve"> </w:t>
      </w:r>
      <w:r w:rsidRPr="001C45D7">
        <w:t>likely</w:t>
      </w:r>
      <w:r w:rsidR="00FA6558" w:rsidRPr="001C45D7">
        <w:t xml:space="preserve"> </w:t>
      </w:r>
      <w:r w:rsidRPr="001C45D7">
        <w:t>to</w:t>
      </w:r>
      <w:r w:rsidR="00FA6558" w:rsidRPr="001C45D7">
        <w:t xml:space="preserve"> </w:t>
      </w:r>
      <w:r w:rsidRPr="001C45D7">
        <w:t>refrain</w:t>
      </w:r>
      <w:r w:rsidR="00FA6558" w:rsidRPr="001C45D7">
        <w:t xml:space="preserve"> </w:t>
      </w:r>
      <w:r w:rsidRPr="001C45D7">
        <w:t>from</w:t>
      </w:r>
      <w:r w:rsidR="00FA6558" w:rsidRPr="001C45D7">
        <w:t xml:space="preserve"> </w:t>
      </w:r>
      <w:r w:rsidRPr="001C45D7">
        <w:t>behaving</w:t>
      </w:r>
      <w:r w:rsidR="00FA6558" w:rsidRPr="001C45D7">
        <w:t xml:space="preserve"> </w:t>
      </w:r>
      <w:r w:rsidRPr="001C45D7">
        <w:t>opportunistically</w:t>
      </w:r>
      <w:r w:rsidR="00CF4CC2" w:rsidRPr="001C45D7">
        <w:t>,</w:t>
      </w:r>
      <w:r w:rsidR="00FA6558" w:rsidRPr="001C45D7">
        <w:t xml:space="preserve"> </w:t>
      </w:r>
      <w:r w:rsidRPr="001C45D7">
        <w:t>since</w:t>
      </w:r>
      <w:r w:rsidR="00FA6558" w:rsidRPr="001C45D7">
        <w:t xml:space="preserve"> </w:t>
      </w:r>
      <w:r w:rsidRPr="001C45D7">
        <w:t>they</w:t>
      </w:r>
      <w:r w:rsidR="00FA6558" w:rsidRPr="001C45D7">
        <w:t xml:space="preserve"> </w:t>
      </w:r>
      <w:r w:rsidRPr="001C45D7">
        <w:t>have</w:t>
      </w:r>
      <w:r w:rsidR="00FA6558" w:rsidRPr="001C45D7">
        <w:t xml:space="preserve"> </w:t>
      </w:r>
      <w:r w:rsidRPr="001C45D7">
        <w:t>equivalent</w:t>
      </w:r>
      <w:r w:rsidR="00FA6558" w:rsidRPr="001C45D7">
        <w:t xml:space="preserve"> </w:t>
      </w:r>
      <w:r w:rsidRPr="001C45D7">
        <w:t>stakes</w:t>
      </w:r>
      <w:r w:rsidR="00FA6558" w:rsidRPr="001C45D7">
        <w:t xml:space="preserve"> </w:t>
      </w:r>
      <w:r w:rsidRPr="001C45D7">
        <w:t>in</w:t>
      </w:r>
      <w:r w:rsidR="00FA6558" w:rsidRPr="001C45D7">
        <w:t xml:space="preserve"> </w:t>
      </w:r>
      <w:r w:rsidRPr="001C45D7">
        <w:t>the</w:t>
      </w:r>
      <w:r w:rsidR="00FA6558" w:rsidRPr="001C45D7">
        <w:t xml:space="preserve"> </w:t>
      </w:r>
      <w:r w:rsidRPr="001C45D7">
        <w:t>relationship</w:t>
      </w:r>
      <w:r w:rsidR="00FA6558" w:rsidRPr="001C45D7">
        <w:t xml:space="preserve"> </w:t>
      </w:r>
      <w:r w:rsidR="00CF745F" w:rsidRPr="001C45D7">
        <w:fldChar w:fldCharType="begin" w:fldLock="1"/>
      </w:r>
      <w:r w:rsidR="004A2B48" w:rsidRPr="001C45D7">
        <w:instrText>ADDIN CSL_CITATION {"citationItems":[{"id":"ITEM-1","itemData":{"DOI":"10.1177/002224379503200309","ISSN":"0022-2437","abstract":"Channels research has consistently argued that asymmetric channel relationships are more dysfunctional than those characterized by symmetric interdependence. The authors propose that the degree of ...","author":[{"dropping-particle":"","family":"Kumar","given":"Nirmalya","non-dropping-particle":"","parse-names":false,"suffix":""},{"dropping-particle":"","family":"Scheer","given":"Lisa K.","non-dropping-particle":"","parse-names":false,"suffix":""},{"dropping-particle":"","family":"Steenkamp","given":"Jan-Benedict E. M.","non-dropping-particle":"","parse-names":false,"suffix":""}],"container-title":"Journal of Marketing Research","id":"ITEM-1","issue":"3","issued":{"date-parts":[["1995","8"]]},"page":"348-356","publisher":"SAGE Publications","title":"The Effects of Perceived Interdependence on Dealer Attitudes","type":"article-journal","volume":"32"},"uris":["http://www.mendeley.com/documents/?uuid=f091783d-7d90-3eaf-bd14-335656e6d5d7"]}],"mendeley":{"formattedCitation":"(Kumar &lt;i&gt;et al.&lt;/i&gt;, 1995)","manualFormatting":"(Kumar et al., 1995)","plainTextFormattedCitation":"(Kumar et al., 1995)","previouslyFormattedCitation":"(Kumar &lt;i&gt;et al.&lt;/i&gt;, 1995)"},"properties":{"noteIndex":0},"schema":"https://github.com/citation-style-language/schema/raw/master/csl-citation.json"}</w:instrText>
      </w:r>
      <w:r w:rsidR="00CF745F" w:rsidRPr="001C45D7">
        <w:fldChar w:fldCharType="separate"/>
      </w:r>
      <w:r w:rsidR="00881C19" w:rsidRPr="001C45D7">
        <w:rPr>
          <w:noProof/>
        </w:rPr>
        <w:t>(Kumar</w:t>
      </w:r>
      <w:r w:rsidR="004C4367" w:rsidRPr="001C45D7">
        <w:rPr>
          <w:noProof/>
        </w:rPr>
        <w:t xml:space="preserve"> </w:t>
      </w:r>
      <w:r w:rsidR="004C4367" w:rsidRPr="001C45D7">
        <w:rPr>
          <w:i/>
          <w:noProof/>
        </w:rPr>
        <w:t>et al</w:t>
      </w:r>
      <w:r w:rsidR="004C4367" w:rsidRPr="001C45D7">
        <w:rPr>
          <w:noProof/>
        </w:rPr>
        <w:t>.</w:t>
      </w:r>
      <w:r w:rsidR="00881C19" w:rsidRPr="001C45D7">
        <w:rPr>
          <w:noProof/>
        </w:rPr>
        <w:t>,</w:t>
      </w:r>
      <w:r w:rsidR="00FA6558" w:rsidRPr="001C45D7">
        <w:rPr>
          <w:noProof/>
        </w:rPr>
        <w:t xml:space="preserve"> </w:t>
      </w:r>
      <w:r w:rsidR="00881C19" w:rsidRPr="001C45D7">
        <w:rPr>
          <w:noProof/>
        </w:rPr>
        <w:t>1995)</w:t>
      </w:r>
      <w:r w:rsidR="00CF745F" w:rsidRPr="001C45D7">
        <w:fldChar w:fldCharType="end"/>
      </w:r>
      <w:r w:rsidR="004C4367" w:rsidRPr="001C45D7">
        <w:t>,</w:t>
      </w:r>
      <w:r w:rsidR="00FA6558" w:rsidRPr="001C45D7">
        <w:t xml:space="preserve"> </w:t>
      </w:r>
      <w:r w:rsidRPr="001C45D7">
        <w:t>and</w:t>
      </w:r>
      <w:r w:rsidR="00FA6558" w:rsidRPr="001C45D7">
        <w:t xml:space="preserve"> </w:t>
      </w:r>
      <w:r w:rsidRPr="001C45D7">
        <w:t>any</w:t>
      </w:r>
      <w:r w:rsidR="00FA6558" w:rsidRPr="001C45D7">
        <w:t xml:space="preserve"> </w:t>
      </w:r>
      <w:r w:rsidRPr="001C45D7">
        <w:t>conflict</w:t>
      </w:r>
      <w:r w:rsidR="00FA6558" w:rsidRPr="001C45D7">
        <w:t xml:space="preserve"> </w:t>
      </w:r>
      <w:r w:rsidRPr="001C45D7">
        <w:t>would</w:t>
      </w:r>
      <w:r w:rsidR="00FA6558" w:rsidRPr="001C45D7">
        <w:t xml:space="preserve"> </w:t>
      </w:r>
      <w:r w:rsidRPr="001C45D7">
        <w:t>inflict</w:t>
      </w:r>
      <w:r w:rsidR="00FA6558" w:rsidRPr="001C45D7">
        <w:t xml:space="preserve"> </w:t>
      </w:r>
      <w:r w:rsidRPr="001C45D7">
        <w:t>economic</w:t>
      </w:r>
      <w:r w:rsidR="00FA6558" w:rsidRPr="001C45D7">
        <w:t xml:space="preserve"> </w:t>
      </w:r>
      <w:r w:rsidRPr="001C45D7">
        <w:t>and</w:t>
      </w:r>
      <w:r w:rsidR="00FA6558" w:rsidRPr="001C45D7">
        <w:t xml:space="preserve"> </w:t>
      </w:r>
      <w:r w:rsidRPr="001C45D7">
        <w:t>relational</w:t>
      </w:r>
      <w:r w:rsidR="00FA6558" w:rsidRPr="001C45D7">
        <w:t xml:space="preserve"> </w:t>
      </w:r>
      <w:r w:rsidRPr="001C45D7">
        <w:t>damage</w:t>
      </w:r>
      <w:r w:rsidR="00FA6558" w:rsidRPr="001C45D7">
        <w:t xml:space="preserve"> </w:t>
      </w:r>
      <w:r w:rsidRPr="001C45D7">
        <w:t>for</w:t>
      </w:r>
      <w:r w:rsidR="00FA6558" w:rsidRPr="001C45D7">
        <w:t xml:space="preserve"> </w:t>
      </w:r>
      <w:r w:rsidRPr="001C45D7">
        <w:t>both</w:t>
      </w:r>
      <w:r w:rsidR="00FA6558" w:rsidRPr="001C45D7">
        <w:t xml:space="preserve"> </w:t>
      </w:r>
      <w:r w:rsidRPr="001C45D7">
        <w:t>parties</w:t>
      </w:r>
      <w:r w:rsidR="00FA6558" w:rsidRPr="001C45D7">
        <w:t xml:space="preserve"> </w:t>
      </w:r>
      <w:r w:rsidR="00CF745F" w:rsidRPr="001C45D7">
        <w:fldChar w:fldCharType="begin" w:fldLock="1"/>
      </w:r>
      <w:r w:rsidR="004A2B48" w:rsidRPr="001C45D7">
        <w:instrText>ADDIN CSL_CITATION {"citationItems":[{"id":"ITEM-1","itemData":{"DOI":"10.1177/002224299606000404","ISSN":"0022-2429","author":[{"dropping-particle":"","family":"Lusch","given":"Robert F.","non-dropping-particle":"","parse-names":false,"suffix":""},{"dropping-particle":"","family":"Brown","given":"James R.","non-dropping-particle":"","parse-names":false,"suffix":""}],"container-title":"Journal of Marketing","id":"ITEM-1","issue":"4","issued":{"date-parts":[["1996","10"]]},"page":"19-38","publisher":"SAGE Publications","title":"Interdependency, Contracting, and Relational Behavior in Marketing Channels","type":"article-journal","volume":"60"},"uris":["http://www.mendeley.com/documents/?uuid=09c52470-c38b-3c7d-ab21-3c4c4ceeb67e"]},{"id":"ITEM-2","itemData":{"DOI":"10.1007/s11747-007-0081-x","ISSN":"00920703","abstract":"The potential to engage in opportunism is a central theme in institutional economics, yet prior research has not quantitatively reviewed the role of opportunism in marketing research. This study uses meta-analytic tech- niques to synthesize research on opportunism conducted over the last quarter century. The analysis of 183 effect sizes extracted from 54 publications from the period 1982 to 2005 offers some support to extant channel theory. The research also indicates that the informant's frame of reference and the research design significantly influence the observed effects. Implications of the findings and future research directions are discussed. © Academy of Marketing Science 2007.","author":[{"dropping-particle":"","family":"Crosno","given":"Jody L","non-dropping-particle":"","parse-names":false,"suffix":""},{"dropping-particle":"","family":"Dahlstrom","given":"Robert","non-dropping-particle":"","parse-names":false,"suffix":""}],"container-title":"Journal of the Academy of Marketing Science","id":"ITEM-2","issue":"2","issued":{"date-parts":[["2008"]]},"page":"191-201","title":"A meta-analytic review of opportunism in exchange relationships","type":"article-journal","volume":"36"},"uris":["http://www.mendeley.com/documents/?uuid=f7567af9-39ca-30c6-b5a5-8094095e0f61"]}],"mendeley":{"formattedCitation":"(Crosno and Dahlstrom, 2008; Lusch and Brown, 1996)","plainTextFormattedCitation":"(Crosno and Dahlstrom, 2008; Lusch and Brown, 1996)","previouslyFormattedCitation":"(Crosno and Dahlstrom, 2008; Lusch and Brown, 1996)"},"properties":{"noteIndex":0},"schema":"https://github.com/citation-style-language/schema/raw/master/csl-citation.json"}</w:instrText>
      </w:r>
      <w:r w:rsidR="00CF745F" w:rsidRPr="001C45D7">
        <w:fldChar w:fldCharType="separate"/>
      </w:r>
      <w:r w:rsidR="004A2B48" w:rsidRPr="001C45D7">
        <w:rPr>
          <w:noProof/>
        </w:rPr>
        <w:t>(Crosno and Dahlstrom, 2008)</w:t>
      </w:r>
      <w:r w:rsidR="00CF745F" w:rsidRPr="001C45D7">
        <w:fldChar w:fldCharType="end"/>
      </w:r>
      <w:r w:rsidRPr="001C45D7">
        <w:t>.</w:t>
      </w:r>
      <w:r w:rsidR="00FA6558" w:rsidRPr="001C45D7">
        <w:t xml:space="preserve"> </w:t>
      </w:r>
    </w:p>
    <w:p w14:paraId="38F331B7" w14:textId="40060733" w:rsidR="002C4C69" w:rsidRPr="001C45D7" w:rsidRDefault="00D05CD5" w:rsidP="00566B02">
      <w:pPr>
        <w:pStyle w:val="BodyText"/>
      </w:pPr>
      <w:r w:rsidRPr="001C45D7">
        <w:lastRenderedPageBreak/>
        <w:t>W</w:t>
      </w:r>
      <w:r w:rsidR="00D226EF" w:rsidRPr="001C45D7">
        <w:t>hen</w:t>
      </w:r>
      <w:r w:rsidR="00FA6558" w:rsidRPr="001C45D7">
        <w:t xml:space="preserve"> </w:t>
      </w:r>
      <w:r w:rsidR="00D226EF" w:rsidRPr="001C45D7">
        <w:t>this</w:t>
      </w:r>
      <w:r w:rsidR="00FA6558" w:rsidRPr="001C45D7">
        <w:t xml:space="preserve"> </w:t>
      </w:r>
      <w:r w:rsidR="00D226EF" w:rsidRPr="001C45D7">
        <w:t>balance</w:t>
      </w:r>
      <w:r w:rsidR="00FA6558" w:rsidRPr="001C45D7">
        <w:t xml:space="preserve"> </w:t>
      </w:r>
      <w:r w:rsidR="00D226EF" w:rsidRPr="001C45D7">
        <w:t>is</w:t>
      </w:r>
      <w:r w:rsidR="00FA6558" w:rsidRPr="001C45D7">
        <w:t xml:space="preserve"> </w:t>
      </w:r>
      <w:r w:rsidR="00D226EF" w:rsidRPr="001C45D7">
        <w:t>broken</w:t>
      </w:r>
      <w:r w:rsidR="00FA6558" w:rsidRPr="001C45D7">
        <w:t xml:space="preserve"> </w:t>
      </w:r>
      <w:r w:rsidR="00480091" w:rsidRPr="001C45D7">
        <w:t>or</w:t>
      </w:r>
      <w:r w:rsidR="00FA6558" w:rsidRPr="001C45D7">
        <w:t xml:space="preserve"> </w:t>
      </w:r>
      <w:r w:rsidR="00480091" w:rsidRPr="001C45D7">
        <w:t>the</w:t>
      </w:r>
      <w:r w:rsidR="00FA6558" w:rsidRPr="001C45D7">
        <w:t xml:space="preserve"> </w:t>
      </w:r>
      <w:r w:rsidR="00480091" w:rsidRPr="001C45D7">
        <w:t>gap</w:t>
      </w:r>
      <w:r w:rsidR="00FA6558" w:rsidRPr="001C45D7">
        <w:t xml:space="preserve"> </w:t>
      </w:r>
      <w:r w:rsidR="00480091" w:rsidRPr="001C45D7">
        <w:t>widens</w:t>
      </w:r>
      <w:r w:rsidR="00D226EF" w:rsidRPr="001C45D7">
        <w:t>,</w:t>
      </w:r>
      <w:r w:rsidR="00FA6558" w:rsidRPr="001C45D7">
        <w:t xml:space="preserve"> </w:t>
      </w:r>
      <w:r w:rsidR="005615DA" w:rsidRPr="001C45D7">
        <w:t>however,</w:t>
      </w:r>
      <w:r w:rsidR="00FA6558" w:rsidRPr="001C45D7">
        <w:t xml:space="preserve"> </w:t>
      </w:r>
      <w:r w:rsidR="00FA1176" w:rsidRPr="001C45D7">
        <w:t xml:space="preserve">the </w:t>
      </w:r>
      <w:r w:rsidR="005615DA" w:rsidRPr="001C45D7">
        <w:t>less</w:t>
      </w:r>
      <w:r w:rsidR="00FA6558" w:rsidRPr="001C45D7">
        <w:t xml:space="preserve"> </w:t>
      </w:r>
      <w:r w:rsidR="005615DA" w:rsidRPr="001C45D7">
        <w:t>dependent</w:t>
      </w:r>
      <w:r w:rsidR="00FA6558" w:rsidRPr="001C45D7">
        <w:t xml:space="preserve"> </w:t>
      </w:r>
      <w:r w:rsidR="005615DA" w:rsidRPr="001C45D7">
        <w:t>part</w:t>
      </w:r>
      <w:r w:rsidR="00FA1176" w:rsidRPr="001C45D7">
        <w:t>y</w:t>
      </w:r>
      <w:r w:rsidR="00FA6558" w:rsidRPr="001C45D7">
        <w:t xml:space="preserve"> </w:t>
      </w:r>
      <w:r w:rsidR="00480091" w:rsidRPr="001C45D7">
        <w:t>would</w:t>
      </w:r>
      <w:r w:rsidR="00FA6558" w:rsidRPr="001C45D7">
        <w:t xml:space="preserve"> </w:t>
      </w:r>
      <w:r w:rsidR="00480091" w:rsidRPr="001C45D7">
        <w:t>be</w:t>
      </w:r>
      <w:r w:rsidR="00FA6558" w:rsidRPr="001C45D7">
        <w:t xml:space="preserve"> </w:t>
      </w:r>
      <w:r w:rsidR="00480091" w:rsidRPr="001C45D7">
        <w:t>encouraged</w:t>
      </w:r>
      <w:r w:rsidR="00FA6558" w:rsidRPr="001C45D7">
        <w:t xml:space="preserve"> </w:t>
      </w:r>
      <w:r w:rsidR="00480091" w:rsidRPr="001C45D7">
        <w:t>to</w:t>
      </w:r>
      <w:r w:rsidR="00FA6558" w:rsidRPr="001C45D7">
        <w:t xml:space="preserve"> </w:t>
      </w:r>
      <w:r w:rsidR="00480091" w:rsidRPr="001C45D7">
        <w:t>behave</w:t>
      </w:r>
      <w:r w:rsidR="00FA6558" w:rsidRPr="001C45D7">
        <w:t xml:space="preserve"> </w:t>
      </w:r>
      <w:r w:rsidR="00480091" w:rsidRPr="001C45D7">
        <w:t>opportunistically</w:t>
      </w:r>
      <w:r w:rsidR="00FA6558" w:rsidRPr="001C45D7">
        <w:t xml:space="preserve"> </w:t>
      </w:r>
      <w:r w:rsidR="00480091" w:rsidRPr="001C45D7">
        <w:t>to</w:t>
      </w:r>
      <w:r w:rsidR="004C4367" w:rsidRPr="001C45D7">
        <w:t>wards</w:t>
      </w:r>
      <w:r w:rsidR="00FA6558" w:rsidRPr="001C45D7">
        <w:t xml:space="preserve"> </w:t>
      </w:r>
      <w:r w:rsidR="00480091" w:rsidRPr="001C45D7">
        <w:t>the</w:t>
      </w:r>
      <w:r w:rsidR="00FA6558" w:rsidRPr="001C45D7">
        <w:t xml:space="preserve"> </w:t>
      </w:r>
      <w:r w:rsidR="00480091" w:rsidRPr="001C45D7">
        <w:t>more</w:t>
      </w:r>
      <w:r w:rsidR="00FA6558" w:rsidRPr="001C45D7">
        <w:t xml:space="preserve"> </w:t>
      </w:r>
      <w:r w:rsidR="00480091" w:rsidRPr="001C45D7">
        <w:t>dependent</w:t>
      </w:r>
      <w:r w:rsidR="00FA6558" w:rsidRPr="001C45D7">
        <w:t xml:space="preserve"> </w:t>
      </w:r>
      <w:r w:rsidR="009A4722" w:rsidRPr="001C45D7">
        <w:t xml:space="preserve">one </w:t>
      </w:r>
      <w:r w:rsidR="00CF745F" w:rsidRPr="001C45D7">
        <w:fldChar w:fldCharType="begin" w:fldLock="1"/>
      </w:r>
      <w:r w:rsidR="00433778" w:rsidRPr="001C45D7">
        <w:instrText>ADDIN CSL_CITATION {"citationItems":[{"id":"ITEM-1","itemData":{"DOI":"10.1111/jscm.12138","ISSN":"1745493X","abstract":"Our study investigates how buyer power affects supplier relationship commitment. When a buyer exerts power on a supplier, the supplier response can be either simple compliance or commitment at a deeper level. Theoretically, the latter pertains to a supplier's intrinsic motivation. Building on cognitive evaluation theory, our model proposes the distinctive yet interactive nature of reward power and coercive power, commonly considered together as mediated powers. It also posits that nonmediated powers (expert, referent, and legitimate) amplify the influences of reward and coercive powers. An empirical investigation, based on large-scale multinational survey data, provides support for our theoretical arguments. We discuss the practical implications for how buyers can use reward and coercive powers to improve supplier relationship commitment.","author":[{"dropping-particle":"","family":"Chae","given":"Sangho","non-dropping-particle":"","parse-names":false,"suffix":""},{"dropping-particle":"","family":"Choi","given":"Thomas Y.","non-dropping-particle":"","parse-names":false,"suffix":""},{"dropping-particle":"","family":"Hur","given":"Daesik","non-dropping-particle":"","parse-names":false,"suffix":""}],"container-title":"Journal of Supply Chain Management","id":"ITEM-1","issue":"2","issued":{"date-parts":[["2017","4","1"]]},"page":"39-60","publisher":"Blackwell Publishing Ltd","title":"Buyer Power and Supplier Relationship Commitment: A Cognitive Evaluation Theory Perspective","type":"article-journal","volume":"53"},"uris":["http://www.mendeley.com/documents/?uuid=1c1e8f3e-d45f-3ef8-b1b2-b3e5a903fc17"]},{"id":"ITEM-2","itemData":{"DOI":"10.1007/s11747-007-0081-x","ISSN":"00920703","abstract":"The potential to engage in opportunism is a central theme in institutional economics, yet prior research has not quantitatively reviewed the role of opportunism in marketing research. This study uses meta-analytic tech- niques to synthesize research on opportunism conducted over the last quarter century. The analysis of 183 effect sizes extracted from 54 publications from the period 1982 to 2005 offers some support to extant channel theory. The research also indicates that the informant's frame of reference and the research design significantly influence the observed effects. Implications of the findings and future research directions are discussed. © Academy of Marketing Science 2007.","author":[{"dropping-particle":"","family":"Crosno","given":"Jody L","non-dropping-particle":"","parse-names":false,"suffix":""},{"dropping-particle":"","family":"Dahlstrom","given":"Robert","non-dropping-particle":"","parse-names":false,"suffix":""}],"container-title":"Journal of the Academy of Marketing Science","id":"ITEM-2","issue":"2","issued":{"date-parts":[["2008"]]},"page":"191-201","title":"A meta-analytic review of opportunism in exchange relationships","type":"article-journal","volume":"36"},"uris":["http://www.mendeley.com/documents/?uuid=f7567af9-39ca-30c6-b5a5-8094095e0f61"]},{"id":"ITEM-3","itemData":{"DOI":"10.1111/j.1467-6486.1996.tb00163.x","ISSN":"00222380","abstract":"This paper is concerned with exploring the degree to which industry structure determines firm performance. Most of the business policy literature follows Porter in arguing that industry structure has an important influence on firm level profit rates. The arguments contained in this paper take a counter position. It is argued that a plausible alternative to the hypothesis that industry structure matters is the hypothesis that (holding demand constant) individual firm differences are the most important determinant of firm profitability.","author":[{"dropping-particle":"","family":"Hill","given":"Charles W.L.","non-dropping-particle":"","parse-names":false,"suffix":""},{"dropping-particle":"","family":"Deeds","given":"David L.","non-dropping-particle":"","parse-names":false,"suffix":""}],"container-title":"Journal of Management Studies","id":"ITEM-3","issue":"4","issued":{"date-parts":[["1996"]]},"page":"429-451","publisher":"Blackwell Publishing Ltd","title":"The importance of industry structure for the determination of firm profitability: A neo-Austrian perspective","type":"article-journal","volume":"33"},"uris":["http://www.mendeley.com/documents/?uuid=f2a238b3-cd1d-3ca9-82d2-cfaec7cba052"]},{"id":"ITEM-4","itemData":{"DOI":"10.1177/0092070399273001","ISSN":"00920703","abstract":"Prior research provides evidence that manufacturer investment of specific assets dedicated to a particular supplier (manufacturer asset specificity) is an antecedent of joint action in manufacturer-supplier relationships. The authors build on prior research to identify several variables that moderate the effect of manufacturer asset specificity on joint action. Drawing from transaction cost analysis and relational exchange theory, the authors propose a conceptual model that explicates the moderating role of three contextual variables: specific asset investments by the supplier (reciprocal asset investments), manufacturer decision-making uncertainty, and manufacturer trust in the supplier. Consistent with their hypotheses, results from a survey affirms in three SIC codes show that decision-making uncertainty and trust enhance the effect of manufacturer asset specificity on joint action. Contrary to expectation, however, the moderating effect of reciprocal asset investments was not significant. Theoretical and managerial implications of the results are discussed. Copyright © 1999 by Academy of Marketing Science.","author":[{"dropping-particle":"","family":"Joshi","given":"Ashwin W.","non-dropping-particle":"","parse-names":false,"suffix":""},{"dropping-particle":"","family":"Stump","given":"Rodney L.","non-dropping-particle":"","parse-names":false,"suffix":""}],"container-title":"Journal of the Academy of Marketing Science","id":"ITEM-4","issue":"3","issued":{"date-parts":[["1999"]]},"page":"291-305","publisher":"Springer New York LLC","title":"The contingent effect of specific asset investments on joint action in manufacturer-supplier relationships: An empirical test of the moderating role of reciprocal asset investments, uncertainty, and trust","type":"article-journal","volume":"27"},"uris":["http://www.mendeley.com/documents/?uuid=17b5032d-b7f6-375c-99c8-9e02ee59cb87"]},{"id":"ITEM-5","itemData":{"DOI":"10.1177/002224379503200309","ISSN":"0022-2437","abstract":"Channels research has consistently argued that asymmetric channel relationships are more dysfunctional than those characterized by symmetric interdependence. The authors propose that the degree of ...","author":[{"dropping-particle":"","family":"Kumar","given":"Nirmalya","non-dropping-particle":"","parse-names":false,"suffix":""},{"dropping-particle":"","family":"Scheer","given":"Lisa K.","non-dropping-particle":"","parse-names":false,"suffix":""},{"dropping-particle":"","family":"Steenkamp","given":"Jan-Benedict E. M.","non-dropping-particle":"","parse-names":false,"suffix":""}],"container-title":"Journal of Marketing Research","id":"ITEM-5","issue":"3","issued":{"date-parts":[["1995","8"]]},"page":"348-356","publisher":"SAGE Publications","title":"The Effects of Perceived Interdependence on Dealer Attitudes","type":"article-journal","volume":"32"},"uris":["http://www.mendeley.com/documents/?uuid=f091783d-7d90-3eaf-bd14-335656e6d5d7"]},{"id":"ITEM-6","itemData":{"ISBN":"0060451939","abstract":"The External Control of Organizations explores how external constraints affect organizations and provides insights for designing and managing organizations to mitigate these constraints. All organizations are dependent on the environment for their survival. As the authors contend, it is the fact of the organizations dependence on the environment that makes the external constraint and control of organizational behavior both possible and almost inevitable. Organizations can either try to change their environments through political means or form interorganizational relationships to control or absorb uncertainty. This seminal book established the resource dependence approach that has informed so many other important organization theories.","author":[{"dropping-particle":"","family":"Pfeffer","given":"Jeffrey","non-dropping-particle":"","parse-names":false,"suffix":""},{"dropping-particle":"","family":"Salancik","given":"Gerald R","non-dropping-particle":"","parse-names":false,"suffix":""}],"id":"ITEM-6","issued":{"date-parts":[["1978"]]},"publisher":"Harper &amp; Row","publisher-place":"New York","title":"The External Control of Organizations: A Resource Dependence Perspective","type":"book"},"uris":["http://www.mendeley.com/documents/?uuid=ff182e2d-9024-41b7-8ce5-d847863e836c"]},{"id":"ITEM-7","itemData":{"DOI":"10.5465/256427","ISSN":"0001-4273","abstract":"This study examines Williamson’s (1975) concept of opportunism in relations between farm and power equipment dealers and their primary supplier organization. Results from a national survey generally support hypotheses predicting that dealer opportunism will be negatively related to dealer dependence on a primary supplier and positively related to supplier control over dealer decisions.","author":[{"dropping-particle":"","family":"Provan","given":"Keith G.","non-dropping-particle":"","parse-names":false,"suffix":""},{"dropping-particle":"","family":"Skinner","given":"Steven J.","non-dropping-particle":"","parse-names":false,"suffix":""}],"container-title":"Academy of Management Journal","id":"ITEM-7","issue":"1","issued":{"date-parts":[["1989","3"]]},"page":"202-212","publisher":"Academy of Management","title":"Interorganizational Dependence and Control as Predictors of Opportunism in Dealer-Supplier Relations","type":"article-journal","volume":"32"},"uris":["http://www.mendeley.com/documents/?uuid=6495a7b4-ed35-4364-8ddc-c68e1ff80bfe"]}],"mendeley":{"formattedCitation":"(Chae &lt;i&gt;et al.&lt;/i&gt;, 2017; Crosno and Dahlstrom, 2008; Hill and Deeds, 1996; Joshi and Stump, 1999; Kumar &lt;i&gt;et al.&lt;/i&gt;, 1995; Pfeffer and Salancik, 1978; Provan and Skinner, 1989)","manualFormatting":"(Pfeffer and Salancik, 1978; Provan and Skinner, 1989; Kumar et al., 1995; Hill and Deeds, 1996; Crosno and Dahlstrom, 2008; Chae et al., 2017)","plainTextFormattedCitation":"(Chae et al., 2017; Crosno and Dahlstrom, 2008; Hill and Deeds, 1996; Joshi and Stump, 1999; Kumar et al., 1995; Pfeffer and Salancik, 1978; Provan and Skinner, 1989)","previouslyFormattedCitation":"(Chae &lt;i&gt;et al.&lt;/i&gt;, 2017; Crosno and Dahlstrom, 2008; Hill and Deeds, 1996; Joshi and Stump, 1999; Kumar &lt;i&gt;et al.&lt;/i&gt;, 1995; Pfeffer and Salancik, 1978; Provan and Skinner, 1989)"},"properties":{"noteIndex":0},"schema":"https://github.com/citation-style-language/schema/raw/master/csl-citation.json"}</w:instrText>
      </w:r>
      <w:r w:rsidR="00CF745F" w:rsidRPr="001C45D7">
        <w:fldChar w:fldCharType="separate"/>
      </w:r>
      <w:r w:rsidR="00881C19" w:rsidRPr="001C45D7">
        <w:rPr>
          <w:noProof/>
        </w:rPr>
        <w:t>(Pfeffer</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Salancik,</w:t>
      </w:r>
      <w:r w:rsidR="00FA6558" w:rsidRPr="001C45D7">
        <w:rPr>
          <w:noProof/>
        </w:rPr>
        <w:t xml:space="preserve"> </w:t>
      </w:r>
      <w:r w:rsidR="00881C19" w:rsidRPr="001C45D7">
        <w:rPr>
          <w:noProof/>
        </w:rPr>
        <w:t>1978;</w:t>
      </w:r>
      <w:r w:rsidR="00FA6558" w:rsidRPr="001C45D7">
        <w:rPr>
          <w:noProof/>
        </w:rPr>
        <w:t xml:space="preserve"> </w:t>
      </w:r>
      <w:r w:rsidR="00881C19" w:rsidRPr="001C45D7">
        <w:rPr>
          <w:noProof/>
        </w:rPr>
        <w:t>Provan</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Skinner,</w:t>
      </w:r>
      <w:r w:rsidR="00FA6558" w:rsidRPr="001C45D7">
        <w:rPr>
          <w:noProof/>
        </w:rPr>
        <w:t xml:space="preserve"> </w:t>
      </w:r>
      <w:r w:rsidR="00881C19" w:rsidRPr="001C45D7">
        <w:rPr>
          <w:noProof/>
        </w:rPr>
        <w:t>1989;</w:t>
      </w:r>
      <w:r w:rsidR="00FA6558" w:rsidRPr="001C45D7">
        <w:rPr>
          <w:noProof/>
        </w:rPr>
        <w:t xml:space="preserve"> </w:t>
      </w:r>
      <w:r w:rsidR="00881C19" w:rsidRPr="001C45D7">
        <w:rPr>
          <w:noProof/>
        </w:rPr>
        <w:t>Kumar</w:t>
      </w:r>
      <w:r w:rsidR="004C4367" w:rsidRPr="001C45D7">
        <w:rPr>
          <w:noProof/>
        </w:rPr>
        <w:t xml:space="preserve"> </w:t>
      </w:r>
      <w:r w:rsidR="004C4367" w:rsidRPr="001C45D7">
        <w:rPr>
          <w:i/>
          <w:noProof/>
        </w:rPr>
        <w:t>et al</w:t>
      </w:r>
      <w:r w:rsidR="004C4367" w:rsidRPr="001C45D7">
        <w:rPr>
          <w:noProof/>
        </w:rPr>
        <w:t>.</w:t>
      </w:r>
      <w:r w:rsidR="00881C19" w:rsidRPr="001C45D7">
        <w:rPr>
          <w:noProof/>
        </w:rPr>
        <w:t>,</w:t>
      </w:r>
      <w:r w:rsidR="00FA6558" w:rsidRPr="001C45D7">
        <w:rPr>
          <w:noProof/>
        </w:rPr>
        <w:t xml:space="preserve"> </w:t>
      </w:r>
      <w:r w:rsidR="00881C19" w:rsidRPr="001C45D7">
        <w:rPr>
          <w:noProof/>
        </w:rPr>
        <w:t>1995;</w:t>
      </w:r>
      <w:r w:rsidR="00FA6558" w:rsidRPr="001C45D7">
        <w:rPr>
          <w:noProof/>
        </w:rPr>
        <w:t xml:space="preserve"> </w:t>
      </w:r>
      <w:r w:rsidR="00881C19" w:rsidRPr="001C45D7">
        <w:rPr>
          <w:noProof/>
        </w:rPr>
        <w:t>Hill</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Deeds,</w:t>
      </w:r>
      <w:r w:rsidR="00FA6558" w:rsidRPr="001C45D7">
        <w:rPr>
          <w:noProof/>
        </w:rPr>
        <w:t xml:space="preserve"> </w:t>
      </w:r>
      <w:r w:rsidR="00881C19" w:rsidRPr="001C45D7">
        <w:rPr>
          <w:noProof/>
        </w:rPr>
        <w:t>1996;</w:t>
      </w:r>
      <w:r w:rsidR="00FA6558" w:rsidRPr="001C45D7">
        <w:rPr>
          <w:noProof/>
        </w:rPr>
        <w:t xml:space="preserve"> </w:t>
      </w:r>
      <w:r w:rsidR="00881C19" w:rsidRPr="001C45D7">
        <w:rPr>
          <w:noProof/>
        </w:rPr>
        <w:t>Crosno</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Dahlstrom,</w:t>
      </w:r>
      <w:r w:rsidR="00FA6558" w:rsidRPr="001C45D7">
        <w:rPr>
          <w:noProof/>
        </w:rPr>
        <w:t xml:space="preserve"> </w:t>
      </w:r>
      <w:r w:rsidR="00881C19" w:rsidRPr="001C45D7">
        <w:rPr>
          <w:noProof/>
        </w:rPr>
        <w:t>2008;</w:t>
      </w:r>
      <w:r w:rsidR="00FA6558" w:rsidRPr="001C45D7">
        <w:rPr>
          <w:noProof/>
        </w:rPr>
        <w:t xml:space="preserve"> </w:t>
      </w:r>
      <w:r w:rsidR="00881C19" w:rsidRPr="001C45D7">
        <w:rPr>
          <w:noProof/>
        </w:rPr>
        <w:t>Chae</w:t>
      </w:r>
      <w:r w:rsidR="004C4367" w:rsidRPr="001C45D7">
        <w:rPr>
          <w:noProof/>
        </w:rPr>
        <w:t xml:space="preserve"> </w:t>
      </w:r>
      <w:r w:rsidR="004C4367" w:rsidRPr="001C45D7">
        <w:rPr>
          <w:i/>
          <w:noProof/>
        </w:rPr>
        <w:t>et al</w:t>
      </w:r>
      <w:r w:rsidR="004C4367" w:rsidRPr="001C45D7">
        <w:rPr>
          <w:noProof/>
        </w:rPr>
        <w:t>.</w:t>
      </w:r>
      <w:r w:rsidR="00881C19" w:rsidRPr="001C45D7">
        <w:rPr>
          <w:noProof/>
        </w:rPr>
        <w:t>,</w:t>
      </w:r>
      <w:r w:rsidR="00FA6558" w:rsidRPr="001C45D7">
        <w:rPr>
          <w:noProof/>
        </w:rPr>
        <w:t xml:space="preserve"> </w:t>
      </w:r>
      <w:r w:rsidR="00881C19" w:rsidRPr="001C45D7">
        <w:rPr>
          <w:noProof/>
        </w:rPr>
        <w:t>2017)</w:t>
      </w:r>
      <w:r w:rsidR="00CF745F" w:rsidRPr="001C45D7">
        <w:fldChar w:fldCharType="end"/>
      </w:r>
      <w:r w:rsidR="00D226EF" w:rsidRPr="001C45D7">
        <w:t>.</w:t>
      </w:r>
      <w:r w:rsidR="00FA6558" w:rsidRPr="001C45D7">
        <w:t xml:space="preserve"> </w:t>
      </w:r>
      <w:r w:rsidR="00D226EF" w:rsidRPr="001C45D7">
        <w:t>Considering</w:t>
      </w:r>
      <w:r w:rsidR="00FA6558" w:rsidRPr="001C45D7">
        <w:t xml:space="preserve"> </w:t>
      </w:r>
      <w:r w:rsidR="00D226EF" w:rsidRPr="001C45D7">
        <w:t>that</w:t>
      </w:r>
      <w:r w:rsidR="00FA6558" w:rsidRPr="001C45D7">
        <w:t xml:space="preserve"> </w:t>
      </w:r>
      <w:r w:rsidR="00D226EF" w:rsidRPr="001C45D7">
        <w:t>dependence</w:t>
      </w:r>
      <w:r w:rsidR="00FA6558" w:rsidRPr="001C45D7">
        <w:t xml:space="preserve"> </w:t>
      </w:r>
      <w:r w:rsidR="00D226EF" w:rsidRPr="001C45D7">
        <w:t>on</w:t>
      </w:r>
      <w:r w:rsidR="00FA6558" w:rsidRPr="001C45D7">
        <w:t xml:space="preserve"> </w:t>
      </w:r>
      <w:r w:rsidR="00D226EF" w:rsidRPr="001C45D7">
        <w:t>a</w:t>
      </w:r>
      <w:r w:rsidR="00FA6558" w:rsidRPr="001C45D7">
        <w:t xml:space="preserve"> </w:t>
      </w:r>
      <w:r w:rsidR="00D226EF" w:rsidRPr="001C45D7">
        <w:t>partner</w:t>
      </w:r>
      <w:r w:rsidR="00FA6558" w:rsidRPr="001C45D7">
        <w:t xml:space="preserve"> </w:t>
      </w:r>
      <w:r w:rsidR="00D226EF" w:rsidRPr="001C45D7">
        <w:t>is</w:t>
      </w:r>
      <w:r w:rsidR="00FA6558" w:rsidRPr="001C45D7">
        <w:t xml:space="preserve"> </w:t>
      </w:r>
      <w:r w:rsidR="00D226EF" w:rsidRPr="001C45D7">
        <w:t>in</w:t>
      </w:r>
      <w:r w:rsidR="00FA6558" w:rsidRPr="001C45D7">
        <w:t xml:space="preserve"> </w:t>
      </w:r>
      <w:r w:rsidR="00D226EF" w:rsidRPr="001C45D7">
        <w:t>proportion</w:t>
      </w:r>
      <w:r w:rsidR="00FA6558" w:rsidRPr="001C45D7">
        <w:t xml:space="preserve"> </w:t>
      </w:r>
      <w:r w:rsidR="00D226EF" w:rsidRPr="001C45D7">
        <w:t>to</w:t>
      </w:r>
      <w:r w:rsidR="00FA6558" w:rsidRPr="001C45D7">
        <w:t xml:space="preserve"> </w:t>
      </w:r>
      <w:r w:rsidR="007D3BBA" w:rsidRPr="001C45D7">
        <w:t xml:space="preserve">a </w:t>
      </w:r>
      <w:r w:rsidR="00D226EF" w:rsidRPr="001C45D7">
        <w:t>firm’s</w:t>
      </w:r>
      <w:r w:rsidR="00FA6558" w:rsidRPr="001C45D7">
        <w:t xml:space="preserve"> </w:t>
      </w:r>
      <w:r w:rsidR="00D226EF" w:rsidRPr="001C45D7">
        <w:t>need</w:t>
      </w:r>
      <w:r w:rsidR="00FA6558" w:rsidRPr="001C45D7">
        <w:t xml:space="preserve"> </w:t>
      </w:r>
      <w:r w:rsidR="00D226EF" w:rsidRPr="001C45D7">
        <w:t>for</w:t>
      </w:r>
      <w:r w:rsidR="00FA6558" w:rsidRPr="001C45D7">
        <w:t xml:space="preserve"> </w:t>
      </w:r>
      <w:r w:rsidR="00D226EF" w:rsidRPr="001C45D7">
        <w:t>resources</w:t>
      </w:r>
      <w:r w:rsidR="00FA6558" w:rsidRPr="001C45D7">
        <w:t xml:space="preserve"> </w:t>
      </w:r>
      <w:r w:rsidR="00D226EF" w:rsidRPr="001C45D7">
        <w:t>from</w:t>
      </w:r>
      <w:r w:rsidR="00FA6558" w:rsidRPr="001C45D7">
        <w:t xml:space="preserve"> </w:t>
      </w:r>
      <w:r w:rsidR="00C208FB" w:rsidRPr="001C45D7">
        <w:t xml:space="preserve">that </w:t>
      </w:r>
      <w:r w:rsidR="00D226EF" w:rsidRPr="001C45D7">
        <w:t>specific</w:t>
      </w:r>
      <w:r w:rsidR="00FA6558" w:rsidRPr="001C45D7">
        <w:t xml:space="preserve"> </w:t>
      </w:r>
      <w:r w:rsidR="00D226EF" w:rsidRPr="001C45D7">
        <w:t>partner</w:t>
      </w:r>
      <w:r w:rsidR="00FA6558" w:rsidRPr="001C45D7">
        <w:t xml:space="preserve"> </w:t>
      </w:r>
      <w:r w:rsidR="00CF745F" w:rsidRPr="001C45D7">
        <w:fldChar w:fldCharType="begin" w:fldLock="1"/>
      </w:r>
      <w:r w:rsidR="00CF745F" w:rsidRPr="001C45D7">
        <w:instrText>ADDIN CSL_CITATION {"citationItems":[{"id":"ITEM-1","itemData":{"DOI":"10.2189/asqu.2005.50.2.167","ISSN":"00018392","abstract":"Despite ubiquitous references to Pfeffer and Salancik's classic volume, The External Control of Organizations, resource dependence theory is more of an appealing metaphor than a foundation for testable empirical research. We argue that several ambiguities in the resource dependence model account in part for this and propose a reformulation of resource dependence theory that addresses these ambiguities, yields novel predictions and findings, and reconciles them with seemingly contradictory empirical evidence from past studies. We identify two distinct theoretical dimensions of resource dependence, power imbalance and mutual dependence, which in the original theory were combined in the construct of interdependence and yet have opposite effects on an organization's ability to reduce dependencies by absorbing sources of external constraint. Results from a study of interindustry mergers and acquisitions among U.S. public companies in the period 1985-2000 indicate that, while mutual dependence is a key driver of mergers and acquisitions, power imbalance acts as an obstacle to their formation. We conclude that our reformulation of the resource dependence model contributes to realizing the potential of resource dependency as a powerful explanation of interorganizational action. © 2005 by Johnson Graduate School, Cornell University.","author":[{"dropping-particle":"","family":"Casciaro","given":"Tiziana","non-dropping-particle":"","parse-names":false,"suffix":""},{"dropping-particle":"","family":"Piskorski","given":"Mikołaj Jan","non-dropping-particle":"","parse-names":false,"suffix":""}],"container-title":"Administrative Science Quarterly","id":"ITEM-1","issue":"2","issued":{"date-parts":[["2005"]]},"page":"167-199","publisher":"Cornell University","title":"Power imbalance, mutual dependence, and constraint absorption: A closer look at resource dependence theory","type":"article","volume":"50"},"uris":["http://www.mendeley.com/documents/?uuid=6fcb4993-8549-3859-9d14-20403f9cfab5"]}],"mendeley":{"formattedCitation":"(Casciaro and Piskorski, 2005)","plainTextFormattedCitation":"(Casciaro and Piskorski, 2005)","previouslyFormattedCitation":"(Casciaro and Piskorski, 2005)"},"properties":{"noteIndex":0},"schema":"https://github.com/citation-style-language/schema/raw/master/csl-citation.json"}</w:instrText>
      </w:r>
      <w:r w:rsidR="00CF745F" w:rsidRPr="001C45D7">
        <w:fldChar w:fldCharType="separate"/>
      </w:r>
      <w:r w:rsidR="00CF745F" w:rsidRPr="001C45D7">
        <w:rPr>
          <w:noProof/>
        </w:rPr>
        <w:t>(Casciaro</w:t>
      </w:r>
      <w:r w:rsidR="00FA6558" w:rsidRPr="001C45D7">
        <w:rPr>
          <w:noProof/>
        </w:rPr>
        <w:t xml:space="preserve"> </w:t>
      </w:r>
      <w:r w:rsidR="00CF745F" w:rsidRPr="001C45D7">
        <w:rPr>
          <w:noProof/>
        </w:rPr>
        <w:t>and</w:t>
      </w:r>
      <w:r w:rsidR="00FA6558" w:rsidRPr="001C45D7">
        <w:rPr>
          <w:noProof/>
        </w:rPr>
        <w:t xml:space="preserve"> </w:t>
      </w:r>
      <w:r w:rsidR="00CF745F" w:rsidRPr="001C45D7">
        <w:rPr>
          <w:noProof/>
        </w:rPr>
        <w:t>Piskorski,</w:t>
      </w:r>
      <w:r w:rsidR="00FA6558" w:rsidRPr="001C45D7">
        <w:rPr>
          <w:noProof/>
        </w:rPr>
        <w:t xml:space="preserve"> </w:t>
      </w:r>
      <w:r w:rsidR="00CF745F" w:rsidRPr="001C45D7">
        <w:rPr>
          <w:noProof/>
        </w:rPr>
        <w:t>2005)</w:t>
      </w:r>
      <w:r w:rsidR="00CF745F" w:rsidRPr="001C45D7">
        <w:fldChar w:fldCharType="end"/>
      </w:r>
      <w:r w:rsidR="00D226EF" w:rsidRPr="001C45D7">
        <w:t>,</w:t>
      </w:r>
      <w:r w:rsidR="00FA6558" w:rsidRPr="001C45D7">
        <w:t xml:space="preserve"> </w:t>
      </w:r>
      <w:r w:rsidR="00D226EF" w:rsidRPr="001C45D7">
        <w:t>the</w:t>
      </w:r>
      <w:r w:rsidR="00FA6558" w:rsidRPr="001C45D7">
        <w:t xml:space="preserve"> </w:t>
      </w:r>
      <w:r w:rsidR="00D226EF" w:rsidRPr="001C45D7">
        <w:t>higher</w:t>
      </w:r>
      <w:r w:rsidR="00FA6558" w:rsidRPr="001C45D7">
        <w:t xml:space="preserve"> </w:t>
      </w:r>
      <w:r w:rsidR="00046A2F" w:rsidRPr="001C45D7">
        <w:t xml:space="preserve">the firm’s </w:t>
      </w:r>
      <w:r w:rsidR="00D226EF" w:rsidRPr="001C45D7">
        <w:t>dependence,</w:t>
      </w:r>
      <w:r w:rsidR="00FA6558" w:rsidRPr="001C45D7">
        <w:t xml:space="preserve"> </w:t>
      </w:r>
      <w:r w:rsidR="00D226EF" w:rsidRPr="001C45D7">
        <w:t>the</w:t>
      </w:r>
      <w:r w:rsidR="00FA6558" w:rsidRPr="001C45D7">
        <w:t xml:space="preserve"> </w:t>
      </w:r>
      <w:r w:rsidR="00D226EF" w:rsidRPr="001C45D7">
        <w:t>greater</w:t>
      </w:r>
      <w:r w:rsidR="00FA6558" w:rsidRPr="001C45D7">
        <w:t xml:space="preserve"> </w:t>
      </w:r>
      <w:r w:rsidR="00D226EF" w:rsidRPr="001C45D7">
        <w:t>the</w:t>
      </w:r>
      <w:r w:rsidR="00FA6558" w:rsidRPr="001C45D7">
        <w:t xml:space="preserve"> </w:t>
      </w:r>
      <w:r w:rsidR="00D226EF" w:rsidRPr="001C45D7">
        <w:t>power</w:t>
      </w:r>
      <w:r w:rsidR="00FA6558" w:rsidRPr="001C45D7">
        <w:t xml:space="preserve"> </w:t>
      </w:r>
      <w:r w:rsidR="00D226EF" w:rsidRPr="001C45D7">
        <w:t>capacity</w:t>
      </w:r>
      <w:r w:rsidR="00FA6558" w:rsidRPr="001C45D7">
        <w:t xml:space="preserve"> </w:t>
      </w:r>
      <w:r w:rsidR="00D226EF" w:rsidRPr="001C45D7">
        <w:t>of</w:t>
      </w:r>
      <w:r w:rsidR="00FA6558" w:rsidRPr="001C45D7">
        <w:t xml:space="preserve"> </w:t>
      </w:r>
      <w:r w:rsidR="00D226EF" w:rsidRPr="001C45D7">
        <w:t>the</w:t>
      </w:r>
      <w:r w:rsidR="00FA6558" w:rsidRPr="001C45D7">
        <w:t xml:space="preserve"> </w:t>
      </w:r>
      <w:r w:rsidR="00D226EF" w:rsidRPr="001C45D7">
        <w:t>partner</w:t>
      </w:r>
      <w:r w:rsidR="00FA6558" w:rsidRPr="001C45D7">
        <w:t xml:space="preserve"> </w:t>
      </w:r>
      <w:r w:rsidR="00D226EF" w:rsidRPr="001C45D7">
        <w:t>will</w:t>
      </w:r>
      <w:r w:rsidR="00FA6558" w:rsidRPr="001C45D7">
        <w:t xml:space="preserve"> </w:t>
      </w:r>
      <w:r w:rsidR="00D226EF" w:rsidRPr="001C45D7">
        <w:t>become</w:t>
      </w:r>
      <w:r w:rsidR="00FA6558" w:rsidRPr="001C45D7">
        <w:t xml:space="preserve"> </w:t>
      </w:r>
      <w:r w:rsidR="00CF745F" w:rsidRPr="001C45D7">
        <w:fldChar w:fldCharType="begin" w:fldLock="1"/>
      </w:r>
      <w:r w:rsidR="00CF745F" w:rsidRPr="001C45D7">
        <w:instrText>ADDIN CSL_CITATION {"citationItems":[{"id":"ITEM-1","itemData":{"DOI":"10.2307/2089716","ISSN":"00031224","abstract":"A simple theory of power relations is developed in an effort to resolve some of the ambiguities surrounding \"power,\" \"authority,\" \"legitimacy,\" and power \"structures,\" through bringing them together in a coherent scheme. After defining a reciprocal power-dependence relation, attention is focused upon properties of balance and \"balancing operations\" in such relations. The theory dictates exactly four generic types of balancing process, and discussion of these leads directly into processes of group formation, including the emergence of group norms, role structure and status hierarchy, all presented as the outcome of balancing tendencies in power relations. Within the framework of this theory, authority appears quite naturally to be legitimized power, vested in roles, and \"legitimation\" is seen as a special case of the coalition process through which norms and role-prescriptions are formed. Finally, through treating both persons and groups as actors in a power-network (two or more connected power-dependence relations) the door is opened for meaningful analysis of complex power structures. Brief reference is made to findings from two experiments pertaining to hypotheses advanced in this theory.","author":[{"dropping-particle":"","family":"Emerson","given":"Richard M.","non-dropping-particle":"","parse-names":false,"suffix":""}],"container-title":"American Sociological Review","id":"ITEM-1","issue":"1","issued":{"date-parts":[["1962","2"]]},"page":"31","publisher":"SAGE Publications","title":"Power-Dependence Relations","type":"article-journal","volume":"27"},"uris":["http://www.mendeley.com/documents/?uuid=d0dc5402-6fc9-3cb1-b66d-6542d8f67e8c"]}],"mendeley":{"formattedCitation":"(Emerson, 1962)","plainTextFormattedCitation":"(Emerson, 1962)","previouslyFormattedCitation":"(Emerson, 1962)"},"properties":{"noteIndex":0},"schema":"https://github.com/citation-style-language/schema/raw/master/csl-citation.json"}</w:instrText>
      </w:r>
      <w:r w:rsidR="00CF745F" w:rsidRPr="001C45D7">
        <w:fldChar w:fldCharType="separate"/>
      </w:r>
      <w:r w:rsidR="00CF745F" w:rsidRPr="001C45D7">
        <w:rPr>
          <w:noProof/>
        </w:rPr>
        <w:t>(Emerson,</w:t>
      </w:r>
      <w:r w:rsidR="00FA6558" w:rsidRPr="001C45D7">
        <w:rPr>
          <w:noProof/>
        </w:rPr>
        <w:t xml:space="preserve"> </w:t>
      </w:r>
      <w:r w:rsidR="00CF745F" w:rsidRPr="001C45D7">
        <w:rPr>
          <w:noProof/>
        </w:rPr>
        <w:t>1962)</w:t>
      </w:r>
      <w:r w:rsidR="00CF745F" w:rsidRPr="001C45D7">
        <w:fldChar w:fldCharType="end"/>
      </w:r>
      <w:r w:rsidR="00CF745F" w:rsidRPr="001C45D7">
        <w:t>.</w:t>
      </w:r>
      <w:r w:rsidR="00FA6558" w:rsidRPr="001C45D7">
        <w:t xml:space="preserve"> </w:t>
      </w:r>
      <w:r w:rsidR="005615DA" w:rsidRPr="001C45D7">
        <w:t>This</w:t>
      </w:r>
      <w:r w:rsidR="00FA6558" w:rsidRPr="001C45D7">
        <w:t xml:space="preserve"> </w:t>
      </w:r>
      <w:r w:rsidR="005615DA" w:rsidRPr="001C45D7">
        <w:t>means</w:t>
      </w:r>
      <w:r w:rsidR="00FA6558" w:rsidRPr="001C45D7">
        <w:t xml:space="preserve"> </w:t>
      </w:r>
      <w:r w:rsidR="0033091C" w:rsidRPr="001C45D7">
        <w:t xml:space="preserve">that </w:t>
      </w:r>
      <w:r w:rsidR="004C4367" w:rsidRPr="001C45D7">
        <w:t xml:space="preserve">the </w:t>
      </w:r>
      <w:r w:rsidR="00D226EF" w:rsidRPr="001C45D7">
        <w:t>less</w:t>
      </w:r>
      <w:r w:rsidR="00FA6558" w:rsidRPr="001C45D7">
        <w:t xml:space="preserve"> </w:t>
      </w:r>
      <w:r w:rsidR="00D226EF" w:rsidRPr="001C45D7">
        <w:t>dependent</w:t>
      </w:r>
      <w:r w:rsidR="00FA6558" w:rsidRPr="001C45D7">
        <w:t xml:space="preserve"> </w:t>
      </w:r>
      <w:r w:rsidR="00D226EF" w:rsidRPr="001C45D7">
        <w:t>(more</w:t>
      </w:r>
      <w:r w:rsidR="00FA6558" w:rsidRPr="001C45D7">
        <w:t xml:space="preserve"> </w:t>
      </w:r>
      <w:r w:rsidR="00D226EF" w:rsidRPr="001C45D7">
        <w:t>powerful)</w:t>
      </w:r>
      <w:r w:rsidR="00FA6558" w:rsidRPr="001C45D7">
        <w:t xml:space="preserve"> </w:t>
      </w:r>
      <w:r w:rsidR="00D226EF" w:rsidRPr="001C45D7">
        <w:t>party</w:t>
      </w:r>
      <w:r w:rsidR="00FA6558" w:rsidRPr="001C45D7">
        <w:t xml:space="preserve"> </w:t>
      </w:r>
      <w:r w:rsidR="0033091C" w:rsidRPr="001C45D7">
        <w:t xml:space="preserve">can </w:t>
      </w:r>
      <w:r w:rsidR="00D226EF" w:rsidRPr="001C45D7">
        <w:t>exploit</w:t>
      </w:r>
      <w:r w:rsidR="00FA6558" w:rsidRPr="001C45D7">
        <w:t xml:space="preserve"> </w:t>
      </w:r>
      <w:r w:rsidR="00D226EF" w:rsidRPr="001C45D7">
        <w:t>its</w:t>
      </w:r>
      <w:r w:rsidR="00FA6558" w:rsidRPr="001C45D7">
        <w:t xml:space="preserve"> </w:t>
      </w:r>
      <w:r w:rsidR="00D226EF" w:rsidRPr="001C45D7">
        <w:t>more</w:t>
      </w:r>
      <w:r w:rsidR="00FA6558" w:rsidRPr="001C45D7">
        <w:t xml:space="preserve"> </w:t>
      </w:r>
      <w:r w:rsidR="00D226EF" w:rsidRPr="001C45D7">
        <w:t>dependent</w:t>
      </w:r>
      <w:r w:rsidR="00FA6558" w:rsidRPr="001C45D7">
        <w:t xml:space="preserve"> </w:t>
      </w:r>
      <w:r w:rsidR="00D226EF" w:rsidRPr="001C45D7">
        <w:t>(less</w:t>
      </w:r>
      <w:r w:rsidR="00FA6558" w:rsidRPr="001C45D7">
        <w:t xml:space="preserve"> </w:t>
      </w:r>
      <w:r w:rsidR="00D226EF" w:rsidRPr="001C45D7">
        <w:t>powerful)</w:t>
      </w:r>
      <w:r w:rsidR="00FA6558" w:rsidRPr="001C45D7">
        <w:t xml:space="preserve"> </w:t>
      </w:r>
      <w:r w:rsidR="00D226EF" w:rsidRPr="001C45D7">
        <w:t>partner</w:t>
      </w:r>
      <w:r w:rsidR="00FA6558" w:rsidRPr="001C45D7">
        <w:t xml:space="preserve"> </w:t>
      </w:r>
      <w:r w:rsidR="00480091" w:rsidRPr="001C45D7">
        <w:t>for</w:t>
      </w:r>
      <w:r w:rsidR="00FA6558" w:rsidRPr="001C45D7">
        <w:t xml:space="preserve"> </w:t>
      </w:r>
      <w:r w:rsidR="00480091" w:rsidRPr="001C45D7">
        <w:t>economic</w:t>
      </w:r>
      <w:r w:rsidR="00FA6558" w:rsidRPr="001C45D7">
        <w:t xml:space="preserve"> </w:t>
      </w:r>
      <w:r w:rsidR="00480091" w:rsidRPr="001C45D7">
        <w:t>benefits</w:t>
      </w:r>
      <w:r w:rsidR="00FA6558" w:rsidRPr="001C45D7">
        <w:t xml:space="preserve"> </w:t>
      </w:r>
      <w:r w:rsidR="00D226EF" w:rsidRPr="001C45D7">
        <w:t>with</w:t>
      </w:r>
      <w:r w:rsidR="00FA6558" w:rsidRPr="001C45D7">
        <w:t xml:space="preserve"> </w:t>
      </w:r>
      <w:r w:rsidR="00CF03DC" w:rsidRPr="001C45D7">
        <w:t xml:space="preserve">less </w:t>
      </w:r>
      <w:r w:rsidR="00D226EF" w:rsidRPr="001C45D7">
        <w:t>fear</w:t>
      </w:r>
      <w:r w:rsidR="00FA6558" w:rsidRPr="001C45D7">
        <w:t xml:space="preserve"> </w:t>
      </w:r>
      <w:r w:rsidR="00D226EF" w:rsidRPr="001C45D7">
        <w:t>of</w:t>
      </w:r>
      <w:r w:rsidR="00FA6558" w:rsidRPr="001C45D7">
        <w:t xml:space="preserve"> </w:t>
      </w:r>
      <w:r w:rsidR="00D226EF" w:rsidRPr="001C45D7">
        <w:t>retribution</w:t>
      </w:r>
      <w:r w:rsidR="00FA6558" w:rsidRPr="001C45D7">
        <w:t xml:space="preserve"> </w:t>
      </w:r>
      <w:r w:rsidR="00D226EF" w:rsidRPr="001C45D7">
        <w:t>and</w:t>
      </w:r>
      <w:r w:rsidR="00FA6558" w:rsidRPr="001C45D7">
        <w:t xml:space="preserve"> </w:t>
      </w:r>
      <w:r w:rsidR="00D226EF" w:rsidRPr="001C45D7">
        <w:t>economic</w:t>
      </w:r>
      <w:r w:rsidR="00FA6558" w:rsidRPr="001C45D7">
        <w:t xml:space="preserve"> </w:t>
      </w:r>
      <w:r w:rsidR="00D226EF" w:rsidRPr="001C45D7">
        <w:t>damage</w:t>
      </w:r>
      <w:r w:rsidR="00FA6558" w:rsidRPr="001C45D7">
        <w:t xml:space="preserve"> </w:t>
      </w:r>
      <w:r w:rsidR="00F94041" w:rsidRPr="001C45D7">
        <w:fldChar w:fldCharType="begin" w:fldLock="1"/>
      </w:r>
      <w:r w:rsidR="00433778" w:rsidRPr="001C45D7">
        <w:instrText>ADDIN CSL_CITATION {"citationItems":[{"id":"ITEM-1","itemData":{"DOI":"10.5465/256427","ISSN":"0001-4273","abstract":"This study examines Williamson’s (1975) concept of opportunism in relations between farm and power equipment dealers and their primary supplier organization. Results from a national survey generally support hypotheses predicting that dealer opportunism will be negatively related to dealer dependence on a primary supplier and positively related to supplier control over dealer decisions.","author":[{"dropping-particle":"","family":"Provan","given":"Keith G.","non-dropping-particle":"","parse-names":false,"suffix":""},{"dropping-particle":"","family":"Skinner","given":"Steven J.","non-dropping-particle":"","parse-names":false,"suffix":""}],"container-title":"Academy of Management Journal","id":"ITEM-1","issue":"1","issued":{"date-parts":[["1989","3"]]},"page":"202-212","publisher":"Academy of Management","title":"Interorganizational Dependence and Control as Predictors of Opportunism in Dealer-Supplier Relations","type":"article-journal","volume":"32"},"uris":["http://www.mendeley.com/documents/?uuid=6495a7b4-ed35-4364-8ddc-c68e1ff80bfe"]},{"id":"ITEM-2","itemData":{"DOI":"10.1007/s11747-007-0081-x","ISSN":"00920703","abstract":"The potential to engage in opportunism is a central theme in institutional economics, yet prior research has not quantitatively reviewed the role of opportunism in marketing research. This study uses meta-analytic tech- niques to synthesize research on opportunism conducted over the last quarter century. The analysis of 183 effect sizes extracted from 54 publications from the period 1982 to 2005 offers some support to extant channel theory. The research also indicates that the informant's frame of reference and the research design significantly influence the observed effects. Implications of the findings and future research directions are discussed. © Academy of Marketing Science 2007.","author":[{"dropping-particle":"","family":"Crosno","given":"Jody L","non-dropping-particle":"","parse-names":false,"suffix":""},{"dropping-particle":"","family":"Dahlstrom","given":"Robert","non-dropping-particle":"","parse-names":false,"suffix":""}],"container-title":"Journal of the Academy of Marketing Science","id":"ITEM-2","issue":"2","issued":{"date-parts":[["2008"]]},"page":"191-201","title":"A meta-analytic review of opportunism in exchange relationships","type":"article-journal","volume":"36"},"uris":["http://www.mendeley.com/documents/?uuid=f7567af9-39ca-30c6-b5a5-8094095e0f61"]}],"mendeley":{"formattedCitation":"(Crosno and Dahlstrom, 2008; Provan and Skinner, 1989)","plainTextFormattedCitation":"(Crosno and Dahlstrom, 2008; Provan and Skinner, 1989)","previouslyFormattedCitation":"(Crosno and Dahlstrom, 2008; Provan and Skinner, 1989)"},"properties":{"noteIndex":0},"schema":"https://github.com/citation-style-language/schema/raw/master/csl-citation.json"}</w:instrText>
      </w:r>
      <w:r w:rsidR="00F94041" w:rsidRPr="001C45D7">
        <w:fldChar w:fldCharType="separate"/>
      </w:r>
      <w:r w:rsidR="004A2B48" w:rsidRPr="001C45D7">
        <w:rPr>
          <w:noProof/>
        </w:rPr>
        <w:t>(Crosno and Dahlstrom, 2008; Provan and Skinner, 1989)</w:t>
      </w:r>
      <w:r w:rsidR="00F94041" w:rsidRPr="001C45D7">
        <w:fldChar w:fldCharType="end"/>
      </w:r>
      <w:r w:rsidR="00D226EF" w:rsidRPr="001C45D7">
        <w:t>.</w:t>
      </w:r>
    </w:p>
    <w:p w14:paraId="6409582E" w14:textId="7BC3CBD3" w:rsidR="0074645D" w:rsidRDefault="00176C45" w:rsidP="00566B02">
      <w:pPr>
        <w:pStyle w:val="BodyText"/>
      </w:pPr>
      <w:r w:rsidRPr="001C45D7">
        <w:t xml:space="preserve">SMEs often lag behind in new and innovative initiatives </w:t>
      </w:r>
      <w:r w:rsidRPr="001C45D7">
        <w:fldChar w:fldCharType="begin" w:fldLock="1"/>
      </w:r>
      <w:r w:rsidRPr="001C45D7">
        <w:instrText>ADDIN CSL_CITATION {"citationItems":[{"id":"ITEM-1","itemData":{"DOI":"10.1111/jsbm.12423","ISSN":"1540627X","abstract":"Boundary-spanning individuals (BSIs) play a critical role in supply chain management, especially in small and medium-sized enterprises (SMEs) where interactions with buyers and suppliers can depend heavily on just a few individuals. This study, utilizing data from Korean manufacturing-sector SMEs, explores whether cooperative social value orientations of SMEs' BSIs influence the effects of collaborative buyer-supplier initiatives. The results suggested that the performance implication of decision-sharing initiative increases when BSIs have a high level of cooperative social value orientation. However, it also negatively moderates the relationship between risk/benefit sharing (involving financial losses or gains) and performance suggesting possible negative side effects. However, we found that such orientation also negatively moderates the relationship between risk/benefit sharing (involving direct financial losses or gains) and relationship performance suggesting possible negative side effects.","author":[{"dropping-particle":"","family":"Son","given":"Byung Gak","non-dropping-particle":"","parse-names":false,"suffix":""},{"dropping-particle":"","family":"Ha","given":"Byoung Chun","non-dropping-particle":"","parse-names":false,"suffix":""},{"dropping-particle":"","family":"Lee","given":"Tae Hee","non-dropping-particle":"","parse-names":false,"suffix":""}],"container-title":"Journal of Small Business Management","id":"ITEM-1","issue":"3","issued":{"date-parts":[["2019","7","1"]]},"page":"966-988","publisher":"Blackwell Publishing Ltd","title":"Small and Medium-Sized Enterprises' Collaborative Buyer–Supplier Relationships: Boundary Spanning Individual Perspectives","type":"article-journal","volume":"57"},"uris":["http://www.mendeley.com/documents/?uuid=e5cc64d9-810d-3847-8592-53fc403f3e16"]},{"id":"ITEM-2","itemData":{"DOI":"10.1111/j.1540-627X.2011.00342.x","ISSN":"00472778","abstract":"A paradox exists in small business organizations; although effective buyer-supplier relationships are essential to the success of small businesses, these organizations may not have the purchasing and selling power in terms of managerial resources to implement them. This provides us an opportunity for research to determine how well developed are buyer-supplier relationships within small business organizations. Grounded in transaction cost and resource dependence theory, this paper presents and empirically tests a model that examines the relationships between buyer and supplier specificity and long-term buyer-supplier relationships and the latter's impact on organizational performance from the buyers' perspective. The results of this study provide insight into the development and impact of buyer-supplier relationships within small business organizations. Several managerial implications can be determined. © 2011 International Council for Small Business.","author":[{"dropping-particle":"","family":"Adams","given":"Jeffrey H.","non-dropping-particle":"","parse-names":false,"suffix":""},{"dropping-particle":"","family":"Khoja","given":"Faiza M.","non-dropping-particle":"","parse-names":false,"suffix":""},{"dropping-particle":"","family":"Kauffman","given":"Ralph","non-dropping-particle":"","parse-names":false,"suffix":""}],"container-title":"Journal of Small Business Management","id":"ITEM-2","issue":"1","issued":{"date-parts":[["2012","1"]]},"page":"20-40","title":"An empirical study of buyer-supplier relationships within small business organizations","type":"article-journal","volume":"50"},"uris":["http://www.mendeley.com/documents/?uuid=992bea88-499c-30a7-9af8-7170814af81b"]}],"mendeley":{"formattedCitation":"(Adams &lt;i&gt;et al.&lt;/i&gt;, 2012; Son &lt;i&gt;et al.&lt;/i&gt;, 2019)","manualFormatting":"(Adams et al., 2012; Son et al., 2019)","plainTextFormattedCitation":"(Adams et al., 2012; Son et al., 2019)","previouslyFormattedCitation":"(Adams &lt;i&gt;et al.&lt;/i&gt;, 2012; Son &lt;i&gt;et al.&lt;/i&gt;, 2019)"},"properties":{"noteIndex":0},"schema":"https://github.com/citation-style-language/schema/raw/master/csl-citation.json"}</w:instrText>
      </w:r>
      <w:r w:rsidRPr="001C45D7">
        <w:fldChar w:fldCharType="separate"/>
      </w:r>
      <w:r w:rsidRPr="001C45D7">
        <w:rPr>
          <w:noProof/>
        </w:rPr>
        <w:t xml:space="preserve">(Adams </w:t>
      </w:r>
      <w:r w:rsidRPr="001C45D7">
        <w:rPr>
          <w:i/>
          <w:noProof/>
        </w:rPr>
        <w:t>et al</w:t>
      </w:r>
      <w:r w:rsidRPr="001C45D7">
        <w:rPr>
          <w:noProof/>
        </w:rPr>
        <w:t xml:space="preserve">., 2012; Son </w:t>
      </w:r>
      <w:r w:rsidRPr="001C45D7">
        <w:rPr>
          <w:i/>
          <w:noProof/>
        </w:rPr>
        <w:t>et al</w:t>
      </w:r>
      <w:r w:rsidRPr="001C45D7">
        <w:rPr>
          <w:noProof/>
        </w:rPr>
        <w:t>., 2019)</w:t>
      </w:r>
      <w:r w:rsidRPr="001C45D7">
        <w:fldChar w:fldCharType="end"/>
      </w:r>
      <w:r w:rsidRPr="001C45D7">
        <w:t xml:space="preserve">, including supply chain digitalisation </w:t>
      </w:r>
      <w:r w:rsidRPr="001C45D7">
        <w:fldChar w:fldCharType="begin" w:fldLock="1"/>
      </w:r>
      <w:r w:rsidRPr="001C45D7">
        <w:instrText>ADDIN CSL_CITATION {"citationItems":[{"id":"ITEM-1","itemData":{"DOI":"10.1007/978-3-030-25425-4_1","ISBN":"9783030254254","abstract":"Industry 4.0 can be the starting point for implementation projects as a low-risk entry into an adapted digitization strategy. In larger companies, comprehensive digitization initiatives are already integrated into the central corporate strategy, while smaller companies often have problems putting the Industry 4.0 paradigms into practice. As the backbone of the economy, small-and medium-sized enterprises (SMEs) have an enormous leverage effect, which is why it is crucial to develop specific concepts for smaller companies. Regardless of the size of a company, a digital transformation strategy offers opportunities for growth and sustainable competitiveness. This chapter will give an introductory overview of Industry 4.0 as the fourth industrial revolution and discuss the role of SMEs in this transition towards the digital transformation.","author":[{"dropping-particle":"","family":"Matt","given":"Dominik T.","non-dropping-particle":"","parse-names":false,"suffix":""},{"dropping-particle":"","family":"Rauch","given":"Erwin","non-dropping-particle":"","parse-names":false,"suffix":""}],"container-title":"Industry 4.0 for SMEs: Challenges, Opportunities and Requirements","id":"ITEM-1","issued":{"date-parts":[["2020","1","1"]]},"page":"3-36","publisher":"Palgrave Macmillan","title":"SME 4.0: The role of small-and medium-sized enterprises in the digital transformation","type":"chapter"},"uris":["http://www.mendeley.com/documents/?uuid=1853048d-2c84-3ecb-a7ae-898aae1bb271"]}],"mendeley":{"formattedCitation":"(Matt and Rauch, 2020)","plainTextFormattedCitation":"(Matt and Rauch, 2020)","previouslyFormattedCitation":"(Matt and Rauch, 2020)"},"properties":{"noteIndex":0},"schema":"https://github.com/citation-style-language/schema/raw/master/csl-citation.json"}</w:instrText>
      </w:r>
      <w:r w:rsidRPr="001C45D7">
        <w:fldChar w:fldCharType="separate"/>
      </w:r>
      <w:r w:rsidRPr="001C45D7">
        <w:rPr>
          <w:noProof/>
        </w:rPr>
        <w:t>(Matt and Rauch, 2020)</w:t>
      </w:r>
      <w:r w:rsidRPr="001C45D7">
        <w:fldChar w:fldCharType="end"/>
      </w:r>
      <w:r w:rsidRPr="001C45D7">
        <w:t xml:space="preserve">. One of the main reasons for this is SMEs’ relative lack of relevant resources and skills, which creates several technological and organisational challenges to do so </w:t>
      </w:r>
      <w:r w:rsidRPr="001C45D7">
        <w:fldChar w:fldCharType="begin" w:fldLock="1"/>
      </w:r>
      <w:r w:rsidRPr="001C45D7">
        <w:instrText>ADDIN CSL_CITATION {"citationItems":[{"id":"ITEM-1","itemData":{"DOI":"10.1111/j.1540-627X.2011.00342.x","ISSN":"00472778","abstract":"A paradox exists in small business organizations; although effective buyer-supplier relationships are essential to the success of small businesses, these organizations may not have the purchasing and selling power in terms of managerial resources to implement them. This provides us an opportunity for research to determine how well developed are buyer-supplier relationships within small business organizations. Grounded in transaction cost and resource dependence theory, this paper presents and empirically tests a model that examines the relationships between buyer and supplier specificity and long-term buyer-supplier relationships and the latter's impact on organizational performance from the buyers' perspective. The results of this study provide insight into the development and impact of buyer-supplier relationships within small business organizations. Several managerial implications can be determined. © 2011 International Council for Small Business.","author":[{"dropping-particle":"","family":"Adams","given":"Jeffrey H.","non-dropping-particle":"","parse-names":false,"suffix":""},{"dropping-particle":"","family":"Khoja","given":"Faiza M.","non-dropping-particle":"","parse-names":false,"suffix":""},{"dropping-particle":"","family":"Kauffman","given":"Ralph","non-dropping-particle":"","parse-names":false,"suffix":""}],"container-title":"Journal of Small Business Management","id":"ITEM-1","issue":"1","issued":{"date-parts":[["2012","1"]]},"page":"20-40","title":"An empirical study of buyer-supplier relationships within small business organizations","type":"article-journal","volume":"50"},"uris":["http://www.mendeley.com/documents/?uuid=992bea88-499c-30a7-9af8-7170814af81b"]},{"id":"ITEM-2","itemData":{"DOI":"10.1108/13598540310463387","ISSN":"13598546","abstract":"This paper provides the outcomes of a supply chain management (SCM) practice survey designed to identify current trends in UK industrial small- to medium-sized enterprises. The analysis identifies the adaptation of SCM techniques and relationships between customers and smaller suppliers. The outcomes, based on a survey of 288 firms, indicates a lack of effective adaptation from traditional adversarial relationships to the modern collaborative \"e\" - supply chain; identifies issues businesses need to address to improve the performance of their supply chains, and so improve their competitive position by grasping the benefits of effective SCM.","author":[{"dropping-particle":"","family":"Quayle","given":"Michael","non-dropping-particle":"","parse-names":false,"suffix":""}],"container-title":"Supply Chain Management","id":"ITEM-2","issue":"1","issued":{"date-parts":[["2003"]]},"page":"79-86","title":"A study of supply chain management practice in UK industrial SMEs","type":"article","volume":"8"},"uris":["http://www.mendeley.com/documents/?uuid=cc5d09a4-492f-35c3-9a56-b594b3a8ad1c"]},{"id":"ITEM-3","itemData":{"DOI":"10.1111/j.1745-493X.2001.tb00104.x","ISSN":"1745493X","abstract":"The resource based perspective (RBP) within the field of strategy seeks to understand the relationship between a firm's resources and its competitive advantage. Some RBP authors have concluded that it is logically impossible for organizations to generate sustainable competitive advantage from purchasing activities. One of this article's central objectives is to test the validity of that conclusion. It is hoped that the completion of that task may make it possible to assist in the process of raising the purchasing function's strategic profile in the modern firm. © 2001 Blackwell Publishing Ltd. All rights reserved.","author":[{"dropping-particle":"","family":"Ramsay","given":"John","non-dropping-particle":"","parse-names":false,"suffix":""}],"container-title":"Journal of Supply Chain Management","id":"ITEM-3","issue":"2","issued":{"date-parts":[["2001"]]},"page":"38-47","title":"The resource based perspective, rents, and purchasing's contribution to sustainable competitive advantage","type":"article-journal","volume":"37"},"uris":["http://www.mendeley.com/documents/?uuid=e57ea07c-3976-3715-b80c-3a84fe8d828f"]},{"id":"ITEM-4","itemData":{"DOI":"10.1016/j.respol.2011.09.008","ISSN":"00487333","abstract":"Innovating firms are likely to face several challenges and experience different types of barriers. In this paper we argue that it is necessary to distinguish between two kinds of barriers to innovation. The first corresponds to what we describe as revealed barriers and reflects the degree of difficulty of the innovation process and the learning experience consequent on the firm engaging in innovation activity. The second type of impediment, which we label deterring barriers, encompasses the obstacles that prevent firms from committing to innovation. We use data from the 4th UK Community Innovation Survey (CIS4) to investigate the relationship between firms' engagement in innovation and their assessment of the barriers to innovation. We show that the relationship is curvilinear in the case of costs and market barriers. These results have important implications for innovation policy and innovation management. © 2011 Elsevier B.V.","author":[{"dropping-particle":"","family":"D'Este","given":"Pablo","non-dropping-particle":"","parse-names":false,"suffix":""},{"dropping-particle":"","family":"Iammarino","given":"Simona","non-dropping-particle":"","parse-names":false,"suffix":""},{"dropping-particle":"","family":"Savona","given":"Maria","non-dropping-particle":"","parse-names":false,"suffix":""},{"dropping-particle":"","family":"Tunzelmann","given":"Nick","non-dropping-particle":"Von","parse-names":false,"suffix":""}],"container-title":"Research Policy","id":"ITEM-4","issue":"2","issued":{"date-parts":[["2012"]]},"page":"482-488","title":"What hampers innovation? Revealed barriers versus deterring barriers","type":"article-journal","volume":"41"},"uris":["http://www.mendeley.com/documents/?uuid=65f0ce08-dbb2-3e94-a84d-e3e725a2908c"]},{"id":"ITEM-5","itemData":{"DOI":"10.1111/j.1540-627X.2009.00279.x","ISSN":"00472778","abstract":"Innovation is widely recognized as a key factor in the competitiveness of nations and firms. Small firms that do not embrace innovation within their core business strategy run the risk of becoming uncompetitive because of obsolete products and processes. Innovative firms are a perquisite for a dynamic and competitive economy. This paper reports on the results of a study that examined barriers to firm innovation among a sample of 294 managers of small and medium-sized enterprises (SMEs) in Spain. The study examined the relation between (1) product, process, and management innovation and (2) 15 obstacles to innovation, which can limit a firm's ability to remain competitive and profitable. Findings of the study show that barriers have a differential impact on the various types of innovation; product, process, and management innovation are affected differently by the different barriers. The most significant barriers are associated with costs, whereas the least significant are associated with manager/employee resistance. Additionally, the results demonstrate that the costs associated with innovation have proportionately greater impact on small than on larger firms. The findings can be used in the development of public policy aimed at supporting and encouraging the innovation among SMEs in Spain. Government policies that encourage and support innovation among all firms, especially small firms, can help countries remain competitive in a global market. Public policy that encourages innovation can enable firms to remain competitive and survive, both of which have direct implications for employment and a country's economic viability. The results may also be insightful for managers who are attempting to encourage innovation. Understanding barriers can assist managers in fostering an innovative culture by supporting new ideas or by avoiding an attitude that creates resistance to new ideas. © 2009 International Council for Small Business.","author":[{"dropping-particle":"","family":"Madrid-Guijarro","given":"Antonia","non-dropping-particle":"","parse-names":false,"suffix":""},{"dropping-particle":"","family":"Garcia","given":"Domingo","non-dropping-particle":"","parse-names":false,"suffix":""},{"dropping-particle":"","family":"Auken","given":"Howard","non-dropping-particle":"Van","parse-names":false,"suffix":""}],"container-title":"Journal of Small Business Management","id":"ITEM-5","issue":"4","issued":{"date-parts":[["2009","10"]]},"page":"465-488","title":"Barriers to innovation among spanish manufacturing SMEs","type":"article-journal","volume":"47"},"uris":["http://www.mendeley.com/documents/?uuid=f368ac7b-be97-3287-a07c-8f94b7ba072a"]}],"mendeley":{"formattedCitation":"(Adams &lt;i&gt;et al.&lt;/i&gt;, 2012; D’Este &lt;i&gt;et al.&lt;/i&gt;, 2012; Madrid-Guijarro &lt;i&gt;et al.&lt;/i&gt;, 2009; Quayle, 2003; Ramsay, 2001)","manualFormatting":"(Quayle, 2003; Adams et al., 2012; D’Este et al., 2012)","plainTextFormattedCitation":"(Adams et al., 2012; D’Este et al., 2012; Madrid-Guijarro et al., 2009; Quayle, 2003; Ramsay, 2001)","previouslyFormattedCitation":"(Adams &lt;i&gt;et al.&lt;/i&gt;, 2012; D’Este &lt;i&gt;et al.&lt;/i&gt;, 2012; Madrid-Guijarro &lt;i&gt;et al.&lt;/i&gt;, 2009; Quayle, 2003; Ramsay, 2001)"},"properties":{"noteIndex":0},"schema":"https://github.com/citation-style-language/schema/raw/master/csl-citation.json"}</w:instrText>
      </w:r>
      <w:r w:rsidRPr="001C45D7">
        <w:fldChar w:fldCharType="separate"/>
      </w:r>
      <w:r w:rsidRPr="001C45D7">
        <w:rPr>
          <w:noProof/>
        </w:rPr>
        <w:t xml:space="preserve">(Quayle, 2003; Adams </w:t>
      </w:r>
      <w:r w:rsidRPr="001C45D7">
        <w:rPr>
          <w:i/>
          <w:noProof/>
        </w:rPr>
        <w:t>et al</w:t>
      </w:r>
      <w:r w:rsidRPr="001C45D7">
        <w:rPr>
          <w:noProof/>
        </w:rPr>
        <w:t>., 2012)</w:t>
      </w:r>
      <w:r w:rsidRPr="001C45D7">
        <w:fldChar w:fldCharType="end"/>
      </w:r>
      <w:r w:rsidRPr="001C45D7">
        <w:t xml:space="preserve">. Moreover, SMEs tend not to think in the long-term time frames required for investments of this nature </w:t>
      </w:r>
      <w:r w:rsidRPr="001C45D7">
        <w:fldChar w:fldCharType="begin" w:fldLock="1"/>
      </w:r>
      <w:r w:rsidRPr="001C45D7">
        <w:instrText>ADDIN CSL_CITATION {"citationItems":[{"id":"ITEM-1","itemData":{"DOI":"10.1108/00251740010378309","ISSN":"00251747","abstract":"The paper's premiss is that the extant linear supply chain relationship model that dominates most sectors will rapidly be replaced by a more amorphous supply chain relationship model. It is suggested that entirely new business models are appearing, where the ability to build flexible alliances at speed is a critical management skill. Although these changes will have an impact on all organisations irrespective of size, the focus of the paper is directed towards the SME sector. It is anticipated that the outcomes from this review and the associated research will enhance awareness and understanding of the nature of changes to markets and commercial/supply chain relationships, highlight the potential opportunities and risks and provide guidelines for the developments in strategic management, relationship marketing and risk management. © 2000, MCB UP Limited","author":[{"dropping-particle":"","family":"Ritchie","given":"Bob","non-dropping-particle":"","parse-names":false,"suffix":""},{"dropping-particle":"","family":"Brindley","given":"Clare","non-dropping-particle":"","parse-names":false,"suffix":""}],"container-title":"Management Decision","id":"ITEM-1","issue":"8","issued":{"date-parts":[["2000","10","1"]]},"page":"575-583","title":"Disintermediation, disintegration and risk in the SME global supply chain","type":"article-journal","volume":"38"},"uris":["http://www.mendeley.com/documents/?uuid=2baf3c72-ec82-395a-898d-8f2224d65fbd"]}],"mendeley":{"formattedCitation":"(Ritchie and Brindley, 2000)","plainTextFormattedCitation":"(Ritchie and Brindley, 2000)","previouslyFormattedCitation":"(Ritchie and Brindley, 2000)"},"properties":{"noteIndex":0},"schema":"https://github.com/citation-style-language/schema/raw/master/csl-citation.json"}</w:instrText>
      </w:r>
      <w:r w:rsidRPr="001C45D7">
        <w:fldChar w:fldCharType="separate"/>
      </w:r>
      <w:r w:rsidRPr="001C45D7">
        <w:rPr>
          <w:noProof/>
        </w:rPr>
        <w:t>(Ritchie and Brindley, 2000)</w:t>
      </w:r>
      <w:r w:rsidRPr="001C45D7">
        <w:fldChar w:fldCharType="end"/>
      </w:r>
      <w:r w:rsidRPr="001C45D7">
        <w:t xml:space="preserve"> and are more conservative than larger firms towards investment that involves risk </w:t>
      </w:r>
      <w:r w:rsidRPr="001C45D7">
        <w:fldChar w:fldCharType="begin" w:fldLock="1"/>
      </w:r>
      <w:r w:rsidRPr="001C45D7">
        <w:instrText>ADDIN CSL_CITATION {"citationItems":[{"id":"ITEM-1","itemData":{"DOI":"10.1111/j.1540-627X.2011.00342.x","ISSN":"00472778","abstract":"A paradox exists in small business organizations; although effective buyer-supplier relationships are essential to the success of small businesses, these organizations may not have the purchasing and selling power in terms of managerial resources to implement them. This provides us an opportunity for research to determine how well developed are buyer-supplier relationships within small business organizations. Grounded in transaction cost and resource dependence theory, this paper presents and empirically tests a model that examines the relationships between buyer and supplier specificity and long-term buyer-supplier relationships and the latter's impact on organizational performance from the buyers' perspective. The results of this study provide insight into the development and impact of buyer-supplier relationships within small business organizations. Several managerial implications can be determined. © 2011 International Council for Small Business.","author":[{"dropping-particle":"","family":"Adams","given":"Jeffrey H.","non-dropping-particle":"","parse-names":false,"suffix":""},{"dropping-particle":"","family":"Khoja","given":"Faiza M.","non-dropping-particle":"","parse-names":false,"suffix":""},{"dropping-particle":"","family":"Kauffman","given":"Ralph","non-dropping-particle":"","parse-names":false,"suffix":""}],"container-title":"Journal of Small Business Management","id":"ITEM-1","issue":"1","issued":{"date-parts":[["2012","1"]]},"page":"20-40","title":"An empirical study of buyer-supplier relationships within small business organizations","type":"article-journal","volume":"50"},"uris":["http://www.mendeley.com/documents/?uuid=992bea88-499c-30a7-9af8-7170814af81b"]},{"id":"ITEM-2","itemData":{"DOI":"10.1016/j.jbusvent.2003.11.003","ISSN":"08839026","abstract":"Conflict exists over how supply chain management (SCM) affects small- and medium-sized enterprises (SMEs). On one hand, SCM can provide quality, cost, customer service, leverage and even risk reduction benefits for the SME. On the other hand, SCM exposes the SME to greater management and control hazards while reducing its private differentiation advantages. We test hypotheses relevant to the performance effects of SCM on SMEs using data collected from a recent survey of senior production managers. We find that SCM is negatively associated with SME performance after controlling for self-selection bias. We discuss several explanations for the result. © 2004 Elsevier Inc. All rights reserved.","author":[{"dropping-particle":"","family":"Arend","given":"Richard J.","non-dropping-particle":"","parse-names":false,"suffix":""},{"dropping-particle":"","family":"Wisner","given":"Joel D.","non-dropping-particle":"","parse-names":false,"suffix":""}],"container-title":"Journal of Business Venturing","id":"ITEM-2","issue":"3","issued":{"date-parts":[["2005"]]},"page":"403-436","title":"Small business and supply chain management: Is there a fit?","type":"article-journal","volume":"20"},"uris":["http://www.mendeley.com/documents/?uuid=885247f0-4852-36b7-884c-d077038be25e"]}],"mendeley":{"formattedCitation":"(Adams &lt;i&gt;et al.&lt;/i&gt;, 2012; Arend and Wisner, 2005)","manualFormatting":"(Arend and Wisner, 2005; Adams et al., 2012)","plainTextFormattedCitation":"(Adams et al., 2012; Arend and Wisner, 2005)","previouslyFormattedCitation":"(Adams &lt;i&gt;et al.&lt;/i&gt;, 2012; Arend and Wisner, 2005)"},"properties":{"noteIndex":0},"schema":"https://github.com/citation-style-language/schema/raw/master/csl-citation.json"}</w:instrText>
      </w:r>
      <w:r w:rsidRPr="001C45D7">
        <w:fldChar w:fldCharType="separate"/>
      </w:r>
      <w:r w:rsidRPr="001C45D7">
        <w:rPr>
          <w:noProof/>
        </w:rPr>
        <w:t xml:space="preserve">(Adams </w:t>
      </w:r>
      <w:r w:rsidRPr="001C45D7">
        <w:rPr>
          <w:i/>
          <w:noProof/>
        </w:rPr>
        <w:t>et al</w:t>
      </w:r>
      <w:r w:rsidRPr="001C45D7">
        <w:rPr>
          <w:noProof/>
        </w:rPr>
        <w:t>., 2012)</w:t>
      </w:r>
      <w:r w:rsidRPr="001C45D7">
        <w:fldChar w:fldCharType="end"/>
      </w:r>
      <w:r w:rsidRPr="001C45D7">
        <w:t>.</w:t>
      </w:r>
      <w:r>
        <w:t xml:space="preserve"> </w:t>
      </w:r>
      <w:r w:rsidR="001F676B">
        <w:t>Therefore, w</w:t>
      </w:r>
      <w:r w:rsidR="00BA413A" w:rsidRPr="001C45D7">
        <w:t>hen</w:t>
      </w:r>
      <w:r w:rsidR="00FA6558" w:rsidRPr="001C45D7">
        <w:t xml:space="preserve"> </w:t>
      </w:r>
      <w:r w:rsidR="00BA413A" w:rsidRPr="001C45D7">
        <w:t>a</w:t>
      </w:r>
      <w:r w:rsidR="00FA6558" w:rsidRPr="001C45D7">
        <w:t xml:space="preserve"> </w:t>
      </w:r>
      <w:r w:rsidR="00BA413A" w:rsidRPr="001C45D7">
        <w:t>better</w:t>
      </w:r>
      <w:r w:rsidR="00C0401E" w:rsidRPr="001C45D7">
        <w:t>-</w:t>
      </w:r>
      <w:r w:rsidR="00BA413A" w:rsidRPr="001C45D7">
        <w:t>resourced</w:t>
      </w:r>
      <w:r w:rsidR="00FA6558" w:rsidRPr="001C45D7">
        <w:t xml:space="preserve"> </w:t>
      </w:r>
      <w:r w:rsidR="00BA413A" w:rsidRPr="001C45D7">
        <w:t>and</w:t>
      </w:r>
      <w:r w:rsidR="00FA6558" w:rsidRPr="001C45D7">
        <w:t xml:space="preserve"> </w:t>
      </w:r>
      <w:r w:rsidR="00BA413A" w:rsidRPr="001C45D7">
        <w:t>more</w:t>
      </w:r>
      <w:r w:rsidR="00FA6558" w:rsidRPr="001C45D7">
        <w:t xml:space="preserve"> </w:t>
      </w:r>
      <w:r w:rsidR="00BA413A" w:rsidRPr="001C45D7">
        <w:t>capable</w:t>
      </w:r>
      <w:r w:rsidR="00FA6558" w:rsidRPr="001C45D7">
        <w:t xml:space="preserve"> </w:t>
      </w:r>
      <w:r w:rsidR="00CF06E7" w:rsidRPr="001C45D7">
        <w:t>large</w:t>
      </w:r>
      <w:r w:rsidR="00FA6558" w:rsidRPr="001C45D7">
        <w:t xml:space="preserve"> </w:t>
      </w:r>
      <w:r w:rsidR="00BA413A" w:rsidRPr="001C45D7">
        <w:t>buyer</w:t>
      </w:r>
      <w:r w:rsidR="0074645D">
        <w:t>s</w:t>
      </w:r>
      <w:r w:rsidR="00FA6558" w:rsidRPr="001C45D7">
        <w:t xml:space="preserve"> </w:t>
      </w:r>
      <w:r w:rsidR="00BA413A" w:rsidRPr="001C45D7">
        <w:t>move</w:t>
      </w:r>
      <w:r w:rsidR="00FA6558" w:rsidRPr="001C45D7">
        <w:t xml:space="preserve"> </w:t>
      </w:r>
      <w:r w:rsidR="00BA413A" w:rsidRPr="001C45D7">
        <w:t>ahead</w:t>
      </w:r>
      <w:r w:rsidR="00FA6558" w:rsidRPr="001C45D7">
        <w:t xml:space="preserve"> </w:t>
      </w:r>
      <w:r w:rsidR="00BA413A" w:rsidRPr="001C45D7">
        <w:t>with</w:t>
      </w:r>
      <w:r w:rsidR="00FA6558" w:rsidRPr="001C45D7">
        <w:t xml:space="preserve"> </w:t>
      </w:r>
      <w:r w:rsidR="00BA413A" w:rsidRPr="001C45D7">
        <w:t>supply</w:t>
      </w:r>
      <w:r w:rsidR="00FA6558" w:rsidRPr="001C45D7">
        <w:t xml:space="preserve"> </w:t>
      </w:r>
      <w:r w:rsidR="00BA413A" w:rsidRPr="001C45D7">
        <w:t>chain</w:t>
      </w:r>
      <w:r w:rsidR="00FA6558" w:rsidRPr="001C45D7">
        <w:t xml:space="preserve"> </w:t>
      </w:r>
      <w:r w:rsidR="00BA413A" w:rsidRPr="001C45D7">
        <w:t>digitalisation</w:t>
      </w:r>
      <w:r w:rsidR="00FA6558" w:rsidRPr="001C45D7">
        <w:t xml:space="preserve"> </w:t>
      </w:r>
      <w:r w:rsidR="00BA413A" w:rsidRPr="001C45D7">
        <w:t>they</w:t>
      </w:r>
      <w:r w:rsidR="00FA6558" w:rsidRPr="001C45D7">
        <w:t xml:space="preserve"> </w:t>
      </w:r>
      <w:r w:rsidR="003E3F0C" w:rsidRPr="001C45D7">
        <w:t xml:space="preserve">may </w:t>
      </w:r>
      <w:r w:rsidR="00BA413A" w:rsidRPr="001C45D7">
        <w:t>acquire</w:t>
      </w:r>
      <w:r w:rsidR="00FA6558" w:rsidRPr="001C45D7">
        <w:t xml:space="preserve"> </w:t>
      </w:r>
      <w:r w:rsidR="00BA413A" w:rsidRPr="001C45D7">
        <w:t>unique</w:t>
      </w:r>
      <w:r w:rsidR="00FA6558" w:rsidRPr="001C45D7">
        <w:t xml:space="preserve"> </w:t>
      </w:r>
      <w:r w:rsidR="001F676B">
        <w:t xml:space="preserve">and valuable </w:t>
      </w:r>
      <w:r w:rsidR="00BA413A" w:rsidRPr="001C45D7">
        <w:t>information</w:t>
      </w:r>
      <w:r w:rsidR="00FA6558" w:rsidRPr="001C45D7">
        <w:t xml:space="preserve"> </w:t>
      </w:r>
      <w:r w:rsidR="00BA413A" w:rsidRPr="001C45D7">
        <w:t>and</w:t>
      </w:r>
      <w:r w:rsidR="00FA6558" w:rsidRPr="001C45D7">
        <w:t xml:space="preserve"> </w:t>
      </w:r>
      <w:r w:rsidR="00BA413A" w:rsidRPr="001C45D7">
        <w:t>knowledge,</w:t>
      </w:r>
      <w:r w:rsidR="00FA6558" w:rsidRPr="001C45D7">
        <w:t xml:space="preserve"> </w:t>
      </w:r>
      <w:r w:rsidR="00BA413A" w:rsidRPr="001C45D7">
        <w:t>such</w:t>
      </w:r>
      <w:r w:rsidR="00FA6558" w:rsidRPr="001C45D7">
        <w:t xml:space="preserve"> </w:t>
      </w:r>
      <w:r w:rsidR="00BA413A" w:rsidRPr="001C45D7">
        <w:t>as</w:t>
      </w:r>
      <w:r w:rsidR="00FA6558" w:rsidRPr="001C45D7">
        <w:t xml:space="preserve"> </w:t>
      </w:r>
      <w:r w:rsidR="00CF06E7" w:rsidRPr="001C45D7">
        <w:t>enhanced</w:t>
      </w:r>
      <w:r w:rsidR="00FA6558" w:rsidRPr="001C45D7">
        <w:t xml:space="preserve"> </w:t>
      </w:r>
      <w:r w:rsidR="00BA413A" w:rsidRPr="001C45D7">
        <w:t>real-time</w:t>
      </w:r>
      <w:r w:rsidR="00FA6558" w:rsidRPr="001C45D7">
        <w:t xml:space="preserve"> </w:t>
      </w:r>
      <w:r w:rsidR="00BA413A" w:rsidRPr="001C45D7">
        <w:t>market</w:t>
      </w:r>
      <w:r w:rsidR="00FA6558" w:rsidRPr="001C45D7">
        <w:t xml:space="preserve"> </w:t>
      </w:r>
      <w:r w:rsidR="00BA413A" w:rsidRPr="001C45D7">
        <w:t>demand</w:t>
      </w:r>
      <w:r w:rsidR="00FA6558" w:rsidRPr="001C45D7">
        <w:t xml:space="preserve"> </w:t>
      </w:r>
      <w:r w:rsidR="00BA413A" w:rsidRPr="001C45D7">
        <w:t>information</w:t>
      </w:r>
      <w:r w:rsidR="00FA6558" w:rsidRPr="001C45D7">
        <w:t xml:space="preserve"> </w:t>
      </w:r>
      <w:r w:rsidR="00F81A63" w:rsidRPr="001C45D7">
        <w:t>and</w:t>
      </w:r>
      <w:r w:rsidR="00FA6558" w:rsidRPr="001C45D7">
        <w:t xml:space="preserve"> </w:t>
      </w:r>
      <w:r>
        <w:t xml:space="preserve">end </w:t>
      </w:r>
      <w:r w:rsidR="0040255E">
        <w:t>consumer</w:t>
      </w:r>
      <w:r w:rsidRPr="001C45D7">
        <w:t xml:space="preserve"> </w:t>
      </w:r>
      <w:r w:rsidR="00F81A63" w:rsidRPr="001C45D7">
        <w:t>expectations</w:t>
      </w:r>
      <w:r w:rsidR="00BA413A" w:rsidRPr="001C45D7">
        <w:t>,</w:t>
      </w:r>
      <w:r w:rsidR="00FA6558" w:rsidRPr="001C45D7">
        <w:t xml:space="preserve"> </w:t>
      </w:r>
      <w:r w:rsidR="00BA413A" w:rsidRPr="001C45D7">
        <w:t>which</w:t>
      </w:r>
      <w:r w:rsidR="00FA6558" w:rsidRPr="001C45D7">
        <w:t xml:space="preserve"> </w:t>
      </w:r>
      <w:r w:rsidR="003E3F0C" w:rsidRPr="001C45D7">
        <w:t xml:space="preserve">may </w:t>
      </w:r>
      <w:r w:rsidR="001F2C92" w:rsidRPr="001C45D7">
        <w:t>be</w:t>
      </w:r>
      <w:r w:rsidR="00FA6558" w:rsidRPr="001C45D7">
        <w:t xml:space="preserve"> </w:t>
      </w:r>
      <w:r w:rsidR="00BA413A" w:rsidRPr="001C45D7">
        <w:t>highly</w:t>
      </w:r>
      <w:r w:rsidR="00FA6558" w:rsidRPr="001C45D7">
        <w:t xml:space="preserve"> </w:t>
      </w:r>
      <w:r w:rsidR="00F81A63" w:rsidRPr="001C45D7">
        <w:t>sought</w:t>
      </w:r>
      <w:r w:rsidR="00FA6558" w:rsidRPr="001C45D7">
        <w:t xml:space="preserve"> </w:t>
      </w:r>
      <w:r w:rsidR="00BA413A" w:rsidRPr="001C45D7">
        <w:t>after</w:t>
      </w:r>
      <w:r w:rsidR="00FA6558" w:rsidRPr="001C45D7">
        <w:t xml:space="preserve"> </w:t>
      </w:r>
      <w:r w:rsidR="00BA413A" w:rsidRPr="001C45D7">
        <w:t>by</w:t>
      </w:r>
      <w:r w:rsidR="00FA6558" w:rsidRPr="001C45D7">
        <w:t xml:space="preserve"> </w:t>
      </w:r>
      <w:r w:rsidR="001F676B">
        <w:t xml:space="preserve">SME </w:t>
      </w:r>
      <w:r w:rsidR="00BA413A" w:rsidRPr="001C45D7">
        <w:t>suppliers.</w:t>
      </w:r>
      <w:r w:rsidR="00FA6558" w:rsidRPr="001C45D7">
        <w:t xml:space="preserve"> </w:t>
      </w:r>
      <w:r w:rsidR="00BA413A" w:rsidRPr="001C45D7">
        <w:t>Consequently,</w:t>
      </w:r>
      <w:r w:rsidR="00FA6558" w:rsidRPr="001C45D7">
        <w:t xml:space="preserve"> </w:t>
      </w:r>
      <w:r w:rsidR="00480091" w:rsidRPr="001C45D7">
        <w:t>this</w:t>
      </w:r>
      <w:r w:rsidR="00FA6558" w:rsidRPr="001C45D7">
        <w:t xml:space="preserve"> </w:t>
      </w:r>
      <w:r w:rsidR="00480091" w:rsidRPr="001C45D7">
        <w:t>could</w:t>
      </w:r>
      <w:r w:rsidR="00FA6558" w:rsidRPr="001C45D7">
        <w:t xml:space="preserve"> </w:t>
      </w:r>
      <w:r w:rsidR="00480091" w:rsidRPr="001C45D7">
        <w:t>result</w:t>
      </w:r>
      <w:r w:rsidR="00FA6558" w:rsidRPr="001C45D7">
        <w:t xml:space="preserve"> </w:t>
      </w:r>
      <w:r w:rsidR="00480091" w:rsidRPr="001C45D7">
        <w:t>in</w:t>
      </w:r>
      <w:r w:rsidR="00FA6558" w:rsidRPr="001C45D7">
        <w:t xml:space="preserve"> </w:t>
      </w:r>
      <w:r w:rsidR="00BA413A" w:rsidRPr="001C45D7">
        <w:t>SME</w:t>
      </w:r>
      <w:r w:rsidR="00FA6558" w:rsidRPr="001C45D7">
        <w:t xml:space="preserve"> </w:t>
      </w:r>
      <w:r w:rsidR="00BA413A" w:rsidRPr="001C45D7">
        <w:t>suppliers’</w:t>
      </w:r>
      <w:r w:rsidR="00FA6558" w:rsidRPr="001C45D7">
        <w:t xml:space="preserve"> </w:t>
      </w:r>
      <w:r w:rsidR="00450478" w:rsidRPr="001C45D7">
        <w:t xml:space="preserve">increased </w:t>
      </w:r>
      <w:r w:rsidR="00BA413A" w:rsidRPr="001C45D7">
        <w:t>dependence</w:t>
      </w:r>
      <w:r w:rsidR="00FA6558" w:rsidRPr="001C45D7">
        <w:t xml:space="preserve"> </w:t>
      </w:r>
      <w:r w:rsidR="00BA413A" w:rsidRPr="001C45D7">
        <w:t>on</w:t>
      </w:r>
      <w:r w:rsidR="00FA6558" w:rsidRPr="001C45D7">
        <w:t xml:space="preserve"> </w:t>
      </w:r>
      <w:r w:rsidR="00BA413A" w:rsidRPr="001C45D7">
        <w:t>the</w:t>
      </w:r>
      <w:r w:rsidR="00FA6558" w:rsidRPr="001C45D7">
        <w:t xml:space="preserve"> </w:t>
      </w:r>
      <w:r w:rsidR="00C226E2" w:rsidRPr="001C45D7">
        <w:t xml:space="preserve">superior digital capability </w:t>
      </w:r>
      <w:r w:rsidR="00480091" w:rsidRPr="001C45D7">
        <w:t>of</w:t>
      </w:r>
      <w:r w:rsidR="00FA6558" w:rsidRPr="001C45D7">
        <w:t xml:space="preserve"> </w:t>
      </w:r>
      <w:r w:rsidR="00BA413A" w:rsidRPr="001C45D7">
        <w:t>the</w:t>
      </w:r>
      <w:r w:rsidR="00FA6558" w:rsidRPr="001C45D7">
        <w:t xml:space="preserve"> </w:t>
      </w:r>
      <w:r w:rsidR="00BA413A" w:rsidRPr="001C45D7">
        <w:t>buyer</w:t>
      </w:r>
      <w:r w:rsidR="0074645D">
        <w:t>s</w:t>
      </w:r>
      <w:r w:rsidR="001F2C92" w:rsidRPr="001C45D7">
        <w:t>,</w:t>
      </w:r>
      <w:r w:rsidR="00FA6558" w:rsidRPr="001C45D7">
        <w:t xml:space="preserve"> </w:t>
      </w:r>
      <w:r w:rsidR="00CF06E7" w:rsidRPr="001C45D7">
        <w:t>therefore</w:t>
      </w:r>
      <w:r w:rsidR="00FA6558" w:rsidRPr="001C45D7">
        <w:t xml:space="preserve"> </w:t>
      </w:r>
      <w:r w:rsidR="00480091" w:rsidRPr="001C45D7">
        <w:t>breaking</w:t>
      </w:r>
      <w:r w:rsidR="00FA6558" w:rsidRPr="001C45D7">
        <w:t xml:space="preserve"> </w:t>
      </w:r>
      <w:r w:rsidR="00480091" w:rsidRPr="001C45D7">
        <w:t>the</w:t>
      </w:r>
      <w:r w:rsidR="00FA6558" w:rsidRPr="001C45D7">
        <w:t xml:space="preserve"> </w:t>
      </w:r>
      <w:r w:rsidR="001F2C92" w:rsidRPr="001C45D7">
        <w:t>dependence</w:t>
      </w:r>
      <w:r w:rsidR="00FA6558" w:rsidRPr="001C45D7">
        <w:t xml:space="preserve"> </w:t>
      </w:r>
      <w:r w:rsidR="00480091" w:rsidRPr="001C45D7">
        <w:t>balance</w:t>
      </w:r>
      <w:r w:rsidR="00FA6558" w:rsidRPr="001C45D7">
        <w:t xml:space="preserve"> </w:t>
      </w:r>
      <w:r w:rsidR="00480091" w:rsidRPr="001C45D7">
        <w:t>or</w:t>
      </w:r>
      <w:r w:rsidR="00FA6558" w:rsidRPr="001C45D7">
        <w:t xml:space="preserve"> </w:t>
      </w:r>
      <w:r w:rsidR="00480091" w:rsidRPr="001C45D7">
        <w:t>increasing</w:t>
      </w:r>
      <w:r w:rsidR="00FA6558" w:rsidRPr="001C45D7">
        <w:t xml:space="preserve"> </w:t>
      </w:r>
      <w:r w:rsidR="006E0430" w:rsidRPr="001C45D7">
        <w:t xml:space="preserve">the </w:t>
      </w:r>
      <w:r w:rsidR="00480091" w:rsidRPr="001C45D7">
        <w:t>gap</w:t>
      </w:r>
      <w:r w:rsidR="006E0430" w:rsidRPr="001C45D7">
        <w:t xml:space="preserve"> between </w:t>
      </w:r>
      <w:r w:rsidR="001F676B">
        <w:t>them</w:t>
      </w:r>
      <w:r w:rsidR="00480091" w:rsidRPr="001C45D7">
        <w:t>.</w:t>
      </w:r>
      <w:r w:rsidR="00FA6558" w:rsidRPr="001C45D7">
        <w:t xml:space="preserve"> </w:t>
      </w:r>
      <w:r w:rsidR="00480091" w:rsidRPr="001C45D7">
        <w:t>U</w:t>
      </w:r>
      <w:r w:rsidR="00BA413A" w:rsidRPr="001C45D7">
        <w:t>nless</w:t>
      </w:r>
      <w:r w:rsidR="00FA6558" w:rsidRPr="001C45D7">
        <w:t xml:space="preserve"> </w:t>
      </w:r>
      <w:r w:rsidR="000A3633" w:rsidRPr="001C45D7">
        <w:t xml:space="preserve">the </w:t>
      </w:r>
      <w:r w:rsidR="00480091" w:rsidRPr="001C45D7">
        <w:t>SMEs</w:t>
      </w:r>
      <w:r w:rsidR="00FA6558" w:rsidRPr="001C45D7">
        <w:t xml:space="preserve"> </w:t>
      </w:r>
      <w:r w:rsidR="005B1310" w:rsidRPr="001C45D7">
        <w:t xml:space="preserve">also </w:t>
      </w:r>
      <w:r w:rsidR="00BA413A" w:rsidRPr="001C45D7">
        <w:t>decide</w:t>
      </w:r>
      <w:r w:rsidR="00FA6558" w:rsidRPr="001C45D7">
        <w:t xml:space="preserve"> </w:t>
      </w:r>
      <w:r w:rsidR="00BA413A" w:rsidRPr="001C45D7">
        <w:t>to</w:t>
      </w:r>
      <w:r w:rsidR="00FA6558" w:rsidRPr="001C45D7">
        <w:t xml:space="preserve"> </w:t>
      </w:r>
      <w:r w:rsidR="007D3BBA" w:rsidRPr="001C45D7">
        <w:t xml:space="preserve">undertake </w:t>
      </w:r>
      <w:r w:rsidR="00BA413A" w:rsidRPr="001C45D7">
        <w:t>costly</w:t>
      </w:r>
      <w:r w:rsidR="00FA6558" w:rsidRPr="001C45D7">
        <w:t xml:space="preserve"> </w:t>
      </w:r>
      <w:r w:rsidR="00BA413A" w:rsidRPr="001C45D7">
        <w:t>investment</w:t>
      </w:r>
      <w:r w:rsidR="00FA6558" w:rsidRPr="001C45D7">
        <w:t xml:space="preserve"> </w:t>
      </w:r>
      <w:r w:rsidR="00BA413A" w:rsidRPr="001C45D7">
        <w:t>in</w:t>
      </w:r>
      <w:r w:rsidR="00FA6558" w:rsidRPr="001C45D7">
        <w:t xml:space="preserve"> </w:t>
      </w:r>
      <w:r w:rsidR="00BA413A" w:rsidRPr="001C45D7">
        <w:t>supply</w:t>
      </w:r>
      <w:r w:rsidR="00FA6558" w:rsidRPr="001C45D7">
        <w:t xml:space="preserve"> </w:t>
      </w:r>
      <w:r w:rsidR="00BA413A" w:rsidRPr="001C45D7">
        <w:t>chain</w:t>
      </w:r>
      <w:r w:rsidR="00FA6558" w:rsidRPr="001C45D7">
        <w:t xml:space="preserve"> </w:t>
      </w:r>
      <w:r w:rsidR="00BA413A" w:rsidRPr="001C45D7">
        <w:t>digitalisation</w:t>
      </w:r>
      <w:r w:rsidR="00282C76" w:rsidRPr="001C45D7">
        <w:t>,</w:t>
      </w:r>
      <w:r w:rsidR="00FA6558" w:rsidRPr="001C45D7">
        <w:t xml:space="preserve"> </w:t>
      </w:r>
      <w:r w:rsidR="00CB5762" w:rsidRPr="001C45D7">
        <w:t>the</w:t>
      </w:r>
      <w:r w:rsidR="00FA6558" w:rsidRPr="001C45D7">
        <w:t xml:space="preserve"> </w:t>
      </w:r>
      <w:r w:rsidR="007578FE" w:rsidRPr="001C45D7">
        <w:t>dependence</w:t>
      </w:r>
      <w:r w:rsidR="00FA6558" w:rsidRPr="001C45D7">
        <w:t xml:space="preserve"> </w:t>
      </w:r>
      <w:r w:rsidR="00282C76" w:rsidRPr="001C45D7">
        <w:t>gap</w:t>
      </w:r>
      <w:r w:rsidR="00FA6558" w:rsidRPr="001C45D7">
        <w:t xml:space="preserve"> </w:t>
      </w:r>
      <w:r w:rsidR="008C3B17" w:rsidRPr="001C45D7">
        <w:t xml:space="preserve">may </w:t>
      </w:r>
      <w:r w:rsidR="00282C76" w:rsidRPr="001C45D7">
        <w:t>remain</w:t>
      </w:r>
      <w:r w:rsidR="00FA6558" w:rsidRPr="001C45D7">
        <w:t xml:space="preserve"> </w:t>
      </w:r>
      <w:r w:rsidR="00282C76" w:rsidRPr="001C45D7">
        <w:t>or</w:t>
      </w:r>
      <w:r w:rsidR="00FA6558" w:rsidRPr="001C45D7">
        <w:t xml:space="preserve"> </w:t>
      </w:r>
      <w:r w:rsidR="00282C76" w:rsidRPr="001C45D7">
        <w:t>even</w:t>
      </w:r>
      <w:r w:rsidR="00FA6558" w:rsidRPr="001C45D7">
        <w:t xml:space="preserve"> </w:t>
      </w:r>
      <w:r w:rsidR="00282C76" w:rsidRPr="001C45D7">
        <w:t>widen</w:t>
      </w:r>
      <w:r w:rsidR="00BA413A" w:rsidRPr="001C45D7">
        <w:t>.</w:t>
      </w:r>
    </w:p>
    <w:bookmarkStart w:id="8" w:name="_Hlk63327797"/>
    <w:p w14:paraId="072FC44E" w14:textId="4BF6984E" w:rsidR="00176C45" w:rsidRDefault="00BA413A" w:rsidP="00566B02">
      <w:pPr>
        <w:pStyle w:val="BodyText"/>
        <w:rPr>
          <w:rFonts w:eastAsiaTheme="minorEastAsia"/>
          <w:lang w:eastAsia="ko-KR"/>
        </w:rPr>
      </w:pPr>
      <w:r w:rsidRPr="001C45D7">
        <w:fldChar w:fldCharType="begin" w:fldLock="1"/>
      </w:r>
      <w:r w:rsidRPr="001C45D7">
        <w:instrText>ADDIN CSL_CITATION {"citationItems":[{"id":"ITEM-1","itemData":{"DOI":"10.2307/2089716","ISSN":"00031224","abstract":"A simple theory of power relations is developed in an effort to resolve some of the ambiguities surrounding \"power,\" \"authority,\" \"legitimacy,\" and power \"structures,\" through bringing them together in a coherent scheme. After defining a reciprocal power-dependence relation, attention is focused upon properties of balance and \"balancing operations\" in such relations. The theory dictates exactly four generic types of balancing process, and discussion of these leads directly into processes of group formation, including the emergence of group norms, role structure and status hierarchy, all presented as the outcome of balancing tendencies in power relations. Within the framework of this theory, authority appears quite naturally to be legitimized power, vested in roles, and \"legitimation\" is seen as a special case of the coalition process through which norms and role-prescriptions are formed. Finally, through treating both persons and groups as actors in a power-network (two or more connected power-dependence relations) the door is opened for meaningful analysis of complex power structures. Brief reference is made to findings from two experiments pertaining to hypotheses advanced in this theory.","author":[{"dropping-particle":"","family":"Emerson","given":"Richard M.","non-dropping-particle":"","parse-names":false,"suffix":""}],"container-title":"American Sociological Review","id":"ITEM-1","issue":"1","issued":{"date-parts":[["1962","2"]]},"page":"31","publisher":"SAGE Publications","title":"Power-Dependence Relations","type":"article-journal","volume":"27"},"uris":["http://www.mendeley.com/documents/?uuid=d0dc5402-6fc9-3cb1-b66d-6542d8f67e8c"]}],"mendeley":{"formattedCitation":"(Emerson, 1962)","manualFormatting":"Emerson (1962)","plainTextFormattedCitation":"(Emerson, 1962)","previouslyFormattedCitation":"(Emerson, 1962)"},"properties":{"noteIndex":0},"schema":"https://github.com/citation-style-language/schema/raw/master/csl-citation.json"}</w:instrText>
      </w:r>
      <w:r w:rsidRPr="001C45D7">
        <w:fldChar w:fldCharType="separate"/>
      </w:r>
      <w:r w:rsidRPr="001C45D7">
        <w:rPr>
          <w:noProof/>
        </w:rPr>
        <w:t>Emerson</w:t>
      </w:r>
      <w:r w:rsidR="00FA6558" w:rsidRPr="001C45D7">
        <w:rPr>
          <w:noProof/>
        </w:rPr>
        <w:t xml:space="preserve"> </w:t>
      </w:r>
      <w:r w:rsidRPr="001C45D7">
        <w:rPr>
          <w:noProof/>
        </w:rPr>
        <w:t>(1962)</w:t>
      </w:r>
      <w:r w:rsidRPr="001C45D7">
        <w:fldChar w:fldCharType="end"/>
      </w:r>
      <w:r w:rsidR="00FA6558" w:rsidRPr="001C45D7">
        <w:rPr>
          <w:color w:val="000000" w:themeColor="text1"/>
        </w:rPr>
        <w:t xml:space="preserve"> </w:t>
      </w:r>
      <w:r w:rsidRPr="001C45D7">
        <w:rPr>
          <w:color w:val="000000" w:themeColor="text1"/>
        </w:rPr>
        <w:t>suggested</w:t>
      </w:r>
      <w:r w:rsidR="00FA6558" w:rsidRPr="001C45D7">
        <w:rPr>
          <w:color w:val="000000" w:themeColor="text1"/>
        </w:rPr>
        <w:t xml:space="preserve"> </w:t>
      </w:r>
      <w:r w:rsidRPr="001C45D7">
        <w:rPr>
          <w:color w:val="000000" w:themeColor="text1"/>
        </w:rPr>
        <w:t>that</w:t>
      </w:r>
      <w:r w:rsidR="00FA6558" w:rsidRPr="001C45D7">
        <w:rPr>
          <w:color w:val="000000" w:themeColor="text1"/>
        </w:rPr>
        <w:t xml:space="preserve"> </w:t>
      </w:r>
      <w:r w:rsidR="00805930" w:rsidRPr="001C45D7">
        <w:rPr>
          <w:color w:val="000000" w:themeColor="text1"/>
        </w:rPr>
        <w:t xml:space="preserve">actors’ </w:t>
      </w:r>
      <w:r w:rsidRPr="001C45D7">
        <w:rPr>
          <w:color w:val="000000" w:themeColor="text1"/>
        </w:rPr>
        <w:t>power</w:t>
      </w:r>
      <w:r w:rsidR="00FA6558" w:rsidRPr="001C45D7">
        <w:rPr>
          <w:color w:val="000000" w:themeColor="text1"/>
        </w:rPr>
        <w:t xml:space="preserve"> </w:t>
      </w:r>
      <w:r w:rsidRPr="001C45D7">
        <w:rPr>
          <w:color w:val="000000" w:themeColor="text1"/>
        </w:rPr>
        <w:t>capability</w:t>
      </w:r>
      <w:r w:rsidR="00FA6558" w:rsidRPr="001C45D7">
        <w:rPr>
          <w:color w:val="000000" w:themeColor="text1"/>
        </w:rPr>
        <w:t xml:space="preserve"> </w:t>
      </w:r>
      <w:r w:rsidR="00805930" w:rsidRPr="001C45D7">
        <w:rPr>
          <w:color w:val="000000" w:themeColor="text1"/>
        </w:rPr>
        <w:t>over</w:t>
      </w:r>
      <w:r w:rsidR="00FA6558" w:rsidRPr="001C45D7">
        <w:rPr>
          <w:color w:val="000000" w:themeColor="text1"/>
        </w:rPr>
        <w:t xml:space="preserve"> </w:t>
      </w:r>
      <w:r w:rsidRPr="001C45D7">
        <w:rPr>
          <w:color w:val="000000" w:themeColor="text1"/>
        </w:rPr>
        <w:t>the</w:t>
      </w:r>
      <w:r w:rsidR="00805930" w:rsidRPr="001C45D7">
        <w:rPr>
          <w:color w:val="000000" w:themeColor="text1"/>
        </w:rPr>
        <w:t>ir</w:t>
      </w:r>
      <w:r w:rsidR="00FA6558" w:rsidRPr="001C45D7">
        <w:rPr>
          <w:color w:val="000000" w:themeColor="text1"/>
        </w:rPr>
        <w:t xml:space="preserve"> </w:t>
      </w:r>
      <w:r w:rsidRPr="001C45D7">
        <w:rPr>
          <w:color w:val="000000" w:themeColor="text1"/>
        </w:rPr>
        <w:t>target</w:t>
      </w:r>
      <w:r w:rsidR="00FA6558" w:rsidRPr="001C45D7">
        <w:rPr>
          <w:color w:val="000000" w:themeColor="text1"/>
        </w:rPr>
        <w:t xml:space="preserve"> </w:t>
      </w:r>
      <w:r w:rsidRPr="001C45D7">
        <w:rPr>
          <w:color w:val="000000" w:themeColor="text1"/>
        </w:rPr>
        <w:t>is</w:t>
      </w:r>
      <w:r w:rsidR="00FA6558" w:rsidRPr="001C45D7">
        <w:rPr>
          <w:color w:val="000000" w:themeColor="text1"/>
        </w:rPr>
        <w:t xml:space="preserve"> </w:t>
      </w:r>
      <w:bookmarkStart w:id="9" w:name="_Hlk63328860"/>
      <w:r w:rsidR="007A7135" w:rsidRPr="001C45D7">
        <w:rPr>
          <w:color w:val="000000" w:themeColor="text1"/>
        </w:rPr>
        <w:t>based on</w:t>
      </w:r>
      <w:r w:rsidR="00FA6558" w:rsidRPr="001C45D7">
        <w:rPr>
          <w:color w:val="000000" w:themeColor="text1"/>
        </w:rPr>
        <w:t xml:space="preserve"> </w:t>
      </w:r>
      <w:bookmarkEnd w:id="9"/>
      <w:r w:rsidRPr="001C45D7">
        <w:rPr>
          <w:color w:val="000000" w:themeColor="text1"/>
        </w:rPr>
        <w:t>the</w:t>
      </w:r>
      <w:r w:rsidR="00FA6558" w:rsidRPr="001C45D7">
        <w:rPr>
          <w:color w:val="000000" w:themeColor="text1"/>
        </w:rPr>
        <w:t xml:space="preserve"> </w:t>
      </w:r>
      <w:r w:rsidRPr="001C45D7">
        <w:rPr>
          <w:color w:val="000000" w:themeColor="text1"/>
        </w:rPr>
        <w:t>target’s</w:t>
      </w:r>
      <w:r w:rsidR="00FA6558" w:rsidRPr="001C45D7">
        <w:rPr>
          <w:color w:val="000000" w:themeColor="text1"/>
        </w:rPr>
        <w:t xml:space="preserve"> </w:t>
      </w:r>
      <w:r w:rsidRPr="001C45D7">
        <w:rPr>
          <w:color w:val="000000" w:themeColor="text1"/>
        </w:rPr>
        <w:t>dependence</w:t>
      </w:r>
      <w:r w:rsidR="009431B8" w:rsidRPr="001C45D7">
        <w:rPr>
          <w:color w:val="000000" w:themeColor="text1"/>
        </w:rPr>
        <w:t>.</w:t>
      </w:r>
      <w:r w:rsidR="00FA6558" w:rsidRPr="001C45D7">
        <w:rPr>
          <w:color w:val="000000" w:themeColor="text1"/>
        </w:rPr>
        <w:t xml:space="preserve"> </w:t>
      </w:r>
      <w:r w:rsidR="009431B8" w:rsidRPr="001C45D7">
        <w:rPr>
          <w:color w:val="000000" w:themeColor="text1"/>
        </w:rPr>
        <w:t>T</w:t>
      </w:r>
      <w:r w:rsidRPr="001C45D7">
        <w:rPr>
          <w:color w:val="000000" w:themeColor="text1"/>
        </w:rPr>
        <w:t>he</w:t>
      </w:r>
      <w:r w:rsidR="00FA6558" w:rsidRPr="001C45D7">
        <w:rPr>
          <w:color w:val="000000" w:themeColor="text1"/>
        </w:rPr>
        <w:t xml:space="preserve"> </w:t>
      </w:r>
      <w:r w:rsidRPr="001C45D7">
        <w:rPr>
          <w:color w:val="000000" w:themeColor="text1"/>
        </w:rPr>
        <w:t>buyer’s</w:t>
      </w:r>
      <w:r w:rsidR="00FA6558" w:rsidRPr="001C45D7">
        <w:rPr>
          <w:color w:val="000000" w:themeColor="text1"/>
        </w:rPr>
        <w:t xml:space="preserve"> </w:t>
      </w:r>
      <w:r w:rsidRPr="001C45D7">
        <w:rPr>
          <w:color w:val="000000" w:themeColor="text1"/>
        </w:rPr>
        <w:t>power</w:t>
      </w:r>
      <w:r w:rsidR="00FA6558" w:rsidRPr="001C45D7">
        <w:rPr>
          <w:color w:val="000000" w:themeColor="text1"/>
        </w:rPr>
        <w:t xml:space="preserve"> </w:t>
      </w:r>
      <w:r w:rsidRPr="001C45D7">
        <w:rPr>
          <w:color w:val="000000" w:themeColor="text1"/>
        </w:rPr>
        <w:t>over</w:t>
      </w:r>
      <w:r w:rsidR="00FA6558" w:rsidRPr="001C45D7">
        <w:rPr>
          <w:color w:val="000000" w:themeColor="text1"/>
        </w:rPr>
        <w:t xml:space="preserve"> </w:t>
      </w:r>
      <w:r w:rsidRPr="001C45D7">
        <w:rPr>
          <w:color w:val="000000" w:themeColor="text1"/>
        </w:rPr>
        <w:t>its</w:t>
      </w:r>
      <w:r w:rsidR="00FA6558" w:rsidRPr="001C45D7">
        <w:rPr>
          <w:color w:val="000000" w:themeColor="text1"/>
        </w:rPr>
        <w:t xml:space="preserve"> </w:t>
      </w:r>
      <w:r w:rsidRPr="001C45D7">
        <w:rPr>
          <w:color w:val="000000" w:themeColor="text1"/>
        </w:rPr>
        <w:t>SME</w:t>
      </w:r>
      <w:r w:rsidR="00FA6558" w:rsidRPr="001C45D7">
        <w:rPr>
          <w:color w:val="000000" w:themeColor="text1"/>
        </w:rPr>
        <w:t xml:space="preserve"> </w:t>
      </w:r>
      <w:r w:rsidRPr="001C45D7">
        <w:rPr>
          <w:color w:val="000000" w:themeColor="text1"/>
        </w:rPr>
        <w:t>suppliers</w:t>
      </w:r>
      <w:r w:rsidR="00FA6558" w:rsidRPr="001C45D7">
        <w:rPr>
          <w:color w:val="000000" w:themeColor="text1"/>
        </w:rPr>
        <w:t xml:space="preserve"> </w:t>
      </w:r>
      <w:r w:rsidRPr="001C45D7">
        <w:rPr>
          <w:color w:val="000000" w:themeColor="text1"/>
        </w:rPr>
        <w:t>is</w:t>
      </w:r>
      <w:r w:rsidR="00FA6558" w:rsidRPr="001C45D7">
        <w:rPr>
          <w:color w:val="000000" w:themeColor="text1"/>
        </w:rPr>
        <w:t xml:space="preserve"> </w:t>
      </w:r>
      <w:r w:rsidR="007D3BBA" w:rsidRPr="001C45D7">
        <w:rPr>
          <w:color w:val="000000" w:themeColor="text1"/>
        </w:rPr>
        <w:t xml:space="preserve">therefore </w:t>
      </w:r>
      <w:r w:rsidRPr="001C45D7">
        <w:rPr>
          <w:color w:val="000000" w:themeColor="text1"/>
        </w:rPr>
        <w:t>in</w:t>
      </w:r>
      <w:r w:rsidR="00FA6558" w:rsidRPr="001C45D7">
        <w:rPr>
          <w:color w:val="000000" w:themeColor="text1"/>
        </w:rPr>
        <w:t xml:space="preserve"> </w:t>
      </w:r>
      <w:r w:rsidRPr="001C45D7">
        <w:rPr>
          <w:color w:val="000000" w:themeColor="text1"/>
        </w:rPr>
        <w:t>proportion</w:t>
      </w:r>
      <w:r w:rsidR="00FA6558" w:rsidRPr="001C45D7">
        <w:rPr>
          <w:color w:val="000000" w:themeColor="text1"/>
        </w:rPr>
        <w:t xml:space="preserve"> </w:t>
      </w:r>
      <w:r w:rsidRPr="001C45D7">
        <w:rPr>
          <w:color w:val="000000" w:themeColor="text1"/>
        </w:rPr>
        <w:t>to</w:t>
      </w:r>
      <w:r w:rsidR="00FA6558" w:rsidRPr="001C45D7">
        <w:rPr>
          <w:color w:val="000000" w:themeColor="text1"/>
        </w:rPr>
        <w:t xml:space="preserve"> </w:t>
      </w:r>
      <w:r w:rsidRPr="001C45D7">
        <w:rPr>
          <w:color w:val="000000" w:themeColor="text1"/>
        </w:rPr>
        <w:t>the</w:t>
      </w:r>
      <w:r w:rsidR="00FA6558" w:rsidRPr="001C45D7">
        <w:rPr>
          <w:color w:val="000000" w:themeColor="text1"/>
        </w:rPr>
        <w:t xml:space="preserve"> </w:t>
      </w:r>
      <w:r w:rsidRPr="001C45D7">
        <w:rPr>
          <w:color w:val="000000" w:themeColor="text1"/>
        </w:rPr>
        <w:t>SME</w:t>
      </w:r>
      <w:r w:rsidR="00FA6558" w:rsidRPr="001C45D7">
        <w:rPr>
          <w:color w:val="000000" w:themeColor="text1"/>
        </w:rPr>
        <w:t xml:space="preserve"> </w:t>
      </w:r>
      <w:r w:rsidRPr="001C45D7">
        <w:rPr>
          <w:color w:val="000000" w:themeColor="text1"/>
        </w:rPr>
        <w:t>suppliers’</w:t>
      </w:r>
      <w:r w:rsidR="00FA6558" w:rsidRPr="001C45D7">
        <w:rPr>
          <w:color w:val="000000" w:themeColor="text1"/>
        </w:rPr>
        <w:t xml:space="preserve"> </w:t>
      </w:r>
      <w:r w:rsidRPr="001C45D7">
        <w:rPr>
          <w:color w:val="000000" w:themeColor="text1"/>
        </w:rPr>
        <w:t>need</w:t>
      </w:r>
      <w:r w:rsidR="00FA6558" w:rsidRPr="001C45D7">
        <w:rPr>
          <w:color w:val="000000" w:themeColor="text1"/>
        </w:rPr>
        <w:t xml:space="preserve"> </w:t>
      </w:r>
      <w:r w:rsidRPr="001C45D7">
        <w:rPr>
          <w:color w:val="000000" w:themeColor="text1"/>
        </w:rPr>
        <w:t>for</w:t>
      </w:r>
      <w:r w:rsidR="00FA6558" w:rsidRPr="001C45D7">
        <w:rPr>
          <w:color w:val="000000" w:themeColor="text1"/>
        </w:rPr>
        <w:t xml:space="preserve"> </w:t>
      </w:r>
      <w:r w:rsidR="000803D4" w:rsidRPr="001C45D7">
        <w:rPr>
          <w:color w:val="000000" w:themeColor="text1"/>
        </w:rPr>
        <w:t>the</w:t>
      </w:r>
      <w:r w:rsidR="00FA6558" w:rsidRPr="001C45D7">
        <w:rPr>
          <w:color w:val="000000" w:themeColor="text1"/>
        </w:rPr>
        <w:t xml:space="preserve"> </w:t>
      </w:r>
      <w:r w:rsidR="000803D4" w:rsidRPr="001C45D7">
        <w:rPr>
          <w:color w:val="000000" w:themeColor="text1"/>
        </w:rPr>
        <w:t>buyer’s</w:t>
      </w:r>
      <w:r w:rsidR="00FA6558" w:rsidRPr="001C45D7">
        <w:rPr>
          <w:color w:val="000000" w:themeColor="text1"/>
        </w:rPr>
        <w:t xml:space="preserve"> </w:t>
      </w:r>
      <w:r w:rsidRPr="001C45D7">
        <w:rPr>
          <w:color w:val="000000" w:themeColor="text1"/>
        </w:rPr>
        <w:t>unique</w:t>
      </w:r>
      <w:r w:rsidR="00FA6558" w:rsidRPr="001C45D7">
        <w:rPr>
          <w:color w:val="000000" w:themeColor="text1"/>
        </w:rPr>
        <w:t xml:space="preserve"> </w:t>
      </w:r>
      <w:r w:rsidR="00176C45">
        <w:rPr>
          <w:color w:val="000000" w:themeColor="text1"/>
        </w:rPr>
        <w:t xml:space="preserve">and valuable </w:t>
      </w:r>
      <w:r w:rsidRPr="001C45D7">
        <w:rPr>
          <w:color w:val="000000" w:themeColor="text1"/>
        </w:rPr>
        <w:t>information</w:t>
      </w:r>
      <w:r w:rsidR="00FA6558" w:rsidRPr="001C45D7">
        <w:rPr>
          <w:color w:val="000000" w:themeColor="text1"/>
        </w:rPr>
        <w:t xml:space="preserve"> </w:t>
      </w:r>
      <w:r w:rsidR="000803D4" w:rsidRPr="001C45D7">
        <w:rPr>
          <w:color w:val="000000" w:themeColor="text1"/>
        </w:rPr>
        <w:t>and</w:t>
      </w:r>
      <w:r w:rsidR="00FA6558" w:rsidRPr="001C45D7">
        <w:rPr>
          <w:color w:val="000000" w:themeColor="text1"/>
        </w:rPr>
        <w:t xml:space="preserve"> </w:t>
      </w:r>
      <w:r w:rsidR="000803D4" w:rsidRPr="001C45D7">
        <w:rPr>
          <w:color w:val="000000" w:themeColor="text1"/>
        </w:rPr>
        <w:t>knowledge</w:t>
      </w:r>
      <w:r w:rsidR="00FA6558" w:rsidRPr="001C45D7">
        <w:rPr>
          <w:color w:val="000000" w:themeColor="text1"/>
        </w:rPr>
        <w:t xml:space="preserve"> </w:t>
      </w:r>
      <w:r w:rsidRPr="001C45D7">
        <w:rPr>
          <w:color w:val="000000" w:themeColor="text1"/>
        </w:rPr>
        <w:t>acquired</w:t>
      </w:r>
      <w:r w:rsidR="00FA6558" w:rsidRPr="001C45D7">
        <w:rPr>
          <w:color w:val="000000" w:themeColor="text1"/>
        </w:rPr>
        <w:t xml:space="preserve"> </w:t>
      </w:r>
      <w:r w:rsidRPr="001C45D7">
        <w:rPr>
          <w:color w:val="000000" w:themeColor="text1"/>
        </w:rPr>
        <w:t>through</w:t>
      </w:r>
      <w:r w:rsidR="00FA6558" w:rsidRPr="001C45D7">
        <w:rPr>
          <w:color w:val="000000" w:themeColor="text1"/>
        </w:rPr>
        <w:t xml:space="preserve"> </w:t>
      </w:r>
      <w:r w:rsidRPr="001C45D7">
        <w:rPr>
          <w:color w:val="000000" w:themeColor="text1"/>
        </w:rPr>
        <w:t>its</w:t>
      </w:r>
      <w:r w:rsidR="00FA6558" w:rsidRPr="001C45D7">
        <w:rPr>
          <w:color w:val="000000" w:themeColor="text1"/>
        </w:rPr>
        <w:t xml:space="preserve"> </w:t>
      </w:r>
      <w:r w:rsidRPr="001C45D7">
        <w:rPr>
          <w:color w:val="000000" w:themeColor="text1"/>
        </w:rPr>
        <w:t>supply</w:t>
      </w:r>
      <w:r w:rsidR="00FA6558" w:rsidRPr="001C45D7">
        <w:rPr>
          <w:color w:val="000000" w:themeColor="text1"/>
        </w:rPr>
        <w:t xml:space="preserve"> </w:t>
      </w:r>
      <w:r w:rsidRPr="001C45D7">
        <w:rPr>
          <w:color w:val="000000" w:themeColor="text1"/>
        </w:rPr>
        <w:t>chain</w:t>
      </w:r>
      <w:r w:rsidR="00FA6558" w:rsidRPr="001C45D7">
        <w:rPr>
          <w:color w:val="000000" w:themeColor="text1"/>
        </w:rPr>
        <w:t xml:space="preserve"> </w:t>
      </w:r>
      <w:r w:rsidRPr="001C45D7">
        <w:rPr>
          <w:color w:val="000000" w:themeColor="text1"/>
        </w:rPr>
        <w:t>digitalisation</w:t>
      </w:r>
      <w:r w:rsidRPr="001C45D7">
        <w:t>.</w:t>
      </w:r>
      <w:r w:rsidR="00FA6558" w:rsidRPr="001C45D7">
        <w:t xml:space="preserve"> </w:t>
      </w:r>
      <w:bookmarkEnd w:id="8"/>
      <w:r w:rsidR="00480091" w:rsidRPr="001C45D7">
        <w:t>This</w:t>
      </w:r>
      <w:r w:rsidR="00FA6558" w:rsidRPr="001C45D7">
        <w:t xml:space="preserve"> </w:t>
      </w:r>
      <w:r w:rsidR="00480091" w:rsidRPr="001C45D7">
        <w:t>means</w:t>
      </w:r>
      <w:r w:rsidR="00FA6558" w:rsidRPr="001C45D7">
        <w:t xml:space="preserve"> </w:t>
      </w:r>
      <w:r w:rsidR="00FA1176" w:rsidRPr="001C45D7">
        <w:t xml:space="preserve">that </w:t>
      </w:r>
      <w:r w:rsidR="00480091" w:rsidRPr="001C45D7">
        <w:t>supply</w:t>
      </w:r>
      <w:r w:rsidR="00FA6558" w:rsidRPr="001C45D7">
        <w:t xml:space="preserve"> </w:t>
      </w:r>
      <w:r w:rsidR="00480091" w:rsidRPr="001C45D7">
        <w:t>chain</w:t>
      </w:r>
      <w:r w:rsidR="00FA6558" w:rsidRPr="001C45D7">
        <w:t xml:space="preserve"> </w:t>
      </w:r>
      <w:r w:rsidR="00480091" w:rsidRPr="001C45D7">
        <w:t>digitalisation</w:t>
      </w:r>
      <w:r w:rsidR="00FA6558" w:rsidRPr="001C45D7">
        <w:t xml:space="preserve"> </w:t>
      </w:r>
      <w:r w:rsidR="00480091" w:rsidRPr="001C45D7">
        <w:t>can</w:t>
      </w:r>
      <w:r w:rsidR="00FA6558" w:rsidRPr="001C45D7">
        <w:t xml:space="preserve"> </w:t>
      </w:r>
      <w:r w:rsidR="00480091" w:rsidRPr="001C45D7">
        <w:t>potentially</w:t>
      </w:r>
      <w:r w:rsidR="00FA6558" w:rsidRPr="001C45D7">
        <w:t xml:space="preserve"> </w:t>
      </w:r>
      <w:r w:rsidR="00480091" w:rsidRPr="001C45D7">
        <w:t>expose</w:t>
      </w:r>
      <w:r w:rsidR="00FA6558" w:rsidRPr="001C45D7">
        <w:t xml:space="preserve"> </w:t>
      </w:r>
      <w:r w:rsidR="00480091" w:rsidRPr="001C45D7">
        <w:t>SME</w:t>
      </w:r>
      <w:r w:rsidR="00FA6558" w:rsidRPr="001C45D7">
        <w:t xml:space="preserve"> </w:t>
      </w:r>
      <w:r w:rsidR="00480091" w:rsidRPr="001C45D7">
        <w:t>suppliers</w:t>
      </w:r>
      <w:r w:rsidR="00FA6558" w:rsidRPr="001C45D7">
        <w:t xml:space="preserve"> </w:t>
      </w:r>
      <w:r w:rsidR="00480091" w:rsidRPr="001C45D7">
        <w:t>to</w:t>
      </w:r>
      <w:r w:rsidR="00FA6558" w:rsidRPr="001C45D7">
        <w:t xml:space="preserve"> </w:t>
      </w:r>
      <w:r w:rsidR="00480091" w:rsidRPr="001C45D7">
        <w:t>a</w:t>
      </w:r>
      <w:r w:rsidR="00FA6558" w:rsidRPr="001C45D7">
        <w:t xml:space="preserve"> </w:t>
      </w:r>
      <w:r w:rsidR="00480091" w:rsidRPr="001C45D7">
        <w:lastRenderedPageBreak/>
        <w:t>new</w:t>
      </w:r>
      <w:r w:rsidR="00FA6558" w:rsidRPr="001C45D7">
        <w:t xml:space="preserve"> </w:t>
      </w:r>
      <w:r w:rsidR="00480091" w:rsidRPr="001C45D7">
        <w:t>type</w:t>
      </w:r>
      <w:r w:rsidR="00FA6558" w:rsidRPr="001C45D7">
        <w:t xml:space="preserve"> </w:t>
      </w:r>
      <w:r w:rsidR="00F81A63" w:rsidRPr="001C45D7">
        <w:t>of</w:t>
      </w:r>
      <w:r w:rsidR="00FA6558" w:rsidRPr="001C45D7">
        <w:t xml:space="preserve"> </w:t>
      </w:r>
      <w:r w:rsidR="00F81A63" w:rsidRPr="001C45D7">
        <w:t>opportunism</w:t>
      </w:r>
      <w:r w:rsidR="00463DC9" w:rsidRPr="001C45D7">
        <w:t>;</w:t>
      </w:r>
      <w:r w:rsidR="00FA1176" w:rsidRPr="001C45D7">
        <w:t xml:space="preserve"> </w:t>
      </w:r>
      <w:r w:rsidR="00463DC9" w:rsidRPr="001C45D7">
        <w:t>t</w:t>
      </w:r>
      <w:r w:rsidR="00F81A63" w:rsidRPr="001C45D7">
        <w:t>hat</w:t>
      </w:r>
      <w:r w:rsidR="00FA6558" w:rsidRPr="001C45D7">
        <w:t xml:space="preserve"> </w:t>
      </w:r>
      <w:r w:rsidR="000803D4" w:rsidRPr="001C45D7">
        <w:t>is</w:t>
      </w:r>
      <w:r w:rsidR="007D3BBA" w:rsidRPr="001C45D7">
        <w:t>,</w:t>
      </w:r>
      <w:r w:rsidR="00FA6558" w:rsidRPr="001C45D7">
        <w:t xml:space="preserve"> </w:t>
      </w:r>
      <w:r w:rsidR="000803D4" w:rsidRPr="001C45D7">
        <w:t>more</w:t>
      </w:r>
      <w:r w:rsidR="00FA6558" w:rsidRPr="001C45D7">
        <w:t xml:space="preserve"> </w:t>
      </w:r>
      <w:r w:rsidR="00463DC9" w:rsidRPr="001C45D7">
        <w:t xml:space="preserve">digitally </w:t>
      </w:r>
      <w:r w:rsidR="000803D4" w:rsidRPr="001C45D7">
        <w:t>capable</w:t>
      </w:r>
      <w:r w:rsidR="00FA6558" w:rsidRPr="001C45D7">
        <w:t xml:space="preserve"> </w:t>
      </w:r>
      <w:r w:rsidR="00480091" w:rsidRPr="001C45D7">
        <w:t>buyers</w:t>
      </w:r>
      <w:r w:rsidR="00FA6558" w:rsidRPr="001C45D7">
        <w:t xml:space="preserve"> </w:t>
      </w:r>
      <w:r w:rsidR="00F81A63" w:rsidRPr="001C45D7">
        <w:t>will</w:t>
      </w:r>
      <w:r w:rsidR="00FA6558" w:rsidRPr="001C45D7">
        <w:t xml:space="preserve"> </w:t>
      </w:r>
      <w:r w:rsidR="00480091" w:rsidRPr="001C45D7">
        <w:t>exploit</w:t>
      </w:r>
      <w:r w:rsidR="00FA6558" w:rsidRPr="001C45D7">
        <w:t xml:space="preserve"> </w:t>
      </w:r>
      <w:r w:rsidR="00480091" w:rsidRPr="001C45D7">
        <w:t>suppliers’</w:t>
      </w:r>
      <w:r w:rsidR="00FA6558" w:rsidRPr="001C45D7">
        <w:t xml:space="preserve"> </w:t>
      </w:r>
      <w:r w:rsidR="00480091" w:rsidRPr="001C45D7">
        <w:t>increased</w:t>
      </w:r>
      <w:r w:rsidR="00FA6558" w:rsidRPr="001C45D7">
        <w:t xml:space="preserve"> </w:t>
      </w:r>
      <w:r w:rsidR="00480091" w:rsidRPr="001C45D7">
        <w:t>dependence.</w:t>
      </w:r>
      <w:r w:rsidR="00FA6558" w:rsidRPr="001C45D7">
        <w:t xml:space="preserve"> </w:t>
      </w:r>
    </w:p>
    <w:p w14:paraId="6F8EDF8A" w14:textId="77777777" w:rsidR="009C344A" w:rsidRPr="009C344A" w:rsidRDefault="009C344A" w:rsidP="00566B02">
      <w:pPr>
        <w:pStyle w:val="BodyText"/>
        <w:rPr>
          <w:rFonts w:eastAsiaTheme="minorEastAsia"/>
        </w:rPr>
      </w:pPr>
    </w:p>
    <w:p w14:paraId="506466A7" w14:textId="5178E4C7" w:rsidR="00C723B6" w:rsidRPr="001C45D7" w:rsidRDefault="00C723B6" w:rsidP="00157836">
      <w:pPr>
        <w:pStyle w:val="Heading2"/>
      </w:pPr>
      <w:r w:rsidRPr="001C45D7">
        <w:t>Governance</w:t>
      </w:r>
      <w:r w:rsidR="00FA6558" w:rsidRPr="001C45D7">
        <w:t xml:space="preserve"> </w:t>
      </w:r>
      <w:r w:rsidRPr="001C45D7">
        <w:t>and</w:t>
      </w:r>
      <w:r w:rsidR="00FA6558" w:rsidRPr="001C45D7">
        <w:t xml:space="preserve"> </w:t>
      </w:r>
      <w:r w:rsidRPr="001C45D7">
        <w:t>opportunism</w:t>
      </w:r>
      <w:r w:rsidR="00FA6558" w:rsidRPr="001C45D7">
        <w:t xml:space="preserve"> </w:t>
      </w:r>
      <w:r w:rsidRPr="001C45D7">
        <w:t>mitigation</w:t>
      </w:r>
    </w:p>
    <w:p w14:paraId="20510EB1" w14:textId="0328B677" w:rsidR="00C723B6" w:rsidRPr="001C45D7" w:rsidRDefault="00C723B6" w:rsidP="00566B02">
      <w:pPr>
        <w:pStyle w:val="BodyText"/>
      </w:pPr>
      <w:r w:rsidRPr="001C45D7">
        <w:t>A</w:t>
      </w:r>
      <w:r w:rsidR="00FA6558" w:rsidRPr="001C45D7">
        <w:t xml:space="preserve"> </w:t>
      </w:r>
      <w:r w:rsidRPr="001C45D7">
        <w:t>firm</w:t>
      </w:r>
      <w:r w:rsidR="00FA6558" w:rsidRPr="001C45D7">
        <w:t xml:space="preserve"> </w:t>
      </w:r>
      <w:r w:rsidRPr="001C45D7">
        <w:t>engaging</w:t>
      </w:r>
      <w:r w:rsidR="00FA6558" w:rsidRPr="001C45D7">
        <w:t xml:space="preserve"> </w:t>
      </w:r>
      <w:r w:rsidR="00F81A63" w:rsidRPr="001C45D7">
        <w:t>in</w:t>
      </w:r>
      <w:r w:rsidR="00FA6558" w:rsidRPr="001C45D7">
        <w:t xml:space="preserve"> </w:t>
      </w:r>
      <w:r w:rsidRPr="001C45D7">
        <w:t>exchange</w:t>
      </w:r>
      <w:r w:rsidR="00FA6558" w:rsidRPr="001C45D7">
        <w:t xml:space="preserve"> </w:t>
      </w:r>
      <w:r w:rsidRPr="001C45D7">
        <w:t>activities</w:t>
      </w:r>
      <w:r w:rsidR="00FA6558" w:rsidRPr="001C45D7">
        <w:t xml:space="preserve"> </w:t>
      </w:r>
      <w:r w:rsidRPr="001C45D7">
        <w:t>can</w:t>
      </w:r>
      <w:r w:rsidR="00FA6558" w:rsidRPr="001C45D7">
        <w:t xml:space="preserve"> </w:t>
      </w:r>
      <w:r w:rsidRPr="001C45D7">
        <w:t>control</w:t>
      </w:r>
      <w:r w:rsidR="00FA6558" w:rsidRPr="001C45D7">
        <w:t xml:space="preserve"> </w:t>
      </w:r>
      <w:r w:rsidRPr="001C45D7">
        <w:t>partner</w:t>
      </w:r>
      <w:r w:rsidR="00FA6558" w:rsidRPr="001C45D7">
        <w:t xml:space="preserve"> </w:t>
      </w:r>
      <w:r w:rsidRPr="001C45D7">
        <w:t>opportunism</w:t>
      </w:r>
      <w:r w:rsidR="00FA6558" w:rsidRPr="001C45D7">
        <w:t xml:space="preserve"> </w:t>
      </w:r>
      <w:r w:rsidRPr="001C45D7">
        <w:t>primarily</w:t>
      </w:r>
      <w:r w:rsidR="00FA6558" w:rsidRPr="001C45D7">
        <w:t xml:space="preserve"> </w:t>
      </w:r>
      <w:r w:rsidRPr="001C45D7">
        <w:t>by</w:t>
      </w:r>
      <w:r w:rsidR="00FA6558" w:rsidRPr="001C45D7">
        <w:t xml:space="preserve"> </w:t>
      </w:r>
      <w:r w:rsidRPr="001C45D7">
        <w:t>using</w:t>
      </w:r>
      <w:r w:rsidR="00FA6558" w:rsidRPr="001C45D7">
        <w:t xml:space="preserve"> </w:t>
      </w:r>
      <w:r w:rsidRPr="001C45D7">
        <w:t>a</w:t>
      </w:r>
      <w:r w:rsidR="00FA6558" w:rsidRPr="001C45D7">
        <w:t xml:space="preserve"> </w:t>
      </w:r>
      <w:r w:rsidRPr="001C45D7">
        <w:t>formal</w:t>
      </w:r>
      <w:r w:rsidR="00FA6558" w:rsidRPr="001C45D7">
        <w:t xml:space="preserve"> </w:t>
      </w:r>
      <w:r w:rsidRPr="001C45D7">
        <w:t>legal</w:t>
      </w:r>
      <w:r w:rsidR="00FA6558" w:rsidRPr="001C45D7">
        <w:t xml:space="preserve"> </w:t>
      </w:r>
      <w:r w:rsidRPr="001C45D7">
        <w:t>contract</w:t>
      </w:r>
      <w:r w:rsidR="00FA6558" w:rsidRPr="001C45D7">
        <w:t xml:space="preserve"> </w:t>
      </w:r>
      <w:r w:rsidR="003754F8" w:rsidRPr="001C45D7">
        <w:fldChar w:fldCharType="begin" w:fldLock="1"/>
      </w:r>
      <w:r w:rsidR="004A2B48" w:rsidRPr="001C45D7">
        <w:instrText>ADDIN CSL_CITATION {"citationItems":[{"id":"ITEM-1","itemData":{"DOI":"10.5465/amr.1989.4279003","ISSN":"0363-7425","abstract":"Agency theory is an important, yet controversial, theory. This paper reviews agency theory, its contributions to organization theory, and the extant empirical work and develops testable propositions. The conclusions are that agency theory (a) offers unique insight into information systems, outcome uncertainty, incentives, and risk and (b) is an empirically valid perspective, particularly when coupled with complementary perspectives. The principal recommendation is to incorporate an agency perspective in studies of the many problems having a cooperative structure.","author":[{"dropping-particle":"","family":"Eisenhardt","given":"Kathleen M.","non-dropping-particle":"","parse-names":false,"suffix":""}],"container-title":"Academy of Management Review","id":"ITEM-1","issued":{"date-parts":[["1989"]]},"title":"Agency Theory: An Assessment and Review","type":"article-journal"},"uris":["http://www.mendeley.com/documents/?uuid=ebe0b735-4b3b-49ae-8f00-ba4b0747e472"]},{"id":"ITEM-2","itemData":{"DOI":"10.5465/ambpp.1996.4978070","ISSN":"0065-0668","abstract":"This paper examines the choice between equity and non-equity forms of inter-firm alliances from an integrated risk perspective, which combines relational risk and performance risk in inter-firm alliances. Relational risk relates to co-operation among alliance partners, while performance risk has to do with the hazards of not achieving the performance objectives of an alliance, given co-operation. We suggest that equity alliance is adopted to control relational risk, while non-equity alliance is aimed at minimizing performance risk. Existing studies on the choice of alliance configurations are examined from the proposed risk perspective, and a number of key propositions are advanced for empirical testing and further development of the perspective.","author":[{"dropping-particle":"","family":"Das","given":"T. K.","non-dropping-particle":"","parse-names":false,"suffix":""},{"dropping-particle":"","family":"Teng","given":"B.-S.","non-dropping-particle":"","parse-names":false,"suffix":""}],"container-title":"Academy of Management Proceedings","id":"ITEM-2","issue":"1","issued":{"date-parts":[["1996","8","1"]]},"page":"11-15","publisher":"The Academy of Management","title":"RISK TYPES AND INTERFIRM ALLIANCE STRUCTURES.","type":"article-journal","volume":"1996"},"uris":["http://www.mendeley.com/documents/?uuid=d1d1749d-9874-3937-9315-e88df3acf59d"]},{"id":"ITEM-3","itemData":{"DOI":"10.1002/smj.249","ISSN":"01432095","abstract":"Relational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Journal","id":"ITEM-3","issue":"8","issued":{"date-parts":[["2002","8"]]},"page":"707-725","title":"Do formal contracts and relational governance function as substitutes or complements?","type":"article-journal","volume":"23"},"uris":["http://www.mendeley.com/documents/?uuid=0f5b4bc5-de16-3976-800b-d5afcee477cc"]},{"id":"ITEM-4","itemData":{"author":[{"dropping-particle":"","family":"Artz","given":"Kendall W","non-dropping-particle":"","parse-names":false,"suffix":""},{"dropping-particle":"","family":"Brush","given":"Thomas H","non-dropping-particle":"","parse-names":false,"suffix":""}],"container-title":"Journal of Economic Behavior &amp; Organization","id":"ITEM-4","issue":"4","issued":{"date-parts":[["2000"]]},"page":"337-362","title":"Asset specificity, uncertainty and relational norms: an examination of coordination costs in collaborative strategic alliances","type":"article-journal","volume":"41"},"uris":["http://www.mendeley.com/documents/?uuid=96474597-8154-467e-84db-dd7566d76f27"]},{"id":"ITEM-5","itemData":{"DOI":"10.1016/j.jom.2012.03.005","ISSN":"02726963","abstract":"This paper theoretically refines and empirically extends the debate on the type of interplay between relational experience and contractual governance in an under-researched area: supply chain disputes. We define relational experience as either cooperative or competitive; distinguish between control and coordination functions of contractual governance; and assess their interplay on the negotiation strategy used in disputes. Using a unique data set of buyer-supplier disputes, we find, in particular that increasing contractual control governance weakens the positive effect of cooperative relational experience on cooperative negotiation strategy. However, increasing contractual control governance for a buyer-supplier dyad with competitive relational experience will increase cooperative negotiation strategy. Contractual coordination governance reinforces the positive effect of cooperative relational experience. Through this study, we reach a better understanding of how and when contractual and relational governance dimensions interact; rather than whether they act as substitutes or complements as has been studied in prior research. We discuss the implications of these findings for the field of supply chain management. © 2012 Elsevier B.V. All rights reserved.","author":[{"dropping-particle":"","family":"Lumineau","given":"Fabrice","non-dropping-particle":"","parse-names":false,"suffix":""},{"dropping-particle":"","family":"Henderson","given":"James E.","non-dropping-particle":"","parse-names":false,"suffix":""}],"container-title":"Journal of Operations Management","id":"ITEM-5","issue":"5","issued":{"date-parts":[["2012","7"]]},"page":"382-395","title":"The influence of relational experience and contractual governance on the negotiation strategy in buyer-supplier disputes","type":"article-journal","volume":"30"},"uris":["http://www.mendeley.com/documents/?uuid=e73b9f24-77c1-3a43-a413-26166676ef38"]},{"id":"ITEM-6","itemData":{"DOI":"10.1002/smj.2175","ISSN":"10970266","abstract":"Despite the centrality of fairness in the moral and social fabric of governance, few studies relate fairness to contracting research. This paper assesses whether fairness accounts for the effects of contractual complexity and contractual recurrence on exchange performance. Based on a sample of 283 buyer-supplier dyads, we find that procedural fairness partially mediates the effect of contractual complexity, whereas distributive fairness partially mediates the effect of contractual recurrence in fostering exchange performance. Moreover, monitoring better supports the use of contractual complexity, whereas socializing better supports the use of contractual recurrence in enhancing fairness perceptions. These results suggest that contractual design must go beyond its safeguarding function to establish a fair frame of reference, and managers should complement contracts with appropriate practices (e.g., monitoring or socializing). Copyright © 2013 John Wiley &amp; Sons, Ltd. Copyright © 2013 John Wiley &amp; Sons, Ltd.","author":[{"dropping-particle":"","family":"Poppo","given":"Laura","non-dropping-particle":"","parse-names":false,"suffix":""},{"dropping-particle":"","family":"Zhou","given":"Kevin Zheng","non-dropping-particle":"","parse-names":false,"suffix":""}],"container-title":"Strategic Management Journal","id":"ITEM-6","issue":"10","issued":{"date-parts":[["2014"]]},"page":"1508-1527","publisher":"John Wiley and Sons Ltd","title":"Managing contracts for fairness in buyer-supplier exchanges","type":"article-journal","volume":"35"},"uris":["http://www.mendeley.com/documents/?uuid=0957df17-a206-331b-808a-1537b618a255"]},{"id":"ITEM-7","itemData":{"DOI":"10.5465/256885","ISSN":"0001-4273","abstract":"Resumen El concepto de Fatiga por Compasión (Compassion Fatigue) o Desgaste por Empatía es común en la litera-tura científica de Trabajo Social internacional, aunque sorprendentemente inexistente en la literatura espa-ñola. Puede definirse la fatiga por compasión como estado de agotamiento y disfunción biológica, psicoló-gica y relacional, resultado de la exposición inmediata o prolongada al estrés por compasión y como el resultado final del proceso progresivo y acumulativo consecuen-cia del contacto prolongado, continuado e intenso con clientes o pacientes, el uso de uno mismo y la expo-sición al estrés. El mantenimiento del desgaste puede derivar en cuadros severos típicos de traumatización secundaria o en el inicio del Síndrome del Profesional Quemado (Burnout). En todo caso, si un profesional del trabajo social experimenta dicho fenómeno, su capacidad para empatizar, conectar y ayudar a sus clientes se ve gra-vemente disminuida. Paradójicamente, la fatiga por compasión es por una parte, necesaria e inevitable si se desarrolla una buena práctica; por otra, peligrosa e inhabilitante si no se compensa mediante otros mecanismos. La fatiga por compasión no se puede prevenirse pero puede y debe paliarse de forma consciente. Incrementar la capacidad de reconocer y minimizar el impacto del desgaste es una responsabilidad del pro-fesional y de la organización en la cual trabaja. Por último, el trabajo plantea el qué hacer ante este fenó-meno y de qué manera cuidarse personal, profesional e institucionalmente. Palabras clave: Trabajo Social; Fatiga por compasión; desgaste profesional; relación de ayuda; autocuidado. Este trabajo se publica bajo una licencia de Creative Commons Reconocimiento-NoComercial 4.0 Internacional.. Afrontar el desgaste: cuidado y mecanismos paliativos de la fatiga por compasión [Facing the wear: care and palliative mechanisms of compassion fatigue]. Alternativas. Cuadernos de Trabajo Social, 24, 119-136. https://doi.","author":[{"dropping-particle":"","family":"Nooteboom","given":"Bart","non-dropping-particle":"","parse-names":false,"suffix":""},{"dropping-particle":"","family":"Berger","given":"Hans","non-dropping-particle":"","parse-names":false,"suffix":""},{"dropping-particle":"","family":"Noorderhaven","given":"Niels G.","non-dropping-particle":"","parse-names":false,"suffix":""}],"container-title":"Academy of Management Journal","id":"ITEM-7","issue":"2","issued":{"date-parts":[["1997","4"]]},"page":"308-338","publisher":"Academy of Management","title":"Effects of Trust and Governance on Relational Risk","type":"article-journal","volume":"40"},"uris":["http://www.mendeley.com/documents/?uuid=b6d9a03c-e468-3a00-a551-ecdc53c4f647"]}],"mendeley":{"formattedCitation":"(Artz and Brush, 2000; Das and Teng, 1996; Eisenhardt, 1989; Lumineau and Henderson, 2012; Nooteboom &lt;i&gt;et al.&lt;/i&gt;, 1997; Poppo and Zenger, 2002; Poppo and Zhou, 2014)","manualFormatting":"(Artz and Brush, 2000; Das and Teng, 1996; Eisenhardt, 1989; Lumineau and Henderson, 2012; Nooteboom et al., 1997; Poppo and Zenger, 2002; Poppo and Zhou, 2014)","plainTextFormattedCitation":"(Artz and Brush, 2000; Das and Teng, 1996; Eisenhardt, 1989; Lumineau and Henderson, 2012; Nooteboom et al., 1997; Poppo and Zenger, 2002; Poppo and Zhou, 2014)","previouslyFormattedCitation":"(Artz and Brush, 2000; Das and Teng, 1996; Eisenhardt, 1989; Lumineau and Henderson, 2012; Nooteboom &lt;i&gt;et al.&lt;/i&gt;, 1997; Poppo and Zenger, 2002; Poppo and Zhou, 2014)"},"properties":{"noteIndex":0},"schema":"https://github.com/citation-style-language/schema/raw/master/csl-citation.json"}</w:instrText>
      </w:r>
      <w:r w:rsidR="003754F8" w:rsidRPr="001C45D7">
        <w:fldChar w:fldCharType="separate"/>
      </w:r>
      <w:r w:rsidR="003754F8" w:rsidRPr="001C45D7">
        <w:rPr>
          <w:noProof/>
        </w:rPr>
        <w:t>(Artz</w:t>
      </w:r>
      <w:r w:rsidR="00FA6558" w:rsidRPr="001C45D7">
        <w:rPr>
          <w:noProof/>
        </w:rPr>
        <w:t xml:space="preserve"> </w:t>
      </w:r>
      <w:r w:rsidR="003754F8" w:rsidRPr="001C45D7">
        <w:rPr>
          <w:noProof/>
        </w:rPr>
        <w:t>and</w:t>
      </w:r>
      <w:r w:rsidR="00FA6558" w:rsidRPr="001C45D7">
        <w:rPr>
          <w:noProof/>
        </w:rPr>
        <w:t xml:space="preserve"> </w:t>
      </w:r>
      <w:r w:rsidR="003754F8" w:rsidRPr="001C45D7">
        <w:rPr>
          <w:noProof/>
        </w:rPr>
        <w:t>Brush,</w:t>
      </w:r>
      <w:r w:rsidR="00FA6558" w:rsidRPr="001C45D7">
        <w:rPr>
          <w:noProof/>
        </w:rPr>
        <w:t xml:space="preserve"> </w:t>
      </w:r>
      <w:r w:rsidR="003754F8" w:rsidRPr="001C45D7">
        <w:rPr>
          <w:noProof/>
        </w:rPr>
        <w:t>2000;</w:t>
      </w:r>
      <w:r w:rsidR="00FA6558" w:rsidRPr="001C45D7">
        <w:rPr>
          <w:noProof/>
        </w:rPr>
        <w:t xml:space="preserve"> </w:t>
      </w:r>
      <w:r w:rsidR="003754F8" w:rsidRPr="001C45D7">
        <w:rPr>
          <w:noProof/>
        </w:rPr>
        <w:t>Das</w:t>
      </w:r>
      <w:r w:rsidR="00FA6558" w:rsidRPr="001C45D7">
        <w:rPr>
          <w:noProof/>
        </w:rPr>
        <w:t xml:space="preserve"> </w:t>
      </w:r>
      <w:r w:rsidR="003754F8" w:rsidRPr="001C45D7">
        <w:rPr>
          <w:noProof/>
        </w:rPr>
        <w:t>and</w:t>
      </w:r>
      <w:r w:rsidR="00FA6558" w:rsidRPr="001C45D7">
        <w:rPr>
          <w:noProof/>
        </w:rPr>
        <w:t xml:space="preserve"> </w:t>
      </w:r>
      <w:r w:rsidR="003754F8" w:rsidRPr="001C45D7">
        <w:rPr>
          <w:noProof/>
        </w:rPr>
        <w:t>Teng,</w:t>
      </w:r>
      <w:r w:rsidR="00FA6558" w:rsidRPr="001C45D7">
        <w:rPr>
          <w:noProof/>
        </w:rPr>
        <w:t xml:space="preserve"> </w:t>
      </w:r>
      <w:r w:rsidR="003754F8" w:rsidRPr="001C45D7">
        <w:rPr>
          <w:noProof/>
        </w:rPr>
        <w:t>1996;</w:t>
      </w:r>
      <w:r w:rsidR="00FA6558" w:rsidRPr="001C45D7">
        <w:rPr>
          <w:noProof/>
        </w:rPr>
        <w:t xml:space="preserve"> </w:t>
      </w:r>
      <w:r w:rsidR="003754F8" w:rsidRPr="001C45D7">
        <w:rPr>
          <w:noProof/>
        </w:rPr>
        <w:t>Eisenhardt,</w:t>
      </w:r>
      <w:r w:rsidR="00FA6558" w:rsidRPr="001C45D7">
        <w:rPr>
          <w:noProof/>
        </w:rPr>
        <w:t xml:space="preserve"> </w:t>
      </w:r>
      <w:r w:rsidR="003754F8" w:rsidRPr="001C45D7">
        <w:rPr>
          <w:noProof/>
        </w:rPr>
        <w:t>1989;</w:t>
      </w:r>
      <w:r w:rsidR="00FA6558" w:rsidRPr="001C45D7">
        <w:rPr>
          <w:noProof/>
        </w:rPr>
        <w:t xml:space="preserve"> </w:t>
      </w:r>
      <w:r w:rsidR="003754F8" w:rsidRPr="001C45D7">
        <w:rPr>
          <w:noProof/>
        </w:rPr>
        <w:t>Lumineau</w:t>
      </w:r>
      <w:r w:rsidR="00FA6558" w:rsidRPr="001C45D7">
        <w:rPr>
          <w:noProof/>
        </w:rPr>
        <w:t xml:space="preserve"> </w:t>
      </w:r>
      <w:r w:rsidR="003754F8" w:rsidRPr="001C45D7">
        <w:rPr>
          <w:noProof/>
        </w:rPr>
        <w:t>and</w:t>
      </w:r>
      <w:r w:rsidR="00FA6558" w:rsidRPr="001C45D7">
        <w:rPr>
          <w:noProof/>
        </w:rPr>
        <w:t xml:space="preserve"> </w:t>
      </w:r>
      <w:r w:rsidR="003754F8" w:rsidRPr="001C45D7">
        <w:rPr>
          <w:noProof/>
        </w:rPr>
        <w:t>Henderson,</w:t>
      </w:r>
      <w:r w:rsidR="00FA6558" w:rsidRPr="001C45D7">
        <w:rPr>
          <w:noProof/>
        </w:rPr>
        <w:t xml:space="preserve"> </w:t>
      </w:r>
      <w:r w:rsidR="003754F8" w:rsidRPr="001C45D7">
        <w:rPr>
          <w:noProof/>
        </w:rPr>
        <w:t>2012;</w:t>
      </w:r>
      <w:r w:rsidR="00FA6558" w:rsidRPr="001C45D7">
        <w:rPr>
          <w:noProof/>
        </w:rPr>
        <w:t xml:space="preserve"> </w:t>
      </w:r>
      <w:r w:rsidR="003754F8" w:rsidRPr="001C45D7">
        <w:rPr>
          <w:noProof/>
        </w:rPr>
        <w:t>Nooteboom</w:t>
      </w:r>
      <w:r w:rsidR="00FA6558" w:rsidRPr="001C45D7">
        <w:rPr>
          <w:noProof/>
        </w:rPr>
        <w:t xml:space="preserve"> </w:t>
      </w:r>
      <w:r w:rsidR="003754F8" w:rsidRPr="001C45D7">
        <w:rPr>
          <w:i/>
          <w:noProof/>
        </w:rPr>
        <w:t>et</w:t>
      </w:r>
      <w:r w:rsidR="00FA6558" w:rsidRPr="001C45D7">
        <w:rPr>
          <w:i/>
          <w:noProof/>
        </w:rPr>
        <w:t xml:space="preserve"> </w:t>
      </w:r>
      <w:r w:rsidR="003754F8" w:rsidRPr="001C45D7">
        <w:rPr>
          <w:i/>
          <w:noProof/>
        </w:rPr>
        <w:t>al</w:t>
      </w:r>
      <w:r w:rsidR="003754F8" w:rsidRPr="001C45D7">
        <w:rPr>
          <w:noProof/>
        </w:rPr>
        <w:t>.,</w:t>
      </w:r>
      <w:r w:rsidR="00FA6558" w:rsidRPr="001C45D7">
        <w:rPr>
          <w:noProof/>
        </w:rPr>
        <w:t xml:space="preserve"> </w:t>
      </w:r>
      <w:r w:rsidR="003754F8" w:rsidRPr="001C45D7">
        <w:rPr>
          <w:noProof/>
        </w:rPr>
        <w:t>1997;</w:t>
      </w:r>
      <w:r w:rsidR="00FA6558" w:rsidRPr="001C45D7">
        <w:rPr>
          <w:noProof/>
        </w:rPr>
        <w:t xml:space="preserve"> </w:t>
      </w:r>
      <w:r w:rsidR="003754F8" w:rsidRPr="001C45D7">
        <w:rPr>
          <w:noProof/>
        </w:rPr>
        <w:t>Poppo</w:t>
      </w:r>
      <w:r w:rsidR="00FA6558" w:rsidRPr="001C45D7">
        <w:rPr>
          <w:noProof/>
        </w:rPr>
        <w:t xml:space="preserve"> </w:t>
      </w:r>
      <w:r w:rsidR="003754F8" w:rsidRPr="001C45D7">
        <w:rPr>
          <w:noProof/>
        </w:rPr>
        <w:t>and</w:t>
      </w:r>
      <w:r w:rsidR="00FA6558" w:rsidRPr="001C45D7">
        <w:rPr>
          <w:noProof/>
        </w:rPr>
        <w:t xml:space="preserve"> </w:t>
      </w:r>
      <w:r w:rsidR="003754F8" w:rsidRPr="001C45D7">
        <w:rPr>
          <w:noProof/>
        </w:rPr>
        <w:t>Zenger,</w:t>
      </w:r>
      <w:r w:rsidR="00FA6558" w:rsidRPr="001C45D7">
        <w:rPr>
          <w:noProof/>
        </w:rPr>
        <w:t xml:space="preserve"> </w:t>
      </w:r>
      <w:r w:rsidR="003754F8" w:rsidRPr="001C45D7">
        <w:rPr>
          <w:noProof/>
        </w:rPr>
        <w:t>2002)</w:t>
      </w:r>
      <w:r w:rsidR="003754F8" w:rsidRPr="001C45D7">
        <w:fldChar w:fldCharType="end"/>
      </w:r>
      <w:r w:rsidR="003754F8" w:rsidRPr="001C45D7">
        <w:t>.</w:t>
      </w:r>
      <w:r w:rsidR="00FA6558" w:rsidRPr="001C45D7">
        <w:t xml:space="preserve"> </w:t>
      </w:r>
      <w:r w:rsidRPr="001C45D7">
        <w:t>Contractual</w:t>
      </w:r>
      <w:r w:rsidR="00FA6558" w:rsidRPr="001C45D7">
        <w:t xml:space="preserve"> </w:t>
      </w:r>
      <w:r w:rsidRPr="001C45D7">
        <w:t>governance</w:t>
      </w:r>
      <w:r w:rsidR="00FA6558" w:rsidRPr="001C45D7">
        <w:t xml:space="preserve"> </w:t>
      </w:r>
      <w:r w:rsidRPr="001C45D7">
        <w:t>is</w:t>
      </w:r>
      <w:r w:rsidR="00FA6558" w:rsidRPr="001C45D7">
        <w:t xml:space="preserve"> </w:t>
      </w:r>
      <w:r w:rsidRPr="001C45D7">
        <w:t>coercive</w:t>
      </w:r>
      <w:r w:rsidR="00FA6558" w:rsidRPr="001C45D7">
        <w:t xml:space="preserve"> </w:t>
      </w:r>
      <w:r w:rsidRPr="001C45D7">
        <w:t>in</w:t>
      </w:r>
      <w:r w:rsidR="00FA6558" w:rsidRPr="001C45D7">
        <w:t xml:space="preserve"> </w:t>
      </w:r>
      <w:r w:rsidRPr="001C45D7">
        <w:t>nature</w:t>
      </w:r>
      <w:r w:rsidR="00FA6558" w:rsidRPr="001C45D7">
        <w:t xml:space="preserve"> </w:t>
      </w:r>
      <w:r w:rsidR="003754F8" w:rsidRPr="001C45D7">
        <w:fldChar w:fldCharType="begin" w:fldLock="1"/>
      </w:r>
      <w:r w:rsidR="004A2B48" w:rsidRPr="001C45D7">
        <w:instrText>ADDIN CSL_CITATION {"citationItems":[{"id":"ITEM-1","itemData":{"DOI":"10.5465/256885","ISSN":"0001-4273","abstract":"Resumen El concepto de Fatiga por Compasión (Compassion Fatigue) o Desgaste por Empatía es común en la litera-tura científica de Trabajo Social internacional, aunque sorprendentemente inexistente en la literatura espa-ñola. Puede definirse la fatiga por compasión como estado de agotamiento y disfunción biológica, psicoló-gica y relacional, resultado de la exposición inmediata o prolongada al estrés por compasión y como el resultado final del proceso progresivo y acumulativo consecuen-cia del contacto prolongado, continuado e intenso con clientes o pacientes, el uso de uno mismo y la expo-sición al estrés. El mantenimiento del desgaste puede derivar en cuadros severos típicos de traumatización secundaria o en el inicio del Síndrome del Profesional Quemado (Burnout). En todo caso, si un profesional del trabajo social experimenta dicho fenómeno, su capacidad para empatizar, conectar y ayudar a sus clientes se ve gra-vemente disminuida. Paradójicamente, la fatiga por compasión es por una parte, necesaria e inevitable si se desarrolla una buena práctica; por otra, peligrosa e inhabilitante si no se compensa mediante otros mecanismos. La fatiga por compasión no se puede prevenirse pero puede y debe paliarse de forma consciente. Incrementar la capacidad de reconocer y minimizar el impacto del desgaste es una responsabilidad del pro-fesional y de la organización en la cual trabaja. Por último, el trabajo plantea el qué hacer ante este fenó-meno y de qué manera cuidarse personal, profesional e institucionalmente. Palabras clave: Trabajo Social; Fatiga por compasión; desgaste profesional; relación de ayuda; autocuidado. Este trabajo se publica bajo una licencia de Creative Commons Reconocimiento-NoComercial 4.0 Internacional.. Afrontar el desgaste: cuidado y mecanismos paliativos de la fatiga por compasión [Facing the wear: care and palliative mechanisms of compassion fatigue]. Alternativas. Cuadernos de Trabajo Social, 24, 119-136. https://doi.","author":[{"dropping-particle":"","family":"Nooteboom","given":"Bart","non-dropping-particle":"","parse-names":false,"suffix":""},{"dropping-particle":"","family":"Berger","given":"Hans","non-dropping-particle":"","parse-names":false,"suffix":""},{"dropping-particle":"","family":"Noorderhaven","given":"Niels G.","non-dropping-particle":"","parse-names":false,"suffix":""}],"container-title":"Academy of Management Journal","id":"ITEM-1","issue":"2","issued":{"date-parts":[["1997","4"]]},"page":"308-338","publisher":"Academy of Management","title":"Effects of Trust and Governance on Relational Risk","type":"article-journal","volume":"40"},"uris":["http://www.mendeley.com/documents/?uuid=b6d9a03c-e468-3a00-a551-ecdc53c4f647"]}],"mendeley":{"formattedCitation":"(Nooteboom &lt;i&gt;et al.&lt;/i&gt;, 1997)","manualFormatting":"(Nooteboom et al., 1997)","plainTextFormattedCitation":"(Nooteboom et al., 1997)","previouslyFormattedCitation":"(Nooteboom &lt;i&gt;et al.&lt;/i&gt;, 1997)"},"properties":{"noteIndex":0},"schema":"https://github.com/citation-style-language/schema/raw/master/csl-citation.json"}</w:instrText>
      </w:r>
      <w:r w:rsidR="003754F8" w:rsidRPr="001C45D7">
        <w:fldChar w:fldCharType="separate"/>
      </w:r>
      <w:r w:rsidR="00881C19" w:rsidRPr="001C45D7">
        <w:rPr>
          <w:noProof/>
        </w:rPr>
        <w:t>(Nooteboom</w:t>
      </w:r>
      <w:r w:rsidR="007D3BBA" w:rsidRPr="001C45D7">
        <w:rPr>
          <w:noProof/>
        </w:rPr>
        <w:t xml:space="preserve"> </w:t>
      </w:r>
      <w:r w:rsidR="007D3BBA" w:rsidRPr="001C45D7">
        <w:rPr>
          <w:i/>
          <w:noProof/>
        </w:rPr>
        <w:t>et al</w:t>
      </w:r>
      <w:r w:rsidR="007D3BBA" w:rsidRPr="001C45D7">
        <w:rPr>
          <w:noProof/>
        </w:rPr>
        <w:t>.</w:t>
      </w:r>
      <w:r w:rsidR="00881C19" w:rsidRPr="001C45D7">
        <w:rPr>
          <w:noProof/>
        </w:rPr>
        <w:t>,</w:t>
      </w:r>
      <w:r w:rsidR="00FA6558" w:rsidRPr="001C45D7">
        <w:rPr>
          <w:noProof/>
        </w:rPr>
        <w:t xml:space="preserve"> </w:t>
      </w:r>
      <w:r w:rsidR="00881C19" w:rsidRPr="001C45D7">
        <w:rPr>
          <w:noProof/>
        </w:rPr>
        <w:t>1997)</w:t>
      </w:r>
      <w:r w:rsidR="003754F8" w:rsidRPr="001C45D7">
        <w:fldChar w:fldCharType="end"/>
      </w:r>
      <w:r w:rsidR="00FA6558" w:rsidRPr="001C45D7">
        <w:t xml:space="preserve"> </w:t>
      </w:r>
      <w:r w:rsidRPr="001C45D7">
        <w:t>and</w:t>
      </w:r>
      <w:r w:rsidR="00FA6558" w:rsidRPr="001C45D7">
        <w:t xml:space="preserve"> </w:t>
      </w:r>
      <w:r w:rsidRPr="001C45D7">
        <w:t>deters</w:t>
      </w:r>
      <w:r w:rsidR="00FA6558" w:rsidRPr="001C45D7">
        <w:t xml:space="preserve"> </w:t>
      </w:r>
      <w:r w:rsidRPr="001C45D7">
        <w:t>partner</w:t>
      </w:r>
      <w:r w:rsidR="00FA6558" w:rsidRPr="001C45D7">
        <w:t xml:space="preserve"> </w:t>
      </w:r>
      <w:r w:rsidRPr="001C45D7">
        <w:t>opportunism</w:t>
      </w:r>
      <w:r w:rsidR="00FA6558" w:rsidRPr="001C45D7">
        <w:t xml:space="preserve"> </w:t>
      </w:r>
      <w:r w:rsidRPr="001C45D7">
        <w:t>by</w:t>
      </w:r>
      <w:r w:rsidR="00FA6558" w:rsidRPr="001C45D7">
        <w:t xml:space="preserve"> </w:t>
      </w:r>
      <w:r w:rsidRPr="001C45D7">
        <w:t>creating</w:t>
      </w:r>
      <w:r w:rsidR="00FA6558" w:rsidRPr="001C45D7">
        <w:t xml:space="preserve"> </w:t>
      </w:r>
      <w:r w:rsidRPr="001C45D7">
        <w:rPr>
          <w:i/>
        </w:rPr>
        <w:t>ex-post</w:t>
      </w:r>
      <w:r w:rsidR="00FA6558" w:rsidRPr="001C45D7">
        <w:t xml:space="preserve"> </w:t>
      </w:r>
      <w:r w:rsidRPr="001C45D7">
        <w:t>cost</w:t>
      </w:r>
      <w:r w:rsidR="00FA1176" w:rsidRPr="001C45D7">
        <w:t>s</w:t>
      </w:r>
      <w:r w:rsidR="00FA6558" w:rsidRPr="001C45D7">
        <w:t xml:space="preserve"> </w:t>
      </w:r>
      <w:r w:rsidR="003C5787" w:rsidRPr="001C45D7">
        <w:t xml:space="preserve">for </w:t>
      </w:r>
      <w:r w:rsidRPr="001C45D7">
        <w:t>such</w:t>
      </w:r>
      <w:r w:rsidR="00FA6558" w:rsidRPr="001C45D7">
        <w:t xml:space="preserve"> </w:t>
      </w:r>
      <w:r w:rsidRPr="001C45D7">
        <w:t>behaviours</w:t>
      </w:r>
      <w:r w:rsidR="00FA6558" w:rsidRPr="001C45D7">
        <w:t xml:space="preserve"> </w:t>
      </w:r>
      <w:r w:rsidR="003754F8" w:rsidRPr="001C45D7">
        <w:fldChar w:fldCharType="begin" w:fldLock="1"/>
      </w:r>
      <w:r w:rsidR="00822E4D" w:rsidRPr="001C45D7">
        <w:instrText>ADDIN CSL_CITATION {"citationItems":[{"id":"ITEM-1","itemData":{"DOI":"10.1177/031289628701200109","ISSN":"13272020","author":[{"dropping-particle":"","family":"Gorringe","given":"Peter","non-dropping-particle":"","parse-names":false,"suffix":""}],"container-title":"Australian Journal of Management","id":"ITEM-1","issue":"1","issued":{"date-parts":[["1987"]]},"number-of-pages":"125-143","publisher":"The Free Press","publisher-place":"New York","title":"The Economic Institutions of Capitalism: Firms, Markets and Relational Contracting by Oliver E. Williamson","type":"book","volume":"12"},"uris":["http://www.mendeley.com/documents/?uuid=50f17ec1-d835-3d51-87be-c52e41f54600"]}],"mendeley":{"formattedCitation":"(Gorringe, 1987)","plainTextFormattedCitation":"(Gorringe, 1987)","previouslyFormattedCitation":"(Williamson, 1985)"},"properties":{"noteIndex":0},"schema":"https://github.com/citation-style-language/schema/raw/master/csl-citation.json"}</w:instrText>
      </w:r>
      <w:r w:rsidR="003754F8" w:rsidRPr="001C45D7">
        <w:fldChar w:fldCharType="separate"/>
      </w:r>
      <w:r w:rsidR="00822E4D" w:rsidRPr="001C45D7">
        <w:rPr>
          <w:noProof/>
        </w:rPr>
        <w:t>(</w:t>
      </w:r>
      <w:r w:rsidR="00883017" w:rsidRPr="001C45D7">
        <w:rPr>
          <w:rFonts w:eastAsiaTheme="minorEastAsia" w:hint="eastAsia"/>
          <w:noProof/>
          <w:lang w:eastAsia="ko-KR"/>
        </w:rPr>
        <w:t>Williamson, 1985</w:t>
      </w:r>
      <w:r w:rsidR="00822E4D" w:rsidRPr="001C45D7">
        <w:rPr>
          <w:noProof/>
        </w:rPr>
        <w:t>)</w:t>
      </w:r>
      <w:r w:rsidR="003754F8" w:rsidRPr="001C45D7">
        <w:fldChar w:fldCharType="end"/>
      </w:r>
      <w:r w:rsidRPr="001C45D7">
        <w:t>.</w:t>
      </w:r>
      <w:r w:rsidR="00FA6558" w:rsidRPr="001C45D7">
        <w:t xml:space="preserve"> </w:t>
      </w:r>
      <w:r w:rsidRPr="001C45D7">
        <w:t>That</w:t>
      </w:r>
      <w:r w:rsidR="00FA6558" w:rsidRPr="001C45D7">
        <w:t xml:space="preserve"> </w:t>
      </w:r>
      <w:r w:rsidRPr="001C45D7">
        <w:t>is,</w:t>
      </w:r>
      <w:r w:rsidR="00FA6558" w:rsidRPr="001C45D7">
        <w:t xml:space="preserve"> </w:t>
      </w:r>
      <w:r w:rsidRPr="001C45D7">
        <w:t>in</w:t>
      </w:r>
      <w:r w:rsidR="00FA6558" w:rsidRPr="001C45D7">
        <w:t xml:space="preserve"> </w:t>
      </w:r>
      <w:r w:rsidRPr="001C45D7">
        <w:t>the</w:t>
      </w:r>
      <w:r w:rsidR="00FA6558" w:rsidRPr="001C45D7">
        <w:t xml:space="preserve"> </w:t>
      </w:r>
      <w:r w:rsidRPr="001C45D7">
        <w:t>event</w:t>
      </w:r>
      <w:r w:rsidR="00FA6558" w:rsidRPr="001C45D7">
        <w:t xml:space="preserve"> </w:t>
      </w:r>
      <w:r w:rsidRPr="001C45D7">
        <w:t>of</w:t>
      </w:r>
      <w:r w:rsidR="00FA6558" w:rsidRPr="001C45D7">
        <w:t xml:space="preserve"> </w:t>
      </w:r>
      <w:r w:rsidRPr="001C45D7">
        <w:t>contract</w:t>
      </w:r>
      <w:r w:rsidR="00FA6558" w:rsidRPr="001C45D7">
        <w:t xml:space="preserve"> </w:t>
      </w:r>
      <w:r w:rsidRPr="001C45D7">
        <w:t>violation,</w:t>
      </w:r>
      <w:r w:rsidR="00FA6558" w:rsidRPr="001C45D7">
        <w:t xml:space="preserve"> </w:t>
      </w:r>
      <w:r w:rsidRPr="001C45D7">
        <w:t>a</w:t>
      </w:r>
      <w:r w:rsidR="00FA6558" w:rsidRPr="001C45D7">
        <w:t xml:space="preserve"> </w:t>
      </w:r>
      <w:r w:rsidRPr="001C45D7">
        <w:t>corrective</w:t>
      </w:r>
      <w:r w:rsidR="00FA6558" w:rsidRPr="001C45D7">
        <w:t xml:space="preserve"> </w:t>
      </w:r>
      <w:r w:rsidRPr="001C45D7">
        <w:t>action</w:t>
      </w:r>
      <w:r w:rsidR="00FA6558" w:rsidRPr="001C45D7">
        <w:t xml:space="preserve"> </w:t>
      </w:r>
      <w:r w:rsidRPr="001C45D7">
        <w:t>to</w:t>
      </w:r>
      <w:r w:rsidR="00FA6558" w:rsidRPr="001C45D7">
        <w:t xml:space="preserve"> </w:t>
      </w:r>
      <w:r w:rsidRPr="001C45D7">
        <w:t>the</w:t>
      </w:r>
      <w:r w:rsidR="00FA6558" w:rsidRPr="001C45D7">
        <w:t xml:space="preserve"> </w:t>
      </w:r>
      <w:r w:rsidRPr="001C45D7">
        <w:t>defected</w:t>
      </w:r>
      <w:r w:rsidR="00FA6558" w:rsidRPr="001C45D7">
        <w:t xml:space="preserve"> </w:t>
      </w:r>
      <w:r w:rsidRPr="001C45D7">
        <w:t>party</w:t>
      </w:r>
      <w:r w:rsidR="00FA6558" w:rsidRPr="001C45D7">
        <w:t xml:space="preserve"> </w:t>
      </w:r>
      <w:r w:rsidRPr="001C45D7">
        <w:t>can</w:t>
      </w:r>
      <w:r w:rsidR="00FA6558" w:rsidRPr="001C45D7">
        <w:t xml:space="preserve"> </w:t>
      </w:r>
      <w:r w:rsidRPr="001C45D7">
        <w:t>be</w:t>
      </w:r>
      <w:r w:rsidR="00FA6558" w:rsidRPr="001C45D7">
        <w:t xml:space="preserve"> </w:t>
      </w:r>
      <w:r w:rsidRPr="001C45D7">
        <w:t>applied</w:t>
      </w:r>
      <w:r w:rsidR="00FA6558" w:rsidRPr="001C45D7">
        <w:t xml:space="preserve"> </w:t>
      </w:r>
      <w:r w:rsidRPr="001C45D7">
        <w:t>via</w:t>
      </w:r>
      <w:r w:rsidR="00FA6558" w:rsidRPr="001C45D7">
        <w:t xml:space="preserve"> </w:t>
      </w:r>
      <w:r w:rsidRPr="001C45D7">
        <w:t>legal</w:t>
      </w:r>
      <w:r w:rsidR="00FA6558" w:rsidRPr="001C45D7">
        <w:t xml:space="preserve"> </w:t>
      </w:r>
      <w:r w:rsidRPr="001C45D7">
        <w:t>means</w:t>
      </w:r>
      <w:r w:rsidR="00FA6558" w:rsidRPr="001C45D7">
        <w:t xml:space="preserve"> </w:t>
      </w:r>
      <w:r w:rsidR="003754F8" w:rsidRPr="001C45D7">
        <w:fldChar w:fldCharType="begin" w:fldLock="1"/>
      </w:r>
      <w:r w:rsidR="006E6802" w:rsidRPr="001C45D7">
        <w:instrText>ADDIN CSL_CITATION {"citationItems":[{"id":"ITEM-1","itemData":{"author":[{"dropping-particle":"","family":"Artz","given":"Kendall W","non-dropping-particle":"","parse-names":false,"suffix":""},{"dropping-particle":"","family":"Brush","given":"Thomas H","non-dropping-particle":"","parse-names":false,"suffix":""}],"container-title":"Journal of Economic Behavior &amp; Organization","id":"ITEM-1","issue":"4","issued":{"date-parts":[["2000"]]},"page":"337-362","title":"Asset specificity, uncertainty and relational norms: an examination of coordination costs in collaborative strategic alliances","type":"article-journal","volume":"41"},"uris":["http://www.mendeley.com/documents/?uuid=96474597-8154-467e-84db-dd7566d76f27"]}],"mendeley":{"formattedCitation":"(Artz and Brush, 2000)","plainTextFormattedCitation":"(Artz and Brush, 2000)","previouslyFormattedCitation":"(Artz and Brush, 2000)"},"properties":{"noteIndex":0},"schema":"https://github.com/citation-style-language/schema/raw/master/csl-citation.json"}</w:instrText>
      </w:r>
      <w:r w:rsidR="003754F8" w:rsidRPr="001C45D7">
        <w:fldChar w:fldCharType="separate"/>
      </w:r>
      <w:r w:rsidR="003754F8" w:rsidRPr="001C45D7">
        <w:rPr>
          <w:noProof/>
        </w:rPr>
        <w:t>(Artz</w:t>
      </w:r>
      <w:r w:rsidR="00FA6558" w:rsidRPr="001C45D7">
        <w:rPr>
          <w:noProof/>
        </w:rPr>
        <w:t xml:space="preserve"> </w:t>
      </w:r>
      <w:r w:rsidR="003754F8" w:rsidRPr="001C45D7">
        <w:rPr>
          <w:noProof/>
        </w:rPr>
        <w:t>and</w:t>
      </w:r>
      <w:r w:rsidR="00FA6558" w:rsidRPr="001C45D7">
        <w:rPr>
          <w:noProof/>
        </w:rPr>
        <w:t xml:space="preserve"> </w:t>
      </w:r>
      <w:r w:rsidR="003754F8" w:rsidRPr="001C45D7">
        <w:rPr>
          <w:noProof/>
        </w:rPr>
        <w:t>Brush,</w:t>
      </w:r>
      <w:r w:rsidR="00FA6558" w:rsidRPr="001C45D7">
        <w:rPr>
          <w:noProof/>
        </w:rPr>
        <w:t xml:space="preserve"> </w:t>
      </w:r>
      <w:r w:rsidR="003754F8" w:rsidRPr="001C45D7">
        <w:rPr>
          <w:noProof/>
        </w:rPr>
        <w:t>2000)</w:t>
      </w:r>
      <w:r w:rsidR="003754F8" w:rsidRPr="001C45D7">
        <w:fldChar w:fldCharType="end"/>
      </w:r>
      <w:r w:rsidRPr="001C45D7">
        <w:t>.</w:t>
      </w:r>
      <w:r w:rsidR="00FA6558" w:rsidRPr="001C45D7">
        <w:t xml:space="preserve"> </w:t>
      </w:r>
      <w:r w:rsidRPr="001C45D7">
        <w:t>Typically,</w:t>
      </w:r>
      <w:r w:rsidR="00FA6558" w:rsidRPr="001C45D7">
        <w:t xml:space="preserve"> </w:t>
      </w:r>
      <w:r w:rsidRPr="001C45D7">
        <w:t>such</w:t>
      </w:r>
      <w:r w:rsidR="00FA6558" w:rsidRPr="001C45D7">
        <w:t xml:space="preserve"> </w:t>
      </w:r>
      <w:r w:rsidR="00FA1176" w:rsidRPr="001C45D7">
        <w:t xml:space="preserve">a </w:t>
      </w:r>
      <w:r w:rsidRPr="001C45D7">
        <w:t>contract</w:t>
      </w:r>
      <w:r w:rsidR="00FA6558" w:rsidRPr="001C45D7">
        <w:t xml:space="preserve"> </w:t>
      </w:r>
      <w:r w:rsidRPr="001C45D7">
        <w:t>contains</w:t>
      </w:r>
      <w:r w:rsidR="00FA6558" w:rsidRPr="001C45D7">
        <w:t xml:space="preserve"> </w:t>
      </w:r>
      <w:r w:rsidRPr="001C45D7">
        <w:t>contingencies</w:t>
      </w:r>
      <w:r w:rsidR="00FA6558" w:rsidRPr="001C45D7">
        <w:t xml:space="preserve"> </w:t>
      </w:r>
      <w:r w:rsidRPr="001C45D7">
        <w:t>specifying</w:t>
      </w:r>
      <w:r w:rsidR="00FA6558" w:rsidRPr="001C45D7">
        <w:t xml:space="preserve"> </w:t>
      </w:r>
      <w:r w:rsidRPr="001C45D7">
        <w:t>exchange</w:t>
      </w:r>
      <w:r w:rsidR="00FA6558" w:rsidRPr="001C45D7">
        <w:t xml:space="preserve"> </w:t>
      </w:r>
      <w:r w:rsidRPr="001C45D7">
        <w:t>parties’</w:t>
      </w:r>
      <w:r w:rsidR="00FA6558" w:rsidRPr="001C45D7">
        <w:t xml:space="preserve"> </w:t>
      </w:r>
      <w:r w:rsidRPr="001C45D7">
        <w:t>roles</w:t>
      </w:r>
      <w:r w:rsidR="00FA6558" w:rsidRPr="001C45D7">
        <w:t xml:space="preserve"> </w:t>
      </w:r>
      <w:r w:rsidRPr="001C45D7">
        <w:t>in</w:t>
      </w:r>
      <w:r w:rsidR="00FA6558" w:rsidRPr="001C45D7">
        <w:t xml:space="preserve"> </w:t>
      </w:r>
      <w:r w:rsidRPr="001C45D7">
        <w:t>different</w:t>
      </w:r>
      <w:r w:rsidR="00FA6558" w:rsidRPr="001C45D7">
        <w:t xml:space="preserve"> </w:t>
      </w:r>
      <w:r w:rsidRPr="001C45D7">
        <w:t>situations</w:t>
      </w:r>
      <w:r w:rsidR="00FA6558" w:rsidRPr="001C45D7">
        <w:t xml:space="preserve"> </w:t>
      </w:r>
      <w:r w:rsidR="006E6802" w:rsidRPr="001C45D7">
        <w:fldChar w:fldCharType="begin" w:fldLock="1"/>
      </w:r>
      <w:r w:rsidR="004A2B48" w:rsidRPr="001C45D7">
        <w:instrText>ADDIN CSL_CITATION {"citationItems":[{"id":"ITEM-1","itemData":{"DOI":"10.1016/S0167-2681(96)00898-0","ISSN":"01672681","abstract":"This paper tracks my remarks at the September 1993 conference honoring Richard M. Cyert. It begins with some recollections of my years as a graduate student at GSIA in the early 1960s. I then shift to transaction cost economics and how this project relates to what I learned from Dick Cyert and others at Carnegie.","author":[{"dropping-particle":"","family":"Williamson","given":"Oliver E.","non-dropping-particle":"","parse-names":false,"suffix":""}],"container-title":"Journal of Economic Behavior and Organization","id":"ITEM-1","issue":"2","issued":{"date-parts":[["1996"]]},"page":"149-155","title":"Transaction cost economics and the Carnegie connection","type":"article-journal","volume":"31"},"uris":["http://www.mendeley.com/documents/?uuid=bf15be87-619b-3e5c-ab6f-70a4582ca410"]},{"id":"ITEM-2","itemData":{"DOI":"10.1002/smj.2175","ISSN":"10970266","abstract":"Despite the centrality of fairness in the moral and social fabric of governance, few studies relate fairness to contracting research. This paper assesses whether fairness accounts for the effects of contractual complexity and contractual recurrence on exchange performance. Based on a sample of 283 buyer-supplier dyads, we find that procedural fairness partially mediates the effect of contractual complexity, whereas distributive fairness partially mediates the effect of contractual recurrence in fostering exchange performance. Moreover, monitoring better supports the use of contractual complexity, whereas socializing better supports the use of contractual recurrence in enhancing fairness perceptions. These results suggest that contractual design must go beyond its safeguarding function to establish a fair frame of reference, and managers should complement contracts with appropriate practices (e.g., monitoring or socializing). Copyright © 2013 John Wiley &amp; Sons, Ltd. Copyright © 2013 John Wiley &amp; Sons, Ltd.","author":[{"dropping-particle":"","family":"Poppo","given":"Laura","non-dropping-particle":"","parse-names":false,"suffix":""},{"dropping-particle":"","family":"Zhou","given":"Kevin Zheng","non-dropping-particle":"","parse-names":false,"suffix":""}],"container-title":"Strategic Management Journal","id":"ITEM-2","issue":"10","issued":{"date-parts":[["2014"]]},"page":"1508-1527","publisher":"John Wiley and Sons Ltd","title":"Managing contracts for fairness in buyer-supplier exchanges","type":"article-journal","volume":"35"},"uris":["http://www.mendeley.com/documents/?uuid=0957df17-a206-331b-808a-1537b618a255"]}],"mendeley":{"formattedCitation":"(Poppo and Zhou, 2014; Williamson, 1996)","plainTextFormattedCitation":"(Poppo and Zhou, 2014; Williamson, 1996)","previouslyFormattedCitation":"(Poppo and Zhou, 2014; Williamson, 1996)"},"properties":{"noteIndex":0},"schema":"https://github.com/citation-style-language/schema/raw/master/csl-citation.json"}</w:instrText>
      </w:r>
      <w:r w:rsidR="006E6802" w:rsidRPr="001C45D7">
        <w:fldChar w:fldCharType="separate"/>
      </w:r>
      <w:r w:rsidR="004A2B48" w:rsidRPr="001C45D7">
        <w:rPr>
          <w:noProof/>
        </w:rPr>
        <w:t>(Williamson, 1996)</w:t>
      </w:r>
      <w:r w:rsidR="006E6802" w:rsidRPr="001C45D7">
        <w:fldChar w:fldCharType="end"/>
      </w:r>
      <w:r w:rsidRPr="001C45D7">
        <w:t>.</w:t>
      </w:r>
      <w:r w:rsidR="00FA6558" w:rsidRPr="001C45D7">
        <w:t xml:space="preserve"> </w:t>
      </w:r>
      <w:r w:rsidRPr="001C45D7">
        <w:t>The</w:t>
      </w:r>
      <w:r w:rsidR="00FA6558" w:rsidRPr="001C45D7">
        <w:t xml:space="preserve"> </w:t>
      </w:r>
      <w:r w:rsidR="004C74A1" w:rsidRPr="001C45D7">
        <w:t>effectiveness</w:t>
      </w:r>
      <w:r w:rsidR="00FA6558" w:rsidRPr="001C45D7">
        <w:t xml:space="preserve"> </w:t>
      </w:r>
      <w:r w:rsidRPr="001C45D7">
        <w:t>of</w:t>
      </w:r>
      <w:r w:rsidR="00FA6558" w:rsidRPr="001C45D7">
        <w:t xml:space="preserve"> </w:t>
      </w:r>
      <w:r w:rsidR="004C74A1" w:rsidRPr="001C45D7">
        <w:t>the</w:t>
      </w:r>
      <w:r w:rsidR="00FA6558" w:rsidRPr="001C45D7">
        <w:t xml:space="preserve"> </w:t>
      </w:r>
      <w:r w:rsidRPr="001C45D7">
        <w:t>contractual</w:t>
      </w:r>
      <w:r w:rsidR="00FA6558" w:rsidRPr="001C45D7">
        <w:t xml:space="preserve"> </w:t>
      </w:r>
      <w:r w:rsidRPr="001C45D7">
        <w:t>governance</w:t>
      </w:r>
      <w:r w:rsidR="00FA6558" w:rsidRPr="001C45D7">
        <w:t xml:space="preserve"> </w:t>
      </w:r>
      <w:r w:rsidRPr="001C45D7">
        <w:t>is</w:t>
      </w:r>
      <w:r w:rsidR="00FA6558" w:rsidRPr="001C45D7">
        <w:t xml:space="preserve"> </w:t>
      </w:r>
      <w:r w:rsidR="004C74A1" w:rsidRPr="001C45D7">
        <w:t>largely</w:t>
      </w:r>
      <w:r w:rsidR="00FA6558" w:rsidRPr="001C45D7">
        <w:t xml:space="preserve"> </w:t>
      </w:r>
      <w:r w:rsidRPr="001C45D7">
        <w:t>dependent</w:t>
      </w:r>
      <w:r w:rsidR="00FA6558" w:rsidRPr="001C45D7">
        <w:t xml:space="preserve"> </w:t>
      </w:r>
      <w:r w:rsidRPr="001C45D7">
        <w:t>upon</w:t>
      </w:r>
      <w:r w:rsidR="00FA6558" w:rsidRPr="001C45D7">
        <w:t xml:space="preserve"> </w:t>
      </w:r>
      <w:r w:rsidRPr="001C45D7">
        <w:t>the</w:t>
      </w:r>
      <w:r w:rsidR="00FA6558" w:rsidRPr="001C45D7">
        <w:t xml:space="preserve"> </w:t>
      </w:r>
      <w:r w:rsidRPr="001C45D7">
        <w:t>extent</w:t>
      </w:r>
      <w:r w:rsidR="00FA6558" w:rsidRPr="001C45D7">
        <w:t xml:space="preserve"> </w:t>
      </w:r>
      <w:r w:rsidRPr="001C45D7">
        <w:t>of</w:t>
      </w:r>
      <w:r w:rsidR="00FA6558" w:rsidRPr="001C45D7">
        <w:t xml:space="preserve"> </w:t>
      </w:r>
      <w:r w:rsidRPr="001C45D7">
        <w:t>(1)</w:t>
      </w:r>
      <w:r w:rsidR="00FA6558" w:rsidRPr="001C45D7">
        <w:t xml:space="preserve"> </w:t>
      </w:r>
      <w:r w:rsidRPr="001C45D7">
        <w:t>the</w:t>
      </w:r>
      <w:r w:rsidR="00FA6558" w:rsidRPr="001C45D7">
        <w:t xml:space="preserve"> </w:t>
      </w:r>
      <w:r w:rsidRPr="001C45D7">
        <w:t>details</w:t>
      </w:r>
      <w:r w:rsidR="00FA6558" w:rsidRPr="001C45D7">
        <w:t xml:space="preserve"> </w:t>
      </w:r>
      <w:r w:rsidRPr="001C45D7">
        <w:t>and</w:t>
      </w:r>
      <w:r w:rsidR="00FA6558" w:rsidRPr="001C45D7">
        <w:t xml:space="preserve"> </w:t>
      </w:r>
      <w:r w:rsidRPr="001C45D7">
        <w:t>preciseness</w:t>
      </w:r>
      <w:r w:rsidR="00FA6558" w:rsidRPr="001C45D7">
        <w:t xml:space="preserve"> </w:t>
      </w:r>
      <w:r w:rsidRPr="001C45D7">
        <w:t>of</w:t>
      </w:r>
      <w:r w:rsidR="00FA6558" w:rsidRPr="001C45D7">
        <w:t xml:space="preserve"> </w:t>
      </w:r>
      <w:r w:rsidRPr="001C45D7">
        <w:t>the</w:t>
      </w:r>
      <w:r w:rsidR="00FA6558" w:rsidRPr="001C45D7">
        <w:t xml:space="preserve"> </w:t>
      </w:r>
      <w:r w:rsidRPr="001C45D7">
        <w:t>contract</w:t>
      </w:r>
      <w:r w:rsidR="0099392E" w:rsidRPr="001C45D7">
        <w:t>’s</w:t>
      </w:r>
      <w:r w:rsidR="00FA6558" w:rsidRPr="001C45D7">
        <w:t xml:space="preserve"> </w:t>
      </w:r>
      <w:r w:rsidRPr="001C45D7">
        <w:t>specifications</w:t>
      </w:r>
      <w:r w:rsidR="00FA6558" w:rsidRPr="001C45D7">
        <w:t xml:space="preserve"> </w:t>
      </w:r>
      <w:r w:rsidR="006E6802" w:rsidRPr="001C45D7">
        <w:fldChar w:fldCharType="begin" w:fldLock="1"/>
      </w:r>
      <w:r w:rsidR="004A2B48" w:rsidRPr="001C45D7">
        <w:instrText>ADDIN CSL_CITATION {"citationItems":[{"id":"ITEM-1","itemData":{"DOI":"10.5465/amr.1990.4309111","ISSN":"0363-7425","abstract":"Transaction cost theorists have generally neglected to consider the implications that the invisible hand of the market mechanism can have for the risk of opportunism. In the long run, the invisible hand deletes actors whose behaviors are habitually opportunistic. Consequently, as markets move toward the state of competitive equilibrium, the risk of opportunism will be low, even for transactions supported by specific asset investments. Therefore, in many contexts the transaction cost rationale for internalization has been overstated.","author":[{"dropping-particle":"","family":"Hill","given":"Charles W. L.","non-dropping-particle":"","parse-names":false,"suffix":""}],"container-title":"Academy of Management Review","id":"ITEM-1","issue":"3","issued":{"date-parts":[["1990","7"]]},"page":"500-513","publisher":"Academy of Management","title":"Cooperation, Opportunism, and the Invisible Hand: Implications for Transaction Cost Theory","type":"article-journal","volume":"15"},"uris":["http://www.mendeley.com/documents/?uuid=b2ff78ba-e23e-3fac-986d-23adc46d7d97"]},{"id":"ITEM-2","itemData":{"DOI":"10.1086/467219","ISSN":"0022-2186","abstract":"JSTOR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.","author":[{"dropping-particle":"","family":"Crocker","given":"Keith J.","non-dropping-particle":"","parse-names":false,"suffix":""},{"dropping-particle":"","family":"Masten","given":"Scott E.","non-dropping-particle":"","parse-names":false,"suffix":""}],"container-title":"The Journal of Law and Economics","id":"ITEM-2","issue":"1","issued":{"date-parts":[["1991","4"]]},"page":"69-99","publisher":"University of Chicago Press","title":"Pretia ex Machina? Prices and Process in Long-Term Contracts","type":"article-journal","volume":"34"},"uris":["http://www.mendeley.com/documents/?uuid=30d7cd02-d7ac-3f76-b9d3-4442d29cb744"]},{"id":"ITEM-3","itemData":{"DOI":"10.1016/S0167-2681(96)00898-0","ISSN":"01672681","abstract":"This paper tracks my remarks at the September 1993 conference honoring Richard M. Cyert. It begins with some recollections of my years as a graduate student at GSIA in the early 1960s. I then shift to transaction cost economics and how this project relates to what I learned from Dick Cyert and others at Carnegie.","author":[{"dropping-particle":"","family":"Williamson","given":"Oliver E.","non-dropping-particle":"","parse-names":false,"suffix":""}],"container-title":"Journal of Economic Behavior and Organization","id":"ITEM-3","issue":"2","issued":{"date-parts":[["1996"]]},"page":"149-155","title":"Transaction cost economics and the Carnegie connection","type":"article-journal","volume":"31"},"uris":["http://www.mendeley.com/documents/?uuid=bf15be87-619b-3e5c-ab6f-70a4582ca410"]},{"id":"ITEM-4","itemData":{"author":[{"dropping-particle":"","family":"Artz","given":"Kendall W","non-dropping-particle":"","parse-names":false,"suffix":""},{"dropping-particle":"","family":"Brush","given":"Thomas H","non-dropping-particle":"","parse-names":false,"suffix":""}],"container-title":"Journal of Economic Behavior &amp; Organization","id":"ITEM-4","issue":"4","issued":{"date-parts":[["2000"]]},"page":"337-362","title":"Asset specificity, uncertainty and relational norms: an examination of coordination costs in collaborative strategic alliances","type":"article-journal","volume":"41"},"uris":["http://www.mendeley.com/documents/?uuid=96474597-8154-467e-84db-dd7566d76f27"]},{"id":"ITEM-5","itemData":{"DOI":"10.1002/smj.2175","ISSN":"10970266","abstract":"Despite the centrality of fairness in the moral and social fabric of governance, few studies relate fairness to contracting research. This paper assesses whether fairness accounts for the effects of contractual complexity and contractual recurrence on exchange performance. Based on a sample of 283 buyer-supplier dyads, we find that procedural fairness partially mediates the effect of contractual complexity, whereas distributive fairness partially mediates the effect of contractual recurrence in fostering exchange performance. Moreover, monitoring better supports the use of contractual complexity, whereas socializing better supports the use of contractual recurrence in enhancing fairness perceptions. These results suggest that contractual design must go beyond its safeguarding function to establish a fair frame of reference, and managers should complement contracts with appropriate practices (e.g., monitoring or socializing). Copyright © 2013 John Wiley &amp; Sons, Ltd. Copyright © 2013 John Wiley &amp; Sons, Ltd.","author":[{"dropping-particle":"","family":"Poppo","given":"Laura","non-dropping-particle":"","parse-names":false,"suffix":""},{"dropping-particle":"","family":"Zhou","given":"Kevin Zheng","non-dropping-particle":"","parse-names":false,"suffix":""}],"container-title":"Strategic Management Journal","id":"ITEM-5","issue":"10","issued":{"date-parts":[["2014"]]},"page":"1508-1527","publisher":"John Wiley and Sons Ltd","title":"Managing contracts for fairness in buyer-supplier exchanges","type":"article-journal","volume":"35"},"uris":["http://www.mendeley.com/documents/?uuid=0957df17-a206-331b-808a-1537b618a255"]}],"mendeley":{"formattedCitation":"(Artz and Brush, 2000; Crocker and Masten, 1991; Hill, 1990; Poppo and Zhou, 2014; Williamson, 1996)","plainTextFormattedCitation":"(Artz and Brush, 2000; Crocker and Masten, 1991; Hill, 1990; Poppo and Zhou, 2014; Williamson, 1996)","previouslyFormattedCitation":"(Artz and Brush, 2000; Crocker and Masten, 1991; Hill, 1990; Poppo and Zhou, 2014; Williamson, 1996)"},"properties":{"noteIndex":0},"schema":"https://github.com/citation-style-language/schema/raw/master/csl-citation.json"}</w:instrText>
      </w:r>
      <w:r w:rsidR="006E6802" w:rsidRPr="001C45D7">
        <w:fldChar w:fldCharType="separate"/>
      </w:r>
      <w:r w:rsidR="004A2B48" w:rsidRPr="001C45D7">
        <w:rPr>
          <w:noProof/>
        </w:rPr>
        <w:t>(Artz and Brush, 2000;  Hill, 1990; Williamson, 1996)</w:t>
      </w:r>
      <w:r w:rsidR="006E6802" w:rsidRPr="001C45D7">
        <w:fldChar w:fldCharType="end"/>
      </w:r>
      <w:r w:rsidR="007D3BBA" w:rsidRPr="001C45D7">
        <w:t>,</w:t>
      </w:r>
      <w:r w:rsidR="00FA6558" w:rsidRPr="001C45D7">
        <w:t xml:space="preserve"> </w:t>
      </w:r>
      <w:r w:rsidRPr="001C45D7">
        <w:t>and</w:t>
      </w:r>
      <w:r w:rsidR="00FA6558" w:rsidRPr="001C45D7">
        <w:t xml:space="preserve"> </w:t>
      </w:r>
      <w:r w:rsidRPr="001C45D7">
        <w:t>(2)</w:t>
      </w:r>
      <w:r w:rsidR="00FA6558" w:rsidRPr="001C45D7">
        <w:t xml:space="preserve"> </w:t>
      </w:r>
      <w:r w:rsidR="0099392E" w:rsidRPr="001C45D7">
        <w:t xml:space="preserve">the </w:t>
      </w:r>
      <w:r w:rsidRPr="001C45D7">
        <w:t>monitoring</w:t>
      </w:r>
      <w:r w:rsidR="00FA6558" w:rsidRPr="001C45D7">
        <w:t xml:space="preserve"> </w:t>
      </w:r>
      <w:r w:rsidRPr="001C45D7">
        <w:t>of</w:t>
      </w:r>
      <w:r w:rsidR="00FA6558" w:rsidRPr="001C45D7">
        <w:t xml:space="preserve"> </w:t>
      </w:r>
      <w:r w:rsidRPr="001C45D7">
        <w:t>compliance</w:t>
      </w:r>
      <w:r w:rsidR="00FA6558" w:rsidRPr="001C45D7">
        <w:t xml:space="preserve"> </w:t>
      </w:r>
      <w:r w:rsidR="006E6802" w:rsidRPr="001C45D7">
        <w:fldChar w:fldCharType="begin" w:fldLock="1"/>
      </w:r>
      <w:r w:rsidR="004A2B48" w:rsidRPr="001C45D7">
        <w:instrText>ADDIN CSL_CITATION {"citationItems":[{"id":"ITEM-1","itemData":{"DOI":"10.5465/amr.1990.4309111","ISSN":"0363-7425","abstract":"Transaction cost theorists have generally neglected to consider the implications that the invisible hand of the market mechanism can have for the risk of opportunism. In the long run, the invisible hand deletes actors whose behaviors are habitually opportunistic. Consequently, as markets move toward the state of competitive equilibrium, the risk of opportunism will be low, even for transactions supported by specific asset investments. Therefore, in many contexts the transaction cost rationale for internalization has been overstated.","author":[{"dropping-particle":"","family":"Hill","given":"Charles W. L.","non-dropping-particle":"","parse-names":false,"suffix":""}],"container-title":"Academy of Management Review","id":"ITEM-1","issue":"3","issued":{"date-parts":[["1990","7"]]},"page":"500-513","publisher":"Academy of Management","title":"Cooperation, Opportunism, and the Invisible Hand: Implications for Transaction Cost Theory","type":"article-journal","volume":"15"},"uris":["http://www.mendeley.com/documents/?uuid=b2ff78ba-e23e-3fac-986d-23adc46d7d97"]},{"id":"ITEM-2","itemData":{"DOI":"10.5465/256885","ISSN":"0001-4273","abstract":"Resumen El concepto de Fatiga por Compasión (Compassion Fatigue) o Desgaste por Empatía es común en la litera-tura científica de Trabajo Social internacional, aunque sorprendentemente inexistente en la literatura espa-ñola. Puede definirse la fatiga por compasión como estado de agotamiento y disfunción biológica, psicoló-gica y relacional, resultado de la exposición inmediata o prolongada al estrés por compasión y como el resultado final del proceso progresivo y acumulativo consecuen-cia del contacto prolongado, continuado e intenso con clientes o pacientes, el uso de uno mismo y la expo-sición al estrés. El mantenimiento del desgaste puede derivar en cuadros severos típicos de traumatización secundaria o en el inicio del Síndrome del Profesional Quemado (Burnout). En todo caso, si un profesional del trabajo social experimenta dicho fenómeno, su capacidad para empatizar, conectar y ayudar a sus clientes se ve gra-vemente disminuida. Paradójicamente, la fatiga por compasión es por una parte, necesaria e inevitable si se desarrolla una buena práctica; por otra, peligrosa e inhabilitante si no se compensa mediante otros mecanismos. La fatiga por compasión no se puede prevenirse pero puede y debe paliarse de forma consciente. Incrementar la capacidad de reconocer y minimizar el impacto del desgaste es una responsabilidad del pro-fesional y de la organización en la cual trabaja. Por último, el trabajo plantea el qué hacer ante este fenó-meno y de qué manera cuidarse personal, profesional e institucionalmente. Palabras clave: Trabajo Social; Fatiga por compasión; desgaste profesional; relación de ayuda; autocuidado. Este trabajo se publica bajo una licencia de Creative Commons Reconocimiento-NoComercial 4.0 Internacional.. Afrontar el desgaste: cuidado y mecanismos paliativos de la fatiga por compasión [Facing the wear: care and palliative mechanisms of compassion fatigue]. Alternativas. Cuadernos de Trabajo Social, 24, 119-136. https://doi.","author":[{"dropping-particle":"","family":"Nooteboom","given":"Bart","non-dropping-particle":"","parse-names":false,"suffix":""},{"dropping-particle":"","family":"Berger","given":"Hans","non-dropping-particle":"","parse-names":false,"suffix":""},{"dropping-particle":"","family":"Noorderhaven","given":"Niels G.","non-dropping-particle":"","parse-names":false,"suffix":""}],"container-title":"Academy of Management Journal","id":"ITEM-2","issue":"2","issued":{"date-parts":[["1997","4"]]},"page":"308-338","publisher":"Academy of Management","title":"Effects of Trust and Governance on Relational Risk","type":"article-journal","volume":"40"},"uris":["http://www.mendeley.com/documents/?uuid=b6d9a03c-e468-3a00-a551-ecdc53c4f647"]}],"mendeley":{"formattedCitation":"(Hill, 1990; Nooteboom &lt;i&gt;et al.&lt;/i&gt;, 1997)","manualFormatting":"(Hill, 1990; Nooteboom et al., 1997)","plainTextFormattedCitation":"(Hill, 1990; Nooteboom et al., 1997)","previouslyFormattedCitation":"(Hill, 1990; Nooteboom &lt;i&gt;et al.&lt;/i&gt;, 1997)"},"properties":{"noteIndex":0},"schema":"https://github.com/citation-style-language/schema/raw/master/csl-citation.json"}</w:instrText>
      </w:r>
      <w:r w:rsidR="006E6802" w:rsidRPr="001C45D7">
        <w:fldChar w:fldCharType="separate"/>
      </w:r>
      <w:r w:rsidR="00881C19" w:rsidRPr="001C45D7">
        <w:rPr>
          <w:noProof/>
        </w:rPr>
        <w:t>(Hill,</w:t>
      </w:r>
      <w:r w:rsidR="00FA6558" w:rsidRPr="001C45D7">
        <w:rPr>
          <w:noProof/>
        </w:rPr>
        <w:t xml:space="preserve"> </w:t>
      </w:r>
      <w:r w:rsidR="00881C19" w:rsidRPr="001C45D7">
        <w:rPr>
          <w:noProof/>
        </w:rPr>
        <w:t>1990;</w:t>
      </w:r>
      <w:r w:rsidR="00FA6558" w:rsidRPr="001C45D7">
        <w:rPr>
          <w:noProof/>
        </w:rPr>
        <w:t xml:space="preserve"> </w:t>
      </w:r>
      <w:r w:rsidR="00881C19" w:rsidRPr="001C45D7">
        <w:rPr>
          <w:noProof/>
        </w:rPr>
        <w:t>Nooteboom</w:t>
      </w:r>
      <w:r w:rsidR="007D3BBA" w:rsidRPr="001C45D7">
        <w:rPr>
          <w:noProof/>
        </w:rPr>
        <w:t xml:space="preserve"> </w:t>
      </w:r>
      <w:r w:rsidR="007D3BBA" w:rsidRPr="001C45D7">
        <w:rPr>
          <w:i/>
          <w:noProof/>
        </w:rPr>
        <w:t>et al</w:t>
      </w:r>
      <w:r w:rsidR="007D3BBA" w:rsidRPr="001C45D7">
        <w:rPr>
          <w:noProof/>
        </w:rPr>
        <w:t>.</w:t>
      </w:r>
      <w:r w:rsidR="00881C19" w:rsidRPr="001C45D7">
        <w:rPr>
          <w:noProof/>
        </w:rPr>
        <w:t>,</w:t>
      </w:r>
      <w:r w:rsidR="00FA6558" w:rsidRPr="001C45D7">
        <w:rPr>
          <w:noProof/>
        </w:rPr>
        <w:t xml:space="preserve"> </w:t>
      </w:r>
      <w:r w:rsidR="00881C19" w:rsidRPr="001C45D7">
        <w:rPr>
          <w:noProof/>
        </w:rPr>
        <w:t>1997)</w:t>
      </w:r>
      <w:r w:rsidR="006E6802" w:rsidRPr="001C45D7">
        <w:fldChar w:fldCharType="end"/>
      </w:r>
      <w:r w:rsidRPr="001C45D7">
        <w:t>.</w:t>
      </w:r>
    </w:p>
    <w:p w14:paraId="60AD5000" w14:textId="1CB0E01C" w:rsidR="00C723B6" w:rsidRPr="001C45D7" w:rsidRDefault="00C723B6" w:rsidP="00566B02">
      <w:pPr>
        <w:pStyle w:val="BodyText"/>
      </w:pPr>
      <w:r w:rsidRPr="001C45D7">
        <w:t>Contractual</w:t>
      </w:r>
      <w:r w:rsidR="00FA6558" w:rsidRPr="001C45D7">
        <w:t xml:space="preserve"> </w:t>
      </w:r>
      <w:r w:rsidRPr="001C45D7">
        <w:t>governance,</w:t>
      </w:r>
      <w:r w:rsidR="00FA6558" w:rsidRPr="001C45D7">
        <w:t xml:space="preserve"> </w:t>
      </w:r>
      <w:r w:rsidRPr="001C45D7">
        <w:t>however,</w:t>
      </w:r>
      <w:r w:rsidR="00FA6558" w:rsidRPr="001C45D7">
        <w:t xml:space="preserve"> </w:t>
      </w:r>
      <w:r w:rsidRPr="001C45D7">
        <w:t>is</w:t>
      </w:r>
      <w:r w:rsidR="00FA6558" w:rsidRPr="001C45D7">
        <w:t xml:space="preserve"> </w:t>
      </w:r>
      <w:r w:rsidRPr="001C45D7">
        <w:t>subject</w:t>
      </w:r>
      <w:r w:rsidR="00FA6558" w:rsidRPr="001C45D7">
        <w:t xml:space="preserve"> </w:t>
      </w:r>
      <w:r w:rsidRPr="001C45D7">
        <w:t>to</w:t>
      </w:r>
      <w:r w:rsidR="00FA6558" w:rsidRPr="001C45D7">
        <w:t xml:space="preserve"> </w:t>
      </w:r>
      <w:r w:rsidRPr="001C45D7">
        <w:t>various</w:t>
      </w:r>
      <w:r w:rsidR="00FA6558" w:rsidRPr="001C45D7">
        <w:t xml:space="preserve"> </w:t>
      </w:r>
      <w:r w:rsidRPr="001C45D7">
        <w:t>weakness</w:t>
      </w:r>
      <w:r w:rsidR="00F81A63" w:rsidRPr="001C45D7">
        <w:t>es</w:t>
      </w:r>
      <w:r w:rsidR="00FA6558" w:rsidRPr="001C45D7">
        <w:t xml:space="preserve"> </w:t>
      </w:r>
      <w:r w:rsidR="006E6802" w:rsidRPr="001C45D7">
        <w:fldChar w:fldCharType="begin" w:fldLock="1"/>
      </w:r>
      <w:r w:rsidR="004A2B48" w:rsidRPr="001C45D7">
        <w:instrText>ADDIN CSL_CITATION {"citationItems":[{"id":"ITEM-1","itemData":{"DOI":"10.1086/467219","ISSN":"0022-2186","abstract":"JSTOR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.","author":[{"dropping-particle":"","family":"Crocker","given":"Keith J.","non-dropping-particle":"","parse-names":false,"suffix":""},{"dropping-particle":"","family":"Masten","given":"Scott E.","non-dropping-particle":"","parse-names":false,"suffix":""}],"container-title":"The Journal of Law and Economics","id":"ITEM-1","issue":"1","issued":{"date-parts":[["1991","4"]]},"page":"69-99","publisher":"University of Chicago Press","title":"Pretia ex Machina? Prices and Process in Long-Term Contracts","type":"article-journal","volume":"34"},"uris":["http://www.mendeley.com/documents/?uuid=30d7cd02-d7ac-3f76-b9d3-4442d29cb744"]},{"id":"ITEM-2","itemData":{"author":[{"dropping-particle":"","family":"Artz","given":"Kendall W","non-dropping-particle":"","parse-names":false,"suffix":""},{"dropping-particle":"","family":"Brush","given":"Thomas H","non-dropping-particle":"","parse-names":false,"suffix":""}],"container-title":"Journal of Economic Behavior &amp; Organization","id":"ITEM-2","issue":"4","issued":{"date-parts":[["2000"]]},"page":"337-362","title":"Asset specificity, uncertainty and relational norms: an examination of coordination costs in collaborative strategic alliances","type":"article-journal","volume":"41"},"uris":["http://www.mendeley.com/documents/?uuid=96474597-8154-467e-84db-dd7566d76f27"]}],"mendeley":{"formattedCitation":"(Artz and Brush, 2000; Crocker and Masten, 1991)","plainTextFormattedCitation":"(Artz and Brush, 2000; Crocker and Masten, 1991)","previouslyFormattedCitation":"(Artz and Brush, 2000; Crocker and Masten, 1991)"},"properties":{"noteIndex":0},"schema":"https://github.com/citation-style-language/schema/raw/master/csl-citation.json"}</w:instrText>
      </w:r>
      <w:r w:rsidR="006E6802" w:rsidRPr="001C45D7">
        <w:fldChar w:fldCharType="separate"/>
      </w:r>
      <w:r w:rsidR="004A2B48" w:rsidRPr="001C45D7">
        <w:rPr>
          <w:noProof/>
        </w:rPr>
        <w:t>(Artz and Brush, 2000)</w:t>
      </w:r>
      <w:r w:rsidR="006E6802" w:rsidRPr="001C45D7">
        <w:fldChar w:fldCharType="end"/>
      </w:r>
      <w:r w:rsidRPr="001C45D7">
        <w:t>.</w:t>
      </w:r>
      <w:r w:rsidR="00FA6558" w:rsidRPr="001C45D7">
        <w:t xml:space="preserve"> </w:t>
      </w:r>
      <w:r w:rsidRPr="001C45D7">
        <w:t>First,</w:t>
      </w:r>
      <w:r w:rsidR="00FA6558" w:rsidRPr="001C45D7">
        <w:t xml:space="preserve"> </w:t>
      </w:r>
      <w:r w:rsidRPr="001C45D7">
        <w:t>creating</w:t>
      </w:r>
      <w:r w:rsidR="00FA6558" w:rsidRPr="001C45D7">
        <w:t xml:space="preserve"> </w:t>
      </w:r>
      <w:r w:rsidRPr="001C45D7">
        <w:t>a</w:t>
      </w:r>
      <w:r w:rsidR="00FA6558" w:rsidRPr="001C45D7">
        <w:t xml:space="preserve"> </w:t>
      </w:r>
      <w:r w:rsidR="004C74A1" w:rsidRPr="001C45D7">
        <w:t>comprehensive</w:t>
      </w:r>
      <w:r w:rsidR="00FA6558" w:rsidRPr="001C45D7">
        <w:t xml:space="preserve"> </w:t>
      </w:r>
      <w:r w:rsidRPr="001C45D7">
        <w:t>contract</w:t>
      </w:r>
      <w:r w:rsidR="00FA6558" w:rsidRPr="001C45D7">
        <w:t xml:space="preserve"> </w:t>
      </w:r>
      <w:r w:rsidR="00135641" w:rsidRPr="001C45D7">
        <w:t xml:space="preserve">that </w:t>
      </w:r>
      <w:r w:rsidRPr="001C45D7">
        <w:t>cover</w:t>
      </w:r>
      <w:r w:rsidR="00135641" w:rsidRPr="001C45D7">
        <w:t>s</w:t>
      </w:r>
      <w:r w:rsidR="00FA6558" w:rsidRPr="001C45D7">
        <w:t xml:space="preserve"> </w:t>
      </w:r>
      <w:r w:rsidRPr="001C45D7">
        <w:t>all</w:t>
      </w:r>
      <w:r w:rsidR="00FA6558" w:rsidRPr="001C45D7">
        <w:t xml:space="preserve"> </w:t>
      </w:r>
      <w:r w:rsidRPr="001C45D7">
        <w:t>possible</w:t>
      </w:r>
      <w:r w:rsidR="00FA6558" w:rsidRPr="001C45D7">
        <w:t xml:space="preserve"> </w:t>
      </w:r>
      <w:r w:rsidRPr="001C45D7">
        <w:t>eventualit</w:t>
      </w:r>
      <w:r w:rsidR="00AF7714" w:rsidRPr="001C45D7">
        <w:t>ies</w:t>
      </w:r>
      <w:r w:rsidR="00FA6558" w:rsidRPr="001C45D7">
        <w:t xml:space="preserve"> </w:t>
      </w:r>
      <w:r w:rsidRPr="001C45D7">
        <w:t>in</w:t>
      </w:r>
      <w:r w:rsidR="00FA6558" w:rsidRPr="001C45D7">
        <w:t xml:space="preserve"> </w:t>
      </w:r>
      <w:r w:rsidRPr="001C45D7">
        <w:t>the</w:t>
      </w:r>
      <w:r w:rsidR="00FA6558" w:rsidRPr="001C45D7">
        <w:t xml:space="preserve"> </w:t>
      </w:r>
      <w:r w:rsidRPr="001C45D7">
        <w:t>future</w:t>
      </w:r>
      <w:r w:rsidR="00FA6558" w:rsidRPr="001C45D7">
        <w:t xml:space="preserve"> </w:t>
      </w:r>
      <w:r w:rsidRPr="001C45D7">
        <w:t>can</w:t>
      </w:r>
      <w:r w:rsidR="00FA6558" w:rsidRPr="001C45D7">
        <w:t xml:space="preserve"> </w:t>
      </w:r>
      <w:r w:rsidRPr="001C45D7">
        <w:t>be</w:t>
      </w:r>
      <w:r w:rsidR="00FA6558" w:rsidRPr="001C45D7">
        <w:t xml:space="preserve"> </w:t>
      </w:r>
      <w:r w:rsidRPr="001C45D7">
        <w:t>prohibitively</w:t>
      </w:r>
      <w:r w:rsidR="00FA6558" w:rsidRPr="001C45D7">
        <w:t xml:space="preserve"> </w:t>
      </w:r>
      <w:r w:rsidRPr="001C45D7">
        <w:t>expensive</w:t>
      </w:r>
      <w:r w:rsidR="00FA6558" w:rsidRPr="001C45D7">
        <w:t xml:space="preserve"> </w:t>
      </w:r>
      <w:r w:rsidR="006E6802" w:rsidRPr="001C45D7">
        <w:fldChar w:fldCharType="begin" w:fldLock="1"/>
      </w:r>
      <w:r w:rsidR="004A2B48" w:rsidRPr="001C45D7">
        <w:instrText>ADDIN CSL_CITATION {"citationItems":[{"id":"ITEM-1","itemData":{"DOI":"10.1016/0048-7333(86)90027-2","ISSN":"00487333","abstract":"This paper attempts to explain why innovating firms often fail to obtain significant economic returns from an innovation, while customers, imitators and other industry participants benefit Business strategy - particularly as it relates to the firm's decision to integrate and collaborate - is shown to be an important factor. The paper demonstrates that when imitation is easy, markets don't work well, and the profits from innovation may accrue to the owners of certain complementary assets, rather than to the developers of the intellectual property. This speaks to the need, in certain cases, for the innovating firm to establish a prior position in these complementary assets. The paper also indicates that innovators with new products and processes which provide value to consumers may sometimes be so ill positioned in the market that they necessarily will fail. The analysis provides a theoretical foundation for the proposition that manufacturing often matters, particularly to innovating nations. Innovating firms without the requisite manufacturing and related capacities may die, even though they are the best at innovation. Implications for trade policy and domestic economic policy are examined. © 1986.","author":[{"dropping-particle":"","family":"Teece","given":"David J.","non-dropping-particle":"","parse-names":false,"suffix":""}],"container-title":"Research Policy","id":"ITEM-1","issue":"6","issued":{"date-parts":[["1986","12","1"]]},"page":"285-305","publisher":"North-Holland","title":"Profiting from technological innovation: Implications for integration, collaboration, licensing and public policy","type":"article-journal","volume":"15"},"uris":["http://www.mendeley.com/documents/?uuid=ce26624c-3f55-3d42-b3ff-42f6ebd084b6"]},{"id":"ITEM-2","itemData":{"DOI":"10.5465/ambpp.1996.4978070","ISSN":"0065-0668","abstract":"This paper examines the choice between equity and non-equity forms of inter-firm alliances from an integrated risk perspective, which combines relational risk and performance risk in inter-firm alliances. Relational risk relates to co-operation among alliance partners, while performance risk has to do with the hazards of not achieving the performance objectives of an alliance, given co-operation. We suggest that equity alliance is adopted to control relational risk, while non-equity alliance is aimed at minimizing performance risk. Existing studies on the choice of alliance configurations are examined from the proposed risk perspective, and a number of key propositions are advanced for empirical testing and further development of the perspective.","author":[{"dropping-particle":"","family":"Das","given":"T. K.","non-dropping-particle":"","parse-names":false,"suffix":""},{"dropping-particle":"","family":"Teng","given":"B.-S.","non-dropping-particle":"","parse-names":false,"suffix":""}],"container-title":"Academy of Management Proceedings","id":"ITEM-2","issue":"1","issued":{"date-parts":[["1996","8","1"]]},"page":"11-15","publisher":"The Academy of Management","title":"RISK TYPES AND INTERFIRM ALLIANCE STRUCTURES.","type":"article-journal","volume":"1996"},"uris":["http://www.mendeley.com/documents/?uuid=d1d1749d-9874-3937-9315-e88df3acf59d"]},{"id":"ITEM-3","itemData":{"DOI":"10.1002/smj.249","ISSN":"01432095","abstract":"Relational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Journal","id":"ITEM-3","issue":"8","issued":{"date-parts":[["2002","8"]]},"page":"707-725","title":"Do formal contracts and relational governance function as substitutes or complements?","type":"article-journal","volume":"23"},"uris":["http://www.mendeley.com/documents/?uuid=0f5b4bc5-de16-3976-800b-d5afcee477cc"]},{"id":"ITEM-4","itemData":{"DOI":"10.1016/j.jbusvent.2005.02.003","ISSN":"08839026","abstract":"SME leaders with R&amp;D alliances face significant challenges in balancing the need for resource acquisition in the innovation process and the potential for opportunistic behavior by alliance partners. This study, utilizing a sample of 456 SMEs from eight countries, examines how the resource capacity of the SME and the institutional environment are related to the perceptions that owners and managers have about the opportunistic behavior of alliance partners. The results suggest that firm size moderates the relationship between the technological munificence and the predominant culture of the domestic market of the SME and concerns about the opportunistic behavior of an SME alliance partner. © 2005 Elsevier Inc. All rights reserved.","author":[{"dropping-particle":"","family":"Dickson","given":"Pat H.","non-dropping-particle":"","parse-names":false,"suffix":""},{"dropping-particle":"","family":"Weaver","given":"K. Mark","non-dropping-particle":"","parse-names":false,"suffix":""},{"dropping-particle":"","family":"Hoy","given":"Frank","non-dropping-particle":"","parse-names":false,"suffix":""}],"container-title":"Journal of Business Venturing","id":"ITEM-4","issue":"4","issued":{"date-parts":[["2006","7","1"]]},"page":"487-513","publisher":"Elsevier","title":"Opportunism in the R&amp;D alliances of SMES: The roles of the institutional environment and SME size","type":"article-journal","volume":"21"},"uris":["http://www.mendeley.com/documents/?uuid=b56281e2-d479-346d-8153-acd0cf4d6021"]}],"mendeley":{"formattedCitation":"(Das and Teng, 1996; Dickson &lt;i&gt;et al.&lt;/i&gt;, 2006; Poppo and Zenger, 2002; Teece, 1986)","manualFormatting":"(Teece, 1986; Das and Teng, 1996; Poppo and Zenger, 2002; Dickson et al., 2006)","plainTextFormattedCitation":"(Das and Teng, 1996; Dickson et al., 2006; Poppo and Zenger, 2002; Teece, 1986)","previouslyFormattedCitation":"(Das and Teng, 1996; Dickson &lt;i&gt;et al.&lt;/i&gt;, 2006; Poppo and Zenger, 2002; Teece, 1986)"},"properties":{"noteIndex":0},"schema":"https://github.com/citation-style-language/schema/raw/master/csl-citation.json"}</w:instrText>
      </w:r>
      <w:r w:rsidR="006E6802" w:rsidRPr="001C45D7">
        <w:fldChar w:fldCharType="separate"/>
      </w:r>
      <w:r w:rsidR="00881C19" w:rsidRPr="001C45D7">
        <w:rPr>
          <w:noProof/>
        </w:rPr>
        <w:t>(Teece,</w:t>
      </w:r>
      <w:r w:rsidR="00FA6558" w:rsidRPr="001C45D7">
        <w:rPr>
          <w:noProof/>
        </w:rPr>
        <w:t xml:space="preserve"> </w:t>
      </w:r>
      <w:r w:rsidR="00881C19" w:rsidRPr="001C45D7">
        <w:rPr>
          <w:noProof/>
        </w:rPr>
        <w:t>1986;</w:t>
      </w:r>
      <w:r w:rsidR="00FA6558" w:rsidRPr="001C45D7">
        <w:rPr>
          <w:noProof/>
        </w:rPr>
        <w:t xml:space="preserve"> </w:t>
      </w:r>
      <w:r w:rsidR="00881C19" w:rsidRPr="001C45D7">
        <w:rPr>
          <w:noProof/>
        </w:rPr>
        <w:t>Das</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Teng,</w:t>
      </w:r>
      <w:r w:rsidR="00FA6558" w:rsidRPr="001C45D7">
        <w:rPr>
          <w:noProof/>
        </w:rPr>
        <w:t xml:space="preserve"> </w:t>
      </w:r>
      <w:r w:rsidR="00881C19" w:rsidRPr="001C45D7">
        <w:rPr>
          <w:noProof/>
        </w:rPr>
        <w:t>1996;</w:t>
      </w:r>
      <w:r w:rsidR="00FA6558" w:rsidRPr="001C45D7">
        <w:rPr>
          <w:noProof/>
        </w:rPr>
        <w:t xml:space="preserve"> </w:t>
      </w:r>
      <w:r w:rsidR="00881C19" w:rsidRPr="001C45D7">
        <w:rPr>
          <w:noProof/>
        </w:rPr>
        <w:t>Poppo</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Zenger,</w:t>
      </w:r>
      <w:r w:rsidR="00FA6558" w:rsidRPr="001C45D7">
        <w:rPr>
          <w:noProof/>
        </w:rPr>
        <w:t xml:space="preserve"> </w:t>
      </w:r>
      <w:r w:rsidR="00881C19" w:rsidRPr="001C45D7">
        <w:rPr>
          <w:noProof/>
        </w:rPr>
        <w:t>2002)</w:t>
      </w:r>
      <w:r w:rsidR="006E6802" w:rsidRPr="001C45D7">
        <w:fldChar w:fldCharType="end"/>
      </w:r>
      <w:r w:rsidR="00FA6558" w:rsidRPr="001C45D7">
        <w:t xml:space="preserve"> </w:t>
      </w:r>
      <w:r w:rsidRPr="001C45D7">
        <w:t>and</w:t>
      </w:r>
      <w:r w:rsidR="00FA6558" w:rsidRPr="001C45D7">
        <w:t xml:space="preserve"> </w:t>
      </w:r>
      <w:r w:rsidRPr="001C45D7">
        <w:t>may</w:t>
      </w:r>
      <w:r w:rsidR="00FA6558" w:rsidRPr="001C45D7">
        <w:t xml:space="preserve"> </w:t>
      </w:r>
      <w:r w:rsidRPr="001C45D7">
        <w:t>not</w:t>
      </w:r>
      <w:r w:rsidR="00FA6558" w:rsidRPr="001C45D7">
        <w:t xml:space="preserve"> </w:t>
      </w:r>
      <w:r w:rsidRPr="001C45D7">
        <w:t>be</w:t>
      </w:r>
      <w:r w:rsidR="00FA6558" w:rsidRPr="001C45D7">
        <w:t xml:space="preserve"> </w:t>
      </w:r>
      <w:r w:rsidRPr="001C45D7">
        <w:t>possible</w:t>
      </w:r>
      <w:r w:rsidR="00FA6558" w:rsidRPr="001C45D7">
        <w:t xml:space="preserve"> </w:t>
      </w:r>
      <w:r w:rsidRPr="001C45D7">
        <w:t>due</w:t>
      </w:r>
      <w:r w:rsidR="00FA6558" w:rsidRPr="001C45D7">
        <w:t xml:space="preserve"> </w:t>
      </w:r>
      <w:r w:rsidRPr="001C45D7">
        <w:t>to</w:t>
      </w:r>
      <w:r w:rsidR="00FA6558" w:rsidRPr="001C45D7">
        <w:t xml:space="preserve"> </w:t>
      </w:r>
      <w:r w:rsidRPr="001C45D7">
        <w:t>bounded</w:t>
      </w:r>
      <w:r w:rsidR="00FA6558" w:rsidRPr="001C45D7">
        <w:t xml:space="preserve"> </w:t>
      </w:r>
      <w:r w:rsidRPr="001C45D7">
        <w:t>rationality</w:t>
      </w:r>
      <w:r w:rsidR="00FA6558" w:rsidRPr="001C45D7">
        <w:t xml:space="preserve"> </w:t>
      </w:r>
      <w:r w:rsidR="006E6802" w:rsidRPr="001C45D7">
        <w:fldChar w:fldCharType="begin" w:fldLock="1"/>
      </w:r>
      <w:r w:rsidR="004919F0" w:rsidRPr="001C45D7">
        <w:instrText>ADDIN CSL_CITATION {"citationItems":[{"id":"ITEM-1","itemData":{"DOI":"10.1016/j.jom.2012.03.005","ISSN":"02726963","abstract":"This paper theoretically refines and empirically extends the debate on the type of interplay between relational experience and contractual governance in an under-researched area: supply chain disputes. We define relational experience as either cooperative or competitive; distinguish between control and coordination functions of contractual governance; and assess their interplay on the negotiation strategy used in disputes. Using a unique data set of buyer-supplier disputes, we find, in particular that increasing contractual control governance weakens the positive effect of cooperative relational experience on cooperative negotiation strategy. However, increasing contractual control governance for a buyer-supplier dyad with competitive relational experience will increase cooperative negotiation strategy. Contractual coordination governance reinforces the positive effect of cooperative relational experience. Through this study, we reach a better understanding of how and when contractual and relational governance dimensions interact; rather than whether they act as substitutes or complements as has been studied in prior research. We discuss the implications of these findings for the field of supply chain management. © 2012 Elsevier B.V. All rights reserved.","author":[{"dropping-particle":"","family":"Lumineau","given":"Fabrice","non-dropping-particle":"","parse-names":false,"suffix":""},{"dropping-particle":"","family":"Henderson","given":"James E.","non-dropping-particle":"","parse-names":false,"suffix":""}],"container-title":"Journal of Operations Management","id":"ITEM-1","issue":"5","issued":{"date-parts":[["2012","7"]]},"page":"382-395","title":"The influence of relational experience and contractual governance on the negotiation strategy in buyer-supplier disputes","type":"article-journal","volume":"30"},"uris":["http://www.mendeley.com/documents/?uuid=e73b9f24-77c1-3a43-a413-26166676ef38"]}],"mendeley":{"formattedCitation":"(Lumineau and Henderson, 2012)","plainTextFormattedCitation":"(Lumineau and Henderson, 2012)","previouslyFormattedCitation":"(Lumineau and Henderson, 2012)"},"properties":{"noteIndex":0},"schema":"https://github.com/citation-style-language/schema/raw/master/csl-citation.json"}</w:instrText>
      </w:r>
      <w:r w:rsidR="006E6802" w:rsidRPr="001C45D7">
        <w:fldChar w:fldCharType="separate"/>
      </w:r>
      <w:r w:rsidR="004919F0" w:rsidRPr="001C45D7">
        <w:rPr>
          <w:noProof/>
        </w:rPr>
        <w:t>(Lumineau</w:t>
      </w:r>
      <w:r w:rsidR="00FA6558" w:rsidRPr="001C45D7">
        <w:rPr>
          <w:noProof/>
        </w:rPr>
        <w:t xml:space="preserve"> </w:t>
      </w:r>
      <w:r w:rsidR="004919F0" w:rsidRPr="001C45D7">
        <w:rPr>
          <w:noProof/>
        </w:rPr>
        <w:t>and</w:t>
      </w:r>
      <w:r w:rsidR="00FA6558" w:rsidRPr="001C45D7">
        <w:rPr>
          <w:noProof/>
        </w:rPr>
        <w:t xml:space="preserve"> </w:t>
      </w:r>
      <w:r w:rsidR="004919F0" w:rsidRPr="001C45D7">
        <w:rPr>
          <w:noProof/>
        </w:rPr>
        <w:t>Henderson,</w:t>
      </w:r>
      <w:r w:rsidR="00FA6558" w:rsidRPr="001C45D7">
        <w:rPr>
          <w:noProof/>
        </w:rPr>
        <w:t xml:space="preserve"> </w:t>
      </w:r>
      <w:r w:rsidR="004919F0" w:rsidRPr="001C45D7">
        <w:rPr>
          <w:noProof/>
        </w:rPr>
        <w:t>2012)</w:t>
      </w:r>
      <w:r w:rsidR="006E6802" w:rsidRPr="001C45D7">
        <w:fldChar w:fldCharType="end"/>
      </w:r>
      <w:r w:rsidRPr="001C45D7">
        <w:t>.</w:t>
      </w:r>
      <w:r w:rsidR="00FA6558" w:rsidRPr="001C45D7">
        <w:t xml:space="preserve"> </w:t>
      </w:r>
      <w:r w:rsidRPr="001C45D7">
        <w:t>This</w:t>
      </w:r>
      <w:r w:rsidR="00FA6558" w:rsidRPr="001C45D7">
        <w:t xml:space="preserve"> </w:t>
      </w:r>
      <w:r w:rsidRPr="001C45D7">
        <w:t>means</w:t>
      </w:r>
      <w:r w:rsidR="00553B0D" w:rsidRPr="001C45D7">
        <w:t xml:space="preserve"> that</w:t>
      </w:r>
      <w:r w:rsidR="00FA6558" w:rsidRPr="001C45D7">
        <w:t xml:space="preserve"> </w:t>
      </w:r>
      <w:r w:rsidRPr="001C45D7">
        <w:t>the</w:t>
      </w:r>
      <w:r w:rsidR="00FA6558" w:rsidRPr="001C45D7">
        <w:t xml:space="preserve"> </w:t>
      </w:r>
      <w:r w:rsidRPr="001C45D7">
        <w:t>uncertainty</w:t>
      </w:r>
      <w:r w:rsidR="00FA6558" w:rsidRPr="001C45D7">
        <w:t xml:space="preserve"> </w:t>
      </w:r>
      <w:r w:rsidRPr="001C45D7">
        <w:t>surrounding</w:t>
      </w:r>
      <w:r w:rsidR="00FA6558" w:rsidRPr="001C45D7">
        <w:t xml:space="preserve"> </w:t>
      </w:r>
      <w:r w:rsidRPr="001C45D7">
        <w:t>the</w:t>
      </w:r>
      <w:r w:rsidR="00FA6558" w:rsidRPr="001C45D7">
        <w:t xml:space="preserve"> </w:t>
      </w:r>
      <w:r w:rsidRPr="001C45D7">
        <w:t>exchanges</w:t>
      </w:r>
      <w:r w:rsidR="00FA6558" w:rsidRPr="001C45D7">
        <w:t xml:space="preserve"> </w:t>
      </w:r>
      <w:r w:rsidRPr="001C45D7">
        <w:t>increases</w:t>
      </w:r>
      <w:r w:rsidR="00FA6558" w:rsidRPr="001C45D7">
        <w:t xml:space="preserve"> </w:t>
      </w:r>
      <w:r w:rsidRPr="001C45D7">
        <w:t>the</w:t>
      </w:r>
      <w:r w:rsidR="00FA6558" w:rsidRPr="001C45D7">
        <w:t xml:space="preserve"> </w:t>
      </w:r>
      <w:r w:rsidRPr="001C45D7">
        <w:t>cost</w:t>
      </w:r>
      <w:r w:rsidR="00FA6558" w:rsidRPr="001C45D7">
        <w:t xml:space="preserve"> </w:t>
      </w:r>
      <w:r w:rsidRPr="001C45D7">
        <w:t>of</w:t>
      </w:r>
      <w:r w:rsidR="00FA6558" w:rsidRPr="001C45D7">
        <w:t xml:space="preserve"> </w:t>
      </w:r>
      <w:r w:rsidRPr="001C45D7">
        <w:t>(1)</w:t>
      </w:r>
      <w:r w:rsidR="00FA6558" w:rsidRPr="001C45D7">
        <w:t xml:space="preserve"> </w:t>
      </w:r>
      <w:r w:rsidRPr="001C45D7">
        <w:t>drafting</w:t>
      </w:r>
      <w:r w:rsidR="00FA6558" w:rsidRPr="001C45D7">
        <w:t xml:space="preserve"> </w:t>
      </w:r>
      <w:r w:rsidRPr="001C45D7">
        <w:t>a</w:t>
      </w:r>
      <w:r w:rsidR="00FA6558" w:rsidRPr="001C45D7">
        <w:t xml:space="preserve"> </w:t>
      </w:r>
      <w:r w:rsidRPr="001C45D7">
        <w:t>comprehensive</w:t>
      </w:r>
      <w:r w:rsidR="003F2868" w:rsidRPr="001C45D7">
        <w:t xml:space="preserve"> contract</w:t>
      </w:r>
      <w:r w:rsidR="00FA6558" w:rsidRPr="001C45D7">
        <w:t xml:space="preserve"> </w:t>
      </w:r>
      <w:r w:rsidR="006E6802" w:rsidRPr="001C45D7">
        <w:fldChar w:fldCharType="begin" w:fldLock="1"/>
      </w:r>
      <w:r w:rsidR="00881C19" w:rsidRPr="001C45D7">
        <w:instrText>ADDIN CSL_CITATION {"citationItems":[{"id":"ITEM-1","itemData":{"DOI":"10.1287/orsc.14.1.45.12811","abstract":"Please scroll down for article-it is on subsequent pages With 12,500 members from nearly 90 countries, INFORMS is the largest international association of operations research (O.R.) and analytics professionals and students. INFORMS provides unique networking and learning opportunities for individual professionals, and organizations of all types and sizes, to better understand and use O.R. and analytics tools and methods to transform strategic visions and achieve better outcomes. For more information on INFORMS, its publications, membership, or meetings visit","author":[{"dropping-particle":"","family":"Carson","given":"Stephen J","non-dropping-particle":"","parse-names":false,"suffix":""},{"dropping-particle":"","family":"Madhok","given":"Anoop","non-dropping-particle":"","parse-names":false,"suffix":""},{"dropping-particle":"","family":"Varman","given":"Rohit","non-dropping-particle":"","parse-names":false,"suffix":""},{"dropping-particle":"","family":"John","given":"George","non-dropping-particle":"","parse-names":false,"suffix":""}],"container-title":"Organization Science","id":"ITEM-1","issue":"1","issued":{"date-parts":[["2003"]]},"page":"45-56","publisher":"Institute for Operations Research and Management Sciences","title":"Information Processing Moderators of the Effectiveness of Trust-Based Governance in Interfirm R&amp;D Collaboration","type":"article-journal","volume":"14"},"uris":["http://www.mendeley.com/documents/?uuid=efde160d-84a5-35b4-bc5a-b0f0408808f5"]},{"id":"ITEM-2","itemData":{"DOI":"10.1016/j.jom.2011.06.001","ISSN":"02726963","abstract":"Service provider opportunism is widely noted as a principal risk with outsourcing. Indeed, economic theory regarding the factors which influence the outsourcing decision, treats opportunism as a core behavioral assumption. It is assumed that if given the opportunity, outsourcing providers will act in a self-serving manner despite the potentially negative impact it may have on their customer. Other researchers have suggested that opportunism is not an unwavering human behavior, but rather can be substantively influenced by the management practices which define the relationship. Building on these arguments, this study investigates the validity of these divergent positions. Hierarchical linear regression is used to examine dyadic data on 102 information technology, logistics, and other business process outsourcing relationships. We test a model which hypothesizes that the buying firm's reliance on different bases of inter-firm power will have differing effects on the risk of opportunism (shirking and poaching). These hypotheses are evaluated while concurrently examining the influence of exchange hazards (relationship-specific investments and technological uncertainty) on provider shirking and poaching. The results offer strong evidence that buyer reliance on mediated forms of power (i.e. rewards, coercive, legal legitimate) enhance the risk of both provider shirking and poaching, while non-mediated power (i.e. expert, referent) is associated with a diminished level of opportunistic behavior. Interestingly, relationship-specific investments have a significant effect on some forms of opportunistic behavior but not on other forms of opportunistic behavior. Technological uncertainty did not have a significant impact on provider opportunism. © 2011 Elsevier B.V. All rights reserved.","author":[{"dropping-particle":"","family":"Handley","given":"Sean M.","non-dropping-particle":"","parse-names":false,"suffix":""},{"dropping-particle":"","family":"Benton","given":"W. C.","non-dropping-particle":"","parse-names":false,"suffix":""}],"container-title":"Journal of Operations Management","id":"ITEM-2","issue":"1-2","issued":{"date-parts":[["2012","1"]]},"page":"55-68","title":"The influence of exchange hazards and power on opportunism in outsourcing relationships","type":"article-journal","volume":"30"},"uris":["http://www.mendeley.com/documents/?uuid=dd85ab59-d3e5-3bb4-b4b1-c59b90b487d5"]}],"mendeley":{"formattedCitation":"(Carson &lt;i&gt;et al.&lt;/i&gt;, 2003; Handley and Benton, 2012)","plainTextFormattedCitation":"(Carson et al., 2003; Handley and Benton, 2012)","previouslyFormattedCitation":"(Carson &lt;i&gt;et al.&lt;/i&gt;, 2003; Handley and Benton, 2012)"},"properties":{"noteIndex":0},"schema":"https://github.com/citation-style-language/schema/raw/master/csl-citation.json"}</w:instrText>
      </w:r>
      <w:r w:rsidR="006E6802" w:rsidRPr="001C45D7">
        <w:fldChar w:fldCharType="separate"/>
      </w:r>
      <w:r w:rsidR="00881C19" w:rsidRPr="001C45D7">
        <w:rPr>
          <w:noProof/>
        </w:rPr>
        <w:t>(Carson</w:t>
      </w:r>
      <w:r w:rsidR="00FA6558" w:rsidRPr="001C45D7">
        <w:rPr>
          <w:noProof/>
        </w:rPr>
        <w:t xml:space="preserve"> </w:t>
      </w:r>
      <w:r w:rsidR="00881C19" w:rsidRPr="001C45D7">
        <w:rPr>
          <w:i/>
          <w:noProof/>
        </w:rPr>
        <w:t>et</w:t>
      </w:r>
      <w:r w:rsidR="00FA6558" w:rsidRPr="001C45D7">
        <w:rPr>
          <w:i/>
          <w:noProof/>
        </w:rPr>
        <w:t xml:space="preserve"> </w:t>
      </w:r>
      <w:r w:rsidR="00881C19" w:rsidRPr="001C45D7">
        <w:rPr>
          <w:i/>
          <w:noProof/>
        </w:rPr>
        <w:t>al.</w:t>
      </w:r>
      <w:r w:rsidR="00881C19" w:rsidRPr="001C45D7">
        <w:rPr>
          <w:noProof/>
        </w:rPr>
        <w:t>,</w:t>
      </w:r>
      <w:r w:rsidR="00FA6558" w:rsidRPr="001C45D7">
        <w:rPr>
          <w:noProof/>
        </w:rPr>
        <w:t xml:space="preserve"> </w:t>
      </w:r>
      <w:r w:rsidR="00881C19" w:rsidRPr="001C45D7">
        <w:rPr>
          <w:noProof/>
        </w:rPr>
        <w:t>2003;</w:t>
      </w:r>
      <w:r w:rsidR="00FA6558" w:rsidRPr="001C45D7">
        <w:rPr>
          <w:noProof/>
        </w:rPr>
        <w:t xml:space="preserve"> </w:t>
      </w:r>
      <w:r w:rsidR="00881C19" w:rsidRPr="001C45D7">
        <w:rPr>
          <w:noProof/>
        </w:rPr>
        <w:t>Handley</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Benton,</w:t>
      </w:r>
      <w:r w:rsidR="00FA6558" w:rsidRPr="001C45D7">
        <w:rPr>
          <w:noProof/>
        </w:rPr>
        <w:t xml:space="preserve"> </w:t>
      </w:r>
      <w:r w:rsidR="00881C19" w:rsidRPr="001C45D7">
        <w:rPr>
          <w:noProof/>
        </w:rPr>
        <w:t>2012)</w:t>
      </w:r>
      <w:r w:rsidR="006E6802" w:rsidRPr="001C45D7">
        <w:fldChar w:fldCharType="end"/>
      </w:r>
      <w:r w:rsidR="00FA6558" w:rsidRPr="001C45D7">
        <w:t xml:space="preserve"> </w:t>
      </w:r>
      <w:r w:rsidRPr="001C45D7">
        <w:t>and</w:t>
      </w:r>
      <w:r w:rsidR="00FA6558" w:rsidRPr="001C45D7">
        <w:t xml:space="preserve"> </w:t>
      </w:r>
      <w:r w:rsidRPr="001C45D7">
        <w:t>(2)</w:t>
      </w:r>
      <w:r w:rsidR="00FA6558" w:rsidRPr="001C45D7">
        <w:t xml:space="preserve"> </w:t>
      </w:r>
      <w:r w:rsidRPr="001C45D7">
        <w:t>periodic</w:t>
      </w:r>
      <w:r w:rsidR="00FA6558" w:rsidRPr="001C45D7">
        <w:t xml:space="preserve"> </w:t>
      </w:r>
      <w:r w:rsidRPr="001C45D7">
        <w:t>contract</w:t>
      </w:r>
      <w:r w:rsidR="00FA6558" w:rsidRPr="001C45D7">
        <w:t xml:space="preserve"> </w:t>
      </w:r>
      <w:r w:rsidRPr="001C45D7">
        <w:t>renegotiations</w:t>
      </w:r>
      <w:r w:rsidR="00FA6558" w:rsidRPr="001C45D7">
        <w:t xml:space="preserve"> </w:t>
      </w:r>
      <w:r w:rsidR="006E6802" w:rsidRPr="001C45D7">
        <w:fldChar w:fldCharType="begin" w:fldLock="1"/>
      </w:r>
      <w:r w:rsidR="00881C19" w:rsidRPr="001C45D7">
        <w:instrText>ADDIN CSL_CITATION {"citationItems":[{"id":"ITEM-1","itemData":{"author":[{"dropping-particle":"","family":"Artz","given":"Kendall W","non-dropping-particle":"","parse-names":false,"suffix":""},{"dropping-particle":"","family":"Brush","given":"Thomas H","non-dropping-particle":"","parse-names":false,"suffix":""}],"container-title":"Journal of Economic Behavior &amp; Organization","id":"ITEM-1","issue":"4","issued":{"date-parts":[["2000"]]},"page":"337-362","title":"Asset specificity, uncertainty and relational norms: an examination of coordination costs in collaborative strategic alliances","type":"article-journal","volume":"41"},"uris":["http://www.mendeley.com/documents/?uuid=96474597-8154-467e-84db-dd7566d76f27"]},{"id":"ITEM-2","itemData":{"DOI":"10.1287/orsc.14.1.45.12811","abstract":"Please scroll down for article-it is on subsequent pages With 12,500 members from nearly 90 countries, INFORMS is the largest international association of operations research (O.R.) and analytics professionals and students. INFORMS provides unique networking and learning opportunities for individual professionals, and organizations of all types and sizes, to better understand and use O.R. and analytics tools and methods to transform strategic visions and achieve better outcomes. For more information on INFORMS, its publications, membership, or meetings visit","author":[{"dropping-particle":"","family":"Carson","given":"Stephen J","non-dropping-particle":"","parse-names":false,"suffix":""},{"dropping-particle":"","family":"Madhok","given":"Anoop","non-dropping-particle":"","parse-names":false,"suffix":""},{"dropping-particle":"","family":"Varman","given":"Rohit","non-dropping-particle":"","parse-names":false,"suffix":""},{"dropping-particle":"","family":"John","given":"George","non-dropping-particle":"","parse-names":false,"suffix":""}],"container-title":"Organization Science","id":"ITEM-2","issue":"1","issued":{"date-parts":[["2003"]]},"page":"45-56","publisher":"Institute for Operations Research and Management Sciences","title":"Information Processing Moderators of the Effectiveness of Trust-Based Governance in Interfirm R&amp;D Collaboration","type":"article-journal","volume":"14"},"uris":["http://www.mendeley.com/documents/?uuid=efde160d-84a5-35b4-bc5a-b0f0408808f5"]}],"mendeley":{"formattedCitation":"(Artz and Brush, 2000; Carson &lt;i&gt;et al.&lt;/i&gt;, 2003)","plainTextFormattedCitation":"(Artz and Brush, 2000; Carson et al., 2003)","previouslyFormattedCitation":"(Artz and Brush, 2000; Carson &lt;i&gt;et al.&lt;/i&gt;, 2003)"},"properties":{"noteIndex":0},"schema":"https://github.com/citation-style-language/schema/raw/master/csl-citation.json"}</w:instrText>
      </w:r>
      <w:r w:rsidR="006E6802" w:rsidRPr="001C45D7">
        <w:fldChar w:fldCharType="separate"/>
      </w:r>
      <w:r w:rsidR="00881C19" w:rsidRPr="001C45D7">
        <w:rPr>
          <w:noProof/>
        </w:rPr>
        <w:t>(Artz</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Brush,</w:t>
      </w:r>
      <w:r w:rsidR="00FA6558" w:rsidRPr="001C45D7">
        <w:rPr>
          <w:noProof/>
        </w:rPr>
        <w:t xml:space="preserve"> </w:t>
      </w:r>
      <w:r w:rsidR="00881C19" w:rsidRPr="001C45D7">
        <w:rPr>
          <w:noProof/>
        </w:rPr>
        <w:t>2000;</w:t>
      </w:r>
      <w:r w:rsidR="00FA6558" w:rsidRPr="001C45D7">
        <w:rPr>
          <w:noProof/>
        </w:rPr>
        <w:t xml:space="preserve"> </w:t>
      </w:r>
      <w:r w:rsidR="00881C19" w:rsidRPr="001C45D7">
        <w:rPr>
          <w:noProof/>
        </w:rPr>
        <w:t>Carson</w:t>
      </w:r>
      <w:r w:rsidR="00FA6558" w:rsidRPr="001C45D7">
        <w:rPr>
          <w:noProof/>
        </w:rPr>
        <w:t xml:space="preserve"> </w:t>
      </w:r>
      <w:r w:rsidR="00881C19" w:rsidRPr="001C45D7">
        <w:rPr>
          <w:i/>
          <w:noProof/>
        </w:rPr>
        <w:t>et</w:t>
      </w:r>
      <w:r w:rsidR="00FA6558" w:rsidRPr="001C45D7">
        <w:rPr>
          <w:i/>
          <w:noProof/>
        </w:rPr>
        <w:t xml:space="preserve"> </w:t>
      </w:r>
      <w:r w:rsidR="00881C19" w:rsidRPr="001C45D7">
        <w:rPr>
          <w:i/>
          <w:noProof/>
        </w:rPr>
        <w:t>al.</w:t>
      </w:r>
      <w:r w:rsidR="00881C19" w:rsidRPr="001C45D7">
        <w:rPr>
          <w:noProof/>
        </w:rPr>
        <w:t>,</w:t>
      </w:r>
      <w:r w:rsidR="00FA6558" w:rsidRPr="001C45D7">
        <w:rPr>
          <w:noProof/>
        </w:rPr>
        <w:t xml:space="preserve"> </w:t>
      </w:r>
      <w:r w:rsidR="00881C19" w:rsidRPr="001C45D7">
        <w:rPr>
          <w:noProof/>
        </w:rPr>
        <w:t>2003)</w:t>
      </w:r>
      <w:r w:rsidR="006E6802" w:rsidRPr="001C45D7">
        <w:fldChar w:fldCharType="end"/>
      </w:r>
      <w:r w:rsidR="00693AEE" w:rsidRPr="001C45D7">
        <w:t>,</w:t>
      </w:r>
      <w:r w:rsidR="00FA6558" w:rsidRPr="001C45D7">
        <w:t xml:space="preserve"> </w:t>
      </w:r>
      <w:r w:rsidRPr="001C45D7">
        <w:t>greatly</w:t>
      </w:r>
      <w:r w:rsidR="00FA6558" w:rsidRPr="001C45D7">
        <w:t xml:space="preserve"> </w:t>
      </w:r>
      <w:r w:rsidRPr="001C45D7">
        <w:t>undermin</w:t>
      </w:r>
      <w:r w:rsidR="00693AEE" w:rsidRPr="001C45D7">
        <w:t>ing</w:t>
      </w:r>
      <w:r w:rsidR="00FA6558" w:rsidRPr="001C45D7">
        <w:t xml:space="preserve"> </w:t>
      </w:r>
      <w:r w:rsidRPr="001C45D7">
        <w:t>the</w:t>
      </w:r>
      <w:r w:rsidR="00FA6558" w:rsidRPr="001C45D7">
        <w:t xml:space="preserve"> </w:t>
      </w:r>
      <w:r w:rsidRPr="001C45D7">
        <w:t>effectiveness</w:t>
      </w:r>
      <w:r w:rsidR="00FA6558" w:rsidRPr="001C45D7">
        <w:t xml:space="preserve"> </w:t>
      </w:r>
      <w:r w:rsidRPr="001C45D7">
        <w:t>of</w:t>
      </w:r>
      <w:r w:rsidR="00FA6558" w:rsidRPr="001C45D7">
        <w:t xml:space="preserve"> </w:t>
      </w:r>
      <w:r w:rsidRPr="001C45D7">
        <w:t>contractual</w:t>
      </w:r>
      <w:r w:rsidR="00FA6558" w:rsidRPr="001C45D7">
        <w:t xml:space="preserve"> </w:t>
      </w:r>
      <w:r w:rsidRPr="001C45D7">
        <w:t>governance.</w:t>
      </w:r>
      <w:r w:rsidR="00FA6558" w:rsidRPr="001C45D7">
        <w:t xml:space="preserve"> </w:t>
      </w:r>
      <w:r w:rsidRPr="001C45D7">
        <w:t>Second,</w:t>
      </w:r>
      <w:r w:rsidR="00FA6558" w:rsidRPr="001C45D7">
        <w:t xml:space="preserve"> </w:t>
      </w:r>
      <w:r w:rsidRPr="001C45D7">
        <w:t>the</w:t>
      </w:r>
      <w:r w:rsidR="00FA6558" w:rsidRPr="001C45D7">
        <w:t xml:space="preserve"> </w:t>
      </w:r>
      <w:r w:rsidRPr="001C45D7">
        <w:t>efficacy</w:t>
      </w:r>
      <w:r w:rsidR="00FA6558" w:rsidRPr="001C45D7">
        <w:t xml:space="preserve"> </w:t>
      </w:r>
      <w:r w:rsidRPr="001C45D7">
        <w:t>of</w:t>
      </w:r>
      <w:r w:rsidR="00FA6558" w:rsidRPr="001C45D7">
        <w:t xml:space="preserve"> </w:t>
      </w:r>
      <w:r w:rsidRPr="001C45D7">
        <w:t>contractual</w:t>
      </w:r>
      <w:r w:rsidR="00FA6558" w:rsidRPr="001C45D7">
        <w:t xml:space="preserve"> </w:t>
      </w:r>
      <w:r w:rsidRPr="001C45D7">
        <w:t>governance</w:t>
      </w:r>
      <w:r w:rsidR="00FA6558" w:rsidRPr="001C45D7">
        <w:t xml:space="preserve"> </w:t>
      </w:r>
      <w:r w:rsidRPr="001C45D7">
        <w:t>in</w:t>
      </w:r>
      <w:r w:rsidR="00FA6558" w:rsidRPr="001C45D7">
        <w:t xml:space="preserve"> </w:t>
      </w:r>
      <w:r w:rsidRPr="001C45D7">
        <w:t>opportunism</w:t>
      </w:r>
      <w:r w:rsidR="00FA6558" w:rsidRPr="001C45D7">
        <w:t xml:space="preserve"> </w:t>
      </w:r>
      <w:r w:rsidRPr="001C45D7">
        <w:t>mitigation</w:t>
      </w:r>
      <w:r w:rsidR="00FA6558" w:rsidRPr="001C45D7">
        <w:t xml:space="preserve"> </w:t>
      </w:r>
      <w:r w:rsidRPr="001C45D7">
        <w:t>requires</w:t>
      </w:r>
      <w:r w:rsidR="00FA6558" w:rsidRPr="001C45D7">
        <w:t xml:space="preserve"> </w:t>
      </w:r>
      <w:r w:rsidRPr="001C45D7">
        <w:t>significant</w:t>
      </w:r>
      <w:r w:rsidR="00FA6558" w:rsidRPr="001C45D7">
        <w:t xml:space="preserve"> </w:t>
      </w:r>
      <w:r w:rsidRPr="001C45D7">
        <w:t>resources,</w:t>
      </w:r>
      <w:r w:rsidR="00FA6558" w:rsidRPr="001C45D7">
        <w:t xml:space="preserve"> </w:t>
      </w:r>
      <w:r w:rsidRPr="001C45D7">
        <w:t>since</w:t>
      </w:r>
      <w:r w:rsidR="00FA6558" w:rsidRPr="001C45D7">
        <w:t xml:space="preserve"> </w:t>
      </w:r>
      <w:r w:rsidRPr="001C45D7">
        <w:t>it</w:t>
      </w:r>
      <w:r w:rsidR="00FA6558" w:rsidRPr="001C45D7">
        <w:t xml:space="preserve"> </w:t>
      </w:r>
      <w:r w:rsidR="00382AFB" w:rsidRPr="001C45D7">
        <w:t xml:space="preserve">necessitates </w:t>
      </w:r>
      <w:r w:rsidRPr="001C45D7">
        <w:t>constant</w:t>
      </w:r>
      <w:r w:rsidR="00FA6558" w:rsidRPr="001C45D7">
        <w:t xml:space="preserve"> </w:t>
      </w:r>
      <w:r w:rsidRPr="001C45D7">
        <w:t>monitoring</w:t>
      </w:r>
      <w:r w:rsidR="00FA6558" w:rsidRPr="001C45D7">
        <w:t xml:space="preserve"> </w:t>
      </w:r>
      <w:r w:rsidRPr="001C45D7">
        <w:t>and</w:t>
      </w:r>
      <w:r w:rsidR="00FA6558" w:rsidRPr="001C45D7">
        <w:t xml:space="preserve"> </w:t>
      </w:r>
      <w:r w:rsidRPr="001C45D7">
        <w:t>enforcement</w:t>
      </w:r>
      <w:r w:rsidR="00FA6558" w:rsidRPr="001C45D7">
        <w:t xml:space="preserve"> </w:t>
      </w:r>
      <w:r w:rsidRPr="001C45D7">
        <w:t>when</w:t>
      </w:r>
      <w:r w:rsidR="00FA6558" w:rsidRPr="001C45D7">
        <w:t xml:space="preserve"> </w:t>
      </w:r>
      <w:r w:rsidR="00422C95" w:rsidRPr="001C45D7">
        <w:t xml:space="preserve">a </w:t>
      </w:r>
      <w:r w:rsidRPr="001C45D7">
        <w:t>breach</w:t>
      </w:r>
      <w:r w:rsidR="00FA6558" w:rsidRPr="001C45D7">
        <w:t xml:space="preserve"> </w:t>
      </w:r>
      <w:r w:rsidRPr="001C45D7">
        <w:t>occurs</w:t>
      </w:r>
      <w:r w:rsidR="00FA6558" w:rsidRPr="001C45D7">
        <w:t xml:space="preserve"> </w:t>
      </w:r>
      <w:r w:rsidR="003563E7" w:rsidRPr="001C45D7">
        <w:fldChar w:fldCharType="begin" w:fldLock="1"/>
      </w:r>
      <w:r w:rsidR="004A2B48" w:rsidRPr="001C45D7">
        <w:instrText>ADDIN CSL_CITATION {"citationItems":[{"id":"ITEM-1","itemData":{"DOI":"10.1016/j.jbusvent.2005.02.003","ISSN":"08839026","abstract":"SME leaders with R&amp;D alliances face significant challenges in balancing the need for resource acquisition in the innovation process and the potential for opportunistic behavior by alliance partners. This study, utilizing a sample of 456 SMEs from eight countries, examines how the resource capacity of the SME and the institutional environment are related to the perceptions that owners and managers have about the opportunistic behavior of alliance partners. The results suggest that firm size moderates the relationship between the technological munificence and the predominant culture of the domestic market of the SME and concerns about the opportunistic behavior of an SME alliance partner. © 2005 Elsevier Inc. All rights reserved.","author":[{"dropping-particle":"","family":"Dickson","given":"Pat H.","non-dropping-particle":"","parse-names":false,"suffix":""},{"dropping-particle":"","family":"Weaver","given":"K. Mark","non-dropping-particle":"","parse-names":false,"suffix":""},{"dropping-particle":"","family":"Hoy","given":"Frank","non-dropping-particle":"","parse-names":false,"suffix":""}],"container-title":"Journal of Business Venturing","id":"ITEM-1","issue":"4","issued":{"date-parts":[["2006","7","1"]]},"page":"487-513","publisher":"Elsevier","title":"Opportunism in the R&amp;D alliances of SMES: The roles of the institutional environment and SME size","type":"article-journal","volume":"21"},"uris":["http://www.mendeley.com/documents/?uuid=b56281e2-d479-346d-8153-acd0cf4d6021"]},{"id":"ITEM-2","itemData":{"DOI":"10.1016/0048-7333(86)90027-2","ISSN":"00487333","abstract":"This paper attempts to explain why innovating firms often fail to obtain significant economic returns from an innovation, while customers, imitators and other industry participants benefit Business strategy - particularly as it relates to the firm's decision to integrate and collaborate - is shown to be an important factor. The paper demonstrates that when imitation is easy, markets don't work well, and the profits from innovation may accrue to the owners of certain complementary assets, rather than to the developers of the intellectual property. This speaks to the need, in certain cases, for the innovating firm to establish a prior position in these complementary assets. The paper also indicates that innovators with new products and processes which provide value to consumers may sometimes be so ill positioned in the market that they necessarily will fail. The analysis provides a theoretical foundation for the proposition that manufacturing often matters, particularly to innovating nations. Innovating firms without the requisite manufacturing and related capacities may die, even though they are the best at innovation. Implications for trade policy and domestic economic policy are examined. © 1986.","author":[{"dropping-particle":"","family":"Teece","given":"David J.","non-dropping-particle":"","parse-names":false,"suffix":""}],"container-title":"Research Policy","id":"ITEM-2","issue":"6","issued":{"date-parts":[["1986","12","1"]]},"page":"285-305","publisher":"North-Holland","title":"Profiting from technological innovation: Implications for integration, collaboration, licensing and public policy","type":"article-journal","volume":"15"},"uris":["http://www.mendeley.com/documents/?uuid=ce26624c-3f55-3d42-b3ff-42f6ebd084b6"]}],"mendeley":{"formattedCitation":"(Dickson &lt;i&gt;et al.&lt;/i&gt;, 2006; Teece, 1986)","manualFormatting":"(Teece, 1986; Dickson et al., 2006)","plainTextFormattedCitation":"(Dickson et al., 2006; Teece, 1986)","previouslyFormattedCitation":"(Dickson &lt;i&gt;et al.&lt;/i&gt;, 2006; Teece, 1986)"},"properties":{"noteIndex":0},"schema":"https://github.com/citation-style-language/schema/raw/master/csl-citation.json"}</w:instrText>
      </w:r>
      <w:r w:rsidR="003563E7" w:rsidRPr="001C45D7">
        <w:fldChar w:fldCharType="separate"/>
      </w:r>
      <w:r w:rsidR="00881C19" w:rsidRPr="001C45D7">
        <w:rPr>
          <w:noProof/>
        </w:rPr>
        <w:t>(Teece,</w:t>
      </w:r>
      <w:r w:rsidR="00FA6558" w:rsidRPr="001C45D7">
        <w:rPr>
          <w:noProof/>
        </w:rPr>
        <w:t xml:space="preserve"> </w:t>
      </w:r>
      <w:r w:rsidR="00881C19" w:rsidRPr="001C45D7">
        <w:rPr>
          <w:noProof/>
        </w:rPr>
        <w:t>1986)</w:t>
      </w:r>
      <w:r w:rsidR="003563E7" w:rsidRPr="001C45D7">
        <w:fldChar w:fldCharType="end"/>
      </w:r>
      <w:r w:rsidRPr="001C45D7">
        <w:t>.</w:t>
      </w:r>
    </w:p>
    <w:p w14:paraId="0FC00340" w14:textId="7BD57394" w:rsidR="000F2E33" w:rsidRPr="001C45D7" w:rsidRDefault="00C723B6" w:rsidP="00566B02">
      <w:pPr>
        <w:pStyle w:val="BodyText"/>
      </w:pPr>
      <w:r w:rsidRPr="001C45D7">
        <w:t>As</w:t>
      </w:r>
      <w:r w:rsidR="00FA6558" w:rsidRPr="001C45D7">
        <w:t xml:space="preserve"> </w:t>
      </w:r>
      <w:r w:rsidRPr="001C45D7">
        <w:t>transaction</w:t>
      </w:r>
      <w:r w:rsidR="00FA6558" w:rsidRPr="001C45D7">
        <w:t xml:space="preserve"> </w:t>
      </w:r>
      <w:r w:rsidRPr="001C45D7">
        <w:t>cost</w:t>
      </w:r>
      <w:r w:rsidR="00FA6558" w:rsidRPr="001C45D7">
        <w:t xml:space="preserve"> </w:t>
      </w:r>
      <w:r w:rsidRPr="001C45D7">
        <w:t>economics</w:t>
      </w:r>
      <w:r w:rsidR="00FA6558" w:rsidRPr="001C45D7">
        <w:t xml:space="preserve"> </w:t>
      </w:r>
      <w:r w:rsidRPr="001C45D7">
        <w:t>scholars</w:t>
      </w:r>
      <w:r w:rsidR="00FA6558" w:rsidRPr="001C45D7">
        <w:t xml:space="preserve"> </w:t>
      </w:r>
      <w:r w:rsidRPr="001C45D7">
        <w:t>have</w:t>
      </w:r>
      <w:r w:rsidR="00FA6558" w:rsidRPr="001C45D7">
        <w:t xml:space="preserve"> </w:t>
      </w:r>
      <w:r w:rsidRPr="001C45D7">
        <w:t>acknowledged</w:t>
      </w:r>
      <w:r w:rsidR="00422C95" w:rsidRPr="001C45D7">
        <w:t>,</w:t>
      </w:r>
      <w:r w:rsidR="00FA6558" w:rsidRPr="001C45D7">
        <w:t xml:space="preserve"> </w:t>
      </w:r>
      <w:r w:rsidRPr="001C45D7">
        <w:t>formal</w:t>
      </w:r>
      <w:r w:rsidR="00FA6558" w:rsidRPr="001C45D7">
        <w:t xml:space="preserve"> </w:t>
      </w:r>
      <w:r w:rsidRPr="001C45D7">
        <w:t>contract</w:t>
      </w:r>
      <w:r w:rsidR="00422C95" w:rsidRPr="001C45D7">
        <w:t>s</w:t>
      </w:r>
      <w:r w:rsidR="00FA6558" w:rsidRPr="001C45D7">
        <w:t xml:space="preserve"> </w:t>
      </w:r>
      <w:r w:rsidR="00422C95" w:rsidRPr="001C45D7">
        <w:t xml:space="preserve">are </w:t>
      </w:r>
      <w:r w:rsidRPr="001C45D7">
        <w:t>not</w:t>
      </w:r>
      <w:r w:rsidR="00FA6558" w:rsidRPr="001C45D7">
        <w:t xml:space="preserve"> </w:t>
      </w:r>
      <w:r w:rsidRPr="001C45D7">
        <w:t>the</w:t>
      </w:r>
      <w:r w:rsidR="00FA6558" w:rsidRPr="001C45D7">
        <w:t xml:space="preserve"> </w:t>
      </w:r>
      <w:r w:rsidRPr="001C45D7">
        <w:t>only</w:t>
      </w:r>
      <w:r w:rsidR="00FA6558" w:rsidRPr="001C45D7">
        <w:t xml:space="preserve"> </w:t>
      </w:r>
      <w:r w:rsidRPr="001C45D7">
        <w:t>opportunism</w:t>
      </w:r>
      <w:r w:rsidR="00FA6558" w:rsidRPr="001C45D7">
        <w:t xml:space="preserve"> </w:t>
      </w:r>
      <w:r w:rsidRPr="001C45D7">
        <w:t>mitigation</w:t>
      </w:r>
      <w:r w:rsidR="00FA6558" w:rsidRPr="001C45D7">
        <w:t xml:space="preserve"> </w:t>
      </w:r>
      <w:r w:rsidRPr="001C45D7">
        <w:t>mechanism</w:t>
      </w:r>
      <w:r w:rsidR="00FA6558" w:rsidRPr="001C45D7">
        <w:t xml:space="preserve"> </w:t>
      </w:r>
      <w:r w:rsidRPr="001C45D7">
        <w:t>available</w:t>
      </w:r>
      <w:r w:rsidR="00FA6558" w:rsidRPr="001C45D7">
        <w:t xml:space="preserve"> </w:t>
      </w:r>
      <w:r w:rsidR="007079E7" w:rsidRPr="001C45D7">
        <w:t xml:space="preserve">to </w:t>
      </w:r>
      <w:r w:rsidRPr="001C45D7">
        <w:t>firms</w:t>
      </w:r>
      <w:r w:rsidR="00FA6558" w:rsidRPr="001C45D7">
        <w:t xml:space="preserve"> </w:t>
      </w:r>
      <w:r w:rsidR="003563E7" w:rsidRPr="001C45D7">
        <w:fldChar w:fldCharType="begin" w:fldLock="1"/>
      </w:r>
      <w:r w:rsidR="004919F0" w:rsidRPr="001C45D7">
        <w:instrText>ADDIN CSL_CITATION {"citationItems":[{"id":"ITEM-1","itemData":{"DOI":"10.5465/AMR.1998.1255632","ISSN":"03637425","abstract":"In this article we offer a view that suggests that a firm's critical resources may span firm boundaries and may be embedded in interfirm resources and routines. We argue that an increasingly important unit of analysis for understanding competitive advantage is the relationship between firms and identify four potential sources of interorganizational competitive advantage: (1) relation-specific assets, (2) knowledge-sharing routines, (3) complementary resources/capabilities, and (4) effective governance. We examine each of these potential sources of rent in detail, identifying key subprocesses, and also discuss the isolating mechanisms that serve to preserve relational rents. Finally, we discuss how the relational view may offer normative prescriptions for firm-level strategies that contradict the prescriptions offered by those with a resource-based view or industry structure view.","author":[{"dropping-particle":"","family":"Dyer","given":"Jeffrey H.","non-dropping-particle":"","parse-names":false,"suffix":""},{"dropping-particle":"","family":"Singh","given":"Harbir","non-dropping-particle":"","parse-names":false,"suffix":""}],"container-title":"Academy of Management Review","id":"ITEM-1","issue":"4","issued":{"date-parts":[["1998"]]},"page":"660-679","publisher":"Academy of Management","title":"The relational view: Cooperative strategy and sources of interorganizational competitive advantage","type":"article-journal","volume":"23"},"uris":["http://www.mendeley.com/documents/?uuid=f7511323-442d-3c4a-98ed-518b501d1d4d"]},{"id":"ITEM-2","itemData":{"DOI":"10.1002/smj.249","ISSN":"01432095","abstract":"Relational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Journal","id":"ITEM-2","issue":"8","issued":{"date-parts":[["2002","8"]]},"page":"707-725","title":"Do formal contracts and relational governance function as substitutes or complements?","type":"article-journal","volume":"23"},"uris":["http://www.mendeley.com/documents/?uuid=0f5b4bc5-de16-3976-800b-d5afcee477cc"]}],"mendeley":{"formattedCitation":"(Dyer and Singh, 1998; Poppo and Zenger, 2002)","plainTextFormattedCitation":"(Dyer and Singh, 1998; Poppo and Zenger, 2002)","previouslyFormattedCitation":"(Dyer and Singh, 1998; Poppo and Zenger, 2002)"},"properties":{"noteIndex":0},"schema":"https://github.com/citation-style-language/schema/raw/master/csl-citation.json"}</w:instrText>
      </w:r>
      <w:r w:rsidR="003563E7" w:rsidRPr="001C45D7">
        <w:fldChar w:fldCharType="separate"/>
      </w:r>
      <w:r w:rsidR="003563E7" w:rsidRPr="001C45D7">
        <w:rPr>
          <w:noProof/>
        </w:rPr>
        <w:t>(Dyer</w:t>
      </w:r>
      <w:r w:rsidR="00FA6558" w:rsidRPr="001C45D7">
        <w:rPr>
          <w:noProof/>
        </w:rPr>
        <w:t xml:space="preserve"> </w:t>
      </w:r>
      <w:r w:rsidR="003563E7" w:rsidRPr="001C45D7">
        <w:rPr>
          <w:noProof/>
        </w:rPr>
        <w:t>and</w:t>
      </w:r>
      <w:r w:rsidR="00FA6558" w:rsidRPr="001C45D7">
        <w:rPr>
          <w:noProof/>
        </w:rPr>
        <w:t xml:space="preserve"> </w:t>
      </w:r>
      <w:r w:rsidR="003563E7" w:rsidRPr="001C45D7">
        <w:rPr>
          <w:noProof/>
        </w:rPr>
        <w:t>Singh,</w:t>
      </w:r>
      <w:r w:rsidR="00FA6558" w:rsidRPr="001C45D7">
        <w:rPr>
          <w:noProof/>
        </w:rPr>
        <w:t xml:space="preserve"> </w:t>
      </w:r>
      <w:r w:rsidR="003563E7" w:rsidRPr="001C45D7">
        <w:rPr>
          <w:noProof/>
        </w:rPr>
        <w:t>1998;</w:t>
      </w:r>
      <w:r w:rsidR="00FA6558" w:rsidRPr="001C45D7">
        <w:rPr>
          <w:noProof/>
        </w:rPr>
        <w:t xml:space="preserve"> </w:t>
      </w:r>
      <w:r w:rsidR="003563E7" w:rsidRPr="001C45D7">
        <w:rPr>
          <w:noProof/>
        </w:rPr>
        <w:t>Poppo</w:t>
      </w:r>
      <w:r w:rsidR="00FA6558" w:rsidRPr="001C45D7">
        <w:rPr>
          <w:noProof/>
        </w:rPr>
        <w:t xml:space="preserve"> </w:t>
      </w:r>
      <w:r w:rsidR="003563E7" w:rsidRPr="001C45D7">
        <w:rPr>
          <w:noProof/>
        </w:rPr>
        <w:t>and</w:t>
      </w:r>
      <w:r w:rsidR="00FA6558" w:rsidRPr="001C45D7">
        <w:rPr>
          <w:noProof/>
        </w:rPr>
        <w:t xml:space="preserve"> </w:t>
      </w:r>
      <w:r w:rsidR="003563E7" w:rsidRPr="001C45D7">
        <w:rPr>
          <w:noProof/>
        </w:rPr>
        <w:t>Zenger,</w:t>
      </w:r>
      <w:r w:rsidR="00FA6558" w:rsidRPr="001C45D7">
        <w:rPr>
          <w:noProof/>
        </w:rPr>
        <w:t xml:space="preserve"> </w:t>
      </w:r>
      <w:r w:rsidR="003563E7" w:rsidRPr="001C45D7">
        <w:rPr>
          <w:noProof/>
        </w:rPr>
        <w:t>2002)</w:t>
      </w:r>
      <w:r w:rsidR="003563E7" w:rsidRPr="001C45D7">
        <w:fldChar w:fldCharType="end"/>
      </w:r>
      <w:r w:rsidRPr="001C45D7">
        <w:t>.</w:t>
      </w:r>
      <w:r w:rsidR="00FA6558" w:rsidRPr="001C45D7">
        <w:t xml:space="preserve"> </w:t>
      </w:r>
      <w:r w:rsidRPr="001C45D7">
        <w:t>Another</w:t>
      </w:r>
      <w:r w:rsidR="00FA6558" w:rsidRPr="001C45D7">
        <w:t xml:space="preserve"> </w:t>
      </w:r>
      <w:r w:rsidRPr="001C45D7">
        <w:t>opportunism</w:t>
      </w:r>
      <w:r w:rsidR="00FA6558" w:rsidRPr="001C45D7">
        <w:t xml:space="preserve"> </w:t>
      </w:r>
      <w:r w:rsidRPr="001C45D7">
        <w:t>mitigation</w:t>
      </w:r>
      <w:r w:rsidR="00FA6558" w:rsidRPr="001C45D7">
        <w:t xml:space="preserve"> </w:t>
      </w:r>
      <w:r w:rsidRPr="001C45D7">
        <w:t>mechanism</w:t>
      </w:r>
      <w:r w:rsidR="00FA6558" w:rsidRPr="001C45D7">
        <w:t xml:space="preserve"> </w:t>
      </w:r>
      <w:r w:rsidR="007E3D0F" w:rsidRPr="001C45D7">
        <w:t xml:space="preserve">– relational governance – </w:t>
      </w:r>
      <w:r w:rsidRPr="001C45D7">
        <w:t>relies</w:t>
      </w:r>
      <w:r w:rsidR="00FA6558" w:rsidRPr="001C45D7">
        <w:t xml:space="preserve"> </w:t>
      </w:r>
      <w:r w:rsidR="004C74A1" w:rsidRPr="001C45D7">
        <w:t>on</w:t>
      </w:r>
      <w:r w:rsidR="00FA6558" w:rsidRPr="001C45D7">
        <w:t xml:space="preserve"> </w:t>
      </w:r>
      <w:r w:rsidR="004C74A1" w:rsidRPr="001C45D7">
        <w:t>social</w:t>
      </w:r>
      <w:r w:rsidR="00FA6558" w:rsidRPr="001C45D7">
        <w:t xml:space="preserve"> </w:t>
      </w:r>
      <w:r w:rsidRPr="001C45D7">
        <w:t>ties</w:t>
      </w:r>
      <w:r w:rsidR="00FA6558" w:rsidRPr="001C45D7">
        <w:t xml:space="preserve"> </w:t>
      </w:r>
      <w:r w:rsidR="004919F0" w:rsidRPr="001C45D7">
        <w:fldChar w:fldCharType="begin" w:fldLock="1"/>
      </w:r>
      <w:r w:rsidR="00433778" w:rsidRPr="001C45D7">
        <w:instrText>ADDIN CSL_CITATION {"citationItems":[{"id":"ITEM-1","itemData":{"DOI":"10.1016/j.jom.2012.03.005","ISSN":"02726963","abstract":"This paper theoretically refines and empirically extends the debate on the type of interplay between relational experience and contractual governance in an under-researched area: supply chain disputes. We define relational experience as either cooperative or competitive; distinguish between control and coordination functions of contractual governance; and assess their interplay on the negotiation strategy used in disputes. Using a unique data set of buyer-supplier disputes, we find, in particular that increasing contractual control governance weakens the positive effect of cooperative relational experience on cooperative negotiation strategy. However, increasing contractual control governance for a buyer-supplier dyad with competitive relational experience will increase cooperative negotiation strategy. Contractual coordination governance reinforces the positive effect of cooperative relational experience. Through this study, we reach a better understanding of how and when contractual and relational governance dimensions interact; rather than whether they act as substitutes or complements as has been studied in prior research. We discuss the implications of these findings for the field of supply chain management. © 2012 Elsevier B.V. All rights reserved.","author":[{"dropping-particle":"","family":"Lumineau","given":"Fabrice","non-dropping-particle":"","parse-names":false,"suffix":""},{"dropping-particle":"","family":"Henderson","given":"James E.","non-dropping-particle":"","parse-names":false,"suffix":""}],"container-title":"Journal of Operations Management","id":"ITEM-1","issue":"5","issued":{"date-parts":[["2012","7"]]},"page":"382-395","title":"The influence of relational experience and contractual governance on the negotiation strategy in buyer-supplier disputes","type":"article-journal","volume":"30"},"uris":["http://www.mendeley.com/documents/?uuid=e73b9f24-77c1-3a43-a413-26166676ef38"]},{"id":"ITEM-2","itemData":{"DOI":"10.1287/orsc.1070.0281","ISSN":"10477039","abstract":"Despite the widespread acceptance of trust as an informal governance institution, our understanding of its origins is nascent. Our review of the literature identified two distinct explanations: Trust emerges from either a shadow of the past (i.e., prior history) or a shadow of the future (i.e., expectations of continuity). In this paper we develop and empirically examine a third perspective: The potential interdependence of these two explanations. Our results strongly endorse this third perspective. We find that prior history does not directly affect trust; instead, the observed positive relationship between the two is mediated by expectations of continuity. Consistent with this result, analyses further show that a longer prior history makes the effect of continuity on trust much stronger than a shorter prior history. We interpret these findings as suggesting: (1) the criticality and centrality of a shadow of the future (i.e., a forward-looking calculus) in generating trust in interorganizational exchanges and (2) that a shadow of the past plays a facilitating, albeit indirect, role in trust building. Our conceptual model also extends the conventional use of the transaction cost logic to show how reciprocal investments in asset specificity and uncertainty drive expectations of continuity, and consequently, interorganizational trust. Our results also show, unexpectedly, that prior history has a direct negative effect on trust after specifying the mediating path of continuity. Our moderation analysis indicates when this effect occurs: When weak expectations of continuity exist, trust is lower for exchanges characterized by a longer prior history, suggesting a potential darkside of overembedded ties. © 2008 INFORMS.","author":[{"dropping-particle":"","family":"Poppo","given":"Laura","non-dropping-particle":"","parse-names":false,"suffix":""},{"dropping-particle":"","family":"Zhou","given":"Kevin Zheng","non-dropping-particle":"","parse-names":false,"suffix":""},{"dropping-particle":"","family":"Ryu","given":"Sungmin","non-dropping-particle":"","parse-names":false,"suffix":""}],"container-title":"Organization Science","id":"ITEM-2","issue":"1","issued":{"date-parts":[["2008","1","1"]]},"page":"39-55","publisher":" INFORMS ","title":"Alternative origins to interorganizational trust: An interdependence perspective on the shadow of the past and the shadow of the future","type":"article-journal","volume":"19"},"uris":["http://www.mendeley.com/documents/?uuid=01fb0ea9-40d5-3dff-aafd-9cf9f0dd5d1e"]}],"mendeley":{"formattedCitation":"(Lumineau and Henderson, 2012; Poppo &lt;i&gt;et al.&lt;/i&gt;, 2008)","manualFormatting":"(Poppo et al., 2008; Lumineau and Henderson, 2012)","plainTextFormattedCitation":"(Lumineau and Henderson, 2012; Poppo et al., 2008)","previouslyFormattedCitation":"(Lumineau and Henderson, 2012; Poppo &lt;i&gt;et al.&lt;/i&gt;, 2008)"},"properties":{"noteIndex":0},"schema":"https://github.com/citation-style-language/schema/raw/master/csl-citation.json"}</w:instrText>
      </w:r>
      <w:r w:rsidR="004919F0" w:rsidRPr="001C45D7">
        <w:fldChar w:fldCharType="separate"/>
      </w:r>
      <w:r w:rsidR="00881C19" w:rsidRPr="001C45D7">
        <w:rPr>
          <w:noProof/>
        </w:rPr>
        <w:t>(Lumineau</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Henderson,</w:t>
      </w:r>
      <w:r w:rsidR="00FA6558" w:rsidRPr="001C45D7">
        <w:rPr>
          <w:noProof/>
        </w:rPr>
        <w:t xml:space="preserve"> </w:t>
      </w:r>
      <w:r w:rsidR="00881C19" w:rsidRPr="001C45D7">
        <w:rPr>
          <w:noProof/>
        </w:rPr>
        <w:t>2012)</w:t>
      </w:r>
      <w:r w:rsidR="004919F0" w:rsidRPr="001C45D7">
        <w:fldChar w:fldCharType="end"/>
      </w:r>
      <w:r w:rsidRPr="001C45D7">
        <w:t>.</w:t>
      </w:r>
      <w:r w:rsidR="00FA6558" w:rsidRPr="001C45D7">
        <w:t xml:space="preserve"> </w:t>
      </w:r>
      <w:r w:rsidRPr="001C45D7">
        <w:t>Relational</w:t>
      </w:r>
      <w:r w:rsidR="00FA6558" w:rsidRPr="001C45D7">
        <w:t xml:space="preserve"> </w:t>
      </w:r>
      <w:r w:rsidRPr="001C45D7">
        <w:t>governance</w:t>
      </w:r>
      <w:r w:rsidR="00FA6558" w:rsidRPr="001C45D7">
        <w:t xml:space="preserve"> </w:t>
      </w:r>
      <w:r w:rsidRPr="001C45D7">
        <w:t>is</w:t>
      </w:r>
      <w:r w:rsidR="00FA6558" w:rsidRPr="001C45D7">
        <w:t xml:space="preserve"> </w:t>
      </w:r>
      <w:r w:rsidRPr="001C45D7">
        <w:t>based</w:t>
      </w:r>
      <w:r w:rsidR="00FA6558" w:rsidRPr="001C45D7">
        <w:t xml:space="preserve"> </w:t>
      </w:r>
      <w:r w:rsidRPr="001C45D7">
        <w:t>on</w:t>
      </w:r>
      <w:r w:rsidR="00FA6558" w:rsidRPr="001C45D7">
        <w:t xml:space="preserve"> </w:t>
      </w:r>
      <w:r w:rsidRPr="001C45D7">
        <w:t>the</w:t>
      </w:r>
      <w:r w:rsidR="00FA6558" w:rsidRPr="001C45D7">
        <w:t xml:space="preserve"> </w:t>
      </w:r>
      <w:r w:rsidRPr="001C45D7">
        <w:t>notion</w:t>
      </w:r>
      <w:r w:rsidR="00FA6558" w:rsidRPr="001C45D7">
        <w:t xml:space="preserve"> </w:t>
      </w:r>
      <w:r w:rsidRPr="001C45D7">
        <w:t>that</w:t>
      </w:r>
      <w:r w:rsidR="00FA6558" w:rsidRPr="001C45D7">
        <w:t xml:space="preserve"> </w:t>
      </w:r>
      <w:r w:rsidRPr="001C45D7">
        <w:t>economic</w:t>
      </w:r>
      <w:r w:rsidR="00FA6558" w:rsidRPr="001C45D7">
        <w:t xml:space="preserve"> </w:t>
      </w:r>
      <w:r w:rsidRPr="001C45D7">
        <w:t>exchanges</w:t>
      </w:r>
      <w:r w:rsidR="00FA6558" w:rsidRPr="001C45D7">
        <w:t xml:space="preserve"> </w:t>
      </w:r>
      <w:r w:rsidRPr="001C45D7">
        <w:t>are</w:t>
      </w:r>
      <w:r w:rsidR="00FA6558" w:rsidRPr="001C45D7">
        <w:t xml:space="preserve"> </w:t>
      </w:r>
      <w:r w:rsidRPr="001C45D7">
        <w:lastRenderedPageBreak/>
        <w:t>embedded</w:t>
      </w:r>
      <w:r w:rsidR="00FA6558" w:rsidRPr="001C45D7">
        <w:t xml:space="preserve"> </w:t>
      </w:r>
      <w:r w:rsidRPr="001C45D7">
        <w:t>in</w:t>
      </w:r>
      <w:r w:rsidR="00FA6558" w:rsidRPr="001C45D7">
        <w:t xml:space="preserve"> </w:t>
      </w:r>
      <w:r w:rsidRPr="001C45D7">
        <w:t>social</w:t>
      </w:r>
      <w:r w:rsidR="00FA6558" w:rsidRPr="001C45D7">
        <w:t xml:space="preserve"> </w:t>
      </w:r>
      <w:r w:rsidRPr="001C45D7">
        <w:t>ties</w:t>
      </w:r>
      <w:r w:rsidR="00FA6558" w:rsidRPr="001C45D7">
        <w:t xml:space="preserve"> </w:t>
      </w:r>
      <w:r w:rsidR="004919F0" w:rsidRPr="001C45D7">
        <w:fldChar w:fldCharType="begin" w:fldLock="1"/>
      </w:r>
      <w:r w:rsidR="004919F0" w:rsidRPr="001C45D7">
        <w:instrText>ADDIN CSL_CITATION {"citationItems":[{"id":"ITEM-1","itemData":{"DOI":"10.1111/j.1467-6486.1996.tb00163.x","ISSN":"00222380","abstract":"This paper is concerned with exploring the degree to which industry structure determines firm performance. Most of the business policy literature follows Porter in arguing that industry structure has an important influence on firm level profit rates. The arguments contained in this paper take a counter position. It is argued that a plausible alternative to the hypothesis that industry structure matters is the hypothesis that (holding demand constant) individual firm differences are the most important determinant of firm profitability.","author":[{"dropping-particle":"","family":"Hill","given":"Charles W.L.","non-dropping-particle":"","parse-names":false,"suffix":""},{"dropping-particle":"","family":"Deeds","given":"David L.","non-dropping-particle":"","parse-names":false,"suffix":""}],"container-title":"Journal of Management Studies","id":"ITEM-1","issue":"4","issued":{"date-parts":[["1996"]]},"page":"429-451","publisher":"Blackwell Publishing Ltd","title":"The importance of industry structure for the determination of firm profitability: A neo-Austrian perspective","type":"article-journal","volume":"33"},"uris":["http://www.mendeley.com/documents/?uuid=f2a238b3-cd1d-3ca9-82d2-cfaec7cba052"]}],"mendeley":{"formattedCitation":"(Hill and Deeds, 1996)","plainTextFormattedCitation":"(Hill and Deeds, 1996)","previouslyFormattedCitation":"(Hill and Deeds, 1996)"},"properties":{"noteIndex":0},"schema":"https://github.com/citation-style-language/schema/raw/master/csl-citation.json"}</w:instrText>
      </w:r>
      <w:r w:rsidR="004919F0" w:rsidRPr="001C45D7">
        <w:fldChar w:fldCharType="separate"/>
      </w:r>
      <w:r w:rsidR="004919F0" w:rsidRPr="001C45D7">
        <w:rPr>
          <w:noProof/>
        </w:rPr>
        <w:t>(Hill</w:t>
      </w:r>
      <w:r w:rsidR="00FA6558" w:rsidRPr="001C45D7">
        <w:rPr>
          <w:noProof/>
        </w:rPr>
        <w:t xml:space="preserve"> </w:t>
      </w:r>
      <w:r w:rsidR="004919F0" w:rsidRPr="001C45D7">
        <w:rPr>
          <w:noProof/>
        </w:rPr>
        <w:t>and</w:t>
      </w:r>
      <w:r w:rsidR="00FA6558" w:rsidRPr="001C45D7">
        <w:rPr>
          <w:noProof/>
        </w:rPr>
        <w:t xml:space="preserve"> </w:t>
      </w:r>
      <w:r w:rsidR="004919F0" w:rsidRPr="001C45D7">
        <w:rPr>
          <w:noProof/>
        </w:rPr>
        <w:t>Deeds,</w:t>
      </w:r>
      <w:r w:rsidR="00FA6558" w:rsidRPr="001C45D7">
        <w:rPr>
          <w:noProof/>
        </w:rPr>
        <w:t xml:space="preserve"> </w:t>
      </w:r>
      <w:r w:rsidR="004919F0" w:rsidRPr="001C45D7">
        <w:rPr>
          <w:noProof/>
        </w:rPr>
        <w:t>1996)</w:t>
      </w:r>
      <w:r w:rsidR="004919F0" w:rsidRPr="001C45D7">
        <w:fldChar w:fldCharType="end"/>
      </w:r>
      <w:r w:rsidR="00FA1176" w:rsidRPr="001C45D7">
        <w:t>,</w:t>
      </w:r>
      <w:r w:rsidR="00FA6558" w:rsidRPr="001C45D7">
        <w:t xml:space="preserve"> </w:t>
      </w:r>
      <w:r w:rsidRPr="001C45D7">
        <w:t>and</w:t>
      </w:r>
      <w:r w:rsidR="00FA6558" w:rsidRPr="001C45D7">
        <w:t xml:space="preserve"> </w:t>
      </w:r>
      <w:r w:rsidR="00F7716B" w:rsidRPr="001C45D7">
        <w:t xml:space="preserve">that </w:t>
      </w:r>
      <w:r w:rsidRPr="001C45D7">
        <w:t>such</w:t>
      </w:r>
      <w:r w:rsidR="00FA6558" w:rsidRPr="001C45D7">
        <w:t xml:space="preserve"> </w:t>
      </w:r>
      <w:r w:rsidRPr="001C45D7">
        <w:t>social</w:t>
      </w:r>
      <w:r w:rsidR="00FA6558" w:rsidRPr="001C45D7">
        <w:t xml:space="preserve"> </w:t>
      </w:r>
      <w:r w:rsidRPr="001C45D7">
        <w:t>ties</w:t>
      </w:r>
      <w:r w:rsidR="00FA6558" w:rsidRPr="001C45D7">
        <w:t xml:space="preserve"> </w:t>
      </w:r>
      <w:r w:rsidRPr="001C45D7">
        <w:t>can</w:t>
      </w:r>
      <w:r w:rsidR="00FA6558" w:rsidRPr="001C45D7">
        <w:t xml:space="preserve"> </w:t>
      </w:r>
      <w:r w:rsidRPr="001C45D7">
        <w:t>be</w:t>
      </w:r>
      <w:r w:rsidR="00FA6558" w:rsidRPr="001C45D7">
        <w:t xml:space="preserve"> </w:t>
      </w:r>
      <w:r w:rsidRPr="001C45D7">
        <w:t>an</w:t>
      </w:r>
      <w:r w:rsidR="00FA6558" w:rsidRPr="001C45D7">
        <w:t xml:space="preserve"> </w:t>
      </w:r>
      <w:r w:rsidRPr="001C45D7">
        <w:t>alternative</w:t>
      </w:r>
      <w:r w:rsidR="00FA6558" w:rsidRPr="001C45D7">
        <w:t xml:space="preserve"> </w:t>
      </w:r>
      <w:r w:rsidRPr="001C45D7">
        <w:t>or</w:t>
      </w:r>
      <w:r w:rsidR="00FA6558" w:rsidRPr="001C45D7">
        <w:t xml:space="preserve"> </w:t>
      </w:r>
      <w:r w:rsidRPr="001C45D7">
        <w:t>supplement</w:t>
      </w:r>
      <w:r w:rsidR="00FA6558" w:rsidRPr="001C45D7">
        <w:t xml:space="preserve"> </w:t>
      </w:r>
      <w:r w:rsidRPr="001C45D7">
        <w:t>mechanism</w:t>
      </w:r>
      <w:r w:rsidR="00FA6558" w:rsidRPr="001C45D7">
        <w:t xml:space="preserve"> </w:t>
      </w:r>
      <w:r w:rsidRPr="001C45D7">
        <w:t>to</w:t>
      </w:r>
      <w:r w:rsidR="00FA6558" w:rsidRPr="001C45D7">
        <w:t xml:space="preserve"> </w:t>
      </w:r>
      <w:r w:rsidRPr="001C45D7">
        <w:t>a</w:t>
      </w:r>
      <w:r w:rsidR="00FA6558" w:rsidRPr="001C45D7">
        <w:t xml:space="preserve"> </w:t>
      </w:r>
      <w:r w:rsidRPr="001C45D7">
        <w:t>complex</w:t>
      </w:r>
      <w:r w:rsidR="00FA6558" w:rsidRPr="001C45D7">
        <w:t xml:space="preserve"> </w:t>
      </w:r>
      <w:r w:rsidRPr="001C45D7">
        <w:t>legal</w:t>
      </w:r>
      <w:r w:rsidR="00FA6558" w:rsidRPr="001C45D7">
        <w:t xml:space="preserve"> </w:t>
      </w:r>
      <w:r w:rsidRPr="001C45D7">
        <w:t>contract</w:t>
      </w:r>
      <w:r w:rsidR="00FA6558" w:rsidRPr="001C45D7">
        <w:t xml:space="preserve"> </w:t>
      </w:r>
      <w:r w:rsidRPr="001C45D7">
        <w:t>in</w:t>
      </w:r>
      <w:r w:rsidR="00FA6558" w:rsidRPr="001C45D7">
        <w:t xml:space="preserve"> </w:t>
      </w:r>
      <w:r w:rsidRPr="001C45D7">
        <w:t>reducing</w:t>
      </w:r>
      <w:r w:rsidR="00FA6558" w:rsidRPr="001C45D7">
        <w:t xml:space="preserve"> </w:t>
      </w:r>
      <w:r w:rsidRPr="001C45D7">
        <w:t>partner</w:t>
      </w:r>
      <w:r w:rsidR="00FA6558" w:rsidRPr="001C45D7">
        <w:t xml:space="preserve"> </w:t>
      </w:r>
      <w:r w:rsidRPr="001C45D7">
        <w:t>opportunism</w:t>
      </w:r>
      <w:r w:rsidR="00FA6558" w:rsidRPr="001C45D7">
        <w:t xml:space="preserve"> </w:t>
      </w:r>
      <w:r w:rsidR="004919F0" w:rsidRPr="001C45D7">
        <w:fldChar w:fldCharType="begin" w:fldLock="1"/>
      </w:r>
      <w:r w:rsidR="004A2B48" w:rsidRPr="001C45D7">
        <w:instrText>ADDIN CSL_CITATION {"citationItems":[{"id":"ITEM-1","itemData":{"author":[{"dropping-particle":"","family":"Granovetter","given":"Mark","non-dropping-particle":"","parse-names":false,"suffix":""}],"container-title":"American journal of sociology","id":"ITEM-1","issue":"3","issued":{"date-parts":[["1985"]]},"page":"481-510","title":"Economic action and social structure: The problem of embeddedness","type":"article-journal","volume":"91"},"uris":["http://www.mendeley.com/documents/?uuid=aee5da2c-7b7b-47fd-9c9d-187018ae0c72"]},{"id":"ITEM-2","itemData":{"DOI":"10.5465/256729","ISSN":"0001-4273","abstract":"Exploring the factors that explain the choice of governance structures in interfirm alliances, this study challenges the use of a singular emphasis on transaction costs. Such an approach erroneously treats each trans action as independent and ignores the role of interfirm trust that emerges from repeated alliances between the same partners. Compre hensive multiindustry data on alliances made between 1970 and 1989 support the importance of such trust. Although support emerged for the transaction cost claim that alliances that encompass shared research and development are likely to be equity based, there is also strong ev idence that repeated alliances between two partners are less likely than other alliances to be organized using equity.","author":[{"dropping-particle":"","family":"Gulati","given":"Ranjay","non-dropping-particle":"","parse-names":false,"suffix":""}],"container-title":"Academy of Management Journal","id":"ITEM-2","issue":"1","issued":{"date-parts":[["1995","2"]]},"page":"85-112","publisher":"Academy of Management","title":"Does Familiarity Breed Trust? The Implications of Repeated Ties for Contractual Choice in Alliances","type":"article-journal","volume":"38"},"uris":["http://www.mendeley.com/documents/?uuid=0dbdf6a7-72ea-3f9a-94ab-fe75afb65873"]},{"id":"ITEM-3","itemData":{"DOI":"10.5465/amr.1990.4309111","ISSN":"0363-7425","abstract":"Transaction cost theorists have generally neglected to consider the implications that the invisible hand of the market mechanism can have for the risk of opportunism. In the long run, the invisible hand deletes actors whose behaviors are habitually opportunistic. Consequently, as markets move toward the state of competitive equilibrium, the risk of opportunism will be low, even for transactions supported by specific asset investments. Therefore, in many contexts the transaction cost rationale for internalization has been overstated.","author":[{"dropping-particle":"","family":"Hill","given":"Charles W. L.","non-dropping-particle":"","parse-names":false,"suffix":""}],"container-title":"Academy of Management Review","id":"ITEM-3","issue":"3","issued":{"date-parts":[["1990","7"]]},"page":"500-513","publisher":"Academy of Management","title":"Cooperation, Opportunism, and the Invisible Hand: Implications for Transaction Cost Theory","type":"article-journal","volume":"15"},"uris":["http://www.mendeley.com/documents/?uuid=b2ff78ba-e23e-3fac-986d-23adc46d7d97"]},{"id":"ITEM-4","itemData":{"DOI":"10.1108/eb013318","ISSN":"17586720","abstract":"Analysis of organizational decline has become central to the study of economy and society. Further advances in this area may fail however, because two major literatures on the topic remain disintegrated and because both lack a sophisticated account of how social structure and interdependencies among organizations affect decline. This paper develops a perspective which tries to overcome these problems. The perspective explains decline through an understanding of how social ties and resource dependencies among firms affect market structure and the resulting behavior of firms within it. Evidence is furnished that supports the assumptions of the perspective and provides a basis for specifying propositions about the effect of network structure on organizational survival. I conclude by discussing the perspective's implications for organizational theory and economic sociology. © 1997, MCB UP Limited","author":[{"dropping-particle":"","family":"Uzzi","given":"Brian","non-dropping-particle":"","parse-names":false,"suffix":""}],"container-title":"International Journal of Sociology and Social Policy","id":"ITEM-4","issued":{"date-parts":[["1997","7","1"]]},"page":"111-155","title":"Towards A Network Perspective On Organizational Decline","type":"article","volume":"17"},"uris":["http://www.mendeley.com/documents/?uuid=8c246c3a-8ff7-372a-8fe0-414b8a002a76"]}],"mendeley":{"formattedCitation":"(Granovetter, 1985; Gulati, 1995; Hill, 1990; Uzzi, 1997)","plainTextFormattedCitation":"(Granovetter, 1985; Gulati, 1995; Hill, 1990; Uzzi, 1997)","previouslyFormattedCitation":"(Granovetter, 1985; Gulati, 1995; Hill, 1990; Uzzi, 1997)"},"properties":{"noteIndex":0},"schema":"https://github.com/citation-style-language/schema/raw/master/csl-citation.json"}</w:instrText>
      </w:r>
      <w:r w:rsidR="004919F0" w:rsidRPr="001C45D7">
        <w:fldChar w:fldCharType="separate"/>
      </w:r>
      <w:r w:rsidR="004A2B48" w:rsidRPr="001C45D7">
        <w:rPr>
          <w:noProof/>
        </w:rPr>
        <w:t>(Granovetter, 1985; Gulati, 1995; Hill, 1990; Uzzi, 1997)</w:t>
      </w:r>
      <w:r w:rsidR="004919F0" w:rsidRPr="001C45D7">
        <w:fldChar w:fldCharType="end"/>
      </w:r>
      <w:r w:rsidR="004919F0" w:rsidRPr="001C45D7">
        <w:t>.</w:t>
      </w:r>
      <w:r w:rsidR="00FA6558" w:rsidRPr="001C45D7">
        <w:t xml:space="preserve"> </w:t>
      </w:r>
      <w:r w:rsidRPr="001C45D7">
        <w:t>Relational</w:t>
      </w:r>
      <w:r w:rsidR="00FA6558" w:rsidRPr="001C45D7">
        <w:t xml:space="preserve"> </w:t>
      </w:r>
      <w:r w:rsidRPr="001C45D7">
        <w:t>governance</w:t>
      </w:r>
      <w:r w:rsidR="00FA6558" w:rsidRPr="001C45D7">
        <w:t xml:space="preserve"> </w:t>
      </w:r>
      <w:r w:rsidRPr="001C45D7">
        <w:t>comprise</w:t>
      </w:r>
      <w:r w:rsidR="003F1216" w:rsidRPr="001C45D7">
        <w:t>s</w:t>
      </w:r>
      <w:r w:rsidR="00FA6558" w:rsidRPr="001C45D7">
        <w:t xml:space="preserve"> </w:t>
      </w:r>
      <w:r w:rsidR="00422C95" w:rsidRPr="001C45D7">
        <w:t xml:space="preserve">the </w:t>
      </w:r>
      <w:r w:rsidRPr="001C45D7">
        <w:t>relational</w:t>
      </w:r>
      <w:r w:rsidR="00FA6558" w:rsidRPr="001C45D7">
        <w:t xml:space="preserve"> </w:t>
      </w:r>
      <w:r w:rsidRPr="001C45D7">
        <w:t>output</w:t>
      </w:r>
      <w:r w:rsidR="00FA6558" w:rsidRPr="001C45D7">
        <w:t xml:space="preserve"> </w:t>
      </w:r>
      <w:r w:rsidRPr="001C45D7">
        <w:t>of</w:t>
      </w:r>
      <w:r w:rsidR="00FA6558" w:rsidRPr="001C45D7">
        <w:t xml:space="preserve"> </w:t>
      </w:r>
      <w:r w:rsidRPr="001C45D7">
        <w:t>a</w:t>
      </w:r>
      <w:r w:rsidR="00FA6558" w:rsidRPr="001C45D7">
        <w:t xml:space="preserve"> </w:t>
      </w:r>
      <w:r w:rsidRPr="001C45D7">
        <w:t>series</w:t>
      </w:r>
      <w:r w:rsidR="00FA6558" w:rsidRPr="001C45D7">
        <w:t xml:space="preserve"> </w:t>
      </w:r>
      <w:r w:rsidRPr="001C45D7">
        <w:t>of</w:t>
      </w:r>
      <w:r w:rsidR="00FA6558" w:rsidRPr="001C45D7">
        <w:t xml:space="preserve"> </w:t>
      </w:r>
      <w:r w:rsidRPr="001C45D7">
        <w:t>positive</w:t>
      </w:r>
      <w:r w:rsidR="00FA6558" w:rsidRPr="001C45D7">
        <w:t xml:space="preserve"> </w:t>
      </w:r>
      <w:r w:rsidRPr="001C45D7">
        <w:t>past</w:t>
      </w:r>
      <w:r w:rsidR="00FA6558" w:rsidRPr="001C45D7">
        <w:t xml:space="preserve"> </w:t>
      </w:r>
      <w:r w:rsidRPr="001C45D7">
        <w:t>interactions</w:t>
      </w:r>
      <w:r w:rsidR="00FA6558" w:rsidRPr="001C45D7">
        <w:t xml:space="preserve"> </w:t>
      </w:r>
      <w:r w:rsidRPr="001C45D7">
        <w:t>between</w:t>
      </w:r>
      <w:r w:rsidR="00FA6558" w:rsidRPr="001C45D7">
        <w:t xml:space="preserve"> </w:t>
      </w:r>
      <w:r w:rsidRPr="001C45D7">
        <w:t>exchange</w:t>
      </w:r>
      <w:r w:rsidR="00FA6558" w:rsidRPr="001C45D7">
        <w:t xml:space="preserve"> </w:t>
      </w:r>
      <w:r w:rsidRPr="001C45D7">
        <w:t>parties</w:t>
      </w:r>
      <w:r w:rsidR="00422C95" w:rsidRPr="001C45D7">
        <w:t>.</w:t>
      </w:r>
      <w:r w:rsidR="00FA6558" w:rsidRPr="001C45D7">
        <w:t xml:space="preserve"> </w:t>
      </w:r>
      <w:r w:rsidR="00DA4F99" w:rsidRPr="001C45D7">
        <w:t xml:space="preserve">Specifically, </w:t>
      </w:r>
      <w:r w:rsidR="00775721" w:rsidRPr="001C45D7">
        <w:t>this includes</w:t>
      </w:r>
      <w:r w:rsidR="00FA6558" w:rsidRPr="001C45D7">
        <w:t xml:space="preserve"> </w:t>
      </w:r>
      <w:r w:rsidRPr="001C45D7">
        <w:t>trust</w:t>
      </w:r>
      <w:r w:rsidR="00FA6558" w:rsidRPr="001C45D7">
        <w:t xml:space="preserve"> </w:t>
      </w:r>
      <w:r w:rsidR="004919F0" w:rsidRPr="001C45D7">
        <w:fldChar w:fldCharType="begin" w:fldLock="1"/>
      </w:r>
      <w:r w:rsidR="004A2B48" w:rsidRPr="001C45D7">
        <w:instrText>ADDIN CSL_CITATION {"citationItems":[{"id":"ITEM-1","itemData":{"author":[{"dropping-particle":"","family":"Granovetter","given":"Mark","non-dropping-particle":"","parse-names":false,"suffix":""}],"container-title":"American journal of sociology","id":"ITEM-1","issue":"3","issued":{"date-parts":[["1985"]]},"page":"481-510","title":"Economic action and social structure: The problem of embeddedness","type":"article-journal","volume":"91"},"uris":["http://www.mendeley.com/documents/?uuid=aee5da2c-7b7b-47fd-9c9d-187018ae0c72"]},{"id":"ITEM-2","itemData":{"DOI":"10.5465/amr.1990.4309111","ISSN":"0363-7425","abstract":"Transaction cost theorists have generally neglected to consider the implications that the invisible hand of the market mechanism can have for the risk of opportunism. In the long run, the invisible hand deletes actors whose behaviors are habitually opportunistic. Consequently, as markets move toward the state of competitive equilibrium, the risk of opportunism will be low, even for transactions supported by specific asset investments. Therefore, in many contexts the transaction cost rationale for internalization has been overstated.","author":[{"dropping-particle":"","family":"Hill","given":"Charles W. L.","non-dropping-particle":"","parse-names":false,"suffix":""}],"container-title":"Academy of Management Review","id":"ITEM-2","issue":"3","issued":{"date-parts":[["1990","7"]]},"page":"500-513","publisher":"Academy of Management","title":"Cooperation, Opportunism, and the Invisible Hand: Implications for Transaction Cost Theory","type":"article-journal","volume":"15"},"uris":["http://www.mendeley.com/documents/?uuid=b2ff78ba-e23e-3fac-986d-23adc46d7d97"]},{"id":"ITEM-3","itemData":{"DOI":"10.1177/000169939203500101","ISSN":"15023869","abstract":"Institutional economics has moved from a position, earlier in the twentieth century, of drawing eclectically on several other disciplines, to a stance of building its arguments almost entirely out of neoclassical materials This paper argues that such a stance cannot provide a persuasive account of economic institutions, and suggests a broader toundation based on classical sociological arguments about the embeddedness of economic goals and activities in socially oriented goals and structures Emphasis is placed on how economic activity comes to be coordinated by groups of people rather than carried out by isolated individuals Firms in developing countries, busmess groups, and the origins of the electrical utility industry in the United States are posed as cases of the ‘social construction of economic institutions’ It is argued that, although proper analysis of such cases involves a high level of contingency. these contingencies can be taken into account in a systematic theoretical argument, and that historicist pitfalls can be avoided Such an argument is posed as the distinctive agenda for a new economic sociology. © 1992, Sage Publications. All rights reserved.","author":[{"dropping-particle":"","family":"Granovetter","given":"Mark","non-dropping-particle":"","parse-names":false,"suffix":""}],"container-title":"Acta Sociologica","id":"ITEM-3","issue":"1","issued":{"date-parts":[["1992"]]},"page":"3-11","title":"Economic Institutions as Social Constructions: A Framework for Analysis","type":"article-journal","volume":"35"},"uris":["http://www.mendeley.com/documents/?uuid=11353a4d-a778-393d-8aa8-83c9c8f1f046"]},{"id":"ITEM-4","itemData":{"DOI":"10.5465/256729","ISSN":"0001-4273","abstract":"Exploring the factors that explain the choice of governance structures in interfirm alliances, this study challenges the use of a singular emphasis on transaction costs. Such an approach erroneously treats each trans action as independent and ignores the role of interfirm trust that emerges from repeated alliances between the same partners. Compre hensive multiindustry data on alliances made between 1970 and 1989 support the importance of such trust. Although support emerged for the transaction cost claim that alliances that encompass shared research and development are likely to be equity based, there is also strong ev idence that repeated alliances between two partners are less likely than other alliances to be organized using equity.","author":[{"dropping-particle":"","family":"Gulati","given":"Ranjay","non-dropping-particle":"","parse-names":false,"suffix":""}],"container-title":"Academy of Management Journal","id":"ITEM-4","issue":"1","issued":{"date-parts":[["1995","2"]]},"page":"85-112","publisher":"Academy of Management","title":"Does Familiarity Breed Trust? The Implications of Repeated Ties for Contractual Choice in Alliances","type":"article-journal","volume":"38"},"uris":["http://www.mendeley.com/documents/?uuid=0dbdf6a7-72ea-3f9a-94ab-fe75afb65873"]},{"id":"ITEM-5","itemData":{"DOI":"10.1108/eb013318","ISSN":"17586720","abstract":"Analysis of organizational decline has become central to the study of economy and society. Further advances in this area may fail however, because two major literatures on the topic remain disintegrated and because both lack a sophisticated account of how social structure and interdependencies among organizations affect decline. This paper develops a perspective which tries to overcome these problems. The perspective explains decline through an understanding of how social ties and resource dependencies among firms affect market structure and the resulting behavior of firms within it. Evidence is furnished that supports the assumptions of the perspective and provides a basis for specifying propositions about the effect of network structure on organizational survival. I conclude by discussing the perspective's implications for organizational theory and economic sociology. © 1997, MCB UP Limited","author":[{"dropping-particle":"","family":"Uzzi","given":"Brian","non-dropping-particle":"","parse-names":false,"suffix":""}],"container-title":"International Journal of Sociology and Social Policy","id":"ITEM-5","issued":{"date-parts":[["1997","7","1"]]},"page":"111-155","title":"Towards A Network Perspective On Organizational Decline","type":"article","volume":"17"},"uris":["http://www.mendeley.com/documents/?uuid=8c246c3a-8ff7-372a-8fe0-414b8a002a76"]},{"id":"ITEM-6","itemData":{"DOI":"10.1016/j.jom.2009.11.008","ISSN":"02726963","abstract":"Focusing on long-term buyer-supplier relationships, this article addresses two questions: (1) What are the antecedents that lead to the adoption of formal control, social control, or both? (2) What is the nature of the relationship between formal control and social control - are they substitutes or complements? We develop a model to investigate the impact of the length of cooperation and institutionalization on the use of control mechanisms. Further, we argue that in China, formal control and social control may be substitutes in domestic buyer-supplier relationships, but they may be complements in international relationships. Survey data collected nationwide with executives in 380 domestic and 200 international buyer-supplier relationships in China are used to test our hypotheses. © 2009 Elsevier B.V.","author":[{"dropping-particle":"","family":"Li","given":"Yuan","non-dropping-particle":"","parse-names":false,"suffix":""},{"dropping-particle":"","family":"Xie","given":"En","non-dropping-particle":"","parse-names":false,"suffix":""},{"dropping-particle":"","family":"Teo","given":"Hock Hai","non-dropping-particle":"","parse-names":false,"suffix":""},{"dropping-particle":"","family":"Peng","given":"Mike W.","non-dropping-particle":"","parse-names":false,"suffix":""}],"container-title":"Journal of Operations Management","id":"ITEM-6","issue":"4","issued":{"date-parts":[["2010","7"]]},"page":"333-344","title":"Formal control and social control in domestic and international buyer-supplier relationships","type":"article-journal","volume":"28"},"uris":["http://www.mendeley.com/documents/?uuid=0ec853bf-3b38-3479-a486-330662e35591"]},{"id":"ITEM-7","itemData":{"DOI":"10.1016/j.ijpe.2016.05.005","ISSN":"09255273","abstract":"Social capital theory has received increasing attention as a lens through which to examine supply chain relationships and the value creation process. Despite the growing application of social capital and its three dimensions, namely cognitive, structural and relational capital, to inter-organizational research, few studies in reality have taken a dyadic perspective. Using a paired sample of retailer-supplier relationships from Korean fast-moving consumer goods sector, we explore the configuration of social capital dimensions, and the impact on strategic and operational performance. The results suggest three clusters of relationships, which differ significantly on at least two of the dimensions of social capital. Furthermore, these clusters show considerable differences with respect to both operational and strategic performance, particularly at the lower levels of social capital. We also examine the impact of a disparity between the retailer and supplier with respect to different dimensions of social capital, henceforth called dissonance. Of the four clusters that emerge, interestingly, only dissonance on the cognitive dimension is related to lower operational and strategic relationship performance. In investigating the implications of dissonance for the retailer and supplier individually, our results suggest that performance differs based on the magnitude and direction of the dissonance. Our results show that consequences of having social capital or not are not necessarily the same for the retailer and the supplier.","author":[{"dropping-particle":"","family":"Son","given":"Byung Gak","non-dropping-particle":"","parse-names":false,"suffix":""},{"dropping-particle":"","family":"Kocabasoglu-Hillmer","given":"Canan","non-dropping-particle":"","parse-names":false,"suffix":""},{"dropping-particle":"","family":"Roden","given":"Sinéad","non-dropping-particle":"","parse-names":false,"suffix":""}],"container-title":"International Journal of Production Economics","id":"ITEM-7","issued":{"date-parts":[["2016","8","1"]]},"page":"120-131","publisher":"Elsevier B.V.","title":"A dyadic perspective on retailer-supplier relationships through the lens of social capital","type":"article-journal","volume":"178"},"uris":["http://www.mendeley.com/documents/?uuid=e98a8038-1c07-3ff4-850f-df2acc8dec1f"]}],"mendeley":{"formattedCitation":"(Granovetter, 1985, 1992; Gulati, 1995; Hill, 1990; Li &lt;i&gt;et al.&lt;/i&gt;, 2010; Son &lt;i&gt;et al.&lt;/i&gt;, 2016; Uzzi, 1997)","manualFormatting":"(Granovetter, 1985, 1992; Hill, 1990; Gulati, 1995; Uzzi, 1997; Li et al., 2010; Son et al., 2016)","plainTextFormattedCitation":"(Granovetter, 1985, 1992; Gulati, 1995; Hill, 1990; Li et al., 2010; Son et al., 2016; Uzzi, 1997)","previouslyFormattedCitation":"(Granovetter, 1985, 1992; Gulati, 1995; Hill, 1990; Li &lt;i&gt;et al.&lt;/i&gt;, 2010; Son &lt;i&gt;et al.&lt;/i&gt;, 2016; Uzzi, 1997)"},"properties":{"noteIndex":0},"schema":"https://github.com/citation-style-language/schema/raw/master/csl-citation.json"}</w:instrText>
      </w:r>
      <w:r w:rsidR="004919F0" w:rsidRPr="001C45D7">
        <w:fldChar w:fldCharType="separate"/>
      </w:r>
      <w:r w:rsidR="00881C19" w:rsidRPr="001C45D7">
        <w:rPr>
          <w:noProof/>
        </w:rPr>
        <w:t>(Granovetter,</w:t>
      </w:r>
      <w:r w:rsidR="00FA6558" w:rsidRPr="001C45D7">
        <w:rPr>
          <w:noProof/>
        </w:rPr>
        <w:t xml:space="preserve"> </w:t>
      </w:r>
      <w:r w:rsidR="00881C19" w:rsidRPr="001C45D7">
        <w:rPr>
          <w:noProof/>
        </w:rPr>
        <w:t>1985,</w:t>
      </w:r>
      <w:r w:rsidR="00FA6558" w:rsidRPr="001C45D7">
        <w:rPr>
          <w:noProof/>
        </w:rPr>
        <w:t xml:space="preserve"> </w:t>
      </w:r>
      <w:r w:rsidR="00881C19" w:rsidRPr="001C45D7">
        <w:rPr>
          <w:noProof/>
        </w:rPr>
        <w:t>1992;</w:t>
      </w:r>
      <w:r w:rsidR="00FA6558" w:rsidRPr="001C45D7">
        <w:rPr>
          <w:noProof/>
        </w:rPr>
        <w:t xml:space="preserve"> </w:t>
      </w:r>
      <w:r w:rsidR="00881C19" w:rsidRPr="001C45D7">
        <w:rPr>
          <w:noProof/>
        </w:rPr>
        <w:t>Hill,</w:t>
      </w:r>
      <w:r w:rsidR="00FA6558" w:rsidRPr="001C45D7">
        <w:rPr>
          <w:noProof/>
        </w:rPr>
        <w:t xml:space="preserve"> </w:t>
      </w:r>
      <w:r w:rsidR="00881C19" w:rsidRPr="001C45D7">
        <w:rPr>
          <w:noProof/>
        </w:rPr>
        <w:t>1990;</w:t>
      </w:r>
      <w:r w:rsidR="00FA6558" w:rsidRPr="001C45D7">
        <w:rPr>
          <w:noProof/>
        </w:rPr>
        <w:t xml:space="preserve"> </w:t>
      </w:r>
      <w:r w:rsidR="00881C19" w:rsidRPr="001C45D7">
        <w:rPr>
          <w:noProof/>
        </w:rPr>
        <w:t>Gulati,</w:t>
      </w:r>
      <w:r w:rsidR="00FA6558" w:rsidRPr="001C45D7">
        <w:rPr>
          <w:noProof/>
        </w:rPr>
        <w:t xml:space="preserve"> </w:t>
      </w:r>
      <w:r w:rsidR="00881C19" w:rsidRPr="001C45D7">
        <w:rPr>
          <w:noProof/>
        </w:rPr>
        <w:t>1995;</w:t>
      </w:r>
      <w:r w:rsidR="00FA6558" w:rsidRPr="001C45D7">
        <w:rPr>
          <w:noProof/>
        </w:rPr>
        <w:t xml:space="preserve"> </w:t>
      </w:r>
      <w:r w:rsidR="00881C19" w:rsidRPr="001C45D7">
        <w:rPr>
          <w:noProof/>
        </w:rPr>
        <w:t>Uzzi,</w:t>
      </w:r>
      <w:r w:rsidR="00FA6558" w:rsidRPr="001C45D7">
        <w:rPr>
          <w:noProof/>
        </w:rPr>
        <w:t xml:space="preserve"> </w:t>
      </w:r>
      <w:r w:rsidR="00881C19" w:rsidRPr="001C45D7">
        <w:rPr>
          <w:noProof/>
        </w:rPr>
        <w:t>1997;</w:t>
      </w:r>
      <w:r w:rsidR="00FA6558" w:rsidRPr="001C45D7">
        <w:rPr>
          <w:noProof/>
        </w:rPr>
        <w:t xml:space="preserve"> </w:t>
      </w:r>
      <w:r w:rsidR="00881C19" w:rsidRPr="001C45D7">
        <w:rPr>
          <w:noProof/>
        </w:rPr>
        <w:t>Li</w:t>
      </w:r>
      <w:r w:rsidR="00FA6558" w:rsidRPr="001C45D7">
        <w:rPr>
          <w:noProof/>
        </w:rPr>
        <w:t xml:space="preserve"> </w:t>
      </w:r>
      <w:r w:rsidR="00881C19" w:rsidRPr="001C45D7">
        <w:rPr>
          <w:i/>
          <w:noProof/>
        </w:rPr>
        <w:t>et</w:t>
      </w:r>
      <w:r w:rsidR="00FA6558" w:rsidRPr="001C45D7">
        <w:rPr>
          <w:i/>
          <w:noProof/>
        </w:rPr>
        <w:t xml:space="preserve"> </w:t>
      </w:r>
      <w:r w:rsidR="00881C19" w:rsidRPr="001C45D7">
        <w:rPr>
          <w:i/>
          <w:noProof/>
        </w:rPr>
        <w:t>al.</w:t>
      </w:r>
      <w:r w:rsidR="00881C19" w:rsidRPr="001C45D7">
        <w:rPr>
          <w:noProof/>
        </w:rPr>
        <w:t>,</w:t>
      </w:r>
      <w:r w:rsidR="00FA6558" w:rsidRPr="001C45D7">
        <w:rPr>
          <w:noProof/>
        </w:rPr>
        <w:t xml:space="preserve"> </w:t>
      </w:r>
      <w:r w:rsidR="00881C19" w:rsidRPr="001C45D7">
        <w:rPr>
          <w:noProof/>
        </w:rPr>
        <w:t>2010;</w:t>
      </w:r>
      <w:r w:rsidR="00FA6558" w:rsidRPr="001C45D7">
        <w:rPr>
          <w:noProof/>
        </w:rPr>
        <w:t xml:space="preserve"> </w:t>
      </w:r>
      <w:r w:rsidR="00881C19" w:rsidRPr="001C45D7">
        <w:rPr>
          <w:noProof/>
        </w:rPr>
        <w:t>Son</w:t>
      </w:r>
      <w:r w:rsidR="00422C95" w:rsidRPr="001C45D7">
        <w:rPr>
          <w:noProof/>
        </w:rPr>
        <w:t xml:space="preserve"> </w:t>
      </w:r>
      <w:r w:rsidR="00422C95" w:rsidRPr="001C45D7">
        <w:rPr>
          <w:i/>
          <w:noProof/>
        </w:rPr>
        <w:t>et al</w:t>
      </w:r>
      <w:r w:rsidR="00422C95" w:rsidRPr="001C45D7">
        <w:rPr>
          <w:noProof/>
        </w:rPr>
        <w:t>.</w:t>
      </w:r>
      <w:r w:rsidR="00881C19" w:rsidRPr="001C45D7">
        <w:rPr>
          <w:noProof/>
        </w:rPr>
        <w:t>,</w:t>
      </w:r>
      <w:r w:rsidR="00FA6558" w:rsidRPr="001C45D7">
        <w:rPr>
          <w:noProof/>
        </w:rPr>
        <w:t xml:space="preserve"> </w:t>
      </w:r>
      <w:r w:rsidR="00881C19" w:rsidRPr="001C45D7">
        <w:rPr>
          <w:noProof/>
        </w:rPr>
        <w:t>2016)</w:t>
      </w:r>
      <w:r w:rsidR="004919F0" w:rsidRPr="001C45D7">
        <w:fldChar w:fldCharType="end"/>
      </w:r>
      <w:r w:rsidRPr="001C45D7">
        <w:t>,</w:t>
      </w:r>
      <w:r w:rsidR="00FA6558" w:rsidRPr="001C45D7">
        <w:t xml:space="preserve"> </w:t>
      </w:r>
      <w:r w:rsidRPr="001C45D7">
        <w:t>relational</w:t>
      </w:r>
      <w:r w:rsidR="00FA6558" w:rsidRPr="001C45D7">
        <w:t xml:space="preserve"> </w:t>
      </w:r>
      <w:r w:rsidRPr="001C45D7">
        <w:t>norms</w:t>
      </w:r>
      <w:r w:rsidR="00FA6558" w:rsidRPr="001C45D7">
        <w:t xml:space="preserve"> </w:t>
      </w:r>
      <w:r w:rsidR="004919F0" w:rsidRPr="001C45D7">
        <w:fldChar w:fldCharType="begin" w:fldLock="1"/>
      </w:r>
      <w:r w:rsidR="00433778" w:rsidRPr="001C45D7">
        <w:instrText>ADDIN CSL_CITATION {"citationItems":[{"id":"ITEM-1","itemData":{"DOI":"10.1002/smj.249","ISSN":"01432095","abstract":"Relational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Journal","id":"ITEM-1","issue":"8","issued":{"date-parts":[["2002","8"]]},"page":"707-725","title":"Do formal contracts and relational governance function as substitutes or complements?","type":"article-journal","volume":"23"},"uris":["http://www.mendeley.com/documents/?uuid=0f5b4bc5-de16-3976-800b-d5afcee477cc"]},{"id":"ITEM-2","itemData":{"DOI":"10.1016/j.jbusres.2008.08.003","ISSN":"01482963","abstract":"Extant research offers two alternative mechanisms for relating the asset specificity of a cooperative relationship to partnership performance. Transaction cost economics argues that the specific assets invested in a partnership increase the hazards of opportunism. As firms select appropriate governance structures to reduce opportunistic behavior, performance increases. On the other hand, relational exchange theory suggests that asset specificity enhances the trust between partners, which in turn leads to more cooperative behavior and higher partnership performance. This paper tests both mechanisms simultaneously on a sample of procurement relationships between Hong Kong trading firms and their Chinese suppliers using SEM methods. Our results support the predictions of relational exchange theory more than those of transaction cost economics. The paper also discusses the role of the Chinese context on theory application. © 2008 Elsevier Inc. All rights reserved.","author":[{"dropping-particle":"","family":"Lui","given":"Steven S.","non-dropping-particle":"","parse-names":false,"suffix":""},{"dropping-particle":"","family":"Wong","given":"Yin yee","non-dropping-particle":"","parse-names":false,"suffix":""},{"dropping-particle":"","family":"Liu","given":"Weiping","non-dropping-particle":"","parse-names":false,"suffix":""}],"container-title":"Journal of Business Research","id":"ITEM-2","issue":"11","issued":{"date-parts":[["2009","11","1"]]},"page":"1214-1219","publisher":"Elsevier","title":"Asset specificity roles in interfirm cooperation: Reducing opportunistic behavior or increasing cooperative behavior?","type":"article-journal","volume":"62"},"uris":["http://www.mendeley.com/documents/?uuid=ba2923b3-60bb-386d-83fb-030f283748ee"]},{"id":"ITEM-3","itemData":{"DOI":"10.1016/j.indmarman.2013.05.022","ISSN":"00198501","abstract":"A phenomenon of significance in buyer-supplier relationships is opportunism. In lieu of the known negative effects of opportunistic behavior on buyer-supplier relationships, the circumstances in which a sourcing professional engages in acts of opportunism are unclear. Combining theories from multiple disciplines, a comprehensive model tested buyer-supplier relationship-specific factors, environmental factors, an individual-difference factor, and situational factors likely to affect a buyer's decision to use opportunistic tactics. Results reveal how these different theories combine to provide a more comprehensive explanation of buyer behavior than existed in prior literature. Using structural equation modeling of a sample of 328 procurement transactions, factors found to affect buyer opportunism included buyer power, corporate ethical values, honesty/integrity, leader opportunism, willful ignorance, and subjective expected utility. This study also provides empirical support for distinguishing between two types of opportunism - strong and weak. The research concludes with implications for theory and practice, limitations, and areas for future research. © 2013.","author":[{"dropping-particle":"","family":"Hawkins","given":"Timothy G.","non-dropping-particle":"","parse-names":false,"suffix":""},{"dropping-particle":"","family":"Pohlen","given":"Terrance L.","non-dropping-particle":"","parse-names":false,"suffix":""},{"dropping-particle":"","family":"Prybutok","given":"Victor R.","non-dropping-particle":"","parse-names":false,"suffix":""}],"container-title":"Industrial Marketing Management","id":"ITEM-3","issue":"8","issued":{"date-parts":[["2013"]]},"page":"1266-1278","title":"Buyer opportunism in business-to-business exchange","type":"article-journal","volume":"42"},"uris":["http://www.mendeley.com/documents/?uuid=04cccabc-84ac-3710-9904-5e7e208666cb"]}],"mendeley":{"formattedCitation":"(Hawkins &lt;i&gt;et al.&lt;/i&gt;, 2013; Lui &lt;i&gt;et al.&lt;/i&gt;, 2009; Poppo and Zenger, 2002)","manualFormatting":"(Poppo and Zenger, 2002; Lui et al., 2009)","plainTextFormattedCitation":"(Hawkins et al., 2013; Lui et al., 2009; Poppo and Zenger, 2002)","previouslyFormattedCitation":"(Hawkins &lt;i&gt;et al.&lt;/i&gt;, 2013; Lui &lt;i&gt;et al.&lt;/i&gt;, 2009; Poppo and Zenger, 2002)"},"properties":{"noteIndex":0},"schema":"https://github.com/citation-style-language/schema/raw/master/csl-citation.json"}</w:instrText>
      </w:r>
      <w:r w:rsidR="004919F0" w:rsidRPr="001C45D7">
        <w:fldChar w:fldCharType="separate"/>
      </w:r>
      <w:r w:rsidR="00881C19" w:rsidRPr="001C45D7">
        <w:rPr>
          <w:noProof/>
        </w:rPr>
        <w:t>(Poppo</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Zenger,</w:t>
      </w:r>
      <w:r w:rsidR="00FA6558" w:rsidRPr="001C45D7">
        <w:rPr>
          <w:noProof/>
        </w:rPr>
        <w:t xml:space="preserve"> </w:t>
      </w:r>
      <w:r w:rsidR="00881C19" w:rsidRPr="001C45D7">
        <w:rPr>
          <w:noProof/>
        </w:rPr>
        <w:t>2002</w:t>
      </w:r>
      <w:r w:rsidR="00876B75" w:rsidRPr="001C45D7">
        <w:rPr>
          <w:rFonts w:eastAsiaTheme="minorEastAsia" w:hint="eastAsia"/>
          <w:noProof/>
          <w:lang w:eastAsia="ko-KR"/>
        </w:rPr>
        <w:t xml:space="preserve">; Lui </w:t>
      </w:r>
      <w:r w:rsidR="00876B75" w:rsidRPr="001C45D7">
        <w:rPr>
          <w:rFonts w:eastAsiaTheme="minorEastAsia" w:hint="eastAsia"/>
          <w:i/>
          <w:noProof/>
          <w:lang w:eastAsia="ko-KR"/>
        </w:rPr>
        <w:t>et al.</w:t>
      </w:r>
      <w:r w:rsidR="00876B75" w:rsidRPr="001C45D7">
        <w:rPr>
          <w:rFonts w:eastAsiaTheme="minorEastAsia" w:hint="eastAsia"/>
          <w:noProof/>
          <w:lang w:eastAsia="ko-KR"/>
        </w:rPr>
        <w:t>, 2009</w:t>
      </w:r>
      <w:r w:rsidR="00881C19" w:rsidRPr="001C45D7">
        <w:rPr>
          <w:noProof/>
        </w:rPr>
        <w:t>)</w:t>
      </w:r>
      <w:r w:rsidR="004919F0" w:rsidRPr="001C45D7">
        <w:fldChar w:fldCharType="end"/>
      </w:r>
      <w:r w:rsidR="004919F0" w:rsidRPr="001C45D7">
        <w:t>,</w:t>
      </w:r>
      <w:r w:rsidR="00FA6558" w:rsidRPr="001C45D7">
        <w:t xml:space="preserve"> </w:t>
      </w:r>
      <w:r w:rsidR="004919F0" w:rsidRPr="001C45D7">
        <w:t>and</w:t>
      </w:r>
      <w:r w:rsidR="00FA6558" w:rsidRPr="001C45D7">
        <w:t xml:space="preserve"> </w:t>
      </w:r>
      <w:r w:rsidRPr="001C45D7">
        <w:t>commitment</w:t>
      </w:r>
      <w:r w:rsidR="00804937" w:rsidRPr="001C45D7">
        <w:t xml:space="preserve">, </w:t>
      </w:r>
      <w:r w:rsidR="00B67D05" w:rsidRPr="001C45D7">
        <w:t xml:space="preserve">and </w:t>
      </w:r>
      <w:r w:rsidRPr="001C45D7">
        <w:t>obligation</w:t>
      </w:r>
      <w:r w:rsidR="00FA6558" w:rsidRPr="001C45D7">
        <w:t xml:space="preserve"> </w:t>
      </w:r>
      <w:r w:rsidR="004919F0" w:rsidRPr="001C45D7">
        <w:fldChar w:fldCharType="begin" w:fldLock="1"/>
      </w:r>
      <w:r w:rsidR="00F04741" w:rsidRPr="001C45D7">
        <w:instrText>ADDIN CSL_CITATION {"citationItems":[{"id":"ITEM-1","itemData":{"author":[{"dropping-particle":"","family":"Coleman","given":"James S","non-dropping-particle":"","parse-names":false,"suffix":""}],"container-title":"American journal of sociology","id":"ITEM-1","issued":{"date-parts":[["1988"]]},"page":"S95-S120","title":"Social capital in the creation of human capital","type":"article-journal","volume":"94"},"uris":["http://www.mendeley.com/documents/?uuid=789b23d2-732f-4e58-8535-eb28c9fba1f7"]},{"id":"ITEM-2","itemData":{"DOI":"10.1177/000169939203500101","ISSN":"15023869","abstract":"Institutional economics has moved from a position, earlier in the twentieth century, of drawing eclectically on several other disciplines, to a stance of building its arguments almost entirely out of neoclassical materials This paper argues that such a stance cannot provide a persuasive account of economic institutions, and suggests a broader toundation based on classical sociological arguments about the embeddedness of economic goals and activities in socially oriented goals and structures Emphasis is placed on how economic activity comes to be coordinated by groups of people rather than carried out by isolated individuals Firms in developing countries, busmess groups, and the origins of the electrical utility industry in the United States are posed as cases of the ‘social construction of economic institutions’ It is argued that, although proper analysis of such cases involves a high level of contingency. these contingencies can be taken into account in a systematic theoretical argument, and that historicist pitfalls can be avoided Such an argument is posed as the distinctive agenda for a new economic sociology. © 1992, Sage Publications. All rights reserved.","author":[{"dropping-particle":"","family":"Granovetter","given":"Mark","non-dropping-particle":"","parse-names":false,"suffix":""}],"container-title":"Acta Sociologica","id":"ITEM-2","issue":"1","issued":{"date-parts":[["1992"]]},"page":"3-11","title":"Economic Institutions as Social Constructions: A Framework for Analysis","type":"article-journal","volume":"35"},"uris":["http://www.mendeley.com/documents/?uuid=11353a4d-a778-393d-8aa8-83c9c8f1f046"]}],"mendeley":{"formattedCitation":"(Coleman, 1988; Granovetter, 1992)","plainTextFormattedCitation":"(Coleman, 1988; Granovetter, 1992)","previouslyFormattedCitation":"(Coleman, 1988; Granovetter, 1992)"},"properties":{"noteIndex":0},"schema":"https://github.com/citation-style-language/schema/raw/master/csl-citation.json"}</w:instrText>
      </w:r>
      <w:r w:rsidR="004919F0" w:rsidRPr="001C45D7">
        <w:fldChar w:fldCharType="separate"/>
      </w:r>
      <w:r w:rsidR="004919F0" w:rsidRPr="001C45D7">
        <w:rPr>
          <w:noProof/>
        </w:rPr>
        <w:t>(Coleman,</w:t>
      </w:r>
      <w:r w:rsidR="00FA6558" w:rsidRPr="001C45D7">
        <w:rPr>
          <w:noProof/>
        </w:rPr>
        <w:t xml:space="preserve"> </w:t>
      </w:r>
      <w:r w:rsidR="004919F0" w:rsidRPr="001C45D7">
        <w:rPr>
          <w:noProof/>
        </w:rPr>
        <w:t>1988;</w:t>
      </w:r>
      <w:r w:rsidR="00FA6558" w:rsidRPr="001C45D7">
        <w:rPr>
          <w:noProof/>
        </w:rPr>
        <w:t xml:space="preserve"> </w:t>
      </w:r>
      <w:r w:rsidR="004919F0" w:rsidRPr="001C45D7">
        <w:rPr>
          <w:noProof/>
        </w:rPr>
        <w:t>Granovetter,</w:t>
      </w:r>
      <w:r w:rsidR="00FA6558" w:rsidRPr="001C45D7">
        <w:rPr>
          <w:noProof/>
        </w:rPr>
        <w:t xml:space="preserve"> </w:t>
      </w:r>
      <w:r w:rsidR="004919F0" w:rsidRPr="001C45D7">
        <w:rPr>
          <w:noProof/>
        </w:rPr>
        <w:t>1992)</w:t>
      </w:r>
      <w:r w:rsidR="004919F0" w:rsidRPr="001C45D7">
        <w:fldChar w:fldCharType="end"/>
      </w:r>
      <w:r w:rsidR="004919F0" w:rsidRPr="001C45D7">
        <w:t>.</w:t>
      </w:r>
      <w:r w:rsidR="00FA6558" w:rsidRPr="001C45D7">
        <w:t xml:space="preserve"> </w:t>
      </w:r>
    </w:p>
    <w:p w14:paraId="50595E36" w14:textId="796630F7" w:rsidR="00413FE8" w:rsidRDefault="00413FE8" w:rsidP="00566B02">
      <w:pPr>
        <w:pStyle w:val="BodyText"/>
      </w:pPr>
      <w:bookmarkStart w:id="10" w:name="_Hlk49871327"/>
      <w:r w:rsidRPr="001C45D7">
        <w:t>Relational</w:t>
      </w:r>
      <w:r w:rsidR="00FA6558" w:rsidRPr="001C45D7">
        <w:t xml:space="preserve"> </w:t>
      </w:r>
      <w:r w:rsidR="000F2E33" w:rsidRPr="001C45D7">
        <w:t>governance</w:t>
      </w:r>
      <w:r w:rsidR="00FA6558" w:rsidRPr="001C45D7">
        <w:t xml:space="preserve"> </w:t>
      </w:r>
      <w:r w:rsidR="000F2E33" w:rsidRPr="001C45D7">
        <w:t>mitigates</w:t>
      </w:r>
      <w:r w:rsidR="00FA6558" w:rsidRPr="001C45D7">
        <w:t xml:space="preserve"> </w:t>
      </w:r>
      <w:r w:rsidR="000F2E33" w:rsidRPr="001C45D7">
        <w:t>partner</w:t>
      </w:r>
      <w:r w:rsidR="00FA6558" w:rsidRPr="001C45D7">
        <w:t xml:space="preserve"> </w:t>
      </w:r>
      <w:r w:rsidRPr="001C45D7">
        <w:t>opportunism</w:t>
      </w:r>
      <w:r w:rsidR="00FA6558" w:rsidRPr="001C45D7">
        <w:t xml:space="preserve"> </w:t>
      </w:r>
      <w:r w:rsidRPr="001C45D7">
        <w:t>in</w:t>
      </w:r>
      <w:r w:rsidR="00FA6558" w:rsidRPr="001C45D7">
        <w:t xml:space="preserve"> </w:t>
      </w:r>
      <w:r w:rsidR="00422C95" w:rsidRPr="001C45D7">
        <w:t xml:space="preserve">the </w:t>
      </w:r>
      <w:r w:rsidRPr="001C45D7">
        <w:t>following</w:t>
      </w:r>
      <w:r w:rsidR="00FA6558" w:rsidRPr="001C45D7">
        <w:t xml:space="preserve"> </w:t>
      </w:r>
      <w:r w:rsidRPr="001C45D7">
        <w:t>ways.</w:t>
      </w:r>
      <w:r w:rsidR="00FA6558" w:rsidRPr="001C45D7">
        <w:t xml:space="preserve"> </w:t>
      </w:r>
      <w:r w:rsidRPr="001C45D7">
        <w:t>First,</w:t>
      </w:r>
      <w:r w:rsidR="00FA6558" w:rsidRPr="001C45D7">
        <w:t xml:space="preserve"> </w:t>
      </w:r>
      <w:r w:rsidR="000F2E33" w:rsidRPr="001C45D7">
        <w:t>forming</w:t>
      </w:r>
      <w:r w:rsidR="00FA6558" w:rsidRPr="001C45D7">
        <w:t xml:space="preserve"> </w:t>
      </w:r>
      <w:r w:rsidR="000F2E33" w:rsidRPr="001C45D7">
        <w:t>a</w:t>
      </w:r>
      <w:r w:rsidR="00FA6558" w:rsidRPr="001C45D7">
        <w:t xml:space="preserve"> </w:t>
      </w:r>
      <w:r w:rsidR="000F2E33" w:rsidRPr="001C45D7">
        <w:t>closer</w:t>
      </w:r>
      <w:r w:rsidR="00FA6558" w:rsidRPr="001C45D7">
        <w:t xml:space="preserve"> </w:t>
      </w:r>
      <w:r w:rsidR="000F2E33" w:rsidRPr="001C45D7">
        <w:t>relationship</w:t>
      </w:r>
      <w:r w:rsidR="00FA6558" w:rsidRPr="001C45D7">
        <w:t xml:space="preserve"> </w:t>
      </w:r>
      <w:r w:rsidR="000423F6" w:rsidRPr="001C45D7">
        <w:t xml:space="preserve">through </w:t>
      </w:r>
      <w:r w:rsidR="000F2E33" w:rsidRPr="001C45D7">
        <w:t>repeated</w:t>
      </w:r>
      <w:r w:rsidR="00FA6558" w:rsidRPr="001C45D7">
        <w:t xml:space="preserve"> </w:t>
      </w:r>
      <w:r w:rsidR="000F2E33" w:rsidRPr="001C45D7">
        <w:t>interactions</w:t>
      </w:r>
      <w:r w:rsidR="00FA6558" w:rsidRPr="001C45D7">
        <w:t xml:space="preserve"> </w:t>
      </w:r>
      <w:r w:rsidRPr="001C45D7">
        <w:t>can</w:t>
      </w:r>
      <w:r w:rsidR="00FA6558" w:rsidRPr="001C45D7">
        <w:t xml:space="preserve"> </w:t>
      </w:r>
      <w:r w:rsidRPr="001C45D7">
        <w:t>provide</w:t>
      </w:r>
      <w:r w:rsidR="00FA6558" w:rsidRPr="001C45D7">
        <w:t xml:space="preserve"> </w:t>
      </w:r>
      <w:r w:rsidRPr="001C45D7">
        <w:t>a</w:t>
      </w:r>
      <w:r w:rsidR="00FA6558" w:rsidRPr="001C45D7">
        <w:t xml:space="preserve"> </w:t>
      </w:r>
      <w:r w:rsidRPr="001C45D7">
        <w:t>firm</w:t>
      </w:r>
      <w:r w:rsidR="00FA6558" w:rsidRPr="001C45D7">
        <w:t xml:space="preserve"> </w:t>
      </w:r>
      <w:r w:rsidR="00422C95" w:rsidRPr="001C45D7">
        <w:t xml:space="preserve">with </w:t>
      </w:r>
      <w:r w:rsidRPr="001C45D7">
        <w:t>information</w:t>
      </w:r>
      <w:r w:rsidR="00FA6558" w:rsidRPr="001C45D7">
        <w:t xml:space="preserve"> </w:t>
      </w:r>
      <w:r w:rsidRPr="001C45D7">
        <w:t>about</w:t>
      </w:r>
      <w:r w:rsidR="00FA6558" w:rsidRPr="001C45D7">
        <w:t xml:space="preserve"> </w:t>
      </w:r>
      <w:r w:rsidRPr="001C45D7">
        <w:t>others</w:t>
      </w:r>
      <w:r w:rsidR="00AC66EB" w:rsidRPr="001C45D7">
        <w:t>’</w:t>
      </w:r>
      <w:r w:rsidR="00FA6558" w:rsidRPr="001C45D7">
        <w:t xml:space="preserve"> </w:t>
      </w:r>
      <w:r w:rsidRPr="001C45D7">
        <w:t>incentives</w:t>
      </w:r>
      <w:r w:rsidR="00FA6558" w:rsidRPr="001C45D7">
        <w:t xml:space="preserve"> </w:t>
      </w:r>
      <w:r w:rsidRPr="001C45D7">
        <w:t>to</w:t>
      </w:r>
      <w:r w:rsidR="00FA6558" w:rsidRPr="001C45D7">
        <w:t xml:space="preserve"> </w:t>
      </w:r>
      <w:r w:rsidRPr="001C45D7">
        <w:t>behave</w:t>
      </w:r>
      <w:r w:rsidR="00FA6558" w:rsidRPr="001C45D7">
        <w:t xml:space="preserve"> </w:t>
      </w:r>
      <w:r w:rsidRPr="001C45D7">
        <w:t>opportunistically</w:t>
      </w:r>
      <w:r w:rsidR="00422C95" w:rsidRPr="001C45D7">
        <w:t>,</w:t>
      </w:r>
      <w:r w:rsidR="00FA6558" w:rsidRPr="001C45D7">
        <w:t xml:space="preserve"> </w:t>
      </w:r>
      <w:r w:rsidRPr="001C45D7">
        <w:t>enabling</w:t>
      </w:r>
      <w:r w:rsidR="00FA6558" w:rsidRPr="001C45D7">
        <w:t xml:space="preserve"> </w:t>
      </w:r>
      <w:r w:rsidRPr="001C45D7">
        <w:t>it</w:t>
      </w:r>
      <w:r w:rsidR="00FA6558" w:rsidRPr="001C45D7">
        <w:t xml:space="preserve"> </w:t>
      </w:r>
      <w:r w:rsidRPr="001C45D7">
        <w:t>to</w:t>
      </w:r>
      <w:r w:rsidR="00FA6558" w:rsidRPr="001C45D7">
        <w:t xml:space="preserve"> </w:t>
      </w:r>
      <w:r w:rsidR="00422C95" w:rsidRPr="001C45D7">
        <w:t xml:space="preserve">develop an </w:t>
      </w:r>
      <w:r w:rsidRPr="001C45D7">
        <w:t>effective</w:t>
      </w:r>
      <w:r w:rsidR="00FA6558" w:rsidRPr="001C45D7">
        <w:t xml:space="preserve"> </w:t>
      </w:r>
      <w:r w:rsidRPr="001C45D7">
        <w:t>mitigation</w:t>
      </w:r>
      <w:r w:rsidR="00FA6558" w:rsidRPr="001C45D7">
        <w:t xml:space="preserve"> </w:t>
      </w:r>
      <w:r w:rsidRPr="001C45D7">
        <w:t>strategy</w:t>
      </w:r>
      <w:r w:rsidR="00FA6558" w:rsidRPr="001C45D7">
        <w:t xml:space="preserve"> </w:t>
      </w:r>
      <w:r w:rsidR="000F2E33" w:rsidRPr="001C45D7">
        <w:fldChar w:fldCharType="begin" w:fldLock="1"/>
      </w:r>
      <w:r w:rsidR="00433778" w:rsidRPr="001C45D7">
        <w:instrText>ADDIN CSL_CITATION {"citationItems":[{"id":"ITEM-1","itemData":{"DOI":"10.5465/AMJ.2007.28225983","ISSN":"00014273","abstract":"Drawing on the concept of relational embeddedness and the associated mechanisms of mutual understanding, trust, and commitment, we examine how leaders' prior exchange experiences influence the likelihood of subsequent interorganizational exchange. We begin to develop a microlevel model of organization-level relations that accounts for nodal multiplexity. In data on baseball player trades, we found that individual leaders' ties affected exchanges less than did an organization's other ties. The sharing of exchange experiences by organizations and their current leaders increased the influences of those experiences on exchange behavior. Thus, leaders have more influence within their organizational contexts than in isolation. Copyright of the Academy of Management, all rights reserved.","author":[{"dropping-particle":"","family":"Barden","given":"Jeffrey Q.","non-dropping-particle":"","parse-names":false,"suffix":""},{"dropping-particle":"","family":"Mitchell","given":"Will","non-dropping-particle":"","parse-names":false,"suffix":""}],"container-title":"Academy of Management Journal","id":"ITEM-1","issue":"6","issued":{"date-parts":[["2007"]]},"page":"1440-1461","publisher":"Academy of Management","title":"Disentangling the influences of leaders' relational embeddedness on interorganizational exchange","type":"article-journal","volume":"50"},"uris":["http://www.mendeley.com/documents/?uuid=55ec0179-6e09-3d45-a0ed-607a2d2bbafc"]},{"id":"ITEM-2","itemData":{"DOI":"10.1108/eb013318","ISSN":"17586720","abstract":"Analysis of organizational decline has become central to the study of economy and society. Further advances in this area may fail however, because two major literatures on the topic remain disintegrated and because both lack a sophisticated account of how social structure and interdependencies among organizations affect decline. This paper develops a perspective which tries to overcome these problems. The perspective explains decline through an understanding of how social ties and resource dependencies among firms affect market structure and the resulting behavior of firms within it. Evidence is furnished that supports the assumptions of the perspective and provides a basis for specifying propositions about the effect of network structure on organizational survival. I conclude by discussing the perspective's implications for organizational theory and economic sociology. © 1997, MCB UP Limited","author":[{"dropping-particle":"","family":"Uzzi","given":"Brian","non-dropping-particle":"","parse-names":false,"suffix":""}],"container-title":"International Journal of Sociology and Social Policy","id":"ITEM-2","issued":{"date-parts":[["1997","7","1"]]},"page":"111-155","title":"Towards A Network Perspective On Organizational Decline","type":"article","volume":"17"},"uris":["http://www.mendeley.com/documents/?uuid=8c246c3a-8ff7-372a-8fe0-414b8a002a76"]}],"mendeley":{"formattedCitation":"(Barden and Mitchell, 2007; Uzzi, 1997)","manualFormatting":"(Uzzi, 1997)","plainTextFormattedCitation":"(Barden and Mitchell, 2007; Uzzi, 1997)","previouslyFormattedCitation":"(Barden and Mitchell, 2007; Uzzi, 1997)"},"properties":{"noteIndex":0},"schema":"https://github.com/citation-style-language/schema/raw/master/csl-citation.json"}</w:instrText>
      </w:r>
      <w:r w:rsidR="000F2E33" w:rsidRPr="001C45D7">
        <w:fldChar w:fldCharType="separate"/>
      </w:r>
      <w:r w:rsidR="00FC1A73" w:rsidRPr="001C45D7">
        <w:rPr>
          <w:rFonts w:eastAsiaTheme="minorEastAsia" w:hint="eastAsia"/>
          <w:noProof/>
          <w:lang w:eastAsia="ko-KR"/>
        </w:rPr>
        <w:t>(</w:t>
      </w:r>
      <w:r w:rsidR="004A2B48" w:rsidRPr="001C45D7">
        <w:rPr>
          <w:noProof/>
        </w:rPr>
        <w:t>Uzzi, 1997)</w:t>
      </w:r>
      <w:r w:rsidR="000F2E33" w:rsidRPr="001C45D7">
        <w:fldChar w:fldCharType="end"/>
      </w:r>
      <w:r w:rsidRPr="001C45D7">
        <w:t>.</w:t>
      </w:r>
      <w:r w:rsidR="00FA6558" w:rsidRPr="001C45D7">
        <w:t xml:space="preserve"> </w:t>
      </w:r>
      <w:r w:rsidRPr="001C45D7">
        <w:t>Second,</w:t>
      </w:r>
      <w:r w:rsidR="00FA6558" w:rsidRPr="001C45D7">
        <w:t xml:space="preserve"> </w:t>
      </w:r>
      <w:r w:rsidR="000F2E33" w:rsidRPr="001C45D7">
        <w:t>relational</w:t>
      </w:r>
      <w:r w:rsidR="00FA6558" w:rsidRPr="001C45D7">
        <w:t xml:space="preserve"> </w:t>
      </w:r>
      <w:r w:rsidR="000F2E33" w:rsidRPr="001C45D7">
        <w:t>outputs</w:t>
      </w:r>
      <w:r w:rsidR="00FA6558" w:rsidRPr="001C45D7">
        <w:t xml:space="preserve"> </w:t>
      </w:r>
      <w:r w:rsidR="000F2E33" w:rsidRPr="001C45D7">
        <w:t>of</w:t>
      </w:r>
      <w:r w:rsidR="00FA6558" w:rsidRPr="001C45D7">
        <w:t xml:space="preserve"> </w:t>
      </w:r>
      <w:r w:rsidR="000F2E33" w:rsidRPr="001C45D7">
        <w:t>positive</w:t>
      </w:r>
      <w:r w:rsidR="00FA6558" w:rsidRPr="001C45D7">
        <w:t xml:space="preserve"> </w:t>
      </w:r>
      <w:r w:rsidR="000F2E33" w:rsidRPr="001C45D7">
        <w:t>repeated</w:t>
      </w:r>
      <w:r w:rsidR="00FA6558" w:rsidRPr="001C45D7">
        <w:t xml:space="preserve"> </w:t>
      </w:r>
      <w:r w:rsidR="000F2E33" w:rsidRPr="001C45D7">
        <w:t>interactions</w:t>
      </w:r>
      <w:r w:rsidR="00422C95" w:rsidRPr="001C45D7">
        <w:t>,</w:t>
      </w:r>
      <w:r w:rsidR="00FA6558" w:rsidRPr="001C45D7">
        <w:t xml:space="preserve"> </w:t>
      </w:r>
      <w:r w:rsidR="000F2E33" w:rsidRPr="001C45D7">
        <w:t>such</w:t>
      </w:r>
      <w:r w:rsidR="00FA6558" w:rsidRPr="001C45D7">
        <w:t xml:space="preserve"> </w:t>
      </w:r>
      <w:r w:rsidR="00422C95" w:rsidRPr="001C45D7">
        <w:t xml:space="preserve">as </w:t>
      </w:r>
      <w:r w:rsidRPr="001C45D7">
        <w:t>trust</w:t>
      </w:r>
      <w:r w:rsidR="00FA6558" w:rsidRPr="001C45D7">
        <w:t xml:space="preserve"> </w:t>
      </w:r>
      <w:r w:rsidR="00642AA2" w:rsidRPr="001C45D7">
        <w:fldChar w:fldCharType="begin" w:fldLock="1"/>
      </w:r>
      <w:r w:rsidR="00433778" w:rsidRPr="001C45D7">
        <w:instrText>ADDIN CSL_CITATION {"citationItems":[{"id":"ITEM-1","itemData":{"DOI":"10.1177/000169939203500101","ISSN":"15023869","abstract":"Institutional economics has moved from a position, earlier in the twentieth century, of drawing eclectically on several other disciplines, to a stance of building its arguments almost entirely out of neoclassical materials This paper argues that such a stance cannot provide a persuasive account of economic institutions, and suggests a broader toundation based on classical sociological arguments about the embeddedness of economic goals and activities in socially oriented goals and structures Emphasis is placed on how economic activity comes to be coordinated by groups of people rather than carried out by isolated individuals Firms in developing countries, busmess groups, and the origins of the electrical utility industry in the United States are posed as cases of the ‘social construction of economic institutions’ It is argued that, although proper analysis of such cases involves a high level of contingency. these contingencies can be taken into account in a systematic theoretical argument, and that historicist pitfalls can be avoided Such an argument is posed as the distinctive agenda for a new economic sociology. © 1992, Sage Publications. All rights reserved.","author":[{"dropping-particle":"","family":"Granovetter","given":"Mark","non-dropping-particle":"","parse-names":false,"suffix":""}],"container-title":"Acta Sociologica","id":"ITEM-1","issue":"1","issued":{"date-parts":[["1992"]]},"page":"3-11","title":"Economic Institutions as Social Constructions: A Framework for Analysis","type":"article-journal","volume":"35"},"uris":["http://www.mendeley.com/documents/?uuid=11353a4d-a778-393d-8aa8-83c9c8f1f046"]},{"id":"ITEM-2","itemData":{"DOI":"10.1016/j.jom.2009.12.001","ISSN":"02726963","abstract":"In this study, we examined the effect of relational norms and agent cooperativeness on opportunism in buyer-supplier relationships. Drawing from the theoretical grounding of transaction cost economics, personality trait theory, and contingency theory, we proposed three distinct perspectives on opportunism mitigation in buyer-supplier relationships: (1) organizationalist, (2) individualist, and (3) interactionist, where relational norms, agent cooperativeness, and the interaction between them, respectively, serve as the key predictors in these three perspectives. The results of replicated experiments indicated that relational norms and agent cooperativeness interact with each other in mitigating opportunism and that the interactionist perspective yielded the highest explained variance in opportunism. This suggests that the interactionist perspective, a multi-level theoretical lens encompassing the dynamic interplay between organization-level and individual-level factors, was a more complete model in explaining opportunism than either the organizationalist or individualist perspectives. The consensus which emerged from post-experimental interviews of purchasing professionals is that agent personalities play an important role in buyer-supplier relationships. Some purchasing professionals had observed that uncooperative agents or personnel turnover in the boundary-spanning functions can substantially undermine even established relational exchanges. These qualitative findings are in line with our theoretical arguments and experimental outcomes. © 2009 Elsevier B.V. All rights reserved.","author":[{"dropping-particle":"","family":"Tangpong","given":"Chanchai","non-dropping-particle":"","parse-names":false,"suffix":""},{"dropping-particle":"","family":"Hung","given":"Kuo Ting","non-dropping-particle":"","parse-names":false,"suffix":""},{"dropping-particle":"","family":"Ro","given":"Young K.","non-dropping-particle":"","parse-names":false,"suffix":""}],"container-title":"Journal of Operations Management","id":"ITEM-2","issue":"5","issued":{"date-parts":[["2010","9"]]},"page":"398-414","title":"The interaction effect of relational norms and agent cooperativeness on opportunism in buyer-supplier relationships","type":"article-journal","volume":"28"},"uris":["http://www.mendeley.com/documents/?uuid=0bbd6ffc-55dc-3da4-8334-29af3f2dfab3"]},{"id":"ITEM-3","itemData":{"DOI":"10.1177/002224299706100102","ISSN":"0022-2429","abstract":"Selling alliances that are formed to cooperatively develop and maintain customer relationships are among the new organizational forms that marketing managers utilize for competitive advantage. To b...","author":[{"dropping-particle":"","family":"Smith","given":"J. Brock","non-dropping-particle":"","parse-names":false,"suffix":""},{"dropping-particle":"","family":"Barclay","given":"Donald W.","non-dropping-particle":"","parse-names":false,"suffix":""}],"container-title":"Journal of Marketing","id":"ITEM-3","issue":"1","issued":{"date-parts":[["1997","1"]]},"page":"3-21","publisher":"SAGE Publications","title":"The Effects of Organizational Differences and Trust on the Effectiveness of Selling Partner Relationships","type":"article-journal","volume":"61"},"uris":["http://www.mendeley.com/documents/?uuid=b581f7a1-eb6e-3fa2-85a0-0ade6e61f5a5"]},{"id":"ITEM-4","itemData":{"DOI":"10.1016/j.ijpe.2016.05.005","ISSN":"09255273","abstract":"Social capital theory has received increasing attention as a lens through which to examine supply chain relationships and the value creation process. Despite the growing application of social capital and its three dimensions, namely cognitive, structural and relational capital, to inter-organizational research, few studies in reality have taken a dyadic perspective. Using a paired sample of retailer-supplier relationships from Korean fast-moving consumer goods sector, we explore the configuration of social capital dimensions, and the impact on strategic and operational performance. The results suggest three clusters of relationships, which differ significantly on at least two of the dimensions of social capital. Furthermore, these clusters show considerable differences with respect to both operational and strategic performance, particularly at the lower levels of social capital. We also examine the impact of a disparity between the retailer and supplier with respect to different dimensions of social capital, henceforth called dissonance. Of the four clusters that emerge, interestingly, only dissonance on the cognitive dimension is related to lower operational and strategic relationship performance. In investigating the implications of dissonance for the retailer and supplier individually, our results suggest that performance differs based on the magnitude and direction of the dissonance. Our results show that consequences of having social capital or not are not necessarily the same for the retailer and the supplier.","author":[{"dropping-particle":"","family":"Son","given":"Byung Gak","non-dropping-particle":"","parse-names":false,"suffix":""},{"dropping-particle":"","family":"Kocabasoglu-Hillmer","given":"Canan","non-dropping-particle":"","parse-names":false,"suffix":""},{"dropping-particle":"","family":"Roden","given":"Sinéad","non-dropping-particle":"","parse-names":false,"suffix":""}],"container-title":"International Journal of Production Economics","id":"ITEM-4","issued":{"date-parts":[["2016","8","1"]]},"page":"120-131","publisher":"Elsevier B.V.","title":"A dyadic perspective on retailer-supplier relationships through the lens of social capital","type":"article-journal","volume":"178"},"uris":["http://www.mendeley.com/documents/?uuid=e98a8038-1c07-3ff4-850f-df2acc8dec1f"]}],"mendeley":{"formattedCitation":"(Granovetter, 1992; Smith and Barclay, 1997; Son &lt;i&gt;et al.&lt;/i&gt;, 2016; Tangpong &lt;i&gt;et al.&lt;/i&gt;, 2010)","manualFormatting":"(Granovetter, 1992; Tangpong et al., 2010; Son et al., 2016)","plainTextFormattedCitation":"(Granovetter, 1992; Smith and Barclay, 1997; Son et al., 2016; Tangpong et al., 2010)","previouslyFormattedCitation":"(Granovetter, 1992; Smith and Barclay, 1997; Son &lt;i&gt;et al.&lt;/i&gt;, 2016; Tangpong &lt;i&gt;et al.&lt;/i&gt;, 2010)"},"properties":{"noteIndex":0},"schema":"https://github.com/citation-style-language/schema/raw/master/csl-citation.json"}</w:instrText>
      </w:r>
      <w:r w:rsidR="00642AA2" w:rsidRPr="001C45D7">
        <w:fldChar w:fldCharType="separate"/>
      </w:r>
      <w:r w:rsidR="00881C19" w:rsidRPr="001C45D7">
        <w:rPr>
          <w:noProof/>
        </w:rPr>
        <w:t>(Granovetter,</w:t>
      </w:r>
      <w:r w:rsidR="00FA6558" w:rsidRPr="001C45D7">
        <w:rPr>
          <w:noProof/>
        </w:rPr>
        <w:t xml:space="preserve"> </w:t>
      </w:r>
      <w:r w:rsidR="00881C19" w:rsidRPr="001C45D7">
        <w:rPr>
          <w:noProof/>
        </w:rPr>
        <w:t>1992;</w:t>
      </w:r>
      <w:r w:rsidR="00FA6558" w:rsidRPr="001C45D7">
        <w:rPr>
          <w:noProof/>
        </w:rPr>
        <w:t xml:space="preserve"> </w:t>
      </w:r>
      <w:r w:rsidR="00881C19" w:rsidRPr="001C45D7">
        <w:rPr>
          <w:noProof/>
        </w:rPr>
        <w:t>Tangpong</w:t>
      </w:r>
      <w:r w:rsidR="00422C95" w:rsidRPr="001C45D7">
        <w:rPr>
          <w:noProof/>
        </w:rPr>
        <w:t xml:space="preserve"> </w:t>
      </w:r>
      <w:r w:rsidR="00422C95" w:rsidRPr="001C45D7">
        <w:rPr>
          <w:i/>
          <w:noProof/>
        </w:rPr>
        <w:t>et al</w:t>
      </w:r>
      <w:r w:rsidR="00422C95" w:rsidRPr="001C45D7">
        <w:rPr>
          <w:noProof/>
        </w:rPr>
        <w:t>.</w:t>
      </w:r>
      <w:r w:rsidR="00881C19" w:rsidRPr="001C45D7">
        <w:rPr>
          <w:noProof/>
        </w:rPr>
        <w:t>,</w:t>
      </w:r>
      <w:r w:rsidR="00FA6558" w:rsidRPr="001C45D7">
        <w:rPr>
          <w:noProof/>
        </w:rPr>
        <w:t xml:space="preserve"> </w:t>
      </w:r>
      <w:r w:rsidR="00881C19" w:rsidRPr="001C45D7">
        <w:rPr>
          <w:noProof/>
        </w:rPr>
        <w:t>2010;</w:t>
      </w:r>
      <w:r w:rsidR="00FA6558" w:rsidRPr="001C45D7">
        <w:rPr>
          <w:noProof/>
        </w:rPr>
        <w:t xml:space="preserve"> </w:t>
      </w:r>
      <w:r w:rsidR="00881C19" w:rsidRPr="001C45D7">
        <w:rPr>
          <w:noProof/>
        </w:rPr>
        <w:t>Son</w:t>
      </w:r>
      <w:r w:rsidR="00422C95" w:rsidRPr="001C45D7">
        <w:rPr>
          <w:noProof/>
        </w:rPr>
        <w:t xml:space="preserve"> </w:t>
      </w:r>
      <w:r w:rsidR="00422C95" w:rsidRPr="001C45D7">
        <w:rPr>
          <w:i/>
          <w:noProof/>
        </w:rPr>
        <w:t>et al</w:t>
      </w:r>
      <w:r w:rsidR="00422C95" w:rsidRPr="001C45D7">
        <w:rPr>
          <w:noProof/>
        </w:rPr>
        <w:t>.</w:t>
      </w:r>
      <w:r w:rsidR="00881C19" w:rsidRPr="001C45D7">
        <w:rPr>
          <w:noProof/>
        </w:rPr>
        <w:t>,</w:t>
      </w:r>
      <w:r w:rsidR="00FA6558" w:rsidRPr="001C45D7">
        <w:rPr>
          <w:noProof/>
        </w:rPr>
        <w:t xml:space="preserve"> </w:t>
      </w:r>
      <w:r w:rsidR="00881C19" w:rsidRPr="001C45D7">
        <w:rPr>
          <w:noProof/>
        </w:rPr>
        <w:t>2016)</w:t>
      </w:r>
      <w:r w:rsidR="00642AA2" w:rsidRPr="001C45D7">
        <w:fldChar w:fldCharType="end"/>
      </w:r>
      <w:r w:rsidR="00FA6558" w:rsidRPr="001C45D7">
        <w:t xml:space="preserve"> </w:t>
      </w:r>
      <w:r w:rsidR="006E4120" w:rsidRPr="001C45D7">
        <w:t xml:space="preserve">can </w:t>
      </w:r>
      <w:r w:rsidRPr="001C45D7">
        <w:t>alleviate</w:t>
      </w:r>
      <w:r w:rsidR="00FA6558" w:rsidRPr="001C45D7">
        <w:t xml:space="preserve"> </w:t>
      </w:r>
      <w:r w:rsidRPr="001C45D7">
        <w:t>fears</w:t>
      </w:r>
      <w:r w:rsidR="00FA6558" w:rsidRPr="001C45D7">
        <w:t xml:space="preserve"> </w:t>
      </w:r>
      <w:r w:rsidRPr="001C45D7">
        <w:t>of</w:t>
      </w:r>
      <w:r w:rsidR="00FA6558" w:rsidRPr="001C45D7">
        <w:t xml:space="preserve"> </w:t>
      </w:r>
      <w:r w:rsidRPr="001C45D7">
        <w:t>opportunism</w:t>
      </w:r>
      <w:r w:rsidR="00FA6558" w:rsidRPr="001C45D7">
        <w:t xml:space="preserve"> </w:t>
      </w:r>
      <w:r w:rsidRPr="001C45D7">
        <w:t>in</w:t>
      </w:r>
      <w:r w:rsidR="00FA6558" w:rsidRPr="001C45D7">
        <w:t xml:space="preserve"> </w:t>
      </w:r>
      <w:r w:rsidRPr="001C45D7">
        <w:t>the</w:t>
      </w:r>
      <w:r w:rsidR="00FA6558" w:rsidRPr="001C45D7">
        <w:t xml:space="preserve"> </w:t>
      </w:r>
      <w:r w:rsidRPr="001C45D7">
        <w:t>relationship</w:t>
      </w:r>
      <w:r w:rsidR="0068767C" w:rsidRPr="001C45D7">
        <w:t>,</w:t>
      </w:r>
      <w:r w:rsidR="00FA6558" w:rsidRPr="001C45D7">
        <w:t xml:space="preserve"> </w:t>
      </w:r>
      <w:r w:rsidR="0068767C" w:rsidRPr="001C45D7">
        <w:t>therefore</w:t>
      </w:r>
      <w:r w:rsidR="00FA6558" w:rsidRPr="001C45D7">
        <w:t xml:space="preserve"> </w:t>
      </w:r>
      <w:r w:rsidRPr="001C45D7">
        <w:t>foster</w:t>
      </w:r>
      <w:r w:rsidR="0068767C" w:rsidRPr="001C45D7">
        <w:t>ing</w:t>
      </w:r>
      <w:r w:rsidR="00FA6558" w:rsidRPr="001C45D7">
        <w:t xml:space="preserve"> </w:t>
      </w:r>
      <w:r w:rsidRPr="001C45D7">
        <w:t>a</w:t>
      </w:r>
      <w:r w:rsidR="00FA6558" w:rsidRPr="001C45D7">
        <w:t xml:space="preserve"> </w:t>
      </w:r>
      <w:r w:rsidRPr="001C45D7">
        <w:t>sense</w:t>
      </w:r>
      <w:r w:rsidR="00FA6558" w:rsidRPr="001C45D7">
        <w:t xml:space="preserve"> </w:t>
      </w:r>
      <w:r w:rsidRPr="001C45D7">
        <w:t>of</w:t>
      </w:r>
      <w:r w:rsidR="00FA6558" w:rsidRPr="001C45D7">
        <w:t xml:space="preserve"> </w:t>
      </w:r>
      <w:r w:rsidRPr="001C45D7">
        <w:t>openness</w:t>
      </w:r>
      <w:r w:rsidR="00FA6558" w:rsidRPr="001C45D7">
        <w:t xml:space="preserve"> </w:t>
      </w:r>
      <w:r w:rsidRPr="001C45D7">
        <w:t>and</w:t>
      </w:r>
      <w:r w:rsidR="00FA6558" w:rsidRPr="001C45D7">
        <w:t xml:space="preserve"> </w:t>
      </w:r>
      <w:r w:rsidRPr="001C45D7">
        <w:t>reciprocity</w:t>
      </w:r>
      <w:r w:rsidR="00FA6558" w:rsidRPr="001C45D7">
        <w:t xml:space="preserve"> </w:t>
      </w:r>
      <w:r w:rsidR="00853E88" w:rsidRPr="001C45D7">
        <w:fldChar w:fldCharType="begin" w:fldLock="1"/>
      </w:r>
      <w:r w:rsidR="006E4923" w:rsidRPr="001C45D7">
        <w:instrText>ADDIN CSL_CITATION {"citationItems":[{"id":"ITEM-1","itemData":{"DOI":"10.1002/(SICI)1097-0266(200003)21:3&lt;217::AID-SMJ95&gt;3.0.CO;2-Y","ISSN":"01432095","abstract":"One of the main reasons that firms participate in alliances is to learn know-how and capabilities from their alliance partners. At the same time firms want to protect themselves from the opportunistic behavior of their partner to retain their own core proprietary assets. Most research has generally viewed the achievement of these objectives as mutually exclusive. In contrast, we provide empirical evidence using large-sample survey data to show that when firms build relational capital in conjunction with an integrative approach to managing conflict, they are able to achieve both objectives simultaneously. Relational capital based on mutual trust and interaction at the individual level between alliance partners creates a basis for learning and know-how transfer across the exchange interface. At the same time, it curbs opportunistic behavior of alliance partners, thus preventing the leakage of critical know-how between them. Copyright © 2000 John Wiley &amp; Sons, Ltd.","author":[{"dropping-particle":"","family":"Kale","given":"Prashant","non-dropping-particle":"","parse-names":false,"suffix":""},{"dropping-particle":"","family":"Singh","given":"Harbir","non-dropping-particle":"","parse-names":false,"suffix":""},{"dropping-particle":"","family":"Perlmutter","given":"Howard","non-dropping-particle":"","parse-names":false,"suffix":""}],"container-title":"Strategic Management Journal","id":"ITEM-1","issue":"3","issued":{"date-parts":[["2000"]]},"page":"217-237","publisher":"John Wiley and Sons Inc.","title":"Learning and protection of proprietary assets in strategic alliances: Building relational capital","type":"article-journal","volume":"21"},"uris":["http://www.mendeley.com/documents/?uuid=2e02a359-446d-336d-82c5-ddcf20f04ce1"]},{"id":"ITEM-2","itemData":{"DOI":"10.5465/257085","ISSN":"0001-4273","abstract":"Social sciences researchers commend the scientists in the field of natural science for their history of replication and reproduction of scientific research. Such advocates for replication warn that business research is frequently built on a foundation that is ever evolving and necessitates the replicating of theoretical work. Following this logic, this paper is a replication of the celebrated 1998 article by Tsai and Ghoshal, Social capital and value creation: The role of intrafirm networks. Replication was conducted utilizing Structural Equation Modeling. The data was collected by the original researchers through a survey administered by mail. The survey comprised questions rated using a Likert scale. Findings mostly support Tsai and Ghoshal's results with the exception of the relationships among constructs measuring trustworthiness, resource combination and sharing, and product innovation. Utilizing the before-mentioned constructs and the same analysis as Tsai and Ghoshal--structural equation modeling (SEM); the replicated model presented in this paper shows a non-recursive relationship versus Tsai and Ghoshal's recursive model. All in all, we contend that the replicated model presented in this paper agrees with current literature and is a more comprehensive model than the one offered by Tsai and Ghoshal.","author":[{"dropping-particle":"","family":"Tsai","given":"Wenpin","non-dropping-particle":"","parse-names":false,"suffix":""},{"dropping-particle":"","family":"Ghoshal","given":"Sumantra","non-dropping-particle":"","parse-names":false,"suffix":""}],"container-title":"Academy of management Journal","id":"ITEM-2","issue":"4","issued":{"date-parts":[["1998","8"]]},"page":"464-476","publisher":"Academy of Management","title":"Social capital and value creation: The role of intrafirm networks","type":"article-journal","volume":"41"},"uris":["http://www.mendeley.com/documents/?uuid=68f3a853-4d1d-47e0-9bf1-9ec072e13256"]},{"id":"ITEM-3","itemData":{"DOI":"10.1287/orsc.9.2.141","ISSN":"10477039","abstract":"A conceptual challenge in exploring the role of trust in interorganizational exchange is translating an inherently individual-level concept - trust - to the organizational-level outcome of performance. We define interpersonal and interorganizational trust as distinct constructs and draw on theories of interorganizational relations to derive a model of exchange performance. Specifically, we investigate the role of trust in interfirm exchange at two levels of analysis and assess its effects on negotiation costs, conflict, and ultimately performance. Propositions were tested with data from a sample of 107 buyer-supplier interfirm relationships in the electrical equipment manufacturing industry using a structural equation model. The results indicate that interpersonal and interorganizational trust are related but distinct constructs, and play different roles in affecting negotiation processes and exchange performance. Further, the hypotheses linking trust to performance receive some support, although the precise nature of the link is somewhat different than initially proposed. Overall, the results show that trust in interorganizational exchange relations clearly matters.","author":[{"dropping-particle":"","family":"Zaheer","given":"Akbar","non-dropping-particle":"","parse-names":false,"suffix":""},{"dropping-particle":"","family":"McEvily","given":"Bill","non-dropping-particle":"","parse-names":false,"suffix":""},{"dropping-particle":"","family":"Perrone","given":"Vincenzo","non-dropping-particle":"","parse-names":false,"suffix":""}],"container-title":"Organization Science","id":"ITEM-3","issue":"2","issued":{"date-parts":[["1998"]]},"page":"141-159","publisher":"INFORMS Inst.for Operations Res.and the Management Sciences","title":"Does Trust Matter? Exploring the Effects of Interorganizational and Interpersonal Trust on Performance","type":"article-journal","volume":"9"},"uris":["http://www.mendeley.com/documents/?uuid=0fa20734-8073-3b14-9e3c-76095b43e763"]}],"mendeley":{"formattedCitation":"(Kale &lt;i&gt;et al.&lt;/i&gt;, 2000; Tsai and Ghoshal, 1998; Zaheer &lt;i&gt;et al.&lt;/i&gt;, 1998)","manualFormatting":"(Tsai and Ghoshal, 1998b; Zaheer et al., 1998)","plainTextFormattedCitation":"(Kale et al., 2000; Tsai and Ghoshal, 1998; Zaheer et al., 1998)","previouslyFormattedCitation":"(Kale &lt;i&gt;et al.&lt;/i&gt;, 2000; Tsai and Ghoshal, 1998; Zaheer &lt;i&gt;et al.&lt;/i&gt;, 1998)"},"properties":{"noteIndex":0},"schema":"https://github.com/citation-style-language/schema/raw/master/csl-citation.json"}</w:instrText>
      </w:r>
      <w:r w:rsidR="00853E88" w:rsidRPr="001C45D7">
        <w:fldChar w:fldCharType="separate"/>
      </w:r>
      <w:r w:rsidR="00881C19" w:rsidRPr="001C45D7">
        <w:rPr>
          <w:noProof/>
        </w:rPr>
        <w:t>(Tsai</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Ghoshal,</w:t>
      </w:r>
      <w:r w:rsidR="00FA6558" w:rsidRPr="001C45D7">
        <w:rPr>
          <w:noProof/>
        </w:rPr>
        <w:t xml:space="preserve"> </w:t>
      </w:r>
      <w:r w:rsidR="00881C19" w:rsidRPr="001C45D7">
        <w:rPr>
          <w:noProof/>
        </w:rPr>
        <w:t>1998b;</w:t>
      </w:r>
      <w:r w:rsidR="00FA6558" w:rsidRPr="001C45D7">
        <w:rPr>
          <w:noProof/>
        </w:rPr>
        <w:t xml:space="preserve"> </w:t>
      </w:r>
      <w:r w:rsidR="00881C19" w:rsidRPr="001C45D7">
        <w:rPr>
          <w:noProof/>
        </w:rPr>
        <w:t>Zaheer</w:t>
      </w:r>
      <w:r w:rsidR="00422C95" w:rsidRPr="001C45D7">
        <w:rPr>
          <w:noProof/>
        </w:rPr>
        <w:t xml:space="preserve"> </w:t>
      </w:r>
      <w:r w:rsidR="00422C95" w:rsidRPr="001C45D7">
        <w:rPr>
          <w:i/>
          <w:noProof/>
        </w:rPr>
        <w:t>et al</w:t>
      </w:r>
      <w:r w:rsidR="00422C95" w:rsidRPr="001C45D7">
        <w:rPr>
          <w:noProof/>
        </w:rPr>
        <w:t>.</w:t>
      </w:r>
      <w:r w:rsidR="00881C19" w:rsidRPr="001C45D7">
        <w:rPr>
          <w:noProof/>
        </w:rPr>
        <w:t>,</w:t>
      </w:r>
      <w:r w:rsidR="00FA6558" w:rsidRPr="001C45D7">
        <w:rPr>
          <w:noProof/>
        </w:rPr>
        <w:t xml:space="preserve"> </w:t>
      </w:r>
      <w:r w:rsidR="00881C19" w:rsidRPr="001C45D7">
        <w:rPr>
          <w:noProof/>
        </w:rPr>
        <w:t>1998)</w:t>
      </w:r>
      <w:r w:rsidR="00853E88" w:rsidRPr="001C45D7">
        <w:fldChar w:fldCharType="end"/>
      </w:r>
      <w:r w:rsidR="00853E88" w:rsidRPr="001C45D7">
        <w:t>.</w:t>
      </w:r>
      <w:r w:rsidR="00FA6558" w:rsidRPr="001C45D7">
        <w:t xml:space="preserve"> </w:t>
      </w:r>
      <w:r w:rsidRPr="001C45D7">
        <w:t>Similarly</w:t>
      </w:r>
      <w:r w:rsidR="000F2E33" w:rsidRPr="001C45D7">
        <w:t>,</w:t>
      </w:r>
      <w:r w:rsidR="00FA6558" w:rsidRPr="001C45D7">
        <w:t xml:space="preserve"> </w:t>
      </w:r>
      <w:r w:rsidRPr="001C45D7">
        <w:t>commitment</w:t>
      </w:r>
      <w:r w:rsidR="00FA6558" w:rsidRPr="001C45D7">
        <w:t xml:space="preserve"> </w:t>
      </w:r>
      <w:r w:rsidRPr="001C45D7">
        <w:t>and</w:t>
      </w:r>
      <w:r w:rsidR="00FA6558" w:rsidRPr="001C45D7">
        <w:t xml:space="preserve"> </w:t>
      </w:r>
      <w:r w:rsidRPr="001C45D7">
        <w:t>obligation</w:t>
      </w:r>
      <w:r w:rsidR="00FA6558" w:rsidRPr="001C45D7">
        <w:t xml:space="preserve"> </w:t>
      </w:r>
      <w:r w:rsidR="00DF22CB" w:rsidRPr="001C45D7">
        <w:t xml:space="preserve">can </w:t>
      </w:r>
      <w:r w:rsidRPr="001C45D7">
        <w:t>serve</w:t>
      </w:r>
      <w:r w:rsidR="00FA6558" w:rsidRPr="001C45D7">
        <w:t xml:space="preserve"> </w:t>
      </w:r>
      <w:r w:rsidRPr="001C45D7">
        <w:t>to</w:t>
      </w:r>
      <w:r w:rsidR="00FA6558" w:rsidRPr="001C45D7">
        <w:t xml:space="preserve"> </w:t>
      </w:r>
      <w:r w:rsidRPr="001C45D7">
        <w:t>uphold</w:t>
      </w:r>
      <w:r w:rsidR="00FA6558" w:rsidRPr="001C45D7">
        <w:t xml:space="preserve"> </w:t>
      </w:r>
      <w:r w:rsidRPr="001C45D7">
        <w:t>agreed</w:t>
      </w:r>
      <w:r w:rsidR="00FA6558" w:rsidRPr="001C45D7">
        <w:t xml:space="preserve"> </w:t>
      </w:r>
      <w:r w:rsidRPr="001C45D7">
        <w:t>norms</w:t>
      </w:r>
      <w:r w:rsidR="00FA6558" w:rsidRPr="001C45D7">
        <w:t xml:space="preserve"> </w:t>
      </w:r>
      <w:r w:rsidRPr="001C45D7">
        <w:t>of</w:t>
      </w:r>
      <w:r w:rsidR="00FA6558" w:rsidRPr="001C45D7">
        <w:t xml:space="preserve"> </w:t>
      </w:r>
      <w:r w:rsidRPr="001C45D7">
        <w:t>interaction</w:t>
      </w:r>
      <w:r w:rsidR="00422C95" w:rsidRPr="001C45D7">
        <w:t>,</w:t>
      </w:r>
      <w:r w:rsidR="00FA6558" w:rsidRPr="001C45D7">
        <w:t xml:space="preserve"> </w:t>
      </w:r>
      <w:r w:rsidRPr="001C45D7">
        <w:t>reducing</w:t>
      </w:r>
      <w:r w:rsidR="00FA6558" w:rsidRPr="001C45D7">
        <w:t xml:space="preserve"> </w:t>
      </w:r>
      <w:r w:rsidRPr="001C45D7">
        <w:t>partner</w:t>
      </w:r>
      <w:r w:rsidR="00FA6558" w:rsidRPr="001C45D7">
        <w:t xml:space="preserve"> </w:t>
      </w:r>
      <w:r w:rsidRPr="001C45D7">
        <w:t>opportunism</w:t>
      </w:r>
      <w:r w:rsidR="00FA6558" w:rsidRPr="001C45D7">
        <w:t xml:space="preserve"> </w:t>
      </w:r>
      <w:r w:rsidR="00853E88" w:rsidRPr="001C45D7">
        <w:fldChar w:fldCharType="begin" w:fldLock="1"/>
      </w:r>
      <w:r w:rsidR="004A2B48" w:rsidRPr="001C45D7">
        <w:instrText>ADDIN CSL_CITATION {"citationItems":[{"id":"ITEM-1","itemData":{"DOI":"10.1002/(SICI)1099-1379(199911)20:6&lt;995::AID-JOB955&gt;3.0.CO;2-3","ISSN":"08943796","abstract":"Previous studies imply that individuals with an external locus of control (LOC) are less likely to be committed to their organizations. More recent work on organizational commitment has suggested that commitment is not a unidimensional construct and can take several forms (e.g., affective and continuance). Using a sample of 232 employees of a Canadian governmental agency, we examined the relations between LOC and two different forms of organizational commitment that have been found to have different antecedents and consequences, We found that internal LOC was associated with affective commitment and external LOC was associated with continuance commitment. Implications for research and practice are discussed. Copyright © 1999 John Wiley &amp; Sons, Ltd.","author":[{"dropping-particle":"","family":"Coleman","given":"Daniel F.","non-dropping-particle":"","parse-names":false,"suffix":""},{"dropping-particle":"","family":"Irving","given":"Gregory P.","non-dropping-particle":"","parse-names":false,"suffix":""},{"dropping-particle":"","family":"Cooper","given":"Christine L.","non-dropping-particle":"","parse-names":false,"suffix":""}],"container-title":"Journal of Organizational Behavior","id":"ITEM-1","issue":"6","issued":{"date-parts":[["1999"]]},"page":"995-1001","publisher":"John Wiley and Sons Ltd","title":"Another look at the locus of control - organizational commitment relationship: It depends on the form of commitment","type":"article-journal","volume":"20"},"uris":["http://www.mendeley.com/documents/?uuid=aa88acf5-58a9-33a1-97db-c8dc0783fde3"]},{"id":"ITEM-2","itemData":{"DOI":"10.1177/000169939203500101","ISSN":"15023869","abstract":"Institutional economics has moved from a position, earlier in the twentieth century, of drawing eclectically on several other disciplines, to a stance of building its arguments almost entirely out of neoclassical materials This paper argues that such a stance cannot provide a persuasive account of economic institutions, and suggests a broader toundation based on classical sociological arguments about the embeddedness of economic goals and activities in socially oriented goals and structures Emphasis is placed on how economic activity comes to be coordinated by groups of people rather than carried out by isolated individuals Firms in developing countries, busmess groups, and the origins of the electrical utility industry in the United States are posed as cases of the ‘social construction of economic institutions’ It is argued that, although proper analysis of such cases involves a high level of contingency. these contingencies can be taken into account in a systematic theoretical argument, and that historicist pitfalls can be avoided Such an argument is posed as the distinctive agenda for a new economic sociology. © 1992, Sage Publications. All rights reserved.","author":[{"dropping-particle":"","family":"Granovetter","given":"Mark","non-dropping-particle":"","parse-names":false,"suffix":""}],"container-title":"Acta Sociologica","id":"ITEM-2","issue":"1","issued":{"date-parts":[["1992"]]},"page":"3-11","title":"Economic Institutions as Social Constructions: A Framework for Analysis","type":"article-journal","volume":"35"},"uris":["http://www.mendeley.com/documents/?uuid=11353a4d-a778-393d-8aa8-83c9c8f1f046"]},{"id":"ITEM-3","itemData":{"DOI":"10.1016/S0148-2963(02)00501-5","ISSN":"01482963","abstract":"Turbulent competition and sweeping regulatory changes in high-technology industries fuel many firms' desire to develop horizontal strategic alliances (HSAs) for offensive and defensive reasons. To a greater extent than in vertical alliances, collaborating firms in horizontal alliances are direct or indirect competitors. The coordination difficulties and risks inherent in alliances are magnified in horizontal alliances, posing a greater challenge for partners. Conclusions from our survey of 106 firms highlight important relationships among trust, commitment, termination penalties, technological uncertainty and alliance effectiveness. Trust and commitment are the building blocks of alliance effectiveness, while trust and termination penalties may be effective tools to motivate commitment and enhance alliance effectiveness. © 2002 Elsevier Inc. All rights reserved.","author":[{"dropping-particle":"","family":"Perry","given":"Monica L.","non-dropping-particle":"","parse-names":false,"suffix":""},{"dropping-particle":"","family":"Sengupta","given":"Sanjit","non-dropping-particle":"","parse-names":false,"suffix":""},{"dropping-particle":"","family":"Krapfel","given":"Robert","non-dropping-particle":"","parse-names":false,"suffix":""}],"container-title":"Journal of Business Research","id":"ITEM-3","issue":"9","issued":{"date-parts":[["2004"]]},"page":"951-956","title":"Effectiveness of horizontal strategic alliances in technologically uncertain environments: Are trust and commitment enough?","type":"article-journal","volume":"57"},"uris":["http://www.mendeley.com/documents/?uuid=0f695fe7-e4d4-3074-9c9e-d36178448cf5"]}],"mendeley":{"formattedCitation":"(Coleman &lt;i&gt;et al.&lt;/i&gt;, 1999; Granovetter, 1992; Perry &lt;i&gt;et al.&lt;/i&gt;, 2004)","manualFormatting":"(Granovetter, 1992; Coleman et al., 1999; Perry et al., 2004)","plainTextFormattedCitation":"(Coleman et al., 1999; Granovetter, 1992; Perry et al., 2004)","previouslyFormattedCitation":"(Coleman &lt;i&gt;et al.&lt;/i&gt;, 1999; Granovetter, 1992; Perry &lt;i&gt;et al.&lt;/i&gt;, 2004)"},"properties":{"noteIndex":0},"schema":"https://github.com/citation-style-language/schema/raw/master/csl-citation.json"}</w:instrText>
      </w:r>
      <w:r w:rsidR="00853E88" w:rsidRPr="001C45D7">
        <w:fldChar w:fldCharType="separate"/>
      </w:r>
      <w:r w:rsidR="00881C19" w:rsidRPr="001C45D7">
        <w:rPr>
          <w:noProof/>
        </w:rPr>
        <w:t>(Granovetter,</w:t>
      </w:r>
      <w:r w:rsidR="00FA6558" w:rsidRPr="001C45D7">
        <w:rPr>
          <w:noProof/>
        </w:rPr>
        <w:t xml:space="preserve"> </w:t>
      </w:r>
      <w:r w:rsidR="00881C19" w:rsidRPr="001C45D7">
        <w:rPr>
          <w:noProof/>
        </w:rPr>
        <w:t>1992;</w:t>
      </w:r>
      <w:r w:rsidR="00FA6558" w:rsidRPr="001C45D7">
        <w:rPr>
          <w:noProof/>
        </w:rPr>
        <w:t xml:space="preserve"> </w:t>
      </w:r>
      <w:r w:rsidR="00881C19" w:rsidRPr="001C45D7">
        <w:rPr>
          <w:noProof/>
        </w:rPr>
        <w:t>Coleman</w:t>
      </w:r>
      <w:r w:rsidR="00422C95" w:rsidRPr="001C45D7">
        <w:rPr>
          <w:noProof/>
        </w:rPr>
        <w:t xml:space="preserve"> </w:t>
      </w:r>
      <w:r w:rsidR="00422C95" w:rsidRPr="001C45D7">
        <w:rPr>
          <w:i/>
          <w:noProof/>
        </w:rPr>
        <w:t>et al</w:t>
      </w:r>
      <w:r w:rsidR="00422C95" w:rsidRPr="001C45D7">
        <w:rPr>
          <w:noProof/>
        </w:rPr>
        <w:t>.</w:t>
      </w:r>
      <w:r w:rsidR="00881C19" w:rsidRPr="001C45D7">
        <w:rPr>
          <w:noProof/>
        </w:rPr>
        <w:t>,</w:t>
      </w:r>
      <w:r w:rsidR="00FA6558" w:rsidRPr="001C45D7">
        <w:rPr>
          <w:noProof/>
        </w:rPr>
        <w:t xml:space="preserve"> </w:t>
      </w:r>
      <w:r w:rsidR="00881C19" w:rsidRPr="001C45D7">
        <w:rPr>
          <w:noProof/>
        </w:rPr>
        <w:t>1999;</w:t>
      </w:r>
      <w:r w:rsidR="00FA6558" w:rsidRPr="001C45D7">
        <w:rPr>
          <w:noProof/>
        </w:rPr>
        <w:t xml:space="preserve"> </w:t>
      </w:r>
      <w:r w:rsidR="00881C19" w:rsidRPr="001C45D7">
        <w:rPr>
          <w:noProof/>
        </w:rPr>
        <w:t>Perry</w:t>
      </w:r>
      <w:r w:rsidR="00422C95" w:rsidRPr="001C45D7">
        <w:rPr>
          <w:noProof/>
        </w:rPr>
        <w:t xml:space="preserve"> </w:t>
      </w:r>
      <w:r w:rsidR="00422C95" w:rsidRPr="001C45D7">
        <w:rPr>
          <w:i/>
          <w:noProof/>
        </w:rPr>
        <w:t>et al</w:t>
      </w:r>
      <w:r w:rsidR="00422C95" w:rsidRPr="001C45D7">
        <w:rPr>
          <w:noProof/>
        </w:rPr>
        <w:t>.</w:t>
      </w:r>
      <w:r w:rsidR="00881C19" w:rsidRPr="001C45D7">
        <w:rPr>
          <w:noProof/>
        </w:rPr>
        <w:t>,</w:t>
      </w:r>
      <w:r w:rsidR="00FA6558" w:rsidRPr="001C45D7">
        <w:rPr>
          <w:noProof/>
        </w:rPr>
        <w:t xml:space="preserve"> </w:t>
      </w:r>
      <w:r w:rsidR="00881C19" w:rsidRPr="001C45D7">
        <w:rPr>
          <w:noProof/>
        </w:rPr>
        <w:t>2004)</w:t>
      </w:r>
      <w:r w:rsidR="00853E88" w:rsidRPr="001C45D7">
        <w:fldChar w:fldCharType="end"/>
      </w:r>
      <w:r w:rsidRPr="001C45D7">
        <w:t>.</w:t>
      </w:r>
      <w:r w:rsidR="00FA6558" w:rsidRPr="001C45D7">
        <w:t xml:space="preserve"> </w:t>
      </w:r>
      <w:r w:rsidRPr="001C45D7">
        <w:t>Third,</w:t>
      </w:r>
      <w:r w:rsidR="00FA6558" w:rsidRPr="001C45D7">
        <w:t xml:space="preserve"> </w:t>
      </w:r>
      <w:r w:rsidR="009B7D54" w:rsidRPr="001C45D7">
        <w:t xml:space="preserve">the </w:t>
      </w:r>
      <w:r w:rsidRPr="001C45D7">
        <w:t>expectation</w:t>
      </w:r>
      <w:r w:rsidR="00FA6558" w:rsidRPr="001C45D7">
        <w:t xml:space="preserve"> </w:t>
      </w:r>
      <w:r w:rsidRPr="001C45D7">
        <w:t>of</w:t>
      </w:r>
      <w:r w:rsidR="00FA6558" w:rsidRPr="001C45D7">
        <w:t xml:space="preserve"> </w:t>
      </w:r>
      <w:r w:rsidRPr="001C45D7">
        <w:t>continuity</w:t>
      </w:r>
      <w:r w:rsidR="00FA6558" w:rsidRPr="001C45D7">
        <w:t xml:space="preserve"> </w:t>
      </w:r>
      <w:r w:rsidRPr="001C45D7">
        <w:t>reduces</w:t>
      </w:r>
      <w:r w:rsidR="00FA6558" w:rsidRPr="001C45D7">
        <w:t xml:space="preserve"> </w:t>
      </w:r>
      <w:r w:rsidRPr="001C45D7">
        <w:t>partner</w:t>
      </w:r>
      <w:r w:rsidR="00FA6558" w:rsidRPr="001C45D7">
        <w:t xml:space="preserve"> </w:t>
      </w:r>
      <w:r w:rsidRPr="001C45D7">
        <w:t>opportunism</w:t>
      </w:r>
      <w:r w:rsidR="00FA6558" w:rsidRPr="001C45D7">
        <w:t xml:space="preserve"> </w:t>
      </w:r>
      <w:r w:rsidR="00B82353" w:rsidRPr="001C45D7">
        <w:fldChar w:fldCharType="begin" w:fldLock="1"/>
      </w:r>
      <w:r w:rsidR="004A2B48" w:rsidRPr="001C45D7">
        <w:instrText>ADDIN CSL_CITATION {"citationItems":[{"id":"ITEM-1","itemData":{"DOI":"10.1509/jmkg.64.4.36.18070","ISSN":"00222429","abstract":"Much of the recent literature on interfirm relationships has focused on strategies for controlling opportunism. Somewhat surprisingly, little attention has been paid in this literature to the opportunism construct itself. Specifically, prior research has failed to recognize the different types of behavior that are hidden behind the general opportunism label. As a consequence, the knowledge of strategies for managing opportunism remains incomplete. The authors review the original and emergent conceptualizations of opportunism and illustrate them using actual industry cases. The authors also develop a conceptual framework of governance strategies that can be used to manage different forms of opportunism.","author":[{"dropping-particle":"","family":"Wathne","given":"Kenneth H.","non-dropping-particle":"","parse-names":false,"suffix":""},{"dropping-particle":"","family":"Heide","given":"Jan B.","non-dropping-particle":"","parse-names":false,"suffix":""}],"container-title":"Journal of Marketing","id":"ITEM-1","issue":"4","issued":{"date-parts":[["2000"]]},"page":"36-51","publisher":"American Marketing Association","title":"Opportunism in interfirm relationships: Forms, outcomes, and solutions","type":"article-journal","volume":"64"},"uris":["http://www.mendeley.com/documents/?uuid=80dc6877-4f46-3116-b6d7-3af239bd0b0b"]},{"id":"ITEM-2","itemData":{"DOI":"10.1177/002224299405800106","ISSN":"0022-2429","abstract":"Relationship management rapidly is becoming a central research paradigm in the marketing channels literature. A growing body of conceptual and empirical literature addresses different aspects of in...","author":[{"dropping-particle":"","family":"Heide","given":"Jan B.","non-dropping-particle":"","parse-names":false,"suffix":""}],"container-title":"Journal of Marketing","id":"ITEM-2","issue":"1","issued":{"date-parts":[["1994","1"]]},"page":"71-85","publisher":"SAGE Publications","title":"Interorganizational Governance in Marketing Channels","type":"article-journal","volume":"58"},"uris":["http://www.mendeley.com/documents/?uuid=9803c237-a8b2-3842-b719-91ccb74dc104"]},{"id":"ITEM-3","itemData":{"DOI":"10.5465/256885","ISSN":"0001-4273","abstract":"Resumen El concepto de Fatiga por Compasión (Compassion Fatigue) o Desgaste por Empatía es común en la litera-tura científica de Trabajo Social internacional, aunque sorprendentemente inexistente en la literatura espa-ñola. Puede definirse la fatiga por compasión como estado de agotamiento y disfunción biológica, psicoló-gica y relacional, resultado de la exposición inmediata o prolongada al estrés por compasión y como el resultado final del proceso progresivo y acumulativo consecuen-cia del contacto prolongado, continuado e intenso con clientes o pacientes, el uso de uno mismo y la expo-sición al estrés. El mantenimiento del desgaste puede derivar en cuadros severos típicos de traumatización secundaria o en el inicio del Síndrome del Profesional Quemado (Burnout). En todo caso, si un profesional del trabajo social experimenta dicho fenómeno, su capacidad para empatizar, conectar y ayudar a sus clientes se ve gra-vemente disminuida. Paradójicamente, la fatiga por compasión es por una parte, necesaria e inevitable si se desarrolla una buena práctica; por otra, peligrosa e inhabilitante si no se compensa mediante otros mecanismos. La fatiga por compasión no se puede prevenirse pero puede y debe paliarse de forma consciente. Incrementar la capacidad de reconocer y minimizar el impacto del desgaste es una responsabilidad del pro-fesional y de la organización en la cual trabaja. Por último, el trabajo plantea el qué hacer ante este fenó-meno y de qué manera cuidarse personal, profesional e institucionalmente. Palabras clave: Trabajo Social; Fatiga por compasión; desgaste profesional; relación de ayuda; autocuidado. Este trabajo se publica bajo una licencia de Creative Commons Reconocimiento-NoComercial 4.0 Internacional.. Afrontar el desgaste: cuidado y mecanismos paliativos de la fatiga por compasión [Facing the wear: care and palliative mechanisms of compassion fatigue]. Alternativas. Cuadernos de Trabajo Social, 24, 119-136. https://doi.","author":[{"dropping-particle":"","family":"Nooteboom","given":"Bart","non-dropping-particle":"","parse-names":false,"suffix":""},{"dropping-particle":"","family":"Berger","given":"Hans","non-dropping-particle":"","parse-names":false,"suffix":""},{"dropping-particle":"","family":"Noorderhaven","given":"Niels G.","non-dropping-particle":"","parse-names":false,"suffix":""}],"container-title":"Academy of Management Journal","id":"ITEM-3","issue":"2","issued":{"date-parts":[["1997","4"]]},"page":"308-338","publisher":"Academy of Management","title":"Effects of Trust and Governance on Relational Risk","type":"article-journal","volume":"40"},"uris":["http://www.mendeley.com/documents/?uuid=b6d9a03c-e468-3a00-a551-ecdc53c4f647"]},{"id":"ITEM-4","itemData":{"author":[{"dropping-particle":"","family":"Artz","given":"Kendall W","non-dropping-particle":"","parse-names":false,"suffix":""},{"dropping-particle":"","family":"Brush","given":"Thomas H","non-dropping-particle":"","parse-names":false,"suffix":""}],"container-title":"Journal of Economic Behavior &amp; Organization","id":"ITEM-4","issue":"4","issued":{"date-parts":[["2000"]]},"page":"337-362","title":"Asset specificity, uncertainty and relational norms: an examination of coordination costs in collaborative strategic alliances","type":"article-journal","volume":"41"},"uris":["http://www.mendeley.com/documents/?uuid=96474597-8154-467e-84db-dd7566d76f27"]},{"id":"ITEM-5","itemData":{"DOI":"10.5465/AMJ.2007.25526452","ISSN":"00014273","abstract":"This study extends research on strategic alliances by exploring independent and combined effects of distributive, procedural, and interactional justice in these alliances. An integrated framework links cooperation payoffs with organizational justice as perceived by boundary-spanning alliance executives, through whom justice perceptions become parent actions. Analysis of 127 alliances demonstrates that when goal differences between parties are high, the joint effect on alliance performance of procedural and distributive justice is significantly positive. When interactional justice is high, procedural justice exerts a stronger performance effect. This perspective enriches alliance research, especially regarding procedural formalization, incentive structure, and interparty attachment. Copyright of the Academy of Management, all rights reserved.","author":[{"dropping-particle":"","family":"Luo","given":"Yadong","non-dropping-particle":"","parse-names":false,"suffix":""}],"container-title":"Academy of Management Journal","id":"ITEM-5","issue":"3","issued":{"date-parts":[["2007"]]},"page":"644-664","publisher":"Academy of Management","title":"The independent and interactive roles of procedural, distributive, and interactional justice in strategic alliances","type":"article-journal","volume":"50"},"uris":["http://www.mendeley.com/documents/?uuid=b7611b1b-6a49-3e53-955a-b60d7a896c72"]}],"mendeley":{"formattedCitation":"(Artz and Brush, 2000; Heide, 1994; Luo, 2007; Nooteboom &lt;i&gt;et al.&lt;/i&gt;, 1997; Wathne and Heide, 2000)","manualFormatting":"(Heide, 1994; Nooteboom et al., 1997; Artz and Brush, 2000; Wathne and Heide, 2000; Luo, 2007)","plainTextFormattedCitation":"(Artz and Brush, 2000; Heide, 1994; Luo, 2007; Nooteboom et al., 1997; Wathne and Heide, 2000)","previouslyFormattedCitation":"(Artz and Brush, 2000; Heide, 1994; Luo, 2007; Nooteboom &lt;i&gt;et al.&lt;/i&gt;, 1997; Wathne and Heide, 2000)"},"properties":{"noteIndex":0},"schema":"https://github.com/citation-style-language/schema/raw/master/csl-citation.json"}</w:instrText>
      </w:r>
      <w:r w:rsidR="00B82353" w:rsidRPr="001C45D7">
        <w:fldChar w:fldCharType="separate"/>
      </w:r>
      <w:r w:rsidR="00881C19" w:rsidRPr="001C45D7">
        <w:rPr>
          <w:noProof/>
        </w:rPr>
        <w:t>(Heide,</w:t>
      </w:r>
      <w:r w:rsidR="00FA6558" w:rsidRPr="001C45D7">
        <w:rPr>
          <w:noProof/>
        </w:rPr>
        <w:t xml:space="preserve"> </w:t>
      </w:r>
      <w:r w:rsidR="00881C19" w:rsidRPr="001C45D7">
        <w:rPr>
          <w:noProof/>
        </w:rPr>
        <w:t>1994;</w:t>
      </w:r>
      <w:r w:rsidR="00FA6558" w:rsidRPr="001C45D7">
        <w:rPr>
          <w:noProof/>
        </w:rPr>
        <w:t xml:space="preserve"> </w:t>
      </w:r>
      <w:r w:rsidR="00881C19" w:rsidRPr="001C45D7">
        <w:rPr>
          <w:noProof/>
        </w:rPr>
        <w:t>Nooteboom</w:t>
      </w:r>
      <w:r w:rsidR="00422C95" w:rsidRPr="001C45D7">
        <w:rPr>
          <w:noProof/>
        </w:rPr>
        <w:t xml:space="preserve"> </w:t>
      </w:r>
      <w:r w:rsidR="00422C95" w:rsidRPr="001C45D7">
        <w:rPr>
          <w:i/>
          <w:noProof/>
        </w:rPr>
        <w:t>et al</w:t>
      </w:r>
      <w:r w:rsidR="00422C95" w:rsidRPr="001C45D7">
        <w:rPr>
          <w:noProof/>
        </w:rPr>
        <w:t>.</w:t>
      </w:r>
      <w:r w:rsidR="00881C19" w:rsidRPr="001C45D7">
        <w:rPr>
          <w:noProof/>
        </w:rPr>
        <w:t>,</w:t>
      </w:r>
      <w:r w:rsidR="00FA6558" w:rsidRPr="001C45D7">
        <w:rPr>
          <w:noProof/>
        </w:rPr>
        <w:t xml:space="preserve"> </w:t>
      </w:r>
      <w:r w:rsidR="00881C19" w:rsidRPr="001C45D7">
        <w:rPr>
          <w:noProof/>
        </w:rPr>
        <w:t>1997;</w:t>
      </w:r>
      <w:r w:rsidR="00FA6558" w:rsidRPr="001C45D7">
        <w:rPr>
          <w:noProof/>
        </w:rPr>
        <w:t xml:space="preserve"> </w:t>
      </w:r>
      <w:r w:rsidR="00881C19" w:rsidRPr="001C45D7">
        <w:rPr>
          <w:noProof/>
        </w:rPr>
        <w:t>Artz</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Brush,</w:t>
      </w:r>
      <w:r w:rsidR="00FA6558" w:rsidRPr="001C45D7">
        <w:rPr>
          <w:noProof/>
        </w:rPr>
        <w:t xml:space="preserve"> </w:t>
      </w:r>
      <w:r w:rsidR="00881C19" w:rsidRPr="001C45D7">
        <w:rPr>
          <w:noProof/>
        </w:rPr>
        <w:t>2000;</w:t>
      </w:r>
      <w:r w:rsidR="00FA6558" w:rsidRPr="001C45D7">
        <w:rPr>
          <w:noProof/>
        </w:rPr>
        <w:t xml:space="preserve"> </w:t>
      </w:r>
      <w:r w:rsidR="00881C19" w:rsidRPr="001C45D7">
        <w:rPr>
          <w:noProof/>
        </w:rPr>
        <w:t>Luo,</w:t>
      </w:r>
      <w:r w:rsidR="00FA6558" w:rsidRPr="001C45D7">
        <w:rPr>
          <w:noProof/>
        </w:rPr>
        <w:t xml:space="preserve"> </w:t>
      </w:r>
      <w:r w:rsidR="00881C19" w:rsidRPr="001C45D7">
        <w:rPr>
          <w:noProof/>
        </w:rPr>
        <w:t>2007)</w:t>
      </w:r>
      <w:r w:rsidR="00B82353" w:rsidRPr="001C45D7">
        <w:fldChar w:fldCharType="end"/>
      </w:r>
      <w:r w:rsidRPr="001C45D7">
        <w:t>,</w:t>
      </w:r>
      <w:r w:rsidR="00FA6558" w:rsidRPr="001C45D7">
        <w:t xml:space="preserve"> </w:t>
      </w:r>
      <w:r w:rsidRPr="001C45D7">
        <w:t>since</w:t>
      </w:r>
      <w:r w:rsidR="00FA6558" w:rsidRPr="001C45D7">
        <w:t xml:space="preserve"> </w:t>
      </w:r>
      <w:r w:rsidRPr="001C45D7">
        <w:t>it</w:t>
      </w:r>
      <w:r w:rsidR="00FA6558" w:rsidRPr="001C45D7">
        <w:t xml:space="preserve"> </w:t>
      </w:r>
      <w:r w:rsidRPr="001C45D7">
        <w:t>encourages</w:t>
      </w:r>
      <w:r w:rsidR="00FA6558" w:rsidRPr="001C45D7">
        <w:t xml:space="preserve"> </w:t>
      </w:r>
      <w:r w:rsidR="006409D5" w:rsidRPr="001C45D7">
        <w:t xml:space="preserve">partners </w:t>
      </w:r>
      <w:r w:rsidRPr="001C45D7">
        <w:t>to</w:t>
      </w:r>
      <w:r w:rsidR="00FA6558" w:rsidRPr="001C45D7">
        <w:t xml:space="preserve"> </w:t>
      </w:r>
      <w:r w:rsidRPr="001C45D7">
        <w:t>look</w:t>
      </w:r>
      <w:r w:rsidR="00FA6558" w:rsidRPr="001C45D7">
        <w:t xml:space="preserve"> </w:t>
      </w:r>
      <w:r w:rsidRPr="001C45D7">
        <w:t>at</w:t>
      </w:r>
      <w:r w:rsidR="00FA6558" w:rsidRPr="001C45D7">
        <w:t xml:space="preserve"> </w:t>
      </w:r>
      <w:r w:rsidRPr="001C45D7">
        <w:t>long-term</w:t>
      </w:r>
      <w:r w:rsidR="00FA6558" w:rsidRPr="001C45D7">
        <w:t xml:space="preserve"> </w:t>
      </w:r>
      <w:r w:rsidRPr="001C45D7">
        <w:t>return</w:t>
      </w:r>
      <w:r w:rsidR="00422C95" w:rsidRPr="001C45D7">
        <w:t>s</w:t>
      </w:r>
      <w:r w:rsidR="00FA6558" w:rsidRPr="001C45D7">
        <w:t xml:space="preserve"> </w:t>
      </w:r>
      <w:r w:rsidRPr="001C45D7">
        <w:t>from</w:t>
      </w:r>
      <w:r w:rsidR="00FA6558" w:rsidRPr="001C45D7">
        <w:t xml:space="preserve"> </w:t>
      </w:r>
      <w:r w:rsidRPr="001C45D7">
        <w:t>the</w:t>
      </w:r>
      <w:r w:rsidR="00FA6558" w:rsidRPr="001C45D7">
        <w:t xml:space="preserve"> </w:t>
      </w:r>
      <w:r w:rsidRPr="001C45D7">
        <w:t>relationship</w:t>
      </w:r>
      <w:r w:rsidR="00FA6558" w:rsidRPr="001C45D7">
        <w:t xml:space="preserve"> </w:t>
      </w:r>
      <w:r w:rsidR="00B82353" w:rsidRPr="001C45D7">
        <w:fldChar w:fldCharType="begin" w:fldLock="1"/>
      </w:r>
      <w:r w:rsidR="00B82353" w:rsidRPr="001C45D7">
        <w:instrText>ADDIN CSL_CITATION {"citationItems":[{"id":"ITEM-1","itemData":{"DOI":"10.1002/smj.249","ISSN":"01432095","abstract":"Relational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Journal","id":"ITEM-1","issue":"8","issued":{"date-parts":[["2002","8"]]},"page":"707-725","title":"Do formal contracts and relational governance function as substitutes or complements?","type":"article-journal","volume":"23"},"uris":["http://www.mendeley.com/documents/?uuid=0f5b4bc5-de16-3976-800b-d5afcee477cc"]}],"mendeley":{"formattedCitation":"(Poppo and Zenger, 2002)","plainTextFormattedCitation":"(Poppo and Zenger, 2002)","previouslyFormattedCitation":"(Poppo and Zenger, 2002)"},"properties":{"noteIndex":0},"schema":"https://github.com/citation-style-language/schema/raw/master/csl-citation.json"}</w:instrText>
      </w:r>
      <w:r w:rsidR="00B82353" w:rsidRPr="001C45D7">
        <w:fldChar w:fldCharType="separate"/>
      </w:r>
      <w:r w:rsidR="00B82353" w:rsidRPr="001C45D7">
        <w:rPr>
          <w:noProof/>
        </w:rPr>
        <w:t>(Poppo</w:t>
      </w:r>
      <w:r w:rsidR="00FA6558" w:rsidRPr="001C45D7">
        <w:rPr>
          <w:noProof/>
        </w:rPr>
        <w:t xml:space="preserve"> </w:t>
      </w:r>
      <w:r w:rsidR="00B82353" w:rsidRPr="001C45D7">
        <w:rPr>
          <w:noProof/>
        </w:rPr>
        <w:t>and</w:t>
      </w:r>
      <w:r w:rsidR="00FA6558" w:rsidRPr="001C45D7">
        <w:rPr>
          <w:noProof/>
        </w:rPr>
        <w:t xml:space="preserve"> </w:t>
      </w:r>
      <w:r w:rsidR="00B82353" w:rsidRPr="001C45D7">
        <w:rPr>
          <w:noProof/>
        </w:rPr>
        <w:t>Zenger,</w:t>
      </w:r>
      <w:r w:rsidR="00FA6558" w:rsidRPr="001C45D7">
        <w:rPr>
          <w:noProof/>
        </w:rPr>
        <w:t xml:space="preserve"> </w:t>
      </w:r>
      <w:r w:rsidR="00B82353" w:rsidRPr="001C45D7">
        <w:rPr>
          <w:noProof/>
        </w:rPr>
        <w:t>2002)</w:t>
      </w:r>
      <w:r w:rsidR="00B82353" w:rsidRPr="001C45D7">
        <w:fldChar w:fldCharType="end"/>
      </w:r>
      <w:bookmarkEnd w:id="10"/>
      <w:r w:rsidRPr="001C45D7">
        <w:t>.</w:t>
      </w:r>
    </w:p>
    <w:p w14:paraId="06BEC990" w14:textId="7BA87259" w:rsidR="005A6EA6" w:rsidRDefault="00413FE8" w:rsidP="00566B02">
      <w:pPr>
        <w:pStyle w:val="BodyText"/>
        <w:rPr>
          <w:rFonts w:eastAsiaTheme="minorEastAsia"/>
          <w:lang w:eastAsia="ko-KR"/>
        </w:rPr>
      </w:pPr>
      <w:r w:rsidRPr="001C45D7">
        <w:t>To</w:t>
      </w:r>
      <w:r w:rsidR="00FA6558" w:rsidRPr="001C45D7">
        <w:t xml:space="preserve"> </w:t>
      </w:r>
      <w:r w:rsidRPr="001C45D7">
        <w:t>our</w:t>
      </w:r>
      <w:r w:rsidR="00FA6558" w:rsidRPr="001C45D7">
        <w:t xml:space="preserve"> </w:t>
      </w:r>
      <w:r w:rsidRPr="001C45D7">
        <w:t>best</w:t>
      </w:r>
      <w:r w:rsidR="00FA6558" w:rsidRPr="001C45D7">
        <w:t xml:space="preserve"> </w:t>
      </w:r>
      <w:r w:rsidRPr="001C45D7">
        <w:t>knowledge,</w:t>
      </w:r>
      <w:r w:rsidR="00FA6558" w:rsidRPr="001C45D7">
        <w:t xml:space="preserve"> </w:t>
      </w:r>
      <w:r w:rsidRPr="001C45D7">
        <w:t>there</w:t>
      </w:r>
      <w:r w:rsidR="00FA6558" w:rsidRPr="001C45D7">
        <w:t xml:space="preserve"> </w:t>
      </w:r>
      <w:r w:rsidRPr="001C45D7">
        <w:t>are</w:t>
      </w:r>
      <w:r w:rsidR="00FA6558" w:rsidRPr="001C45D7">
        <w:t xml:space="preserve"> </w:t>
      </w:r>
      <w:r w:rsidRPr="001C45D7">
        <w:t>few</w:t>
      </w:r>
      <w:r w:rsidR="00FA6558" w:rsidRPr="001C45D7">
        <w:t xml:space="preserve"> </w:t>
      </w:r>
      <w:r w:rsidRPr="001C45D7">
        <w:t>studies</w:t>
      </w:r>
      <w:r w:rsidR="00FA6558" w:rsidRPr="001C45D7">
        <w:t xml:space="preserve"> </w:t>
      </w:r>
      <w:r w:rsidRPr="001C45D7">
        <w:t>investigating</w:t>
      </w:r>
      <w:r w:rsidR="00FA6558" w:rsidRPr="001C45D7">
        <w:t xml:space="preserve"> </w:t>
      </w:r>
      <w:r w:rsidRPr="001C45D7">
        <w:t>the</w:t>
      </w:r>
      <w:r w:rsidR="00FA6558" w:rsidRPr="001C45D7">
        <w:t xml:space="preserve"> </w:t>
      </w:r>
      <w:r w:rsidRPr="001C45D7">
        <w:t>effectiveness</w:t>
      </w:r>
      <w:r w:rsidR="00FA6558" w:rsidRPr="001C45D7">
        <w:t xml:space="preserve"> </w:t>
      </w:r>
      <w:r w:rsidRPr="001C45D7">
        <w:t>of</w:t>
      </w:r>
      <w:r w:rsidR="00FA6558" w:rsidRPr="001C45D7">
        <w:t xml:space="preserve"> </w:t>
      </w:r>
      <w:r w:rsidRPr="001C45D7">
        <w:t>contractual</w:t>
      </w:r>
      <w:r w:rsidR="00FA6558" w:rsidRPr="001C45D7">
        <w:t xml:space="preserve"> </w:t>
      </w:r>
      <w:r w:rsidRPr="001C45D7">
        <w:t>and</w:t>
      </w:r>
      <w:r w:rsidR="00FA6558" w:rsidRPr="001C45D7">
        <w:t xml:space="preserve"> </w:t>
      </w:r>
      <w:r w:rsidRPr="001C45D7">
        <w:t>relational</w:t>
      </w:r>
      <w:r w:rsidR="00FA6558" w:rsidRPr="001C45D7">
        <w:t xml:space="preserve"> </w:t>
      </w:r>
      <w:r w:rsidRPr="001C45D7">
        <w:t>governance</w:t>
      </w:r>
      <w:r w:rsidR="00FA6558" w:rsidRPr="001C45D7">
        <w:t xml:space="preserve"> </w:t>
      </w:r>
      <w:r w:rsidR="00854D52" w:rsidRPr="001C45D7">
        <w:t>i</w:t>
      </w:r>
      <w:r w:rsidRPr="001C45D7">
        <w:t>n</w:t>
      </w:r>
      <w:r w:rsidR="00FA6558" w:rsidRPr="001C45D7">
        <w:t xml:space="preserve"> </w:t>
      </w:r>
      <w:r w:rsidRPr="001C45D7">
        <w:t>suppressing</w:t>
      </w:r>
      <w:r w:rsidR="00FA6558" w:rsidRPr="001C45D7">
        <w:t xml:space="preserve"> </w:t>
      </w:r>
      <w:r w:rsidRPr="001C45D7">
        <w:t>buyer</w:t>
      </w:r>
      <w:r w:rsidR="00FA6558" w:rsidRPr="001C45D7">
        <w:t xml:space="preserve"> </w:t>
      </w:r>
      <w:r w:rsidRPr="001C45D7">
        <w:t>opportunism</w:t>
      </w:r>
      <w:r w:rsidR="00FA6558" w:rsidRPr="001C45D7">
        <w:t xml:space="preserve"> </w:t>
      </w:r>
      <w:r w:rsidR="0088684A" w:rsidRPr="001C45D7">
        <w:t>created</w:t>
      </w:r>
      <w:r w:rsidR="00FA6558" w:rsidRPr="001C45D7">
        <w:t xml:space="preserve"> </w:t>
      </w:r>
      <w:r w:rsidR="0088684A" w:rsidRPr="001C45D7">
        <w:t>by</w:t>
      </w:r>
      <w:r w:rsidR="00FA6558" w:rsidRPr="001C45D7">
        <w:t xml:space="preserve"> </w:t>
      </w:r>
      <w:r w:rsidR="0088684A" w:rsidRPr="001C45D7">
        <w:t>unbalanced</w:t>
      </w:r>
      <w:r w:rsidR="00FA6558" w:rsidRPr="001C45D7">
        <w:t xml:space="preserve"> </w:t>
      </w:r>
      <w:r w:rsidR="0088684A" w:rsidRPr="001C45D7">
        <w:t>supply</w:t>
      </w:r>
      <w:r w:rsidR="00FA6558" w:rsidRPr="001C45D7">
        <w:t xml:space="preserve"> </w:t>
      </w:r>
      <w:r w:rsidR="0088684A" w:rsidRPr="001C45D7">
        <w:t>chain</w:t>
      </w:r>
      <w:r w:rsidR="00FA6558" w:rsidRPr="001C45D7">
        <w:t xml:space="preserve"> </w:t>
      </w:r>
      <w:r w:rsidR="0088684A" w:rsidRPr="001C45D7">
        <w:t>digitalisation</w:t>
      </w:r>
      <w:r w:rsidR="00E43283">
        <w:t>, particularly from the perspective of SME suppliers This study attempts to fill this void.</w:t>
      </w:r>
    </w:p>
    <w:p w14:paraId="57229C21" w14:textId="77777777" w:rsidR="009C344A" w:rsidRPr="009C344A" w:rsidRDefault="009C344A" w:rsidP="00566B02">
      <w:pPr>
        <w:pStyle w:val="BodyText"/>
        <w:rPr>
          <w:rFonts w:eastAsiaTheme="minorEastAsia"/>
          <w:lang w:eastAsia="ko-KR"/>
        </w:rPr>
      </w:pPr>
    </w:p>
    <w:p w14:paraId="65EC4CC4" w14:textId="29DA507A" w:rsidR="005D011C" w:rsidRPr="001C45D7" w:rsidRDefault="00957579" w:rsidP="00D61D5C">
      <w:pPr>
        <w:pStyle w:val="Heading1"/>
        <w:keepNext w:val="0"/>
        <w:widowControl/>
      </w:pPr>
      <w:bookmarkStart w:id="11" w:name="_Hlk4501277"/>
      <w:r w:rsidRPr="001C45D7">
        <w:t>Conceptual</w:t>
      </w:r>
      <w:r w:rsidR="00FA6558" w:rsidRPr="001C45D7">
        <w:t xml:space="preserve"> </w:t>
      </w:r>
      <w:r w:rsidRPr="001C45D7">
        <w:t>Model</w:t>
      </w:r>
      <w:r w:rsidR="00FA6558" w:rsidRPr="001C45D7">
        <w:t xml:space="preserve"> </w:t>
      </w:r>
      <w:r w:rsidRPr="001C45D7">
        <w:t>and</w:t>
      </w:r>
      <w:r w:rsidR="00FA6558" w:rsidRPr="001C45D7">
        <w:t xml:space="preserve"> </w:t>
      </w:r>
      <w:r w:rsidR="005D011C" w:rsidRPr="001C45D7">
        <w:t>Hypothes</w:t>
      </w:r>
      <w:r w:rsidR="00DF0848" w:rsidRPr="001C45D7">
        <w:t>is</w:t>
      </w:r>
      <w:r w:rsidR="00FA6558" w:rsidRPr="001C45D7">
        <w:t xml:space="preserve"> </w:t>
      </w:r>
      <w:r w:rsidR="00DF0848" w:rsidRPr="001C45D7">
        <w:t>Development</w:t>
      </w:r>
    </w:p>
    <w:p w14:paraId="561F45B0" w14:textId="31C0E74D" w:rsidR="004555D9" w:rsidRPr="001C45D7" w:rsidRDefault="000B33EE" w:rsidP="00566B02">
      <w:pPr>
        <w:pStyle w:val="BodyText"/>
      </w:pPr>
      <w:r w:rsidRPr="001C45D7">
        <w:t>Using resource dependence theory</w:t>
      </w:r>
      <w:r w:rsidR="0076197E" w:rsidRPr="001C45D7">
        <w:t xml:space="preserve"> as a theoretical lens, t</w:t>
      </w:r>
      <w:r w:rsidR="004555D9" w:rsidRPr="001C45D7">
        <w:t>his</w:t>
      </w:r>
      <w:r w:rsidR="00FA6558" w:rsidRPr="001C45D7">
        <w:t xml:space="preserve"> </w:t>
      </w:r>
      <w:r w:rsidR="004555D9" w:rsidRPr="001C45D7">
        <w:t>paper</w:t>
      </w:r>
      <w:r w:rsidR="00FA6558" w:rsidRPr="001C45D7">
        <w:t xml:space="preserve"> </w:t>
      </w:r>
      <w:r w:rsidR="004555D9" w:rsidRPr="001C45D7">
        <w:t>investigates</w:t>
      </w:r>
      <w:r w:rsidR="00FA6558" w:rsidRPr="001C45D7">
        <w:t xml:space="preserve"> </w:t>
      </w:r>
      <w:r w:rsidR="00E5290C" w:rsidRPr="001C45D7">
        <w:t>a</w:t>
      </w:r>
      <w:r w:rsidR="00FA6558" w:rsidRPr="001C45D7">
        <w:t xml:space="preserve"> </w:t>
      </w:r>
      <w:r w:rsidR="00766744" w:rsidRPr="001C45D7">
        <w:t>potential</w:t>
      </w:r>
      <w:r w:rsidR="00FA6558" w:rsidRPr="001C45D7">
        <w:t xml:space="preserve"> </w:t>
      </w:r>
      <w:r w:rsidR="00E5290C" w:rsidRPr="001C45D7">
        <w:t>dark</w:t>
      </w:r>
      <w:r w:rsidR="00FA6558" w:rsidRPr="001C45D7">
        <w:t xml:space="preserve"> </w:t>
      </w:r>
      <w:r w:rsidR="00E5290C" w:rsidRPr="001C45D7">
        <w:t>side</w:t>
      </w:r>
      <w:r w:rsidR="00FA6558" w:rsidRPr="001C45D7">
        <w:t xml:space="preserve"> </w:t>
      </w:r>
      <w:r w:rsidR="00766744" w:rsidRPr="001C45D7">
        <w:t>of</w:t>
      </w:r>
      <w:r w:rsidR="00FA6558" w:rsidRPr="001C45D7">
        <w:t xml:space="preserve"> </w:t>
      </w:r>
      <w:r w:rsidR="00E5290C" w:rsidRPr="001C45D7">
        <w:t>supply</w:t>
      </w:r>
      <w:r w:rsidR="00FA6558" w:rsidRPr="001C45D7">
        <w:t xml:space="preserve"> </w:t>
      </w:r>
      <w:r w:rsidR="00E5290C" w:rsidRPr="001C45D7">
        <w:t>chain</w:t>
      </w:r>
      <w:r w:rsidR="00FA6558" w:rsidRPr="001C45D7">
        <w:t xml:space="preserve"> </w:t>
      </w:r>
      <w:r w:rsidR="00E5290C" w:rsidRPr="001C45D7">
        <w:t>digitalisation</w:t>
      </w:r>
      <w:r w:rsidR="00766744" w:rsidRPr="001C45D7">
        <w:t>,</w:t>
      </w:r>
      <w:r w:rsidR="00FA6558" w:rsidRPr="001C45D7">
        <w:t xml:space="preserve"> </w:t>
      </w:r>
      <w:r w:rsidR="00E5290C" w:rsidRPr="001C45D7">
        <w:t>that</w:t>
      </w:r>
      <w:r w:rsidR="00FA6558" w:rsidRPr="001C45D7">
        <w:t xml:space="preserve"> </w:t>
      </w:r>
      <w:r w:rsidR="00E5290C" w:rsidRPr="001C45D7">
        <w:t>is</w:t>
      </w:r>
      <w:r w:rsidR="00422C95" w:rsidRPr="001C45D7">
        <w:t>,</w:t>
      </w:r>
      <w:r w:rsidR="00FA6558" w:rsidRPr="001C45D7">
        <w:t xml:space="preserve"> </w:t>
      </w:r>
      <w:r w:rsidR="00775B75" w:rsidRPr="001C45D7">
        <w:t xml:space="preserve">whether </w:t>
      </w:r>
      <w:r w:rsidR="00885B30" w:rsidRPr="001C45D7">
        <w:t>a</w:t>
      </w:r>
      <w:r w:rsidR="00422C95" w:rsidRPr="001C45D7">
        <w:t>n</w:t>
      </w:r>
      <w:r w:rsidR="00FA6558" w:rsidRPr="001C45D7">
        <w:t xml:space="preserve"> </w:t>
      </w:r>
      <w:r w:rsidR="00766744" w:rsidRPr="001C45D7">
        <w:t>SME</w:t>
      </w:r>
      <w:r w:rsidR="00FA6558" w:rsidRPr="001C45D7">
        <w:t xml:space="preserve"> </w:t>
      </w:r>
      <w:r w:rsidR="00766744" w:rsidRPr="001C45D7">
        <w:t>supplier</w:t>
      </w:r>
      <w:r w:rsidR="00FA6558" w:rsidRPr="001C45D7">
        <w:t xml:space="preserve"> </w:t>
      </w:r>
      <w:r w:rsidR="00885B30" w:rsidRPr="001C45D7">
        <w:t>being</w:t>
      </w:r>
      <w:r w:rsidR="00FA6558" w:rsidRPr="001C45D7">
        <w:t xml:space="preserve"> </w:t>
      </w:r>
      <w:r w:rsidR="00766744" w:rsidRPr="001C45D7">
        <w:t>left</w:t>
      </w:r>
      <w:r w:rsidR="00FA6558" w:rsidRPr="001C45D7">
        <w:t xml:space="preserve"> </w:t>
      </w:r>
      <w:r w:rsidR="00766744" w:rsidRPr="001C45D7">
        <w:t>behind</w:t>
      </w:r>
      <w:r w:rsidR="00FA6558" w:rsidRPr="001C45D7">
        <w:t xml:space="preserve"> </w:t>
      </w:r>
      <w:r w:rsidR="00766744" w:rsidRPr="001C45D7">
        <w:t>in</w:t>
      </w:r>
      <w:r w:rsidR="00FA6558" w:rsidRPr="001C45D7">
        <w:t xml:space="preserve"> </w:t>
      </w:r>
      <w:r w:rsidR="00780654" w:rsidRPr="001C45D7">
        <w:t xml:space="preserve">supply chain </w:t>
      </w:r>
      <w:r w:rsidR="00766744" w:rsidRPr="001C45D7">
        <w:t>digit</w:t>
      </w:r>
      <w:r w:rsidR="00AD6590" w:rsidRPr="001C45D7">
        <w:t>al</w:t>
      </w:r>
      <w:r w:rsidR="00766744" w:rsidRPr="001C45D7">
        <w:t>isation</w:t>
      </w:r>
      <w:r w:rsidR="00FA6558" w:rsidRPr="001C45D7">
        <w:t xml:space="preserve"> </w:t>
      </w:r>
      <w:r w:rsidR="00C109F9" w:rsidRPr="001C45D7">
        <w:t>c</w:t>
      </w:r>
      <w:r w:rsidR="00A92A87" w:rsidRPr="001C45D7">
        <w:t>ould</w:t>
      </w:r>
      <w:r w:rsidR="00FA6558" w:rsidRPr="001C45D7">
        <w:t xml:space="preserve"> </w:t>
      </w:r>
      <w:r w:rsidR="00A20D0C" w:rsidRPr="001C45D7">
        <w:t>potentially</w:t>
      </w:r>
      <w:r w:rsidR="00FA6558" w:rsidRPr="001C45D7">
        <w:t xml:space="preserve"> </w:t>
      </w:r>
      <w:r w:rsidR="00A92A87" w:rsidRPr="001C45D7">
        <w:t>increase</w:t>
      </w:r>
      <w:r w:rsidR="00FA6558" w:rsidRPr="001C45D7">
        <w:t xml:space="preserve"> </w:t>
      </w:r>
      <w:r w:rsidR="00766744" w:rsidRPr="001C45D7">
        <w:t>its</w:t>
      </w:r>
      <w:r w:rsidR="00FA6558" w:rsidRPr="001C45D7">
        <w:t xml:space="preserve"> </w:t>
      </w:r>
      <w:r w:rsidR="00A92A87" w:rsidRPr="001C45D7">
        <w:t>exposure</w:t>
      </w:r>
      <w:r w:rsidR="00FA6558" w:rsidRPr="001C45D7">
        <w:t xml:space="preserve"> </w:t>
      </w:r>
      <w:r w:rsidR="00A92A87" w:rsidRPr="001C45D7">
        <w:t>to</w:t>
      </w:r>
      <w:r w:rsidR="00FA6558" w:rsidRPr="001C45D7">
        <w:t xml:space="preserve"> </w:t>
      </w:r>
      <w:r w:rsidR="00A92A87" w:rsidRPr="001C45D7">
        <w:t>opportunis</w:t>
      </w:r>
      <w:r w:rsidR="00780654" w:rsidRPr="001C45D7">
        <w:t xml:space="preserve">tic behaviours </w:t>
      </w:r>
      <w:r w:rsidR="00D7323C" w:rsidRPr="001C45D7">
        <w:t xml:space="preserve">from </w:t>
      </w:r>
      <w:r w:rsidR="00780654" w:rsidRPr="001C45D7">
        <w:t xml:space="preserve">more </w:t>
      </w:r>
      <w:r w:rsidR="00D7323C" w:rsidRPr="001C45D7">
        <w:t xml:space="preserve">digitally </w:t>
      </w:r>
      <w:r w:rsidR="00780654" w:rsidRPr="001C45D7">
        <w:t>capable buyers</w:t>
      </w:r>
      <w:r w:rsidR="00A92A87" w:rsidRPr="001C45D7">
        <w:t>.</w:t>
      </w:r>
      <w:r w:rsidR="00FA6558" w:rsidRPr="001C45D7">
        <w:t xml:space="preserve"> </w:t>
      </w:r>
      <w:r w:rsidR="001E5C52">
        <w:t xml:space="preserve">Notably, </w:t>
      </w:r>
      <w:r w:rsidR="001E5C52">
        <w:rPr>
          <w:rFonts w:eastAsia="Malgun Gothic"/>
          <w:lang w:eastAsia="ko-KR"/>
        </w:rPr>
        <w:t xml:space="preserve">this study focuses on the SME supplier’s perspective, since they are more </w:t>
      </w:r>
      <w:r w:rsidR="001E5C52">
        <w:rPr>
          <w:rFonts w:eastAsia="Malgun Gothic"/>
          <w:lang w:eastAsia="ko-KR"/>
        </w:rPr>
        <w:lastRenderedPageBreak/>
        <w:t xml:space="preserve">likely to lag behind their large buyers in digital capability development efforts.  </w:t>
      </w:r>
      <w:r w:rsidR="003A1C58" w:rsidRPr="001C45D7">
        <w:t>W</w:t>
      </w:r>
      <w:r w:rsidR="00A92A87" w:rsidRPr="001C45D7">
        <w:t>e</w:t>
      </w:r>
      <w:r w:rsidR="00FA6558" w:rsidRPr="001C45D7">
        <w:t xml:space="preserve"> </w:t>
      </w:r>
      <w:r w:rsidR="003A1C58" w:rsidRPr="001C45D7">
        <w:t xml:space="preserve">then </w:t>
      </w:r>
      <w:r w:rsidR="00A92A87" w:rsidRPr="001C45D7">
        <w:t>seek</w:t>
      </w:r>
      <w:r w:rsidR="00FA6558" w:rsidRPr="001C45D7">
        <w:t xml:space="preserve"> </w:t>
      </w:r>
      <w:r w:rsidR="00A92A87" w:rsidRPr="001C45D7">
        <w:t>to</w:t>
      </w:r>
      <w:r w:rsidR="00FA6558" w:rsidRPr="001C45D7">
        <w:t xml:space="preserve"> </w:t>
      </w:r>
      <w:r w:rsidR="00A92A87" w:rsidRPr="001C45D7">
        <w:t>investigate</w:t>
      </w:r>
      <w:r w:rsidR="00FA6558" w:rsidRPr="001C45D7">
        <w:t xml:space="preserve"> </w:t>
      </w:r>
      <w:r w:rsidR="003A1C58" w:rsidRPr="001C45D7">
        <w:t xml:space="preserve">whether </w:t>
      </w:r>
      <w:r w:rsidR="00A92A87" w:rsidRPr="001C45D7">
        <w:t>conventional</w:t>
      </w:r>
      <w:r w:rsidR="00FA6558" w:rsidRPr="001C45D7">
        <w:t xml:space="preserve"> </w:t>
      </w:r>
      <w:r w:rsidR="00A92A87" w:rsidRPr="001C45D7">
        <w:t>safeguard</w:t>
      </w:r>
      <w:r w:rsidR="00100B3C" w:rsidRPr="001C45D7">
        <w:t>ing</w:t>
      </w:r>
      <w:r w:rsidR="00FA6558" w:rsidRPr="001C45D7">
        <w:t xml:space="preserve"> </w:t>
      </w:r>
      <w:r w:rsidR="00A92A87" w:rsidRPr="001C45D7">
        <w:t>mechanism</w:t>
      </w:r>
      <w:r w:rsidR="00422C95" w:rsidRPr="001C45D7">
        <w:t>s</w:t>
      </w:r>
      <w:r w:rsidR="00FA6558" w:rsidRPr="001C45D7">
        <w:t xml:space="preserve"> </w:t>
      </w:r>
      <w:r w:rsidR="00A92A87" w:rsidRPr="001C45D7">
        <w:t>(contract</w:t>
      </w:r>
      <w:r w:rsidR="00FA6558" w:rsidRPr="001C45D7">
        <w:t xml:space="preserve"> </w:t>
      </w:r>
      <w:r w:rsidR="00A92A87" w:rsidRPr="001C45D7">
        <w:t>and</w:t>
      </w:r>
      <w:r w:rsidR="00FA6558" w:rsidRPr="001C45D7">
        <w:t xml:space="preserve"> </w:t>
      </w:r>
      <w:r w:rsidR="00A92A87" w:rsidRPr="001C45D7">
        <w:t>relational</w:t>
      </w:r>
      <w:r w:rsidR="00FA6558" w:rsidRPr="001C45D7">
        <w:t xml:space="preserve"> </w:t>
      </w:r>
      <w:r w:rsidR="00A92A87" w:rsidRPr="001C45D7">
        <w:t>governance)</w:t>
      </w:r>
      <w:r w:rsidR="00FA6558" w:rsidRPr="001C45D7">
        <w:t xml:space="preserve"> </w:t>
      </w:r>
      <w:r w:rsidR="00A92A87" w:rsidRPr="001C45D7">
        <w:t>are</w:t>
      </w:r>
      <w:r w:rsidR="00FA6558" w:rsidRPr="001C45D7">
        <w:t xml:space="preserve"> </w:t>
      </w:r>
      <w:r w:rsidR="00A92A87" w:rsidRPr="001C45D7">
        <w:t>still</w:t>
      </w:r>
      <w:r w:rsidR="00FA6558" w:rsidRPr="001C45D7">
        <w:t xml:space="preserve"> </w:t>
      </w:r>
      <w:r w:rsidR="00A92A87" w:rsidRPr="001C45D7">
        <w:t>effective</w:t>
      </w:r>
      <w:r w:rsidR="00FA6558" w:rsidRPr="001C45D7">
        <w:t xml:space="preserve"> </w:t>
      </w:r>
      <w:r w:rsidR="00A92A87" w:rsidRPr="001C45D7">
        <w:t>in</w:t>
      </w:r>
      <w:r w:rsidR="00FA6558" w:rsidRPr="001C45D7">
        <w:t xml:space="preserve"> </w:t>
      </w:r>
      <w:r w:rsidR="00A92A87" w:rsidRPr="001C45D7">
        <w:t>mitigating</w:t>
      </w:r>
      <w:r w:rsidR="00FA6558" w:rsidRPr="001C45D7">
        <w:t xml:space="preserve"> </w:t>
      </w:r>
      <w:r w:rsidR="00A92A87" w:rsidRPr="001C45D7">
        <w:t>buyer</w:t>
      </w:r>
      <w:r w:rsidR="00FA6558" w:rsidRPr="001C45D7">
        <w:t xml:space="preserve"> </w:t>
      </w:r>
      <w:r w:rsidR="00A92A87" w:rsidRPr="001C45D7">
        <w:t>opportunism</w:t>
      </w:r>
      <w:r w:rsidR="0076197E" w:rsidRPr="001C45D7">
        <w:t xml:space="preserve"> of this nature</w:t>
      </w:r>
      <w:r w:rsidR="00885B30" w:rsidRPr="001C45D7">
        <w:t>.</w:t>
      </w:r>
    </w:p>
    <w:p w14:paraId="74C92F1D" w14:textId="6EDE7C54" w:rsidR="004A4502" w:rsidRDefault="00A20D0C" w:rsidP="00AF433A">
      <w:pPr>
        <w:pStyle w:val="BodyText"/>
      </w:pPr>
      <w:r w:rsidRPr="001C45D7">
        <w:t>As</w:t>
      </w:r>
      <w:r w:rsidR="00FA6558" w:rsidRPr="001C45D7">
        <w:t xml:space="preserve"> </w:t>
      </w:r>
      <w:r w:rsidRPr="001C45D7">
        <w:t>discussed</w:t>
      </w:r>
      <w:r w:rsidR="00FA6558" w:rsidRPr="001C45D7">
        <w:t xml:space="preserve"> </w:t>
      </w:r>
      <w:r w:rsidRPr="001C45D7">
        <w:t>earlier,</w:t>
      </w:r>
      <w:r w:rsidR="00FA6558" w:rsidRPr="001C45D7">
        <w:t xml:space="preserve"> </w:t>
      </w:r>
      <w:r w:rsidRPr="001C45D7">
        <w:t>d</w:t>
      </w:r>
      <w:r w:rsidR="004555D9" w:rsidRPr="001C45D7">
        <w:t>ue</w:t>
      </w:r>
      <w:r w:rsidR="00FA6558" w:rsidRPr="001C45D7">
        <w:t xml:space="preserve"> </w:t>
      </w:r>
      <w:r w:rsidR="004555D9" w:rsidRPr="001C45D7">
        <w:t>to</w:t>
      </w:r>
      <w:r w:rsidR="00FA6558" w:rsidRPr="001C45D7">
        <w:t xml:space="preserve"> </w:t>
      </w:r>
      <w:r w:rsidR="004555D9" w:rsidRPr="001C45D7">
        <w:t>the</w:t>
      </w:r>
      <w:r w:rsidR="00FA6558" w:rsidRPr="001C45D7">
        <w:t xml:space="preserve"> </w:t>
      </w:r>
      <w:r w:rsidR="004555D9" w:rsidRPr="001C45D7">
        <w:t>huge</w:t>
      </w:r>
      <w:r w:rsidR="00FA6558" w:rsidRPr="001C45D7">
        <w:t xml:space="preserve"> </w:t>
      </w:r>
      <w:r w:rsidR="00AD6590" w:rsidRPr="001C45D7">
        <w:t>benefits</w:t>
      </w:r>
      <w:r w:rsidR="00FA6558" w:rsidRPr="001C45D7">
        <w:t xml:space="preserve"> </w:t>
      </w:r>
      <w:r w:rsidR="004555D9" w:rsidRPr="001C45D7">
        <w:t>promised</w:t>
      </w:r>
      <w:r w:rsidR="00FA6558" w:rsidRPr="001C45D7">
        <w:t xml:space="preserve"> </w:t>
      </w:r>
      <w:r w:rsidR="004555D9" w:rsidRPr="001C45D7">
        <w:t>by</w:t>
      </w:r>
      <w:r w:rsidR="00FA6558" w:rsidRPr="001C45D7">
        <w:t xml:space="preserve"> </w:t>
      </w:r>
      <w:r w:rsidR="004555D9" w:rsidRPr="001C45D7">
        <w:t>various</w:t>
      </w:r>
      <w:r w:rsidR="00FA6558" w:rsidRPr="001C45D7">
        <w:t xml:space="preserve"> </w:t>
      </w:r>
      <w:r w:rsidR="00302DD4" w:rsidRPr="001C45D7">
        <w:t>supply</w:t>
      </w:r>
      <w:r w:rsidR="00FA6558" w:rsidRPr="001C45D7">
        <w:t xml:space="preserve"> </w:t>
      </w:r>
      <w:r w:rsidR="00302DD4" w:rsidRPr="001C45D7">
        <w:t>chain</w:t>
      </w:r>
      <w:r w:rsidR="00FA6558" w:rsidRPr="001C45D7">
        <w:t xml:space="preserve"> </w:t>
      </w:r>
      <w:r w:rsidR="004555D9" w:rsidRPr="001C45D7">
        <w:t>digitalisation</w:t>
      </w:r>
      <w:r w:rsidR="00FA6558" w:rsidRPr="001C45D7">
        <w:t xml:space="preserve"> </w:t>
      </w:r>
      <w:r w:rsidR="004555D9" w:rsidRPr="001C45D7">
        <w:t>initiatives,</w:t>
      </w:r>
      <w:r w:rsidR="00FA6558" w:rsidRPr="001C45D7">
        <w:t xml:space="preserve"> </w:t>
      </w:r>
      <w:r w:rsidR="004555D9" w:rsidRPr="001C45D7">
        <w:t>the</w:t>
      </w:r>
      <w:r w:rsidR="00FA6558" w:rsidRPr="001C45D7">
        <w:t xml:space="preserve"> </w:t>
      </w:r>
      <w:r w:rsidR="004555D9" w:rsidRPr="001C45D7">
        <w:t>majority</w:t>
      </w:r>
      <w:r w:rsidR="00FA6558" w:rsidRPr="001C45D7">
        <w:t xml:space="preserve"> </w:t>
      </w:r>
      <w:r w:rsidR="004555D9" w:rsidRPr="001C45D7">
        <w:t>of</w:t>
      </w:r>
      <w:r w:rsidR="00FA6558" w:rsidRPr="001C45D7">
        <w:t xml:space="preserve"> </w:t>
      </w:r>
      <w:r w:rsidR="004555D9" w:rsidRPr="001C45D7">
        <w:t>large</w:t>
      </w:r>
      <w:r w:rsidR="00FA6558" w:rsidRPr="001C45D7">
        <w:t xml:space="preserve"> </w:t>
      </w:r>
      <w:r w:rsidR="004555D9" w:rsidRPr="001C45D7">
        <w:t>companies</w:t>
      </w:r>
      <w:r w:rsidR="00FA6558" w:rsidRPr="001C45D7">
        <w:t xml:space="preserve"> </w:t>
      </w:r>
      <w:r w:rsidR="004555D9" w:rsidRPr="001C45D7">
        <w:t>have</w:t>
      </w:r>
      <w:r w:rsidR="00FA6558" w:rsidRPr="001C45D7">
        <w:t xml:space="preserve"> </w:t>
      </w:r>
      <w:r w:rsidR="004555D9" w:rsidRPr="001C45D7">
        <w:t>implemented</w:t>
      </w:r>
      <w:r w:rsidR="00FA6558" w:rsidRPr="001C45D7">
        <w:t xml:space="preserve"> </w:t>
      </w:r>
      <w:r w:rsidR="004555D9" w:rsidRPr="001C45D7">
        <w:t>some</w:t>
      </w:r>
      <w:r w:rsidR="00FA6558" w:rsidRPr="001C45D7">
        <w:t xml:space="preserve"> </w:t>
      </w:r>
      <w:r w:rsidR="004555D9" w:rsidRPr="001C45D7">
        <w:t>form</w:t>
      </w:r>
      <w:r w:rsidR="00FA6558" w:rsidRPr="001C45D7">
        <w:t xml:space="preserve"> </w:t>
      </w:r>
      <w:r w:rsidR="004555D9" w:rsidRPr="001C45D7">
        <w:t>of</w:t>
      </w:r>
      <w:r w:rsidR="00FA6558" w:rsidRPr="001C45D7">
        <w:t xml:space="preserve"> </w:t>
      </w:r>
      <w:r w:rsidR="00AC7E3A" w:rsidRPr="001C45D7">
        <w:t>such</w:t>
      </w:r>
      <w:r w:rsidR="00FA6558" w:rsidRPr="001C45D7">
        <w:t xml:space="preserve"> </w:t>
      </w:r>
      <w:r w:rsidR="004555D9" w:rsidRPr="001C45D7">
        <w:t>initiatives</w:t>
      </w:r>
      <w:r w:rsidR="00FA6558" w:rsidRPr="001C45D7">
        <w:t xml:space="preserve"> </w:t>
      </w:r>
      <w:r w:rsidR="00247F27" w:rsidRPr="001C45D7">
        <w:t xml:space="preserve">to enhance </w:t>
      </w:r>
      <w:r w:rsidR="007E6EDE" w:rsidRPr="001C45D7">
        <w:t xml:space="preserve">their </w:t>
      </w:r>
      <w:r w:rsidR="00247F27" w:rsidRPr="001C45D7">
        <w:t>digital capability</w:t>
      </w:r>
      <w:r w:rsidR="00FA6558" w:rsidRPr="001C45D7">
        <w:t xml:space="preserve"> </w:t>
      </w:r>
      <w:r w:rsidR="00564CA8" w:rsidRPr="001C45D7">
        <w:fldChar w:fldCharType="begin" w:fldLock="1"/>
      </w:r>
      <w:r w:rsidR="00433778" w:rsidRPr="001C45D7">
        <w:instrText>ADDIN CSL_CITATION {"citationItems":[{"id":"ITEM-1","itemData":{"author":[{"dropping-particle":"","family":"Kiron","given":"D","non-dropping-particle":"","parse-names":false,"suffix":""},{"dropping-particle":"","family":"Prentice","given":"PK","non-dropping-particle":"","parse-names":false,"suffix":""},{"dropping-particle":"","family":"Review","given":"RB Ferguson - Mit Sloan Management","non-dropping-particle":"","parse-names":false,"suffix":""},{"dropping-particle":"","family":"Report","given":"Research","non-dropping-particle":"","parse-names":false,"suffix":""},{"dropping-particle":"","family":"2014","given":"Undefined","non-dropping-particle":"","parse-names":false,"suffix":""}],"container-title":"MIT Sloan Management Review","id":"ITEM-1","issue":"4","issued":{"date-parts":[["2014"]]},"page":"1-25","title":"The Analytics Mandate: Findings from the 2014 Data &amp; Analytics Global Executive Study and Research Report","type":"article-journal","volume":"55"},"uris":["http://www.mendeley.com/documents/?uuid=488e2377-02fb-35aa-a5d3-cbe00eeae57b"]},{"id":"ITEM-2","itemData":{"DOI":"10.1108/IJLM-02-2018-0026","ISSN":"17586550","author":[{"dropping-particle":"","family":"Fosso Wamba","given":"Samuel","non-dropping-particle":"","parse-names":false,"suffix":""},{"dropping-particle":"","family":"Gunasekaran","given":"Angappa","non-dropping-particle":"","parse-names":false,"suffix":""},{"dropping-particle":"","family":"Papadopoulos","given":"Thanos","non-dropping-particle":"","parse-names":false,"suffix":""},{"dropping-particle":"","family":"Ngai","given":"Eric","non-dropping-particle":"","parse-names":false,"suffix":""}],"container-title":"International Journal of Logistics Management","id":"ITEM-2","issue":"2","issued":{"date-parts":[["2018"]]},"page":"478-484","publisher":"Emerald Group Publishing Ltd.","title":"Big data analytics in logistics and supply chain management","type":"article","volume":"29"},"uris":["http://www.mendeley.com/documents/?uuid=d571e27d-578d-47a1-b1ab-91475fe900aa"]}],"mendeley":{"formattedCitation":"(Fosso Wamba &lt;i&gt;et al.&lt;/i&gt;, 2018; Kiron &lt;i&gt;et al.&lt;/i&gt;, 2014)","plainTextFormattedCitation":"(Fosso Wamba et al., 2018; Kiron et al., 2014)","previouslyFormattedCitation":"(Fosso Wamba &lt;i&gt;et al.&lt;/i&gt;, 2018; Kiron &lt;i&gt;et al.&lt;/i&gt;, 2014)"},"properties":{"noteIndex":0},"schema":"https://github.com/citation-style-language/schema/raw/master/csl-citation.json"}</w:instrText>
      </w:r>
      <w:r w:rsidR="00564CA8" w:rsidRPr="001C45D7">
        <w:fldChar w:fldCharType="separate"/>
      </w:r>
      <w:r w:rsidR="004A2B48" w:rsidRPr="001C45D7">
        <w:rPr>
          <w:noProof/>
        </w:rPr>
        <w:t xml:space="preserve">(Fosso Wamba </w:t>
      </w:r>
      <w:r w:rsidR="004A2B48" w:rsidRPr="001C45D7">
        <w:rPr>
          <w:i/>
          <w:noProof/>
        </w:rPr>
        <w:t>et al.</w:t>
      </w:r>
      <w:r w:rsidR="004A2B48" w:rsidRPr="001C45D7">
        <w:rPr>
          <w:noProof/>
        </w:rPr>
        <w:t xml:space="preserve">, 2018; Kiron </w:t>
      </w:r>
      <w:r w:rsidR="004A2B48" w:rsidRPr="001C45D7">
        <w:rPr>
          <w:i/>
          <w:noProof/>
        </w:rPr>
        <w:t>et al.</w:t>
      </w:r>
      <w:r w:rsidR="004A2B48" w:rsidRPr="001C45D7">
        <w:rPr>
          <w:noProof/>
        </w:rPr>
        <w:t>, 2014)</w:t>
      </w:r>
      <w:r w:rsidR="00564CA8" w:rsidRPr="001C45D7">
        <w:fldChar w:fldCharType="end"/>
      </w:r>
      <w:r w:rsidR="004555D9" w:rsidRPr="001C45D7">
        <w:t>.</w:t>
      </w:r>
      <w:r w:rsidR="00FA6558" w:rsidRPr="001C45D7">
        <w:t xml:space="preserve"> </w:t>
      </w:r>
      <w:r w:rsidR="00564CA8" w:rsidRPr="001C45D7">
        <w:t>However,</w:t>
      </w:r>
      <w:r w:rsidR="00FA6558" w:rsidRPr="001C45D7">
        <w:t xml:space="preserve"> </w:t>
      </w:r>
      <w:r w:rsidR="0081711A" w:rsidRPr="001C45D7">
        <w:t>the</w:t>
      </w:r>
      <w:r w:rsidR="00FA6558" w:rsidRPr="001C45D7">
        <w:t xml:space="preserve"> </w:t>
      </w:r>
      <w:r w:rsidR="0081711A" w:rsidRPr="001C45D7">
        <w:t>latest</w:t>
      </w:r>
      <w:r w:rsidR="00FA6558" w:rsidRPr="001C45D7">
        <w:t xml:space="preserve"> </w:t>
      </w:r>
      <w:r w:rsidR="0081711A" w:rsidRPr="001C45D7">
        <w:t>studies</w:t>
      </w:r>
      <w:r w:rsidR="00FA6558" w:rsidRPr="001C45D7">
        <w:t xml:space="preserve"> </w:t>
      </w:r>
      <w:r w:rsidR="0081711A" w:rsidRPr="001C45D7">
        <w:t>suggest</w:t>
      </w:r>
      <w:r w:rsidR="00FA6558" w:rsidRPr="001C45D7">
        <w:t xml:space="preserve"> </w:t>
      </w:r>
      <w:r w:rsidR="0081711A" w:rsidRPr="001C45D7">
        <w:t>that</w:t>
      </w:r>
      <w:r w:rsidR="00FA6558" w:rsidRPr="001C45D7">
        <w:t xml:space="preserve"> </w:t>
      </w:r>
      <w:r w:rsidR="00564CA8" w:rsidRPr="001C45D7">
        <w:t>the</w:t>
      </w:r>
      <w:r w:rsidR="00FA6558" w:rsidRPr="001C45D7">
        <w:t xml:space="preserve"> </w:t>
      </w:r>
      <w:r w:rsidR="00564CA8" w:rsidRPr="001C45D7">
        <w:t>majority</w:t>
      </w:r>
      <w:r w:rsidR="00FA6558" w:rsidRPr="001C45D7">
        <w:t xml:space="preserve"> </w:t>
      </w:r>
      <w:r w:rsidR="00564CA8" w:rsidRPr="001C45D7">
        <w:t>of</w:t>
      </w:r>
      <w:r w:rsidR="00FA6558" w:rsidRPr="001C45D7">
        <w:t xml:space="preserve"> </w:t>
      </w:r>
      <w:r w:rsidR="00564CA8" w:rsidRPr="001C45D7">
        <w:t>SMEs</w:t>
      </w:r>
      <w:r w:rsidR="00FA6558" w:rsidRPr="001C45D7">
        <w:t xml:space="preserve"> </w:t>
      </w:r>
      <w:r w:rsidR="00564CA8" w:rsidRPr="001C45D7">
        <w:t>are</w:t>
      </w:r>
      <w:r w:rsidR="00FA6558" w:rsidRPr="001C45D7">
        <w:t xml:space="preserve"> </w:t>
      </w:r>
      <w:r w:rsidR="00564CA8" w:rsidRPr="001C45D7">
        <w:t>very</w:t>
      </w:r>
      <w:r w:rsidR="00FA6558" w:rsidRPr="001C45D7">
        <w:t xml:space="preserve"> </w:t>
      </w:r>
      <w:r w:rsidR="00564CA8" w:rsidRPr="001C45D7">
        <w:t>much</w:t>
      </w:r>
      <w:r w:rsidR="00FA6558" w:rsidRPr="001C45D7">
        <w:t xml:space="preserve"> </w:t>
      </w:r>
      <w:r w:rsidR="00564CA8" w:rsidRPr="001C45D7">
        <w:t>behind</w:t>
      </w:r>
      <w:r w:rsidR="00FA6558" w:rsidRPr="001C45D7">
        <w:t xml:space="preserve"> </w:t>
      </w:r>
      <w:r w:rsidR="00564CA8" w:rsidRPr="001C45D7">
        <w:t>large</w:t>
      </w:r>
      <w:r w:rsidR="00FA6558" w:rsidRPr="001C45D7">
        <w:t xml:space="preserve"> </w:t>
      </w:r>
      <w:r w:rsidR="00564CA8" w:rsidRPr="001C45D7">
        <w:t>companies</w:t>
      </w:r>
      <w:r w:rsidR="00FA6558" w:rsidRPr="001C45D7">
        <w:t xml:space="preserve"> </w:t>
      </w:r>
      <w:r w:rsidR="00564CA8" w:rsidRPr="001C45D7">
        <w:t>in</w:t>
      </w:r>
      <w:r w:rsidR="00FA6558" w:rsidRPr="001C45D7">
        <w:t xml:space="preserve"> </w:t>
      </w:r>
      <w:r w:rsidR="00564CA8" w:rsidRPr="001C45D7">
        <w:t>supply</w:t>
      </w:r>
      <w:r w:rsidR="00FA6558" w:rsidRPr="001C45D7">
        <w:t xml:space="preserve"> </w:t>
      </w:r>
      <w:r w:rsidR="00564CA8" w:rsidRPr="001C45D7">
        <w:t>chain</w:t>
      </w:r>
      <w:r w:rsidR="00FA6558" w:rsidRPr="001C45D7">
        <w:t xml:space="preserve"> </w:t>
      </w:r>
      <w:r w:rsidR="00564CA8" w:rsidRPr="001C45D7">
        <w:t>digitalisation</w:t>
      </w:r>
      <w:r w:rsidR="00FA6558" w:rsidRPr="001C45D7">
        <w:t xml:space="preserve"> </w:t>
      </w:r>
      <w:r w:rsidR="00564CA8" w:rsidRPr="001C45D7">
        <w:fldChar w:fldCharType="begin" w:fldLock="1"/>
      </w:r>
      <w:r w:rsidR="004A2B48" w:rsidRPr="001C45D7">
        <w:instrText>ADDIN CSL_CITATION {"citationItems":[{"id":"ITEM-1","itemData":{"DOI":"10.1007/978-3-030-25425-4_1","ISBN":"9783030254254","abstract":"Industry 4.0 can be the starting point for implementation projects as a low-risk entry into an adapted digitization strategy. In larger companies, comprehensive digitization initiatives are already integrated into the central corporate strategy, while smaller companies often have problems putting the Industry 4.0 paradigms into practice. As the backbone of the economy, small-and medium-sized enterprises (SMEs) have an enormous leverage effect, which is why it is crucial to develop specific concepts for smaller companies. Regardless of the size of a company, a digital transformation strategy offers opportunities for growth and sustainable competitiveness. This chapter will give an introductory overview of Industry 4.0 as the fourth industrial revolution and discuss the role of SMEs in this transition towards the digital transformation.","author":[{"dropping-particle":"","family":"Matt","given":"Dominik T.","non-dropping-particle":"","parse-names":false,"suffix":""},{"dropping-particle":"","family":"Rauch","given":"Erwin","non-dropping-particle":"","parse-names":false,"suffix":""}],"container-title":"Industry 4.0 for SMEs: Challenges, Opportunities and Requirements","id":"ITEM-1","issued":{"date-parts":[["2020","1","1"]]},"page":"3-36","publisher":"Palgrave Macmillan","title":"SME 4.0: The role of small-and medium-sized enterprises in the digital transformation","type":"chapter"},"uris":["http://www.mendeley.com/documents/?uuid=1853048d-2c84-3ecb-a7ae-898aae1bb271"]},{"id":"ITEM-2","itemData":{"abstract":"The extent of digitalisation in SMEs is not nearly as great as might be expected, given the level of public debate about the issue. Around a third of German SMEs are still in the early stages of digitalisation. Pioneers – companies that already rely on digital products and services, apps or Industry 4.0 – remain a minority, representing just under a fifth of the total.","author":[{"dropping-particle":"","family":"Zimermann","given":"Volker","non-dropping-particle":"","parse-names":false,"suffix":""}],"container-title":"KfW Research","id":"ITEM-2","issue":"August","issued":{"date-parts":[["2016"]]},"page":"1-7","title":"SMEs and digitalisation: The current position, recent developments and challenges","type":"article-journal","volume":"138"},"uris":["http://www.mendeley.com/documents/?uuid=0b6b70f1-8ca0-3b6d-ba7e-4ac457ea5f60"]},{"id":"ITEM-3","itemData":{"DOI":"10.1080/00472778.2020.1780728","ISSN":"1540627X","abstract":"This research, grounded on the organizational information processing theory, studies whether the digital enabling technologies of Industry 4.0 (I4.0) impact innovation in small and medium enterprises (SMEs), and what role innovation strategies play in promoting I4.0 in SMEs. We consider two types of enablers, information and communication digital enabling technologies (IDETs) and advanced robotics and integration digital enabling technologies (ADETs), according to their nature, to demonstrate that different I4.0 enabling technologies play different roles in SME innovations. Results from 109 SMEs show that strategic planning fosters I4.0, and innovation is promoted more intensively by IDETs than by ADETs, with both technologies exerting mediating effects in the relationship between strategy and innovation. Finally, innovation has positive effects on performance.","author":[{"dropping-particle":"","family":"Somohano-Rodríguez","given":"Francisco M.","non-dropping-particle":"","parse-names":false,"suffix":""},{"dropping-particle":"","family":"Madrid-Guijarro","given":"Antonia","non-dropping-particle":"","parse-names":false,"suffix":""},{"dropping-particle":"","family":"López-Fernández","given":"José Manuel","non-dropping-particle":"","parse-names":false,"suffix":""}],"container-title":"Journal of Small Business Management","id":"ITEM-3","issued":{"date-parts":[["2020"]]},"publisher":"Taylor and Francis Ltd.","title":"Does Industry 4.0 really matter for SME innovation?","type":"article-journal"},"uris":["http://www.mendeley.com/documents/?uuid=a767bd9e-bec8-3cd9-81ef-46269c4327f4"]}],"mendeley":{"formattedCitation":"(Matt and Rauch, 2020; Somohano-Rodríguez &lt;i&gt;et al.&lt;/i&gt;, 2020; Zimermann, 2016)","manualFormatting":"(Zimermann, 2016; Matt and Rauch, 2020; Somohano-Rodríguez et al., 2020)","plainTextFormattedCitation":"(Matt and Rauch, 2020; Somohano-Rodríguez et al., 2020; Zimermann, 2016)","previouslyFormattedCitation":"(Matt and Rauch, 2020; Somohano-Rodríguez &lt;i&gt;et al.&lt;/i&gt;, 2020; Zimermann, 2016)"},"properties":{"noteIndex":0},"schema":"https://github.com/citation-style-language/schema/raw/master/csl-citation.json"}</w:instrText>
      </w:r>
      <w:r w:rsidR="00564CA8" w:rsidRPr="001C45D7">
        <w:fldChar w:fldCharType="separate"/>
      </w:r>
      <w:r w:rsidR="009C344A">
        <w:rPr>
          <w:noProof/>
        </w:rPr>
        <w:t>(</w:t>
      </w:r>
      <w:r w:rsidR="00881C19" w:rsidRPr="001C45D7">
        <w:rPr>
          <w:noProof/>
        </w:rPr>
        <w:t>Matt</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Rauch,</w:t>
      </w:r>
      <w:r w:rsidR="00FA6558" w:rsidRPr="001C45D7">
        <w:rPr>
          <w:noProof/>
        </w:rPr>
        <w:t xml:space="preserve"> </w:t>
      </w:r>
      <w:r w:rsidR="00881C19" w:rsidRPr="001C45D7">
        <w:rPr>
          <w:noProof/>
        </w:rPr>
        <w:t>2020;</w:t>
      </w:r>
      <w:r w:rsidR="00FA6558" w:rsidRPr="001C45D7">
        <w:rPr>
          <w:noProof/>
        </w:rPr>
        <w:t xml:space="preserve"> </w:t>
      </w:r>
      <w:r w:rsidR="00881C19" w:rsidRPr="001C45D7">
        <w:rPr>
          <w:noProof/>
        </w:rPr>
        <w:t>Somohano-Rodríguez</w:t>
      </w:r>
      <w:r w:rsidR="00D61D5C" w:rsidRPr="001C45D7">
        <w:rPr>
          <w:noProof/>
        </w:rPr>
        <w:t xml:space="preserve"> </w:t>
      </w:r>
      <w:r w:rsidR="00D61D5C" w:rsidRPr="001C45D7">
        <w:rPr>
          <w:i/>
          <w:iCs/>
          <w:noProof/>
        </w:rPr>
        <w:t>et al.</w:t>
      </w:r>
      <w:r w:rsidR="00881C19" w:rsidRPr="001C45D7">
        <w:rPr>
          <w:noProof/>
        </w:rPr>
        <w:t>,</w:t>
      </w:r>
      <w:r w:rsidR="00FA6558" w:rsidRPr="001C45D7">
        <w:rPr>
          <w:noProof/>
        </w:rPr>
        <w:t xml:space="preserve"> </w:t>
      </w:r>
      <w:r w:rsidR="00881C19" w:rsidRPr="001C45D7">
        <w:rPr>
          <w:noProof/>
        </w:rPr>
        <w:t>2020)</w:t>
      </w:r>
      <w:r w:rsidR="00564CA8" w:rsidRPr="001C45D7">
        <w:fldChar w:fldCharType="end"/>
      </w:r>
      <w:r w:rsidR="00DB704D" w:rsidRPr="001C45D7">
        <w:t>.</w:t>
      </w:r>
      <w:r w:rsidR="00FA6558" w:rsidRPr="001C45D7">
        <w:t xml:space="preserve"> </w:t>
      </w:r>
      <w:bookmarkStart w:id="12" w:name="_Hlk63435396"/>
      <w:r w:rsidR="004555D9" w:rsidRPr="001C45D7">
        <w:t>Such</w:t>
      </w:r>
      <w:r w:rsidR="00FA6558" w:rsidRPr="001C45D7">
        <w:t xml:space="preserve"> </w:t>
      </w:r>
      <w:r w:rsidR="005819A4" w:rsidRPr="001C45D7">
        <w:t xml:space="preserve">a </w:t>
      </w:r>
      <w:r w:rsidR="00780654" w:rsidRPr="001C45D7">
        <w:t xml:space="preserve">gap </w:t>
      </w:r>
      <w:r w:rsidR="004555D9" w:rsidRPr="001C45D7">
        <w:t>in</w:t>
      </w:r>
      <w:r w:rsidR="00FA6558" w:rsidRPr="001C45D7">
        <w:t xml:space="preserve"> </w:t>
      </w:r>
      <w:r w:rsidR="00BE17CB" w:rsidRPr="001C45D7">
        <w:t xml:space="preserve">supply chain </w:t>
      </w:r>
      <w:r w:rsidR="004555D9" w:rsidRPr="001C45D7">
        <w:t>digitalisation</w:t>
      </w:r>
      <w:r w:rsidR="00FA6558" w:rsidRPr="001C45D7">
        <w:t xml:space="preserve"> </w:t>
      </w:r>
      <w:r w:rsidR="00886767" w:rsidRPr="001C45D7">
        <w:t xml:space="preserve">may </w:t>
      </w:r>
      <w:r w:rsidR="004555D9" w:rsidRPr="001C45D7">
        <w:t>result</w:t>
      </w:r>
      <w:r w:rsidR="00FA6558" w:rsidRPr="001C45D7">
        <w:t xml:space="preserve"> </w:t>
      </w:r>
      <w:r w:rsidR="004555D9" w:rsidRPr="001C45D7">
        <w:t>in</w:t>
      </w:r>
      <w:r w:rsidR="00FA6558" w:rsidRPr="001C45D7">
        <w:t xml:space="preserve"> </w:t>
      </w:r>
      <w:r w:rsidR="00040D27" w:rsidRPr="001C45D7">
        <w:t>digital</w:t>
      </w:r>
      <w:r w:rsidR="00FA6558" w:rsidRPr="001C45D7">
        <w:t xml:space="preserve"> </w:t>
      </w:r>
      <w:r w:rsidR="004555D9" w:rsidRPr="001C45D7">
        <w:t>capability</w:t>
      </w:r>
      <w:r w:rsidR="007772CE" w:rsidRPr="007772CE">
        <w:t xml:space="preserve"> </w:t>
      </w:r>
      <w:r w:rsidR="007772CE" w:rsidRPr="001C45D7">
        <w:t>asymmetry</w:t>
      </w:r>
      <w:r w:rsidR="004555D9" w:rsidRPr="001C45D7">
        <w:t>,</w:t>
      </w:r>
      <w:r w:rsidR="00FA6558" w:rsidRPr="001C45D7">
        <w:t xml:space="preserve"> </w:t>
      </w:r>
      <w:r w:rsidR="00BC5690" w:rsidRPr="001C45D7">
        <w:t>making</w:t>
      </w:r>
      <w:r w:rsidR="00FA6558" w:rsidRPr="001C45D7">
        <w:t xml:space="preserve"> </w:t>
      </w:r>
      <w:r w:rsidR="00E05075" w:rsidRPr="001C45D7">
        <w:t>SME supplier</w:t>
      </w:r>
      <w:r w:rsidR="00956F67" w:rsidRPr="001C45D7">
        <w:t>s</w:t>
      </w:r>
      <w:r w:rsidR="00FA6558" w:rsidRPr="001C45D7">
        <w:t xml:space="preserve"> </w:t>
      </w:r>
      <w:r w:rsidR="004555D9" w:rsidRPr="001C45D7">
        <w:t>more</w:t>
      </w:r>
      <w:r w:rsidR="00FA6558" w:rsidRPr="001C45D7">
        <w:t xml:space="preserve"> </w:t>
      </w:r>
      <w:r w:rsidR="004555D9" w:rsidRPr="001C45D7">
        <w:t>dependent</w:t>
      </w:r>
      <w:r w:rsidR="00FA6558" w:rsidRPr="001C45D7">
        <w:t xml:space="preserve"> </w:t>
      </w:r>
      <w:r w:rsidR="004555D9" w:rsidRPr="001C45D7">
        <w:t>on</w:t>
      </w:r>
      <w:r w:rsidR="00FA6558" w:rsidRPr="001C45D7">
        <w:t xml:space="preserve"> </w:t>
      </w:r>
      <w:r w:rsidR="00956F67" w:rsidRPr="001C45D7">
        <w:t xml:space="preserve">their </w:t>
      </w:r>
      <w:r w:rsidR="004555D9" w:rsidRPr="001C45D7">
        <w:t>more</w:t>
      </w:r>
      <w:r w:rsidR="00FA6558" w:rsidRPr="001C45D7">
        <w:t xml:space="preserve"> </w:t>
      </w:r>
      <w:r w:rsidR="004555D9" w:rsidRPr="001C45D7">
        <w:t>digitally</w:t>
      </w:r>
      <w:r w:rsidR="00FA6558" w:rsidRPr="001C45D7">
        <w:t xml:space="preserve"> </w:t>
      </w:r>
      <w:r w:rsidR="004555D9" w:rsidRPr="001C45D7">
        <w:t>capable</w:t>
      </w:r>
      <w:r w:rsidR="00FA6558" w:rsidRPr="001C45D7">
        <w:t xml:space="preserve"> </w:t>
      </w:r>
      <w:r w:rsidR="004555D9" w:rsidRPr="001C45D7">
        <w:t>buyer</w:t>
      </w:r>
      <w:bookmarkEnd w:id="12"/>
      <w:r w:rsidR="00956F67" w:rsidRPr="001C45D7">
        <w:t>s</w:t>
      </w:r>
      <w:r w:rsidR="00885B30" w:rsidRPr="001C45D7">
        <w:t>,</w:t>
      </w:r>
      <w:r w:rsidR="00FA6558" w:rsidRPr="001C45D7">
        <w:t xml:space="preserve"> </w:t>
      </w:r>
      <w:r w:rsidR="00885B30" w:rsidRPr="001C45D7">
        <w:t>for</w:t>
      </w:r>
      <w:r w:rsidR="00FA6558" w:rsidRPr="001C45D7">
        <w:t xml:space="preserve"> </w:t>
      </w:r>
      <w:r w:rsidR="00885B30" w:rsidRPr="001C45D7">
        <w:t>example</w:t>
      </w:r>
      <w:r w:rsidR="00FA6558" w:rsidRPr="001C45D7">
        <w:t xml:space="preserve"> </w:t>
      </w:r>
      <w:r w:rsidR="00294C1D" w:rsidRPr="001C45D7">
        <w:t>with regards to</w:t>
      </w:r>
      <w:r w:rsidR="00FA6558" w:rsidRPr="001C45D7">
        <w:t xml:space="preserve"> </w:t>
      </w:r>
      <w:r w:rsidR="004555D9" w:rsidRPr="001C45D7">
        <w:t>vital</w:t>
      </w:r>
      <w:r w:rsidR="00FA6558" w:rsidRPr="001C45D7">
        <w:t xml:space="preserve"> </w:t>
      </w:r>
      <w:r w:rsidR="004555D9" w:rsidRPr="001C45D7">
        <w:t>and</w:t>
      </w:r>
      <w:r w:rsidR="00FA6558" w:rsidRPr="001C45D7">
        <w:t xml:space="preserve"> </w:t>
      </w:r>
      <w:r w:rsidR="004555D9" w:rsidRPr="001C45D7">
        <w:t>novel</w:t>
      </w:r>
      <w:r w:rsidR="00FA6558" w:rsidRPr="001C45D7">
        <w:t xml:space="preserve"> </w:t>
      </w:r>
      <w:r w:rsidR="004555D9" w:rsidRPr="001C45D7">
        <w:t>information</w:t>
      </w:r>
      <w:r w:rsidR="00FA6558" w:rsidRPr="001C45D7">
        <w:t xml:space="preserve"> </w:t>
      </w:r>
      <w:r w:rsidR="00BC5690" w:rsidRPr="001C45D7">
        <w:t>and</w:t>
      </w:r>
      <w:r w:rsidR="00FA6558" w:rsidRPr="001C45D7">
        <w:t xml:space="preserve"> </w:t>
      </w:r>
      <w:r w:rsidR="00BC5690" w:rsidRPr="001C45D7">
        <w:t>knowledge</w:t>
      </w:r>
      <w:r w:rsidR="00FA6558" w:rsidRPr="001C45D7">
        <w:t xml:space="preserve"> </w:t>
      </w:r>
      <w:r w:rsidR="0081711A" w:rsidRPr="001C45D7">
        <w:t>acquired</w:t>
      </w:r>
      <w:r w:rsidR="00FA6558" w:rsidRPr="001C45D7">
        <w:t xml:space="preserve"> </w:t>
      </w:r>
      <w:r w:rsidR="00F95A76" w:rsidRPr="001C45D7">
        <w:t xml:space="preserve">via </w:t>
      </w:r>
      <w:r w:rsidR="00FA1176" w:rsidRPr="001C45D7">
        <w:t xml:space="preserve">the </w:t>
      </w:r>
      <w:r w:rsidR="0081711A" w:rsidRPr="001C45D7">
        <w:t>buyers</w:t>
      </w:r>
      <w:r w:rsidR="00F95A76" w:rsidRPr="001C45D7">
        <w:t>’</w:t>
      </w:r>
      <w:r w:rsidR="00FA6558" w:rsidRPr="001C45D7">
        <w:t xml:space="preserve"> </w:t>
      </w:r>
      <w:r w:rsidR="00BE17CB" w:rsidRPr="001C45D7">
        <w:t xml:space="preserve">supply chain </w:t>
      </w:r>
      <w:r w:rsidR="0081711A" w:rsidRPr="001C45D7">
        <w:t>digitalisation</w:t>
      </w:r>
      <w:r w:rsidR="00967A55" w:rsidRPr="001C45D7">
        <w:t>.</w:t>
      </w:r>
      <w:r w:rsidR="00FA6558" w:rsidRPr="001C45D7">
        <w:t xml:space="preserve"> </w:t>
      </w:r>
      <w:r w:rsidR="000C2A9B" w:rsidRPr="001C45D7">
        <w:t>Considering</w:t>
      </w:r>
      <w:r w:rsidR="00FA6558" w:rsidRPr="001C45D7">
        <w:t xml:space="preserve"> </w:t>
      </w:r>
      <w:r w:rsidR="000C2A9B" w:rsidRPr="001C45D7">
        <w:t>that</w:t>
      </w:r>
      <w:r w:rsidR="00FA6558" w:rsidRPr="001C45D7">
        <w:t xml:space="preserve"> </w:t>
      </w:r>
      <w:r w:rsidR="00885B30" w:rsidRPr="001C45D7">
        <w:t>the</w:t>
      </w:r>
      <w:r w:rsidR="00FA6558" w:rsidRPr="001C45D7">
        <w:t xml:space="preserve"> </w:t>
      </w:r>
      <w:r w:rsidR="00885B30" w:rsidRPr="001C45D7">
        <w:t>extent</w:t>
      </w:r>
      <w:r w:rsidR="00FA6558" w:rsidRPr="001C45D7">
        <w:t xml:space="preserve"> </w:t>
      </w:r>
      <w:r w:rsidR="000C2A9B" w:rsidRPr="001C45D7">
        <w:t>of</w:t>
      </w:r>
      <w:r w:rsidR="00FA6558" w:rsidRPr="001C45D7">
        <w:t xml:space="preserve"> </w:t>
      </w:r>
      <w:r w:rsidR="00FD2F6D" w:rsidRPr="001C45D7">
        <w:t xml:space="preserve">an </w:t>
      </w:r>
      <w:r w:rsidR="000C2A9B" w:rsidRPr="001C45D7">
        <w:t>SME</w:t>
      </w:r>
      <w:r w:rsidR="00FA6558" w:rsidRPr="001C45D7">
        <w:t xml:space="preserve"> </w:t>
      </w:r>
      <w:r w:rsidR="000C2A9B" w:rsidRPr="001C45D7">
        <w:t>supplier’s</w:t>
      </w:r>
      <w:r w:rsidR="00FA6558" w:rsidRPr="001C45D7">
        <w:t xml:space="preserve"> </w:t>
      </w:r>
      <w:r w:rsidR="000C2A9B" w:rsidRPr="001C45D7">
        <w:t>dependence</w:t>
      </w:r>
      <w:r w:rsidR="00FA6558" w:rsidRPr="001C45D7">
        <w:t xml:space="preserve"> </w:t>
      </w:r>
      <w:r w:rsidR="000C2A9B" w:rsidRPr="001C45D7">
        <w:t>on</w:t>
      </w:r>
      <w:r w:rsidR="00FA6558" w:rsidRPr="001C45D7">
        <w:t xml:space="preserve"> </w:t>
      </w:r>
      <w:r w:rsidR="00FD2F6D" w:rsidRPr="001C45D7">
        <w:t xml:space="preserve">its </w:t>
      </w:r>
      <w:r w:rsidR="000C2A9B" w:rsidRPr="001C45D7">
        <w:t>more</w:t>
      </w:r>
      <w:r w:rsidR="00FA6558" w:rsidRPr="001C45D7">
        <w:t xml:space="preserve"> </w:t>
      </w:r>
      <w:r w:rsidR="00FD2F6D" w:rsidRPr="001C45D7">
        <w:t xml:space="preserve">digitally </w:t>
      </w:r>
      <w:r w:rsidR="000C2A9B" w:rsidRPr="001C45D7">
        <w:t>capable</w:t>
      </w:r>
      <w:r w:rsidR="00FA6558" w:rsidRPr="001C45D7">
        <w:t xml:space="preserve"> </w:t>
      </w:r>
      <w:r w:rsidR="000C2A9B" w:rsidRPr="001C45D7">
        <w:t>buyer</w:t>
      </w:r>
      <w:r w:rsidR="00FA6558" w:rsidRPr="001C45D7">
        <w:t xml:space="preserve"> </w:t>
      </w:r>
      <w:r w:rsidR="000C2A9B" w:rsidRPr="001C45D7">
        <w:t>is</w:t>
      </w:r>
      <w:r w:rsidR="00FA6558" w:rsidRPr="001C45D7">
        <w:t xml:space="preserve"> </w:t>
      </w:r>
      <w:r w:rsidR="000C2A9B" w:rsidRPr="001C45D7">
        <w:t>in</w:t>
      </w:r>
      <w:r w:rsidR="00FA6558" w:rsidRPr="001C45D7">
        <w:t xml:space="preserve"> </w:t>
      </w:r>
      <w:r w:rsidR="000C2A9B" w:rsidRPr="001C45D7">
        <w:t>proportion</w:t>
      </w:r>
      <w:r w:rsidR="00FA6558" w:rsidRPr="001C45D7">
        <w:t xml:space="preserve"> </w:t>
      </w:r>
      <w:r w:rsidR="000C2A9B" w:rsidRPr="001C45D7">
        <w:t>to</w:t>
      </w:r>
      <w:r w:rsidR="00FA6558" w:rsidRPr="001C45D7">
        <w:t xml:space="preserve"> </w:t>
      </w:r>
      <w:r w:rsidR="000C2A9B" w:rsidRPr="001C45D7">
        <w:t>its</w:t>
      </w:r>
      <w:r w:rsidR="00FA6558" w:rsidRPr="001C45D7">
        <w:t xml:space="preserve"> </w:t>
      </w:r>
      <w:r w:rsidR="000C2A9B" w:rsidRPr="001C45D7">
        <w:t>need</w:t>
      </w:r>
      <w:r w:rsidR="00FA6558" w:rsidRPr="001C45D7">
        <w:t xml:space="preserve"> </w:t>
      </w:r>
      <w:r w:rsidR="000C2A9B" w:rsidRPr="001C45D7">
        <w:t>for</w:t>
      </w:r>
      <w:r w:rsidR="00FA6558" w:rsidRPr="001C45D7">
        <w:t xml:space="preserve"> </w:t>
      </w:r>
      <w:r w:rsidR="000C2A9B" w:rsidRPr="001C45D7">
        <w:t>such</w:t>
      </w:r>
      <w:r w:rsidR="00FA6558" w:rsidRPr="001C45D7">
        <w:t xml:space="preserve"> </w:t>
      </w:r>
      <w:r w:rsidRPr="001C45D7">
        <w:t>unique</w:t>
      </w:r>
      <w:r w:rsidR="00FA6558" w:rsidRPr="001C45D7">
        <w:t xml:space="preserve"> </w:t>
      </w:r>
      <w:r w:rsidR="000C2A9B" w:rsidRPr="001C45D7">
        <w:t>information</w:t>
      </w:r>
      <w:r w:rsidR="00FA6558" w:rsidRPr="001C45D7">
        <w:t xml:space="preserve"> </w:t>
      </w:r>
      <w:r w:rsidR="000C2A9B" w:rsidRPr="001C45D7">
        <w:t>and</w:t>
      </w:r>
      <w:r w:rsidR="00FA6558" w:rsidRPr="001C45D7">
        <w:t xml:space="preserve"> </w:t>
      </w:r>
      <w:r w:rsidR="000C2A9B" w:rsidRPr="001C45D7">
        <w:t>knowledge</w:t>
      </w:r>
      <w:r w:rsidR="00FA6558" w:rsidRPr="001C45D7">
        <w:t xml:space="preserve"> </w:t>
      </w:r>
      <w:r w:rsidR="00885B30" w:rsidRPr="001C45D7">
        <w:fldChar w:fldCharType="begin" w:fldLock="1"/>
      </w:r>
      <w:r w:rsidR="00757571" w:rsidRPr="001C45D7">
        <w:instrText>ADDIN CSL_CITATION {"citationItems":[{"id":"ITEM-1","itemData":{"DOI":"10.2189/asqu.2005.50.2.167","ISSN":"00018392","abstract":"Despite ubiquitous references to Pfeffer and Salancik's classic volume, The External Control of Organizations, resource dependence theory is more of an appealing metaphor than a foundation for testable empirical research. We argue that several ambiguities in the resource dependence model account in part for this and propose a reformulation of resource dependence theory that addresses these ambiguities, yields novel predictions and findings, and reconciles them with seemingly contradictory empirical evidence from past studies. We identify two distinct theoretical dimensions of resource dependence, power imbalance and mutual dependence, which in the original theory were combined in the construct of interdependence and yet have opposite effects on an organization's ability to reduce dependencies by absorbing sources of external constraint. Results from a study of interindustry mergers and acquisitions among U.S. public companies in the period 1985-2000 indicate that, while mutual dependence is a key driver of mergers and acquisitions, power imbalance acts as an obstacle to their formation. We conclude that our reformulation of the resource dependence model contributes to realizing the potential of resource dependency as a powerful explanation of interorganizational action. © 2005 by Johnson Graduate School, Cornell University.","author":[{"dropping-particle":"","family":"Casciaro","given":"Tiziana","non-dropping-particle":"","parse-names":false,"suffix":""},{"dropping-particle":"","family":"Piskorski","given":"Mikołaj Jan","non-dropping-particle":"","parse-names":false,"suffix":""}],"container-title":"Administrative Science Quarterly","id":"ITEM-1","issue":"2","issued":{"date-parts":[["2005"]]},"page":"167-199","publisher":"Cornell University","title":"Power imbalance, mutual dependence, and constraint absorption: A closer look at resource dependence theory","type":"article","volume":"50"},"uris":["http://www.mendeley.com/documents/?uuid=6fcb4993-8549-3859-9d14-20403f9cfab5"]}],"mendeley":{"formattedCitation":"(Casciaro and Piskorski, 2005)","plainTextFormattedCitation":"(Casciaro and Piskorski, 2005)","previouslyFormattedCitation":"(Casciaro and Piskorski, 2005)"},"properties":{"noteIndex":0},"schema":"https://github.com/citation-style-language/schema/raw/master/csl-citation.json"}</w:instrText>
      </w:r>
      <w:r w:rsidR="00885B30" w:rsidRPr="001C45D7">
        <w:fldChar w:fldCharType="separate"/>
      </w:r>
      <w:r w:rsidR="00885B30" w:rsidRPr="001C45D7">
        <w:rPr>
          <w:noProof/>
        </w:rPr>
        <w:t>(Casciaro</w:t>
      </w:r>
      <w:r w:rsidR="00FA6558" w:rsidRPr="001C45D7">
        <w:rPr>
          <w:noProof/>
        </w:rPr>
        <w:t xml:space="preserve"> </w:t>
      </w:r>
      <w:r w:rsidR="00885B30" w:rsidRPr="001C45D7">
        <w:rPr>
          <w:noProof/>
        </w:rPr>
        <w:t>and</w:t>
      </w:r>
      <w:r w:rsidR="00FA6558" w:rsidRPr="001C45D7">
        <w:rPr>
          <w:noProof/>
        </w:rPr>
        <w:t xml:space="preserve"> </w:t>
      </w:r>
      <w:r w:rsidR="00885B30" w:rsidRPr="001C45D7">
        <w:rPr>
          <w:noProof/>
        </w:rPr>
        <w:t>Piskorski,</w:t>
      </w:r>
      <w:r w:rsidR="00FA6558" w:rsidRPr="001C45D7">
        <w:rPr>
          <w:noProof/>
        </w:rPr>
        <w:t xml:space="preserve"> </w:t>
      </w:r>
      <w:r w:rsidR="00885B30" w:rsidRPr="001C45D7">
        <w:rPr>
          <w:noProof/>
        </w:rPr>
        <w:t>2005)</w:t>
      </w:r>
      <w:r w:rsidR="00885B30" w:rsidRPr="001C45D7">
        <w:fldChar w:fldCharType="end"/>
      </w:r>
      <w:r w:rsidR="000C2A9B" w:rsidRPr="001C45D7">
        <w:t>,</w:t>
      </w:r>
      <w:r w:rsidR="00FA6558" w:rsidRPr="001C45D7">
        <w:t xml:space="preserve"> </w:t>
      </w:r>
      <w:r w:rsidRPr="001C45D7">
        <w:t>one-sided</w:t>
      </w:r>
      <w:r w:rsidR="00FA6558" w:rsidRPr="001C45D7">
        <w:t xml:space="preserve"> </w:t>
      </w:r>
      <w:r w:rsidR="00BC5690" w:rsidRPr="001C45D7">
        <w:t>supply</w:t>
      </w:r>
      <w:r w:rsidR="00FA6558" w:rsidRPr="001C45D7">
        <w:t xml:space="preserve"> </w:t>
      </w:r>
      <w:r w:rsidR="00BC5690" w:rsidRPr="001C45D7">
        <w:t>chain</w:t>
      </w:r>
      <w:r w:rsidR="00FA6558" w:rsidRPr="001C45D7">
        <w:t xml:space="preserve"> </w:t>
      </w:r>
      <w:r w:rsidR="00BC5690" w:rsidRPr="001C45D7">
        <w:t>digitalisation</w:t>
      </w:r>
      <w:r w:rsidR="00FA6558" w:rsidRPr="001C45D7">
        <w:t xml:space="preserve"> </w:t>
      </w:r>
      <w:r w:rsidR="00BC5690" w:rsidRPr="001C45D7">
        <w:t>can</w:t>
      </w:r>
      <w:r w:rsidR="00FA6558" w:rsidRPr="001C45D7">
        <w:t xml:space="preserve"> </w:t>
      </w:r>
      <w:r w:rsidR="00BC5690" w:rsidRPr="001C45D7">
        <w:t>potentially</w:t>
      </w:r>
      <w:r w:rsidR="00FA6558" w:rsidRPr="001C45D7">
        <w:t xml:space="preserve"> </w:t>
      </w:r>
      <w:r w:rsidR="00BC5690" w:rsidRPr="001C45D7">
        <w:t>break</w:t>
      </w:r>
      <w:r w:rsidR="00FA6558" w:rsidRPr="001C45D7">
        <w:t xml:space="preserve"> </w:t>
      </w:r>
      <w:r w:rsidR="00BC5690" w:rsidRPr="001C45D7">
        <w:t>the</w:t>
      </w:r>
      <w:r w:rsidR="00FA6558" w:rsidRPr="001C45D7">
        <w:t xml:space="preserve"> </w:t>
      </w:r>
      <w:r w:rsidRPr="001C45D7">
        <w:t>dependence</w:t>
      </w:r>
      <w:r w:rsidR="00FA6558" w:rsidRPr="001C45D7">
        <w:t xml:space="preserve"> </w:t>
      </w:r>
      <w:r w:rsidR="00BC5690" w:rsidRPr="001C45D7">
        <w:t>balance</w:t>
      </w:r>
      <w:r w:rsidR="00FA6558" w:rsidRPr="001C45D7">
        <w:t xml:space="preserve"> </w:t>
      </w:r>
      <w:r w:rsidR="00BE17CB" w:rsidRPr="001C45D7">
        <w:t xml:space="preserve">and </w:t>
      </w:r>
      <w:r w:rsidR="00BC5690" w:rsidRPr="001C45D7">
        <w:t>increase</w:t>
      </w:r>
      <w:r w:rsidR="00FA6558" w:rsidRPr="001C45D7">
        <w:t xml:space="preserve"> </w:t>
      </w:r>
      <w:r w:rsidR="00BC5690" w:rsidRPr="001C45D7">
        <w:t>the</w:t>
      </w:r>
      <w:r w:rsidR="00FA6558" w:rsidRPr="001C45D7">
        <w:t xml:space="preserve"> </w:t>
      </w:r>
      <w:r w:rsidRPr="001C45D7">
        <w:t>dependence</w:t>
      </w:r>
      <w:r w:rsidR="00FA6558" w:rsidRPr="001C45D7">
        <w:t xml:space="preserve"> </w:t>
      </w:r>
      <w:r w:rsidR="00BC5690" w:rsidRPr="001C45D7">
        <w:t>gap.</w:t>
      </w:r>
      <w:r w:rsidR="00FA6558" w:rsidRPr="001C45D7">
        <w:t xml:space="preserve"> </w:t>
      </w:r>
      <w:r w:rsidR="004555D9" w:rsidRPr="001C45D7">
        <w:t>Therefore,</w:t>
      </w:r>
      <w:r w:rsidR="00FA6558" w:rsidRPr="001C45D7">
        <w:t xml:space="preserve"> </w:t>
      </w:r>
      <w:r w:rsidR="004555D9" w:rsidRPr="001C45D7">
        <w:t>we</w:t>
      </w:r>
      <w:r w:rsidR="00FA6558" w:rsidRPr="001C45D7">
        <w:t xml:space="preserve"> </w:t>
      </w:r>
      <w:r w:rsidR="004555D9" w:rsidRPr="001C45D7">
        <w:t>hypothesi</w:t>
      </w:r>
      <w:r w:rsidR="00BC5690" w:rsidRPr="001C45D7">
        <w:t>s</w:t>
      </w:r>
      <w:r w:rsidR="004555D9" w:rsidRPr="001C45D7">
        <w:t>e</w:t>
      </w:r>
      <w:r w:rsidR="00191AF0" w:rsidRPr="001C45D7">
        <w:t xml:space="preserve"> the following</w:t>
      </w:r>
      <w:r w:rsidR="004555D9" w:rsidRPr="001C45D7">
        <w:t>:</w:t>
      </w:r>
      <w:r w:rsidR="00FA6558" w:rsidRPr="001C45D7">
        <w:t xml:space="preserve"> </w:t>
      </w:r>
      <w:bookmarkStart w:id="13" w:name="_Hlk51060263"/>
    </w:p>
    <w:p w14:paraId="68548F4F" w14:textId="77777777" w:rsidR="00AF433A" w:rsidRDefault="00AF433A" w:rsidP="00AF433A">
      <w:pPr>
        <w:pStyle w:val="BodyText"/>
      </w:pPr>
    </w:p>
    <w:p w14:paraId="21124DAC" w14:textId="5C75AF4B" w:rsidR="00D409BF" w:rsidRDefault="004C74A1" w:rsidP="00566B02">
      <w:pPr>
        <w:pStyle w:val="BodyText"/>
      </w:pPr>
      <w:r w:rsidRPr="001C45D7">
        <w:t>Hypothesis</w:t>
      </w:r>
      <w:r w:rsidR="00FA6558" w:rsidRPr="001C45D7">
        <w:t xml:space="preserve"> </w:t>
      </w:r>
      <w:r w:rsidR="00780654" w:rsidRPr="001C45D7">
        <w:t>1</w:t>
      </w:r>
      <w:r w:rsidRPr="001C45D7">
        <w:t>:</w:t>
      </w:r>
      <w:r w:rsidR="00FA6558" w:rsidRPr="001C45D7">
        <w:t xml:space="preserve"> </w:t>
      </w:r>
      <w:bookmarkStart w:id="14" w:name="_Hlk63444094"/>
      <w:r w:rsidR="00161E32">
        <w:t xml:space="preserve">The extent of the </w:t>
      </w:r>
      <w:r w:rsidR="007772CE" w:rsidRPr="007772CE">
        <w:t xml:space="preserve">supplier-perceived </w:t>
      </w:r>
      <w:r w:rsidR="00161E32">
        <w:t>digital capability asymmetry</w:t>
      </w:r>
      <w:r w:rsidR="00D409BF" w:rsidRPr="001C45D7">
        <w:t xml:space="preserve">, </w:t>
      </w:r>
      <w:bookmarkStart w:id="15" w:name="_Hlk69972027"/>
      <w:r w:rsidR="00D409BF" w:rsidRPr="001C45D7">
        <w:t>where</w:t>
      </w:r>
      <w:r w:rsidR="0059481A" w:rsidRPr="001C45D7">
        <w:t>in</w:t>
      </w:r>
      <w:r w:rsidR="00D409BF" w:rsidRPr="001C45D7">
        <w:t xml:space="preserve"> the buyer has a superior digital capability than its SME supplier</w:t>
      </w:r>
      <w:bookmarkEnd w:id="15"/>
      <w:r w:rsidR="00D409BF" w:rsidRPr="001C45D7">
        <w:t>, is positively related to the SME supplier’s dependence on the buyer.</w:t>
      </w:r>
      <w:bookmarkEnd w:id="14"/>
    </w:p>
    <w:p w14:paraId="29D2C3A3" w14:textId="77777777" w:rsidR="00AF433A" w:rsidRDefault="00AF433A" w:rsidP="00566B02">
      <w:pPr>
        <w:pStyle w:val="BodyText"/>
      </w:pPr>
    </w:p>
    <w:bookmarkEnd w:id="13"/>
    <w:p w14:paraId="6517C879" w14:textId="645F40BC" w:rsidR="00960BB6" w:rsidRPr="001C45D7" w:rsidRDefault="00960BB6" w:rsidP="00566B02">
      <w:pPr>
        <w:pStyle w:val="BodyText"/>
      </w:pPr>
      <w:r w:rsidRPr="001C45D7">
        <w:t>As</w:t>
      </w:r>
      <w:r w:rsidR="00FA6558" w:rsidRPr="001C45D7">
        <w:t xml:space="preserve"> </w:t>
      </w:r>
      <w:r w:rsidRPr="001C45D7">
        <w:t>resource</w:t>
      </w:r>
      <w:r w:rsidR="00FA6558" w:rsidRPr="001C45D7">
        <w:t xml:space="preserve"> </w:t>
      </w:r>
      <w:r w:rsidRPr="001C45D7">
        <w:t>dependence</w:t>
      </w:r>
      <w:r w:rsidR="00FA6558" w:rsidRPr="001C45D7">
        <w:t xml:space="preserve"> </w:t>
      </w:r>
      <w:r w:rsidRPr="001C45D7">
        <w:t>theory</w:t>
      </w:r>
      <w:r w:rsidR="00FA6558" w:rsidRPr="001C45D7">
        <w:t xml:space="preserve"> </w:t>
      </w:r>
      <w:r w:rsidRPr="001C45D7">
        <w:t>suggests</w:t>
      </w:r>
      <w:r w:rsidR="00537083" w:rsidRPr="001C45D7">
        <w:t>,</w:t>
      </w:r>
      <w:r w:rsidR="00FA6558" w:rsidRPr="001C45D7">
        <w:t xml:space="preserve"> </w:t>
      </w:r>
      <w:r w:rsidRPr="001C45D7">
        <w:t>the</w:t>
      </w:r>
      <w:r w:rsidR="00FA6558" w:rsidRPr="001C45D7">
        <w:t xml:space="preserve"> </w:t>
      </w:r>
      <w:r w:rsidRPr="001C45D7">
        <w:t>main</w:t>
      </w:r>
      <w:r w:rsidR="00FA6558" w:rsidRPr="001C45D7">
        <w:t xml:space="preserve"> </w:t>
      </w:r>
      <w:r w:rsidRPr="001C45D7">
        <w:t>consequence</w:t>
      </w:r>
      <w:r w:rsidR="00FA6558" w:rsidRPr="001C45D7">
        <w:t xml:space="preserve"> </w:t>
      </w:r>
      <w:r w:rsidRPr="001C45D7">
        <w:t>of</w:t>
      </w:r>
      <w:r w:rsidR="00FA6558" w:rsidRPr="001C45D7">
        <w:t xml:space="preserve"> </w:t>
      </w:r>
      <w:r w:rsidRPr="001C45D7">
        <w:t>SME</w:t>
      </w:r>
      <w:r w:rsidR="00FA6558" w:rsidRPr="001C45D7">
        <w:t xml:space="preserve"> </w:t>
      </w:r>
      <w:r w:rsidRPr="001C45D7">
        <w:t>suppliers’</w:t>
      </w:r>
      <w:r w:rsidR="00FA6558" w:rsidRPr="001C45D7">
        <w:t xml:space="preserve"> </w:t>
      </w:r>
      <w:r w:rsidRPr="001C45D7">
        <w:t>increased</w:t>
      </w:r>
      <w:r w:rsidR="00FA6558" w:rsidRPr="001C45D7">
        <w:t xml:space="preserve"> </w:t>
      </w:r>
      <w:r w:rsidRPr="001C45D7">
        <w:t>dependence</w:t>
      </w:r>
      <w:r w:rsidR="00FA6558" w:rsidRPr="001C45D7">
        <w:t xml:space="preserve"> </w:t>
      </w:r>
      <w:r w:rsidRPr="001C45D7">
        <w:t>on</w:t>
      </w:r>
      <w:r w:rsidR="00FA6558" w:rsidRPr="001C45D7">
        <w:t xml:space="preserve"> </w:t>
      </w:r>
      <w:r w:rsidRPr="001C45D7">
        <w:t>more</w:t>
      </w:r>
      <w:r w:rsidR="00FA6558" w:rsidRPr="001C45D7">
        <w:t xml:space="preserve"> </w:t>
      </w:r>
      <w:r w:rsidR="00757846" w:rsidRPr="001C45D7">
        <w:t xml:space="preserve">digitally </w:t>
      </w:r>
      <w:r w:rsidRPr="001C45D7">
        <w:t>capable</w:t>
      </w:r>
      <w:r w:rsidR="00FA6558" w:rsidRPr="001C45D7">
        <w:t xml:space="preserve"> </w:t>
      </w:r>
      <w:r w:rsidRPr="001C45D7">
        <w:t>buyer</w:t>
      </w:r>
      <w:r w:rsidR="00757846" w:rsidRPr="001C45D7">
        <w:t>s</w:t>
      </w:r>
      <w:r w:rsidR="00FA6558" w:rsidRPr="001C45D7">
        <w:t xml:space="preserve"> </w:t>
      </w:r>
      <w:r w:rsidRPr="001C45D7">
        <w:t>is</w:t>
      </w:r>
      <w:r w:rsidR="00FA6558" w:rsidRPr="001C45D7">
        <w:t xml:space="preserve"> </w:t>
      </w:r>
      <w:r w:rsidRPr="001C45D7">
        <w:t>the</w:t>
      </w:r>
      <w:r w:rsidR="00FA6558" w:rsidRPr="001C45D7">
        <w:t xml:space="preserve"> </w:t>
      </w:r>
      <w:r w:rsidR="00885B30" w:rsidRPr="001C45D7">
        <w:t>increased</w:t>
      </w:r>
      <w:r w:rsidR="00FA6558" w:rsidRPr="001C45D7">
        <w:t xml:space="preserve"> </w:t>
      </w:r>
      <w:r w:rsidRPr="001C45D7">
        <w:t>chance</w:t>
      </w:r>
      <w:r w:rsidR="00FA6558" w:rsidRPr="001C45D7">
        <w:t xml:space="preserve"> </w:t>
      </w:r>
      <w:r w:rsidRPr="001C45D7">
        <w:t>of</w:t>
      </w:r>
      <w:r w:rsidR="00FA6558" w:rsidRPr="001C45D7">
        <w:t xml:space="preserve"> </w:t>
      </w:r>
      <w:r w:rsidRPr="001C45D7">
        <w:t>opportunistic</w:t>
      </w:r>
      <w:r w:rsidR="00FA6558" w:rsidRPr="001C45D7">
        <w:t xml:space="preserve"> </w:t>
      </w:r>
      <w:r w:rsidRPr="001C45D7">
        <w:t>behaviours</w:t>
      </w:r>
      <w:r w:rsidR="00FA6558" w:rsidRPr="001C45D7">
        <w:t xml:space="preserve"> </w:t>
      </w:r>
      <w:r w:rsidR="00AF52F3" w:rsidRPr="001C45D7">
        <w:t xml:space="preserve">from the buyers </w:t>
      </w:r>
      <w:r w:rsidRPr="001C45D7">
        <w:fldChar w:fldCharType="begin" w:fldLock="1"/>
      </w:r>
      <w:r w:rsidR="00433778" w:rsidRPr="001C45D7">
        <w:instrText>ADDIN CSL_CITATION {"citationItems":[{"id":"ITEM-1","itemData":{"DOI":"10.1111/jscm.12138","ISSN":"1745493X","abstract":"Our study investigates how buyer power affects supplier relationship commitment. When a buyer exerts power on a supplier, the supplier response can be either simple compliance or commitment at a deeper level. Theoretically, the latter pertains to a supplier's intrinsic motivation. Building on cognitive evaluation theory, our model proposes the distinctive yet interactive nature of reward power and coercive power, commonly considered together as mediated powers. It also posits that nonmediated powers (expert, referent, and legitimate) amplify the influences of reward and coercive powers. An empirical investigation, based on large-scale multinational survey data, provides support for our theoretical arguments. We discuss the practical implications for how buyers can use reward and coercive powers to improve supplier relationship commitment.","author":[{"dropping-particle":"","family":"Chae","given":"Sangho","non-dropping-particle":"","parse-names":false,"suffix":""},{"dropping-particle":"","family":"Choi","given":"Thomas Y.","non-dropping-particle":"","parse-names":false,"suffix":""},{"dropping-particle":"","family":"Hur","given":"Daesik","non-dropping-particle":"","parse-names":false,"suffix":""}],"container-title":"Journal of Supply Chain Management","id":"ITEM-1","issue":"2","issued":{"date-parts":[["2017","4","1"]]},"page":"39-60","publisher":"Blackwell Publishing Ltd","title":"Buyer Power and Supplier Relationship Commitment: A Cognitive Evaluation Theory Perspective","type":"article-journal","volume":"53"},"uris":["http://www.mendeley.com/documents/?uuid=1c1e8f3e-d45f-3ef8-b1b2-b3e5a903fc17"]},{"id":"ITEM-2","itemData":{"DOI":"10.1007/s11747-007-0081-x","ISSN":"00920703","abstract":"The potential to engage in opportunism is a central theme in institutional economics, yet prior research has not quantitatively reviewed the role of opportunism in marketing research. This study uses meta-analytic tech- niques to synthesize research on opportunism conducted over the last quarter century. The analysis of 183 effect sizes extracted from 54 publications from the period 1982 to 2005 offers some support to extant channel theory. The research also indicates that the informant's frame of reference and the research design significantly influence the observed effects. Implications of the findings and future research directions are discussed. © Academy of Marketing Science 2007.","author":[{"dropping-particle":"","family":"Crosno","given":"Jody L","non-dropping-particle":"","parse-names":false,"suffix":""},{"dropping-particle":"","family":"Dahlstrom","given":"Robert","non-dropping-particle":"","parse-names":false,"suffix":""}],"container-title":"Journal of the Academy of Marketing Science","id":"ITEM-2","issue":"2","issued":{"date-parts":[["2008"]]},"page":"191-201","title":"A meta-analytic review of opportunism in exchange relationships","type":"article-journal","volume":"36"},"uris":["http://www.mendeley.com/documents/?uuid=f7567af9-39ca-30c6-b5a5-8094095e0f61"]},{"id":"ITEM-3","itemData":{"DOI":"10.1111/j.1467-6486.1996.tb00163.x","ISSN":"00222380","abstract":"This paper is concerned with exploring the degree to which industry structure determines firm performance. Most of the business policy literature follows Porter in arguing that industry structure has an important influence on firm level profit rates. The arguments contained in this paper take a counter position. It is argued that a plausible alternative to the hypothesis that industry structure matters is the hypothesis that (holding demand constant) individual firm differences are the most important determinant of firm profitability.","author":[{"dropping-particle":"","family":"Hill","given":"Charles W.L.","non-dropping-particle":"","parse-names":false,"suffix":""},{"dropping-particle":"","family":"Deeds","given":"David L.","non-dropping-particle":"","parse-names":false,"suffix":""}],"container-title":"Journal of Management Studies","id":"ITEM-3","issue":"4","issued":{"date-parts":[["1996"]]},"page":"429-451","publisher":"Blackwell Publishing Ltd","title":"The importance of industry structure for the determination of firm profitability: A neo-Austrian perspective","type":"article-journal","volume":"33"},"uris":["http://www.mendeley.com/documents/?uuid=f2a238b3-cd1d-3ca9-82d2-cfaec7cba052"]},{"id":"ITEM-4","itemData":{"DOI":"10.1177/0092070399273001","ISSN":"00920703","abstract":"Prior research provides evidence that manufacturer investment of specific assets dedicated to a particular supplier (manufacturer asset specificity) is an antecedent of joint action in manufacturer-supplier relationships. The authors build on prior research to identify several variables that moderate the effect of manufacturer asset specificity on joint action. Drawing from transaction cost analysis and relational exchange theory, the authors propose a conceptual model that explicates the moderating role of three contextual variables: specific asset investments by the supplier (reciprocal asset investments), manufacturer decision-making uncertainty, and manufacturer trust in the supplier. Consistent with their hypotheses, results from a survey affirms in three SIC codes show that decision-making uncertainty and trust enhance the effect of manufacturer asset specificity on joint action. Contrary to expectation, however, the moderating effect of reciprocal asset investments was not significant. Theoretical and managerial implications of the results are discussed. Copyright © 1999 by Academy of Marketing Science.","author":[{"dropping-particle":"","family":"Joshi","given":"Ashwin W.","non-dropping-particle":"","parse-names":false,"suffix":""},{"dropping-particle":"","family":"Stump","given":"Rodney L.","non-dropping-particle":"","parse-names":false,"suffix":""}],"container-title":"Journal of the Academy of Marketing Science","id":"ITEM-4","issue":"3","issued":{"date-parts":[["1999"]]},"page":"291-305","publisher":"Springer New York LLC","title":"The contingent effect of specific asset investments on joint action in manufacturer-supplier relationships: An empirical test of the moderating role of reciprocal asset investments, uncertainty, and trust","type":"article-journal","volume":"27"},"uris":["http://www.mendeley.com/documents/?uuid=17b5032d-b7f6-375c-99c8-9e02ee59cb87"]},{"id":"ITEM-5","itemData":{"DOI":"10.1177/002224379503200309","ISSN":"0022-2437","abstract":"Channels research has consistently argued that asymmetric channel relationships are more dysfunctional than those characterized by symmetric interdependence. The authors propose that the degree of ...","author":[{"dropping-particle":"","family":"Kumar","given":"Nirmalya","non-dropping-particle":"","parse-names":false,"suffix":""},{"dropping-particle":"","family":"Scheer","given":"Lisa K.","non-dropping-particle":"","parse-names":false,"suffix":""},{"dropping-particle":"","family":"Steenkamp","given":"Jan-Benedict E. M.","non-dropping-particle":"","parse-names":false,"suffix":""}],"container-title":"Journal of Marketing Research","id":"ITEM-5","issue":"3","issued":{"date-parts":[["1995","8"]]},"page":"348-356","publisher":"SAGE Publications","title":"The Effects of Perceived Interdependence on Dealer Attitudes","type":"article-journal","volume":"32"},"uris":["http://www.mendeley.com/documents/?uuid=f091783d-7d90-3eaf-bd14-335656e6d5d7"]},{"id":"ITEM-6","itemData":{"ISBN":"0060451939","abstract":"The External Control of Organizations explores how external constraints affect organizations and provides insights for designing and managing organizations to mitigate these constraints. All organizations are dependent on the environment for their survival. As the authors contend, it is the fact of the organizations dependence on the environment that makes the external constraint and control of organizational behavior both possible and almost inevitable. Organizations can either try to change their environments through political means or form interorganizational relationships to control or absorb uncertainty. This seminal book established the resource dependence approach that has informed so many other important organization theories.","author":[{"dropping-particle":"","family":"Pfeffer","given":"Jeffrey","non-dropping-particle":"","parse-names":false,"suffix":""},{"dropping-particle":"","family":"Salancik","given":"Gerald R","non-dropping-particle":"","parse-names":false,"suffix":""}],"id":"ITEM-6","issued":{"date-parts":[["1978"]]},"publisher":"Harper &amp; Row","publisher-place":"New York","title":"The External Control of Organizations: A Resource Dependence Perspective","type":"book"},"uris":["http://www.mendeley.com/documents/?uuid=ff182e2d-9024-41b7-8ce5-d847863e836c"]},{"id":"ITEM-7","itemData":{"DOI":"10.5465/256427","ISSN":"0001-4273","abstract":"This study examines Williamson’s (1975) concept of opportunism in relations between farm and power equipment dealers and their primary supplier organization. Results from a national survey generally support hypotheses predicting that dealer opportunism will be negatively related to dealer dependence on a primary supplier and positively related to supplier control over dealer decisions.","author":[{"dropping-particle":"","family":"Provan","given":"Keith G.","non-dropping-particle":"","parse-names":false,"suffix":""},{"dropping-particle":"","family":"Skinner","given":"Steven J.","non-dropping-particle":"","parse-names":false,"suffix":""}],"container-title":"Academy of Management Journal","id":"ITEM-7","issue":"1","issued":{"date-parts":[["1989","3"]]},"page":"202-212","publisher":"Academy of Management","title":"Interorganizational Dependence and Control as Predictors of Opportunism in Dealer-Supplier Relations","type":"article-journal","volume":"32"},"uris":["http://www.mendeley.com/documents/?uuid=6495a7b4-ed35-4364-8ddc-c68e1ff80bfe"]}],"mendeley":{"formattedCitation":"(Chae &lt;i&gt;et al.&lt;/i&gt;, 2017; Crosno and Dahlstrom, 2008; Hill and Deeds, 1996; Joshi and Stump, 1999; Kumar &lt;i&gt;et al.&lt;/i&gt;, 1995; Pfeffer and Salancik, 1978; Provan and Skinner, 1989)","manualFormatting":"(Pfeffer and Salancik, 1978; Provan and Skinner, 1989; Kumar et al., 1995; Hill and Deeds, 1996; Crosno and Dahlstrom, 2008; Chae et al., 2017)","plainTextFormattedCitation":"(Chae et al., 2017; Crosno and Dahlstrom, 2008; Hill and Deeds, 1996; Joshi and Stump, 1999; Kumar et al., 1995; Pfeffer and Salancik, 1978; Provan and Skinner, 1989)","previouslyFormattedCitation":"(Chae &lt;i&gt;et al.&lt;/i&gt;, 2017; Crosno and Dahlstrom, 2008; Hill and Deeds, 1996; Joshi and Stump, 1999; Kumar &lt;i&gt;et al.&lt;/i&gt;, 1995; Pfeffer and Salancik, 1978; Provan and Skinner, 1989)"},"properties":{"noteIndex":0},"schema":"https://github.com/citation-style-language/schema/raw/master/csl-citation.json"}</w:instrText>
      </w:r>
      <w:r w:rsidRPr="001C45D7">
        <w:fldChar w:fldCharType="separate"/>
      </w:r>
      <w:r w:rsidR="00881C19" w:rsidRPr="001C45D7">
        <w:rPr>
          <w:noProof/>
        </w:rPr>
        <w:t>(Pfeffer</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Salancik,</w:t>
      </w:r>
      <w:r w:rsidR="00FA6558" w:rsidRPr="001C45D7">
        <w:rPr>
          <w:noProof/>
        </w:rPr>
        <w:t xml:space="preserve"> </w:t>
      </w:r>
      <w:r w:rsidR="00881C19" w:rsidRPr="001C45D7">
        <w:rPr>
          <w:noProof/>
        </w:rPr>
        <w:t>1978;</w:t>
      </w:r>
      <w:r w:rsidR="00FA6558" w:rsidRPr="001C45D7">
        <w:rPr>
          <w:noProof/>
        </w:rPr>
        <w:t xml:space="preserve"> </w:t>
      </w:r>
      <w:r w:rsidR="00881C19" w:rsidRPr="001C45D7">
        <w:rPr>
          <w:noProof/>
        </w:rPr>
        <w:t>Provan</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Skinner,</w:t>
      </w:r>
      <w:r w:rsidR="00FA6558" w:rsidRPr="001C45D7">
        <w:rPr>
          <w:noProof/>
        </w:rPr>
        <w:t xml:space="preserve"> </w:t>
      </w:r>
      <w:r w:rsidR="00881C19" w:rsidRPr="001C45D7">
        <w:rPr>
          <w:noProof/>
        </w:rPr>
        <w:t>1989;</w:t>
      </w:r>
      <w:r w:rsidR="00FA6558" w:rsidRPr="001C45D7">
        <w:rPr>
          <w:noProof/>
        </w:rPr>
        <w:t xml:space="preserve"> </w:t>
      </w:r>
      <w:r w:rsidR="00881C19" w:rsidRPr="001C45D7">
        <w:rPr>
          <w:noProof/>
        </w:rPr>
        <w:t>Kumar</w:t>
      </w:r>
      <w:r w:rsidR="00537083" w:rsidRPr="001C45D7">
        <w:rPr>
          <w:noProof/>
        </w:rPr>
        <w:t xml:space="preserve"> </w:t>
      </w:r>
      <w:r w:rsidR="00537083" w:rsidRPr="00523A08">
        <w:rPr>
          <w:i/>
          <w:iCs/>
          <w:noProof/>
        </w:rPr>
        <w:t>et al</w:t>
      </w:r>
      <w:r w:rsidR="00537083" w:rsidRPr="001C45D7">
        <w:rPr>
          <w:noProof/>
        </w:rPr>
        <w:t>.</w:t>
      </w:r>
      <w:r w:rsidR="00881C19" w:rsidRPr="001C45D7">
        <w:rPr>
          <w:noProof/>
        </w:rPr>
        <w:t>,</w:t>
      </w:r>
      <w:r w:rsidR="00FA6558" w:rsidRPr="001C45D7">
        <w:rPr>
          <w:noProof/>
        </w:rPr>
        <w:t xml:space="preserve"> </w:t>
      </w:r>
      <w:r w:rsidR="00881C19" w:rsidRPr="001C45D7">
        <w:rPr>
          <w:noProof/>
        </w:rPr>
        <w:t>1995;</w:t>
      </w:r>
      <w:r w:rsidR="00FA6558" w:rsidRPr="001C45D7">
        <w:rPr>
          <w:noProof/>
        </w:rPr>
        <w:t xml:space="preserve"> </w:t>
      </w:r>
      <w:r w:rsidR="00881C19" w:rsidRPr="001C45D7">
        <w:rPr>
          <w:noProof/>
        </w:rPr>
        <w:t>Hill</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Deeds,</w:t>
      </w:r>
      <w:r w:rsidR="00FA6558" w:rsidRPr="001C45D7">
        <w:rPr>
          <w:noProof/>
        </w:rPr>
        <w:t xml:space="preserve"> </w:t>
      </w:r>
      <w:r w:rsidR="00881C19" w:rsidRPr="001C45D7">
        <w:rPr>
          <w:noProof/>
        </w:rPr>
        <w:t>1996;</w:t>
      </w:r>
      <w:r w:rsidR="00FA6558" w:rsidRPr="001C45D7">
        <w:rPr>
          <w:noProof/>
        </w:rPr>
        <w:t xml:space="preserve"> </w:t>
      </w:r>
      <w:r w:rsidR="00881C19" w:rsidRPr="001C45D7">
        <w:rPr>
          <w:noProof/>
        </w:rPr>
        <w:t>Crosno</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Dahlstrom,</w:t>
      </w:r>
      <w:r w:rsidR="00FA6558" w:rsidRPr="001C45D7">
        <w:rPr>
          <w:noProof/>
        </w:rPr>
        <w:t xml:space="preserve"> </w:t>
      </w:r>
      <w:r w:rsidR="00881C19" w:rsidRPr="001C45D7">
        <w:rPr>
          <w:noProof/>
        </w:rPr>
        <w:t>2008;</w:t>
      </w:r>
      <w:r w:rsidR="00FA6558" w:rsidRPr="001C45D7">
        <w:rPr>
          <w:noProof/>
        </w:rPr>
        <w:t xml:space="preserve"> </w:t>
      </w:r>
      <w:r w:rsidR="00881C19" w:rsidRPr="001C45D7">
        <w:rPr>
          <w:noProof/>
        </w:rPr>
        <w:t>Chae</w:t>
      </w:r>
      <w:r w:rsidR="00537083" w:rsidRPr="001C45D7">
        <w:rPr>
          <w:noProof/>
        </w:rPr>
        <w:t xml:space="preserve"> </w:t>
      </w:r>
      <w:r w:rsidR="00537083" w:rsidRPr="00523A08">
        <w:rPr>
          <w:i/>
          <w:iCs/>
          <w:noProof/>
        </w:rPr>
        <w:t>et al</w:t>
      </w:r>
      <w:r w:rsidR="00537083" w:rsidRPr="001C45D7">
        <w:rPr>
          <w:noProof/>
        </w:rPr>
        <w:t>.</w:t>
      </w:r>
      <w:r w:rsidR="00881C19" w:rsidRPr="001C45D7">
        <w:rPr>
          <w:noProof/>
        </w:rPr>
        <w:t>,</w:t>
      </w:r>
      <w:r w:rsidR="00FA6558" w:rsidRPr="001C45D7">
        <w:rPr>
          <w:noProof/>
        </w:rPr>
        <w:t xml:space="preserve"> </w:t>
      </w:r>
      <w:r w:rsidR="00881C19" w:rsidRPr="001C45D7">
        <w:rPr>
          <w:noProof/>
        </w:rPr>
        <w:t>2017)</w:t>
      </w:r>
      <w:r w:rsidRPr="001C45D7">
        <w:fldChar w:fldCharType="end"/>
      </w:r>
      <w:r w:rsidRPr="001C45D7">
        <w:t>.</w:t>
      </w:r>
      <w:r w:rsidR="00FA6558" w:rsidRPr="001C45D7">
        <w:t xml:space="preserve"> </w:t>
      </w:r>
      <w:r w:rsidRPr="001C45D7">
        <w:t>This</w:t>
      </w:r>
      <w:r w:rsidR="00FA6558" w:rsidRPr="001C45D7">
        <w:t xml:space="preserve"> </w:t>
      </w:r>
      <w:r w:rsidRPr="001C45D7">
        <w:t>is</w:t>
      </w:r>
      <w:r w:rsidR="00FA6558" w:rsidRPr="001C45D7">
        <w:t xml:space="preserve"> </w:t>
      </w:r>
      <w:r w:rsidRPr="001C45D7">
        <w:t>because</w:t>
      </w:r>
      <w:r w:rsidR="00FA6558" w:rsidRPr="001C45D7">
        <w:t xml:space="preserve"> </w:t>
      </w:r>
      <w:r w:rsidRPr="001C45D7">
        <w:t>SME</w:t>
      </w:r>
      <w:r w:rsidR="00FA6558" w:rsidRPr="001C45D7">
        <w:t xml:space="preserve"> </w:t>
      </w:r>
      <w:r w:rsidRPr="001C45D7">
        <w:t>suppliers’</w:t>
      </w:r>
      <w:r w:rsidR="00FA6558" w:rsidRPr="001C45D7">
        <w:t xml:space="preserve"> </w:t>
      </w:r>
      <w:r w:rsidRPr="001C45D7">
        <w:t>increased</w:t>
      </w:r>
      <w:r w:rsidR="00FA6558" w:rsidRPr="001C45D7">
        <w:t xml:space="preserve"> </w:t>
      </w:r>
      <w:r w:rsidRPr="001C45D7">
        <w:t>dependence</w:t>
      </w:r>
      <w:r w:rsidR="00FA6558" w:rsidRPr="001C45D7">
        <w:t xml:space="preserve"> </w:t>
      </w:r>
      <w:r w:rsidRPr="001C45D7">
        <w:t>on</w:t>
      </w:r>
      <w:r w:rsidR="00FA6558" w:rsidRPr="001C45D7">
        <w:t xml:space="preserve"> </w:t>
      </w:r>
      <w:r w:rsidRPr="001C45D7">
        <w:t>buyer</w:t>
      </w:r>
      <w:r w:rsidR="00F81445" w:rsidRPr="001C45D7">
        <w:t>s</w:t>
      </w:r>
      <w:r w:rsidR="00FA6558" w:rsidRPr="001C45D7">
        <w:t xml:space="preserve"> </w:t>
      </w:r>
      <w:r w:rsidRPr="001C45D7">
        <w:t>increase</w:t>
      </w:r>
      <w:r w:rsidR="00274C5B" w:rsidRPr="001C45D7">
        <w:t>s</w:t>
      </w:r>
      <w:r w:rsidR="00FA6558" w:rsidRPr="001C45D7">
        <w:t xml:space="preserve"> </w:t>
      </w:r>
      <w:r w:rsidR="00F81445" w:rsidRPr="001C45D7">
        <w:t xml:space="preserve">the latter’s </w:t>
      </w:r>
      <w:r w:rsidRPr="001C45D7">
        <w:t>power</w:t>
      </w:r>
      <w:r w:rsidR="00FA6558" w:rsidRPr="001C45D7">
        <w:t xml:space="preserve"> </w:t>
      </w:r>
      <w:r w:rsidRPr="001C45D7">
        <w:t>over</w:t>
      </w:r>
      <w:r w:rsidR="00FA6558" w:rsidRPr="001C45D7">
        <w:t xml:space="preserve"> </w:t>
      </w:r>
      <w:r w:rsidR="00F81445" w:rsidRPr="001C45D7">
        <w:t xml:space="preserve">the former </w:t>
      </w:r>
      <w:r w:rsidRPr="001C45D7">
        <w:fldChar w:fldCharType="begin" w:fldLock="1"/>
      </w:r>
      <w:r w:rsidRPr="001C45D7">
        <w:instrText>ADDIN CSL_CITATION {"citationItems":[{"id":"ITEM-1","itemData":{"DOI":"10.2189/asqu.2005.50.2.167","ISSN":"00018392","abstract":"Despite ubiquitous references to Pfeffer and Salancik's classic volume, The External Control of Organizations, resource dependence theory is more of an appealing metaphor than a foundation for testable empirical research. We argue that several ambiguities in the resource dependence model account in part for this and propose a reformulation of resource dependence theory that addresses these ambiguities, yields novel predictions and findings, and reconciles them with seemingly contradictory empirical evidence from past studies. We identify two distinct theoretical dimensions of resource dependence, power imbalance and mutual dependence, which in the original theory were combined in the construct of interdependence and yet have opposite effects on an organization's ability to reduce dependencies by absorbing sources of external constraint. Results from a study of interindustry mergers and acquisitions among U.S. public companies in the period 1985-2000 indicate that, while mutual dependence is a key driver of mergers and acquisitions, power imbalance acts as an obstacle to their formation. We conclude that our reformulation of the resource dependence model contributes to realizing the potential of resource dependency as a powerful explanation of interorganizational action. © 2005 by Johnson Graduate School, Cornell University.","author":[{"dropping-particle":"","family":"Casciaro","given":"Tiziana","non-dropping-particle":"","parse-names":false,"suffix":""},{"dropping-particle":"","family":"Piskorski","given":"Mikołaj Jan","non-dropping-particle":"","parse-names":false,"suffix":""}],"container-title":"Administrative Science Quarterly","id":"ITEM-1","issue":"2","issued":{"date-parts":[["2005"]]},"page":"167-199","publisher":"Cornell University","title":"Power imbalance, mutual dependence, and constraint absorption: A closer look at resource dependence theory","type":"article","volume":"50"},"uris":["http://www.mendeley.com/documents/?uuid=6fcb4993-8549-3859-9d14-20403f9cfab5"]}],"mendeley":{"formattedCitation":"(Casciaro and Piskorski, 2005)","plainTextFormattedCitation":"(Casciaro and Piskorski, 2005)","previouslyFormattedCitation":"(Casciaro and Piskorski, 2005)"},"properties":{"noteIndex":0},"schema":"https://github.com/citation-style-language/schema/raw/master/csl-citation.json"}</w:instrText>
      </w:r>
      <w:r w:rsidRPr="001C45D7">
        <w:fldChar w:fldCharType="separate"/>
      </w:r>
      <w:r w:rsidRPr="001C45D7">
        <w:rPr>
          <w:noProof/>
        </w:rPr>
        <w:t>(Casciaro</w:t>
      </w:r>
      <w:r w:rsidR="00FA6558" w:rsidRPr="001C45D7">
        <w:rPr>
          <w:noProof/>
        </w:rPr>
        <w:t xml:space="preserve"> </w:t>
      </w:r>
      <w:r w:rsidRPr="001C45D7">
        <w:rPr>
          <w:noProof/>
        </w:rPr>
        <w:t>and</w:t>
      </w:r>
      <w:r w:rsidR="00FA6558" w:rsidRPr="001C45D7">
        <w:rPr>
          <w:noProof/>
        </w:rPr>
        <w:t xml:space="preserve"> </w:t>
      </w:r>
      <w:r w:rsidRPr="001C45D7">
        <w:rPr>
          <w:noProof/>
        </w:rPr>
        <w:t>Piskorski,</w:t>
      </w:r>
      <w:r w:rsidR="00FA6558" w:rsidRPr="001C45D7">
        <w:rPr>
          <w:noProof/>
        </w:rPr>
        <w:t xml:space="preserve"> </w:t>
      </w:r>
      <w:r w:rsidRPr="001C45D7">
        <w:rPr>
          <w:noProof/>
        </w:rPr>
        <w:t>2005)</w:t>
      </w:r>
      <w:r w:rsidRPr="001C45D7">
        <w:fldChar w:fldCharType="end"/>
      </w:r>
      <w:r w:rsidRPr="001C45D7">
        <w:t>.</w:t>
      </w:r>
      <w:r w:rsidR="00FA6558" w:rsidRPr="001C45D7">
        <w:t xml:space="preserve"> </w:t>
      </w:r>
      <w:r w:rsidRPr="001C45D7">
        <w:t>In</w:t>
      </w:r>
      <w:r w:rsidR="00FA6558" w:rsidRPr="001C45D7">
        <w:t xml:space="preserve"> </w:t>
      </w:r>
      <w:r w:rsidRPr="001C45D7">
        <w:t>buyer</w:t>
      </w:r>
      <w:r w:rsidR="00A53055" w:rsidRPr="001C45D7">
        <w:t>–</w:t>
      </w:r>
      <w:r w:rsidRPr="001C45D7">
        <w:t>supplier</w:t>
      </w:r>
      <w:r w:rsidR="00FA6558" w:rsidRPr="001C45D7">
        <w:t xml:space="preserve"> </w:t>
      </w:r>
      <w:r w:rsidRPr="001C45D7">
        <w:t>relationship</w:t>
      </w:r>
      <w:r w:rsidR="00BD521D" w:rsidRPr="001C45D7">
        <w:t>s</w:t>
      </w:r>
      <w:r w:rsidRPr="001C45D7">
        <w:t>,</w:t>
      </w:r>
      <w:r w:rsidR="00FA6558" w:rsidRPr="001C45D7">
        <w:t xml:space="preserve"> </w:t>
      </w:r>
      <w:r w:rsidRPr="001C45D7">
        <w:t>dominant</w:t>
      </w:r>
      <w:r w:rsidR="00FA6558" w:rsidRPr="001C45D7">
        <w:t xml:space="preserve"> </w:t>
      </w:r>
      <w:r w:rsidRPr="001C45D7">
        <w:t>firms</w:t>
      </w:r>
      <w:r w:rsidR="00FA6558" w:rsidRPr="001C45D7">
        <w:t xml:space="preserve"> </w:t>
      </w:r>
      <w:r w:rsidRPr="001C45D7">
        <w:t>can</w:t>
      </w:r>
      <w:r w:rsidR="00FA6558" w:rsidRPr="001C45D7">
        <w:t xml:space="preserve"> </w:t>
      </w:r>
      <w:r w:rsidRPr="001C45D7">
        <w:t>use</w:t>
      </w:r>
      <w:r w:rsidR="00FA6558" w:rsidRPr="001C45D7">
        <w:t xml:space="preserve"> </w:t>
      </w:r>
      <w:r w:rsidRPr="001C45D7">
        <w:t>power</w:t>
      </w:r>
      <w:r w:rsidR="00FA6558" w:rsidRPr="001C45D7">
        <w:t xml:space="preserve"> </w:t>
      </w:r>
      <w:r w:rsidRPr="001C45D7">
        <w:t>to</w:t>
      </w:r>
      <w:r w:rsidR="00FA6558" w:rsidRPr="001C45D7">
        <w:t xml:space="preserve"> </w:t>
      </w:r>
      <w:r w:rsidRPr="001C45D7">
        <w:t>opportunistically</w:t>
      </w:r>
      <w:r w:rsidR="00FA6558" w:rsidRPr="001C45D7">
        <w:t xml:space="preserve"> </w:t>
      </w:r>
      <w:r w:rsidRPr="001C45D7">
        <w:t>exploit</w:t>
      </w:r>
      <w:r w:rsidR="00FA6558" w:rsidRPr="001C45D7">
        <w:t xml:space="preserve"> </w:t>
      </w:r>
      <w:r w:rsidRPr="001C45D7">
        <w:t>the</w:t>
      </w:r>
      <w:r w:rsidR="00FA6558" w:rsidRPr="001C45D7">
        <w:t xml:space="preserve"> </w:t>
      </w:r>
      <w:r w:rsidRPr="001C45D7">
        <w:t>dependence</w:t>
      </w:r>
      <w:r w:rsidR="00FA6558" w:rsidRPr="001C45D7">
        <w:t xml:space="preserve"> </w:t>
      </w:r>
      <w:r w:rsidRPr="001C45D7">
        <w:lastRenderedPageBreak/>
        <w:t>of</w:t>
      </w:r>
      <w:r w:rsidR="00FA6558" w:rsidRPr="001C45D7">
        <w:t xml:space="preserve"> </w:t>
      </w:r>
      <w:r w:rsidR="00537083" w:rsidRPr="001C45D7">
        <w:t xml:space="preserve">their </w:t>
      </w:r>
      <w:r w:rsidRPr="001C45D7">
        <w:t>partners</w:t>
      </w:r>
      <w:r w:rsidR="00FA6558" w:rsidRPr="001C45D7">
        <w:t xml:space="preserve"> </w:t>
      </w:r>
      <w:r w:rsidR="009B3EF3" w:rsidRPr="001C45D7">
        <w:t xml:space="preserve">in order </w:t>
      </w:r>
      <w:r w:rsidRPr="001C45D7">
        <w:t>to</w:t>
      </w:r>
      <w:r w:rsidR="00FA6558" w:rsidRPr="001C45D7">
        <w:t xml:space="preserve"> </w:t>
      </w:r>
      <w:r w:rsidRPr="001C45D7">
        <w:t>gain</w:t>
      </w:r>
      <w:r w:rsidR="00FA6558" w:rsidRPr="001C45D7">
        <w:t xml:space="preserve"> </w:t>
      </w:r>
      <w:r w:rsidRPr="001C45D7">
        <w:t>a</w:t>
      </w:r>
      <w:r w:rsidR="00FA6558" w:rsidRPr="001C45D7">
        <w:t xml:space="preserve"> </w:t>
      </w:r>
      <w:r w:rsidRPr="001C45D7">
        <w:t>greater</w:t>
      </w:r>
      <w:r w:rsidR="00FA6558" w:rsidRPr="001C45D7">
        <w:t xml:space="preserve"> </w:t>
      </w:r>
      <w:r w:rsidRPr="001C45D7">
        <w:t>share</w:t>
      </w:r>
      <w:r w:rsidR="00FA6558" w:rsidRPr="001C45D7">
        <w:t xml:space="preserve"> </w:t>
      </w:r>
      <w:r w:rsidRPr="001C45D7">
        <w:t>of</w:t>
      </w:r>
      <w:r w:rsidR="00FA6558" w:rsidRPr="001C45D7">
        <w:t xml:space="preserve"> </w:t>
      </w:r>
      <w:r w:rsidRPr="001C45D7">
        <w:t>relationship</w:t>
      </w:r>
      <w:r w:rsidR="00FA6558" w:rsidRPr="001C45D7">
        <w:t xml:space="preserve"> </w:t>
      </w:r>
      <w:r w:rsidRPr="001C45D7">
        <w:t>benefits</w:t>
      </w:r>
      <w:r w:rsidR="009E5ACD" w:rsidRPr="001C45D7">
        <w:t xml:space="preserve"> or</w:t>
      </w:r>
      <w:r w:rsidR="00FA6558" w:rsidRPr="001C45D7">
        <w:t xml:space="preserve"> </w:t>
      </w:r>
      <w:r w:rsidRPr="001C45D7">
        <w:t>favourable</w:t>
      </w:r>
      <w:r w:rsidR="00FA6558" w:rsidRPr="001C45D7">
        <w:t xml:space="preserve"> </w:t>
      </w:r>
      <w:r w:rsidRPr="001C45D7">
        <w:t>exchange</w:t>
      </w:r>
      <w:r w:rsidR="00FA6558" w:rsidRPr="001C45D7">
        <w:t xml:space="preserve"> </w:t>
      </w:r>
      <w:r w:rsidRPr="001C45D7">
        <w:t>terms,</w:t>
      </w:r>
      <w:r w:rsidR="00FA6558" w:rsidRPr="001C45D7">
        <w:t xml:space="preserve"> </w:t>
      </w:r>
      <w:r w:rsidRPr="001C45D7">
        <w:t>or</w:t>
      </w:r>
      <w:r w:rsidR="00FA6558" w:rsidRPr="001C45D7">
        <w:t xml:space="preserve"> </w:t>
      </w:r>
      <w:r w:rsidRPr="001C45D7">
        <w:t>to</w:t>
      </w:r>
      <w:r w:rsidR="00FA6558" w:rsidRPr="001C45D7">
        <w:t xml:space="preserve"> </w:t>
      </w:r>
      <w:r w:rsidRPr="001C45D7">
        <w:t>influence</w:t>
      </w:r>
      <w:r w:rsidR="00FA6558" w:rsidRPr="001C45D7">
        <w:t xml:space="preserve"> </w:t>
      </w:r>
      <w:r w:rsidRPr="001C45D7">
        <w:t>them</w:t>
      </w:r>
      <w:r w:rsidR="00FA6558" w:rsidRPr="001C45D7">
        <w:t xml:space="preserve"> </w:t>
      </w:r>
      <w:r w:rsidRPr="001C45D7">
        <w:t>into</w:t>
      </w:r>
      <w:r w:rsidR="00FA6558" w:rsidRPr="001C45D7">
        <w:t xml:space="preserve"> </w:t>
      </w:r>
      <w:r w:rsidRPr="001C45D7">
        <w:t>doing</w:t>
      </w:r>
      <w:r w:rsidR="00FA6558" w:rsidRPr="001C45D7">
        <w:t xml:space="preserve"> </w:t>
      </w:r>
      <w:r w:rsidRPr="001C45D7">
        <w:t>what</w:t>
      </w:r>
      <w:r w:rsidR="00FA6558" w:rsidRPr="001C45D7">
        <w:t xml:space="preserve"> </w:t>
      </w:r>
      <w:r w:rsidRPr="001C45D7">
        <w:t>they</w:t>
      </w:r>
      <w:r w:rsidR="00FA6558" w:rsidRPr="001C45D7">
        <w:t xml:space="preserve"> </w:t>
      </w:r>
      <w:r w:rsidRPr="001C45D7">
        <w:t>would</w:t>
      </w:r>
      <w:r w:rsidR="00FA6558" w:rsidRPr="001C45D7">
        <w:t xml:space="preserve"> </w:t>
      </w:r>
      <w:r w:rsidRPr="001C45D7">
        <w:t>otherwise</w:t>
      </w:r>
      <w:r w:rsidR="00FA6558" w:rsidRPr="001C45D7">
        <w:t xml:space="preserve"> </w:t>
      </w:r>
      <w:r w:rsidRPr="001C45D7">
        <w:t>not</w:t>
      </w:r>
      <w:r w:rsidR="00FA6558" w:rsidRPr="001C45D7">
        <w:t xml:space="preserve"> </w:t>
      </w:r>
      <w:r w:rsidRPr="001C45D7">
        <w:t>do</w:t>
      </w:r>
      <w:r w:rsidR="00FA6558" w:rsidRPr="001C45D7">
        <w:t xml:space="preserve"> </w:t>
      </w:r>
      <w:r w:rsidR="00F03F7E" w:rsidRPr="001C45D7">
        <w:t>(e.g.,</w:t>
      </w:r>
      <w:r w:rsidR="00FA6558" w:rsidRPr="001C45D7">
        <w:t xml:space="preserve"> </w:t>
      </w:r>
      <w:r w:rsidR="00F8259C" w:rsidRPr="001C45D7">
        <w:t xml:space="preserve">by </w:t>
      </w:r>
      <w:r w:rsidR="00F03F7E" w:rsidRPr="001C45D7">
        <w:t>coercing</w:t>
      </w:r>
      <w:r w:rsidR="00FA6558" w:rsidRPr="001C45D7">
        <w:t xml:space="preserve"> </w:t>
      </w:r>
      <w:r w:rsidR="00F03F7E" w:rsidRPr="001C45D7">
        <w:t>suppliers</w:t>
      </w:r>
      <w:r w:rsidR="00FA6558" w:rsidRPr="001C45D7">
        <w:t xml:space="preserve"> </w:t>
      </w:r>
      <w:r w:rsidR="00F03F7E" w:rsidRPr="001C45D7">
        <w:t>to</w:t>
      </w:r>
      <w:r w:rsidR="00FA6558" w:rsidRPr="001C45D7">
        <w:t xml:space="preserve"> </w:t>
      </w:r>
      <w:r w:rsidR="00F03F7E" w:rsidRPr="001C45D7">
        <w:t>extract</w:t>
      </w:r>
      <w:r w:rsidR="00FA6558" w:rsidRPr="001C45D7">
        <w:t xml:space="preserve"> </w:t>
      </w:r>
      <w:r w:rsidR="00F03F7E" w:rsidRPr="001C45D7">
        <w:t>concessions</w:t>
      </w:r>
      <w:r w:rsidR="00FA6558" w:rsidRPr="001C45D7">
        <w:t xml:space="preserve"> </w:t>
      </w:r>
      <w:r w:rsidR="00F03F7E" w:rsidRPr="001C45D7">
        <w:t>or</w:t>
      </w:r>
      <w:r w:rsidR="00FA6558" w:rsidRPr="001C45D7">
        <w:t xml:space="preserve"> </w:t>
      </w:r>
      <w:r w:rsidR="00F03F7E" w:rsidRPr="001C45D7">
        <w:t>breaking</w:t>
      </w:r>
      <w:r w:rsidR="00FA6558" w:rsidRPr="001C45D7">
        <w:t xml:space="preserve"> </w:t>
      </w:r>
      <w:r w:rsidR="00F03F7E" w:rsidRPr="001C45D7">
        <w:t>informal</w:t>
      </w:r>
      <w:r w:rsidR="00FA6558" w:rsidRPr="001C45D7">
        <w:t xml:space="preserve"> </w:t>
      </w:r>
      <w:r w:rsidR="00F03F7E" w:rsidRPr="001C45D7">
        <w:t>agreements)</w:t>
      </w:r>
      <w:r w:rsidR="00FA6558" w:rsidRPr="001C45D7">
        <w:t xml:space="preserve"> </w:t>
      </w:r>
      <w:r w:rsidRPr="001C45D7">
        <w:fldChar w:fldCharType="begin" w:fldLock="1"/>
      </w:r>
      <w:r w:rsidR="00433778" w:rsidRPr="001C45D7">
        <w:instrText>ADDIN CSL_CITATION {"citationItems":[{"id":"ITEM-1","itemData":{"DOI":"10.1016/j.dss.2008.11.008","ISSN":"01679236","abstract":"Electronic Supply Chain Management systems (eSCMS), as instances of information technologies spanning organizational boundaries, have the potential to provide operational and strategic benefits. However, the high uncertainty of adoption consequences impedes firms from adopting eSCMS. Research on how to facilitate eSCMS adoption is of significance. This study investigates how institutional and socio-political factors in a dyadic trading partner relationship affect the dependent firm's eSCMS adoption intention. In contrast to prior research, we examine the confluence of institutional pressures, the focal firm's trust and the dominant firm's power. In particular, we differentiate power of different sources, and examine the mediating effects of the focal firm's trust and perceived institutional pressures on the relationship between different types of power exercised by the dominant firm and the focal firm's eSCMS adoption. Data collected from executives in China largely support our research hypotheses. Theoretical contribution and managerial implications of this research are discussed. © 2008 Elsevier B.V. All rights reserved.","author":[{"dropping-particle":"","family":"Ke","given":"Weiling","non-dropping-particle":"","parse-names":false,"suffix":""},{"dropping-particle":"","family":"Liu","given":"Hefu","non-dropping-particle":"","parse-names":false,"suffix":""},{"dropping-particle":"","family":"Wei","given":"Kwok Kee","non-dropping-particle":"","parse-names":false,"suffix":""},{"dropping-particle":"","family":"Gu","given":"Jibao","non-dropping-particle":"","parse-names":false,"suffix":""},{"dropping-particle":"","family":"Chen","given":"Huaping","non-dropping-particle":"","parse-names":false,"suffix":""}],"container-title":"Decision Support Systems","id":"ITEM-1","issue":"4","issued":{"date-parts":[["2009"]]},"page":"839-851","title":"How do mediated and non-mediated power affect electronic supply chain management system adoption? The mediating effects of trust and institutional pressures","type":"article-journal","volume":"46"},"uris":["http://www.mendeley.com/documents/?uuid=275b3212-e736-3054-8e06-cfadb4475b05"]},{"id":"ITEM-2","itemData":{"DOI":"10.1111/jscm.12011","ISSN":"1745493X","abstract":"Buyer-supplier relationships involve dyadic interactions, but there is a dearth of empirical dyadic analysis of these relationships. While relationships with a power balance between partners do exist, relationships typically occur in the context of power asymmetry. This study examines how perceptions of power use and prevailing relationship quality in dyadic relationships characterized by substantial power asymmetry affect behavioral and operational outcomes. Hierarchical regression is used to analyze data from a dyadic survey of relationships of a brand-name buying organization and its suppliers. Results indicate that power use affects partner behavior and operational performance, but the nature of the relationship dictates which power sources are most appropriate. In addition, the mediation effect of power imbalance shows that both relational and transactional factors can play an important role in supply chain exchanges. © 2013 Institute for Supply Management, Inc.","author":[{"dropping-particle":"","family":"Nyaga","given":"Gilbert N.","non-dropping-particle":"","parse-names":false,"suffix":""},{"dropping-particle":"","family":"Lynch","given":"Daniel F.","non-dropping-particle":"","parse-names":false,"suffix":""},{"dropping-particle":"","family":"Marshall","given":"Donna","non-dropping-particle":"","parse-names":false,"suffix":""},{"dropping-particle":"","family":"Ambrose","given":"Eamonn","non-dropping-particle":"","parse-names":false,"suffix":""}],"container-title":"Journal of Supply Chain Management","id":"ITEM-2","issue":"3","issued":{"date-parts":[["2013"]]},"page":"42-65","publisher":"Blackwell Publishing Ltd","title":"Power asymmetry, adaptation and collaboration in dyadic relationships involving a powerful partner","type":"article-journal","volume":"49"},"uris":["http://www.mendeley.com/documents/?uuid=1708c8ec-fa0b-3c27-a5b3-1fe3c0381a01"]}],"mendeley":{"formattedCitation":"(Ke &lt;i&gt;et al.&lt;/i&gt;, 2009; Nyaga &lt;i&gt;et al.&lt;/i&gt;, 2013)","manualFormatting":"(Nyaga et al., 2013)","plainTextFormattedCitation":"(Ke et al., 2009; Nyaga et al., 2013)","previouslyFormattedCitation":"(Ke &lt;i&gt;et al.&lt;/i&gt;, 2009; Nyaga &lt;i&gt;et al.&lt;/i&gt;, 2013)"},"properties":{"noteIndex":0},"schema":"https://github.com/citation-style-language/schema/raw/master/csl-citation.json"}</w:instrText>
      </w:r>
      <w:r w:rsidRPr="001C45D7">
        <w:fldChar w:fldCharType="separate"/>
      </w:r>
      <w:r w:rsidR="00881C19" w:rsidRPr="001C45D7">
        <w:rPr>
          <w:noProof/>
        </w:rPr>
        <w:t>(Nyaga</w:t>
      </w:r>
      <w:r w:rsidR="00FA6558" w:rsidRPr="001C45D7">
        <w:rPr>
          <w:noProof/>
        </w:rPr>
        <w:t xml:space="preserve"> </w:t>
      </w:r>
      <w:r w:rsidR="00881C19" w:rsidRPr="00523A08">
        <w:rPr>
          <w:i/>
          <w:iCs/>
          <w:noProof/>
        </w:rPr>
        <w:t>et</w:t>
      </w:r>
      <w:r w:rsidR="00FA6558" w:rsidRPr="00523A08">
        <w:rPr>
          <w:i/>
          <w:iCs/>
          <w:noProof/>
        </w:rPr>
        <w:t xml:space="preserve"> </w:t>
      </w:r>
      <w:r w:rsidR="00881C19" w:rsidRPr="00523A08">
        <w:rPr>
          <w:i/>
          <w:iCs/>
          <w:noProof/>
        </w:rPr>
        <w:t>al</w:t>
      </w:r>
      <w:r w:rsidR="00881C19" w:rsidRPr="001C45D7">
        <w:rPr>
          <w:noProof/>
        </w:rPr>
        <w:t>.,</w:t>
      </w:r>
      <w:r w:rsidR="00FA6558" w:rsidRPr="001C45D7">
        <w:rPr>
          <w:noProof/>
        </w:rPr>
        <w:t xml:space="preserve"> </w:t>
      </w:r>
      <w:r w:rsidR="00881C19" w:rsidRPr="001C45D7">
        <w:rPr>
          <w:noProof/>
        </w:rPr>
        <w:t>2013)</w:t>
      </w:r>
      <w:r w:rsidRPr="001C45D7">
        <w:fldChar w:fldCharType="end"/>
      </w:r>
      <w:r w:rsidR="00F03F7E" w:rsidRPr="001C45D7">
        <w:t>.</w:t>
      </w:r>
      <w:r w:rsidR="00FA6558" w:rsidRPr="001C45D7">
        <w:t xml:space="preserve"> </w:t>
      </w:r>
      <w:r w:rsidRPr="001C45D7">
        <w:t>Moreover,</w:t>
      </w:r>
      <w:r w:rsidR="00537083" w:rsidRPr="001C45D7">
        <w:t xml:space="preserve"> a</w:t>
      </w:r>
      <w:r w:rsidR="00FA6558" w:rsidRPr="001C45D7">
        <w:t xml:space="preserve"> </w:t>
      </w:r>
      <w:r w:rsidRPr="001C45D7">
        <w:t>widened</w:t>
      </w:r>
      <w:r w:rsidR="00FA6558" w:rsidRPr="001C45D7">
        <w:t xml:space="preserve"> </w:t>
      </w:r>
      <w:r w:rsidRPr="001C45D7">
        <w:t>dependence</w:t>
      </w:r>
      <w:r w:rsidR="00FA6558" w:rsidRPr="001C45D7">
        <w:t xml:space="preserve"> </w:t>
      </w:r>
      <w:r w:rsidRPr="001C45D7">
        <w:t>gap</w:t>
      </w:r>
      <w:r w:rsidR="00FA6558" w:rsidRPr="001C45D7">
        <w:t xml:space="preserve"> </w:t>
      </w:r>
      <w:r w:rsidRPr="001C45D7">
        <w:t>makes</w:t>
      </w:r>
      <w:r w:rsidR="00FA6558" w:rsidRPr="001C45D7">
        <w:t xml:space="preserve"> </w:t>
      </w:r>
      <w:r w:rsidRPr="001C45D7">
        <w:t>it</w:t>
      </w:r>
      <w:r w:rsidR="00FA6558" w:rsidRPr="001C45D7">
        <w:t xml:space="preserve"> </w:t>
      </w:r>
      <w:r w:rsidRPr="001C45D7">
        <w:t>even</w:t>
      </w:r>
      <w:r w:rsidR="00FA6558" w:rsidRPr="001C45D7">
        <w:t xml:space="preserve"> </w:t>
      </w:r>
      <w:r w:rsidRPr="001C45D7">
        <w:t>harder</w:t>
      </w:r>
      <w:r w:rsidR="00FA6558" w:rsidRPr="001C45D7">
        <w:t xml:space="preserve"> </w:t>
      </w:r>
      <w:r w:rsidRPr="001C45D7">
        <w:t>for</w:t>
      </w:r>
      <w:r w:rsidR="00FA6558" w:rsidRPr="001C45D7">
        <w:t xml:space="preserve"> </w:t>
      </w:r>
      <w:r w:rsidRPr="001C45D7">
        <w:t>SME</w:t>
      </w:r>
      <w:r w:rsidR="00FA6558" w:rsidRPr="001C45D7">
        <w:t xml:space="preserve"> </w:t>
      </w:r>
      <w:r w:rsidRPr="001C45D7">
        <w:t>suppliers</w:t>
      </w:r>
      <w:r w:rsidR="00FA6558" w:rsidRPr="001C45D7">
        <w:t xml:space="preserve"> </w:t>
      </w:r>
      <w:r w:rsidRPr="001C45D7">
        <w:t>to</w:t>
      </w:r>
      <w:r w:rsidR="00FA6558" w:rsidRPr="001C45D7">
        <w:t xml:space="preserve"> </w:t>
      </w:r>
      <w:r w:rsidRPr="001C45D7">
        <w:t>retaliate</w:t>
      </w:r>
      <w:r w:rsidR="00FA6558" w:rsidRPr="001C45D7">
        <w:t xml:space="preserve"> </w:t>
      </w:r>
      <w:r w:rsidR="00537083" w:rsidRPr="001C45D7">
        <w:t xml:space="preserve">against </w:t>
      </w:r>
      <w:r w:rsidRPr="001C45D7">
        <w:t>buyers’</w:t>
      </w:r>
      <w:r w:rsidR="00FA6558" w:rsidRPr="001C45D7">
        <w:t xml:space="preserve"> </w:t>
      </w:r>
      <w:r w:rsidRPr="001C45D7">
        <w:t>opportunistic</w:t>
      </w:r>
      <w:r w:rsidR="00FA6558" w:rsidRPr="001C45D7">
        <w:t xml:space="preserve"> </w:t>
      </w:r>
      <w:r w:rsidRPr="001C45D7">
        <w:t>behaviours</w:t>
      </w:r>
      <w:r w:rsidR="000F5026" w:rsidRPr="001C45D7">
        <w:t>,</w:t>
      </w:r>
      <w:r w:rsidR="00FA6558" w:rsidRPr="001C45D7">
        <w:t xml:space="preserve"> </w:t>
      </w:r>
      <w:r w:rsidRPr="001C45D7">
        <w:t>for</w:t>
      </w:r>
      <w:r w:rsidR="00FA6558" w:rsidRPr="001C45D7">
        <w:t xml:space="preserve"> </w:t>
      </w:r>
      <w:r w:rsidRPr="001C45D7">
        <w:t>fear</w:t>
      </w:r>
      <w:r w:rsidR="00FA6558" w:rsidRPr="001C45D7">
        <w:t xml:space="preserve"> </w:t>
      </w:r>
      <w:r w:rsidRPr="001C45D7">
        <w:t>of</w:t>
      </w:r>
      <w:r w:rsidR="00FA6558" w:rsidRPr="001C45D7">
        <w:t xml:space="preserve"> </w:t>
      </w:r>
      <w:r w:rsidRPr="001C45D7">
        <w:t>losing</w:t>
      </w:r>
      <w:r w:rsidR="00FA6558" w:rsidRPr="001C45D7">
        <w:t xml:space="preserve"> </w:t>
      </w:r>
      <w:r w:rsidRPr="001C45D7">
        <w:t>(1)</w:t>
      </w:r>
      <w:r w:rsidR="00FA6558" w:rsidRPr="001C45D7">
        <w:t xml:space="preserve"> </w:t>
      </w:r>
      <w:r w:rsidRPr="001C45D7">
        <w:t>business</w:t>
      </w:r>
      <w:r w:rsidR="00FA6558" w:rsidRPr="001C45D7">
        <w:t xml:space="preserve"> </w:t>
      </w:r>
      <w:r w:rsidRPr="001C45D7">
        <w:t>opportunit</w:t>
      </w:r>
      <w:r w:rsidR="000F5026" w:rsidRPr="001C45D7">
        <w:t>ies</w:t>
      </w:r>
      <w:r w:rsidR="00FA6558" w:rsidRPr="001C45D7">
        <w:t xml:space="preserve"> </w:t>
      </w:r>
      <w:r w:rsidRPr="001C45D7">
        <w:fldChar w:fldCharType="begin" w:fldLock="1"/>
      </w:r>
      <w:r w:rsidR="004A2B48" w:rsidRPr="001C45D7">
        <w:instrText>ADDIN CSL_CITATION {"citationItems":[{"id":"ITEM-1","itemData":{"DOI":"10.1016/j.jbusvent.2003.11.003","ISSN":"08839026","abstract":"Conflict exists over how supply chain management (SCM) affects small- and medium-sized enterprises (SMEs). On one hand, SCM can provide quality, cost, customer service, leverage and even risk reduction benefits for the SME. On the other hand, SCM exposes the SME to greater management and control hazards while reducing its private differentiation advantages. We test hypotheses relevant to the performance effects of SCM on SMEs using data collected from a recent survey of senior production managers. We find that SCM is negatively associated with SME performance after controlling for self-selection bias. We discuss several explanations for the result. © 2004 Elsevier Inc. All rights reserved.","author":[{"dropping-particle":"","family":"Arend","given":"Richard J.","non-dropping-particle":"","parse-names":false,"suffix":""},{"dropping-particle":"","family":"Wisner","given":"Joel D.","non-dropping-particle":"","parse-names":false,"suffix":""}],"container-title":"Journal of Business Venturing","id":"ITEM-1","issue":"3","issued":{"date-parts":[["2005"]]},"page":"403-436","title":"Small business and supply chain management: Is there a fit?","type":"article-journal","volume":"20"},"uris":["http://www.mendeley.com/documents/?uuid=885247f0-4852-36b7-884c-d077038be25e"]},{"id":"ITEM-2","itemData":{"DOI":"10.1108/13598540310463387","ISSN":"13598546","abstract":"This paper provides the outcomes of a supply chain management (SCM) practice survey designed to identify current trends in UK industrial small- to medium-sized enterprises. The analysis identifies the adaptation of SCM techniques and relationships between customers and smaller suppliers. The outcomes, based on a survey of 288 firms, indicates a lack of effective adaptation from traditional adversarial relationships to the modern collaborative \"e\" - supply chain; identifies issues businesses need to address to improve the performance of their supply chains, and so improve their competitive position by grasping the benefits of effective SCM.","author":[{"dropping-particle":"","family":"Quayle","given":"Michael","non-dropping-particle":"","parse-names":false,"suffix":""}],"container-title":"Supply Chain Management","id":"ITEM-2","issue":"1","issued":{"date-parts":[["2003"]]},"page":"79-86","title":"A study of supply chain management practice in UK industrial SMEs","type":"article","volume":"8"},"uris":["http://www.mendeley.com/documents/?uuid=cc5d09a4-492f-35c3-9a56-b594b3a8ad1c"]}],"mendeley":{"formattedCitation":"(Arend and Wisner, 2005; Quayle, 2003)","plainTextFormattedCitation":"(Arend and Wisner, 2005; Quayle, 2003)","previouslyFormattedCitation":"(Arend and Wisner, 2005; Quayle, 2003)"},"properties":{"noteIndex":0},"schema":"https://github.com/citation-style-language/schema/raw/master/csl-citation.json"}</w:instrText>
      </w:r>
      <w:r w:rsidRPr="001C45D7">
        <w:fldChar w:fldCharType="separate"/>
      </w:r>
      <w:r w:rsidR="004A2B48" w:rsidRPr="001C45D7">
        <w:rPr>
          <w:noProof/>
        </w:rPr>
        <w:t>(Quayle, 2003)</w:t>
      </w:r>
      <w:r w:rsidRPr="001C45D7">
        <w:fldChar w:fldCharType="end"/>
      </w:r>
      <w:r w:rsidR="00537083" w:rsidRPr="001C45D7">
        <w:t>,</w:t>
      </w:r>
      <w:r w:rsidR="00FA6558" w:rsidRPr="001C45D7">
        <w:t xml:space="preserve"> </w:t>
      </w:r>
      <w:r w:rsidR="00537083" w:rsidRPr="001C45D7">
        <w:t xml:space="preserve">or </w:t>
      </w:r>
      <w:r w:rsidRPr="001C45D7">
        <w:t>(2)</w:t>
      </w:r>
      <w:r w:rsidR="00FA6558" w:rsidRPr="001C45D7">
        <w:t xml:space="preserve"> </w:t>
      </w:r>
      <w:r w:rsidRPr="001C45D7">
        <w:t>access</w:t>
      </w:r>
      <w:r w:rsidR="00FA6558" w:rsidRPr="001C45D7">
        <w:t xml:space="preserve"> </w:t>
      </w:r>
      <w:r w:rsidRPr="001C45D7">
        <w:t>to</w:t>
      </w:r>
      <w:r w:rsidR="00FA6558" w:rsidRPr="001C45D7">
        <w:t xml:space="preserve"> </w:t>
      </w:r>
      <w:r w:rsidRPr="001C45D7">
        <w:t>buyers</w:t>
      </w:r>
      <w:r w:rsidR="00BD521D" w:rsidRPr="001C45D7">
        <w:t>’</w:t>
      </w:r>
      <w:r w:rsidR="00FA6558" w:rsidRPr="001C45D7">
        <w:t xml:space="preserve"> </w:t>
      </w:r>
      <w:r w:rsidRPr="001C45D7">
        <w:t>unique</w:t>
      </w:r>
      <w:r w:rsidR="00FA6558" w:rsidRPr="001C45D7">
        <w:t xml:space="preserve"> </w:t>
      </w:r>
      <w:r w:rsidRPr="001C45D7">
        <w:t>information</w:t>
      </w:r>
      <w:r w:rsidR="00FA6558" w:rsidRPr="001C45D7">
        <w:t xml:space="preserve"> </w:t>
      </w:r>
      <w:r w:rsidRPr="001C45D7">
        <w:t>and</w:t>
      </w:r>
      <w:r w:rsidR="00FA6558" w:rsidRPr="001C45D7">
        <w:t xml:space="preserve"> </w:t>
      </w:r>
      <w:r w:rsidRPr="001C45D7">
        <w:t>knowledge</w:t>
      </w:r>
      <w:r w:rsidR="00F0760A" w:rsidRPr="001C45D7">
        <w:t>,</w:t>
      </w:r>
      <w:r w:rsidR="00FA6558" w:rsidRPr="001C45D7">
        <w:t xml:space="preserve"> </w:t>
      </w:r>
      <w:r w:rsidRPr="001C45D7">
        <w:t>enhanced</w:t>
      </w:r>
      <w:r w:rsidR="00FA6558" w:rsidRPr="001C45D7">
        <w:t xml:space="preserve"> </w:t>
      </w:r>
      <w:r w:rsidRPr="001C45D7">
        <w:t>by</w:t>
      </w:r>
      <w:r w:rsidR="00FA6558" w:rsidRPr="001C45D7">
        <w:t xml:space="preserve"> </w:t>
      </w:r>
      <w:r w:rsidRPr="001C45D7">
        <w:t>digitalisation</w:t>
      </w:r>
      <w:r w:rsidR="00FA6558" w:rsidRPr="001C45D7">
        <w:t xml:space="preserve"> </w:t>
      </w:r>
      <w:r w:rsidRPr="001C45D7">
        <w:fldChar w:fldCharType="begin" w:fldLock="1"/>
      </w:r>
      <w:r w:rsidR="00433778" w:rsidRPr="001C45D7">
        <w:instrText>ADDIN CSL_CITATION {"citationItems":[{"id":"ITEM-1","itemData":{"DOI":"10.5465/256427","ISSN":"0001-4273","abstract":"This study examines Williamson’s (1975) concept of opportunism in relations between farm and power equipment dealers and their primary supplier organization. Results from a national survey generally support hypotheses predicting that dealer opportunism will be negatively related to dealer dependence on a primary supplier and positively related to supplier control over dealer decisions.","author":[{"dropping-particle":"","family":"Provan","given":"Keith G.","non-dropping-particle":"","parse-names":false,"suffix":""},{"dropping-particle":"","family":"Skinner","given":"Steven J.","non-dropping-particle":"","parse-names":false,"suffix":""}],"container-title":"Academy of Management Journal","id":"ITEM-1","issue":"1","issued":{"date-parts":[["1989","3"]]},"page":"202-212","publisher":"Academy of Management","title":"Interorganizational Dependence and Control as Predictors of Opportunism in Dealer-Supplier Relations","type":"article-journal","volume":"32"},"uris":["http://www.mendeley.com/documents/?uuid=6495a7b4-ed35-4364-8ddc-c68e1ff80bfe"]},{"id":"ITEM-2","itemData":{"DOI":"10.1007/s11747-007-0081-x","ISSN":"00920703","abstract":"The potential to engage in opportunism is a central theme in institutional economics, yet prior research has not quantitatively reviewed the role of opportunism in marketing research. This study uses meta-analytic tech- niques to synthesize research on opportunism conducted over the last quarter century. The analysis of 183 effect sizes extracted from 54 publications from the period 1982 to 2005 offers some support to extant channel theory. The research also indicates that the informant's frame of reference and the research design significantly influence the observed effects. Implications of the findings and future research directions are discussed. © Academy of Marketing Science 2007.","author":[{"dropping-particle":"","family":"Crosno","given":"Jody L","non-dropping-particle":"","parse-names":false,"suffix":""},{"dropping-particle":"","family":"Dahlstrom","given":"Robert","non-dropping-particle":"","parse-names":false,"suffix":""}],"container-title":"Journal of the Academy of Marketing Science","id":"ITEM-2","issue":"2","issued":{"date-parts":[["2008"]]},"page":"191-201","title":"A meta-analytic review of opportunism in exchange relationships","type":"article-journal","volume":"36"},"uris":["http://www.mendeley.com/documents/?uuid=f7567af9-39ca-30c6-b5a5-8094095e0f61"]}],"mendeley":{"formattedCitation":"(Crosno and Dahlstrom, 2008; Provan and Skinner, 1989)","plainTextFormattedCitation":"(Crosno and Dahlstrom, 2008; Provan and Skinner, 1989)","previouslyFormattedCitation":"(Crosno and Dahlstrom, 2008; Provan and Skinner, 1989)"},"properties":{"noteIndex":0},"schema":"https://github.com/citation-style-language/schema/raw/master/csl-citation.json"}</w:instrText>
      </w:r>
      <w:r w:rsidRPr="001C45D7">
        <w:fldChar w:fldCharType="separate"/>
      </w:r>
      <w:r w:rsidR="004A2B48" w:rsidRPr="001C45D7">
        <w:rPr>
          <w:noProof/>
        </w:rPr>
        <w:t>(Crosno and Dahlstrom, 2008; Provan and Skinner, 1989)</w:t>
      </w:r>
      <w:r w:rsidRPr="001C45D7">
        <w:fldChar w:fldCharType="end"/>
      </w:r>
      <w:r w:rsidRPr="001C45D7">
        <w:t>.</w:t>
      </w:r>
      <w:r w:rsidR="00FA6558" w:rsidRPr="001C45D7">
        <w:t xml:space="preserve"> </w:t>
      </w:r>
      <w:r w:rsidRPr="001C45D7">
        <w:t>Therefore,</w:t>
      </w:r>
      <w:r w:rsidR="00FA6558" w:rsidRPr="001C45D7">
        <w:t xml:space="preserve"> </w:t>
      </w:r>
      <w:r w:rsidRPr="001C45D7">
        <w:t>we</w:t>
      </w:r>
      <w:r w:rsidR="00FA6558" w:rsidRPr="001C45D7">
        <w:t xml:space="preserve"> </w:t>
      </w:r>
      <w:r w:rsidRPr="001C45D7">
        <w:t>hypothesise:</w:t>
      </w:r>
    </w:p>
    <w:p w14:paraId="1593EDF2" w14:textId="77777777" w:rsidR="003836D3" w:rsidRDefault="003836D3" w:rsidP="00566B02">
      <w:pPr>
        <w:pStyle w:val="BodyText"/>
      </w:pPr>
      <w:bookmarkStart w:id="16" w:name="_Hlk51060280"/>
    </w:p>
    <w:p w14:paraId="39388A49" w14:textId="77EE37D0" w:rsidR="00960BB6" w:rsidRPr="001C45D7" w:rsidRDefault="00960BB6" w:rsidP="00566B02">
      <w:pPr>
        <w:pStyle w:val="BodyText"/>
      </w:pPr>
      <w:r w:rsidRPr="001C45D7">
        <w:t>Hypothesis</w:t>
      </w:r>
      <w:r w:rsidR="00FA6558" w:rsidRPr="001C45D7">
        <w:t xml:space="preserve"> </w:t>
      </w:r>
      <w:r w:rsidR="00F139DB" w:rsidRPr="001C45D7">
        <w:t>2</w:t>
      </w:r>
      <w:r w:rsidRPr="001C45D7">
        <w:t>:</w:t>
      </w:r>
      <w:r w:rsidR="00FA6558" w:rsidRPr="001C45D7">
        <w:t xml:space="preserve"> </w:t>
      </w:r>
      <w:r w:rsidRPr="001C45D7">
        <w:t>The</w:t>
      </w:r>
      <w:r w:rsidR="00FA6558" w:rsidRPr="001C45D7">
        <w:t xml:space="preserve"> </w:t>
      </w:r>
      <w:r w:rsidRPr="001C45D7">
        <w:t>extent</w:t>
      </w:r>
      <w:r w:rsidR="00FA6558" w:rsidRPr="001C45D7">
        <w:t xml:space="preserve"> </w:t>
      </w:r>
      <w:r w:rsidRPr="001C45D7">
        <w:t>of</w:t>
      </w:r>
      <w:r w:rsidR="00FA6558" w:rsidRPr="001C45D7">
        <w:t xml:space="preserve"> </w:t>
      </w:r>
      <w:r w:rsidRPr="001C45D7">
        <w:t>the</w:t>
      </w:r>
      <w:r w:rsidR="00FA6558" w:rsidRPr="001C45D7">
        <w:t xml:space="preserve"> </w:t>
      </w:r>
      <w:r w:rsidRPr="001C45D7">
        <w:t>SME</w:t>
      </w:r>
      <w:r w:rsidR="00FA6558" w:rsidRPr="001C45D7">
        <w:t xml:space="preserve"> </w:t>
      </w:r>
      <w:r w:rsidRPr="001C45D7">
        <w:t>supplier’s</w:t>
      </w:r>
      <w:r w:rsidR="00FA6558" w:rsidRPr="001C45D7">
        <w:t xml:space="preserve"> </w:t>
      </w:r>
      <w:r w:rsidRPr="001C45D7">
        <w:t>dependence</w:t>
      </w:r>
      <w:r w:rsidR="00FA6558" w:rsidRPr="001C45D7">
        <w:t xml:space="preserve"> </w:t>
      </w:r>
      <w:r w:rsidRPr="001C45D7">
        <w:t>on</w:t>
      </w:r>
      <w:r w:rsidR="00FA6558" w:rsidRPr="001C45D7">
        <w:t xml:space="preserve"> </w:t>
      </w:r>
      <w:r w:rsidRPr="001C45D7">
        <w:t>its</w:t>
      </w:r>
      <w:r w:rsidR="00FA6558" w:rsidRPr="001C45D7">
        <w:t xml:space="preserve"> </w:t>
      </w:r>
      <w:r w:rsidRPr="001C45D7">
        <w:t>buyer</w:t>
      </w:r>
      <w:r w:rsidR="00FA6558" w:rsidRPr="001C45D7">
        <w:t xml:space="preserve"> </w:t>
      </w:r>
      <w:r w:rsidRPr="001C45D7">
        <w:t>is</w:t>
      </w:r>
      <w:r w:rsidR="00FA6558" w:rsidRPr="001C45D7">
        <w:t xml:space="preserve"> </w:t>
      </w:r>
      <w:r w:rsidRPr="001C45D7">
        <w:t>positively</w:t>
      </w:r>
      <w:r w:rsidR="00FA6558" w:rsidRPr="001C45D7">
        <w:t xml:space="preserve"> </w:t>
      </w:r>
      <w:r w:rsidRPr="001C45D7">
        <w:t>related</w:t>
      </w:r>
      <w:r w:rsidR="00FA6558" w:rsidRPr="001C45D7">
        <w:t xml:space="preserve"> </w:t>
      </w:r>
      <w:r w:rsidRPr="001C45D7">
        <w:t>to</w:t>
      </w:r>
      <w:r w:rsidR="00FA6558" w:rsidRPr="001C45D7">
        <w:t xml:space="preserve"> </w:t>
      </w:r>
      <w:r w:rsidRPr="001C45D7">
        <w:t>its</w:t>
      </w:r>
      <w:r w:rsidR="00FA6558" w:rsidRPr="001C45D7">
        <w:t xml:space="preserve"> </w:t>
      </w:r>
      <w:r w:rsidRPr="001C45D7">
        <w:t>perceived</w:t>
      </w:r>
      <w:r w:rsidR="00FA6558" w:rsidRPr="001C45D7">
        <w:t xml:space="preserve"> </w:t>
      </w:r>
      <w:r w:rsidRPr="001C45D7">
        <w:t>level</w:t>
      </w:r>
      <w:r w:rsidR="00FA6558" w:rsidRPr="001C45D7">
        <w:t xml:space="preserve"> </w:t>
      </w:r>
      <w:r w:rsidRPr="001C45D7">
        <w:t>of</w:t>
      </w:r>
      <w:r w:rsidR="00FA6558" w:rsidRPr="001C45D7">
        <w:t xml:space="preserve"> </w:t>
      </w:r>
      <w:r w:rsidRPr="001C45D7">
        <w:t>the</w:t>
      </w:r>
      <w:r w:rsidR="00FA6558" w:rsidRPr="001C45D7">
        <w:t xml:space="preserve"> </w:t>
      </w:r>
      <w:r w:rsidRPr="001C45D7">
        <w:t>buyer’s</w:t>
      </w:r>
      <w:r w:rsidR="00FA6558" w:rsidRPr="001C45D7">
        <w:t xml:space="preserve"> </w:t>
      </w:r>
      <w:r w:rsidRPr="001C45D7">
        <w:t>opportunis</w:t>
      </w:r>
      <w:r w:rsidR="00EE2309">
        <w:t>m</w:t>
      </w:r>
    </w:p>
    <w:bookmarkEnd w:id="16"/>
    <w:p w14:paraId="72513856" w14:textId="77777777" w:rsidR="009C344A" w:rsidRDefault="009C344A" w:rsidP="00566B02">
      <w:pPr>
        <w:pStyle w:val="BodyText"/>
        <w:rPr>
          <w:rFonts w:eastAsiaTheme="minorEastAsia"/>
        </w:rPr>
      </w:pPr>
    </w:p>
    <w:p w14:paraId="73EA775C" w14:textId="7E66A8B4" w:rsidR="00537083" w:rsidRPr="001C45D7" w:rsidRDefault="00B754F9" w:rsidP="00566B02">
      <w:pPr>
        <w:pStyle w:val="BodyText"/>
      </w:pPr>
      <w:r w:rsidRPr="001C45D7">
        <w:t>As</w:t>
      </w:r>
      <w:r w:rsidR="00FA6558" w:rsidRPr="001C45D7">
        <w:t xml:space="preserve"> </w:t>
      </w:r>
      <w:r w:rsidRPr="001C45D7">
        <w:t>discussed</w:t>
      </w:r>
      <w:r w:rsidR="00FA6558" w:rsidRPr="001C45D7">
        <w:t xml:space="preserve"> </w:t>
      </w:r>
      <w:r w:rsidRPr="001C45D7">
        <w:t>earlier,</w:t>
      </w:r>
      <w:r w:rsidR="00FA6558" w:rsidRPr="001C45D7">
        <w:t xml:space="preserve"> </w:t>
      </w:r>
      <w:r w:rsidRPr="001C45D7">
        <w:t>relational</w:t>
      </w:r>
      <w:r w:rsidR="00FA6558" w:rsidRPr="001C45D7">
        <w:t xml:space="preserve"> </w:t>
      </w:r>
      <w:r w:rsidRPr="001C45D7">
        <w:t>governance</w:t>
      </w:r>
      <w:r w:rsidR="00FA6558" w:rsidRPr="001C45D7">
        <w:t xml:space="preserve"> </w:t>
      </w:r>
      <w:r w:rsidRPr="001C45D7">
        <w:t>is</w:t>
      </w:r>
      <w:r w:rsidR="00FA6558" w:rsidRPr="001C45D7">
        <w:t xml:space="preserve"> </w:t>
      </w:r>
      <w:r w:rsidRPr="001C45D7">
        <w:t>made</w:t>
      </w:r>
      <w:r w:rsidR="00FA6558" w:rsidRPr="001C45D7">
        <w:t xml:space="preserve"> </w:t>
      </w:r>
      <w:r w:rsidRPr="001C45D7">
        <w:t>up</w:t>
      </w:r>
      <w:r w:rsidR="00FA6558" w:rsidRPr="001C45D7">
        <w:t xml:space="preserve"> </w:t>
      </w:r>
      <w:r w:rsidRPr="001C45D7">
        <w:t>of</w:t>
      </w:r>
      <w:r w:rsidR="00FA6558" w:rsidRPr="001C45D7">
        <w:t xml:space="preserve"> </w:t>
      </w:r>
      <w:r w:rsidRPr="001C45D7">
        <w:t>various</w:t>
      </w:r>
      <w:r w:rsidR="00FA6558" w:rsidRPr="001C45D7">
        <w:t xml:space="preserve"> </w:t>
      </w:r>
      <w:r w:rsidRPr="001C45D7">
        <w:t>relational</w:t>
      </w:r>
      <w:r w:rsidR="00FA6558" w:rsidRPr="001C45D7">
        <w:t xml:space="preserve"> </w:t>
      </w:r>
      <w:r w:rsidRPr="001C45D7">
        <w:t>outputs</w:t>
      </w:r>
      <w:r w:rsidR="00FA6558" w:rsidRPr="001C45D7">
        <w:t xml:space="preserve"> </w:t>
      </w:r>
      <w:r w:rsidRPr="001C45D7">
        <w:t>accumulated</w:t>
      </w:r>
      <w:r w:rsidR="00FA6558" w:rsidRPr="001C45D7">
        <w:t xml:space="preserve"> </w:t>
      </w:r>
      <w:r w:rsidRPr="001C45D7">
        <w:t>as</w:t>
      </w:r>
      <w:r w:rsidR="00FA6558" w:rsidRPr="001C45D7">
        <w:t xml:space="preserve"> </w:t>
      </w:r>
      <w:r w:rsidR="00537083" w:rsidRPr="001C45D7">
        <w:t xml:space="preserve">a </w:t>
      </w:r>
      <w:r w:rsidRPr="001C45D7">
        <w:t>result</w:t>
      </w:r>
      <w:r w:rsidR="00FA6558" w:rsidRPr="001C45D7">
        <w:t xml:space="preserve"> </w:t>
      </w:r>
      <w:r w:rsidRPr="001C45D7">
        <w:t>of</w:t>
      </w:r>
      <w:r w:rsidR="00FA6558" w:rsidRPr="001C45D7">
        <w:t xml:space="preserve"> </w:t>
      </w:r>
      <w:r w:rsidRPr="001C45D7">
        <w:t>the</w:t>
      </w:r>
      <w:r w:rsidR="00FA6558" w:rsidRPr="001C45D7">
        <w:t xml:space="preserve"> </w:t>
      </w:r>
      <w:r w:rsidRPr="001C45D7">
        <w:t>history</w:t>
      </w:r>
      <w:r w:rsidR="00FA6558" w:rsidRPr="001C45D7">
        <w:t xml:space="preserve"> </w:t>
      </w:r>
      <w:r w:rsidRPr="001C45D7">
        <w:t>of</w:t>
      </w:r>
      <w:r w:rsidR="00FA6558" w:rsidRPr="001C45D7">
        <w:t xml:space="preserve"> </w:t>
      </w:r>
      <w:r w:rsidRPr="001C45D7">
        <w:t>repeated</w:t>
      </w:r>
      <w:r w:rsidR="00FA6558" w:rsidRPr="001C45D7">
        <w:t xml:space="preserve"> </w:t>
      </w:r>
      <w:r w:rsidRPr="001C45D7">
        <w:t>and</w:t>
      </w:r>
      <w:r w:rsidR="00FA6558" w:rsidRPr="001C45D7">
        <w:t xml:space="preserve"> </w:t>
      </w:r>
      <w:r w:rsidRPr="001C45D7">
        <w:t>positive</w:t>
      </w:r>
      <w:r w:rsidR="00FA6558" w:rsidRPr="001C45D7">
        <w:t xml:space="preserve"> </w:t>
      </w:r>
      <w:r w:rsidRPr="001C45D7">
        <w:t>interaction</w:t>
      </w:r>
      <w:r w:rsidR="00FA6558" w:rsidRPr="001C45D7">
        <w:t xml:space="preserve"> </w:t>
      </w:r>
      <w:r w:rsidRPr="001C45D7">
        <w:t>between</w:t>
      </w:r>
      <w:r w:rsidR="00FA6558" w:rsidRPr="001C45D7">
        <w:t xml:space="preserve"> </w:t>
      </w:r>
      <w:r w:rsidRPr="001C45D7">
        <w:t>actors</w:t>
      </w:r>
      <w:r w:rsidR="00FA6558" w:rsidRPr="001C45D7">
        <w:t xml:space="preserve"> </w:t>
      </w:r>
      <w:r w:rsidRPr="001C45D7">
        <w:fldChar w:fldCharType="begin" w:fldLock="1"/>
      </w:r>
      <w:r w:rsidRPr="001C45D7">
        <w:instrText>ADDIN CSL_CITATION {"citationItems":[{"id":"ITEM-1","itemData":{"DOI":"10.1177/002224379002700103","ISSN":"0022-2437","abstract":"Recent trends in industrial markets indicate that buyers and sellers are increasingly supplanting conventional “arm's length” arrangements with “alliances” involving closer ties. The authors develo...","author":[{"dropping-particle":"","family":"Heide","given":"Jan B.","non-dropping-particle":"","parse-names":false,"suffix":""},{"dropping-particle":"","family":"John","given":"George","non-dropping-particle":"","parse-names":false,"suffix":""}],"container-title":"Journal of Marketing Research","id":"ITEM-1","issue":"1","issued":{"date-parts":[["1990","2"]]},"page":"24-36","publisher":"SAGE Publications","title":"Alliances in Industrial Purchasing: The Determinants of Joint Action in Buyer-Supplier Relationships","type":"article-journal","volume":"27"},"uris":["http://www.mendeley.com/documents/?uuid=71bf402a-d6b5-34c8-9d60-c3e832f65fa8"]},{"id":"ITEM-2","itemData":{"DOI":"10.1002/smj.249","ISSN":"01432095","abstract":"Relational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Journal","id":"ITEM-2","issue":"8","issued":{"date-parts":[["2002","8"]]},"page":"707-725","title":"Do formal contracts and relational governance function as substitutes or complements?","type":"article-journal","volume":"23"},"uris":["http://www.mendeley.com/documents/?uuid=0f5b4bc5-de16-3976-800b-d5afcee477cc"]}],"mendeley":{"formattedCitation":"(Heide and John, 1990; Poppo and Zenger, 2002)","plainTextFormattedCitation":"(Heide and John, 1990; Poppo and Zenger, 2002)","previouslyFormattedCitation":"(Heide and John, 1990; Poppo and Zenger, 2002)"},"properties":{"noteIndex":0},"schema":"https://github.com/citation-style-language/schema/raw/master/csl-citation.json"}</w:instrText>
      </w:r>
      <w:r w:rsidRPr="001C45D7">
        <w:fldChar w:fldCharType="separate"/>
      </w:r>
      <w:r w:rsidRPr="001C45D7">
        <w:rPr>
          <w:noProof/>
        </w:rPr>
        <w:t>(Heide</w:t>
      </w:r>
      <w:r w:rsidR="00FA6558" w:rsidRPr="001C45D7">
        <w:rPr>
          <w:noProof/>
        </w:rPr>
        <w:t xml:space="preserve"> </w:t>
      </w:r>
      <w:r w:rsidRPr="001C45D7">
        <w:rPr>
          <w:noProof/>
        </w:rPr>
        <w:t>and</w:t>
      </w:r>
      <w:r w:rsidR="00FA6558" w:rsidRPr="001C45D7">
        <w:rPr>
          <w:noProof/>
        </w:rPr>
        <w:t xml:space="preserve"> </w:t>
      </w:r>
      <w:r w:rsidRPr="001C45D7">
        <w:rPr>
          <w:noProof/>
        </w:rPr>
        <w:t>John,</w:t>
      </w:r>
      <w:r w:rsidR="00FA6558" w:rsidRPr="001C45D7">
        <w:rPr>
          <w:noProof/>
        </w:rPr>
        <w:t xml:space="preserve"> </w:t>
      </w:r>
      <w:r w:rsidRPr="001C45D7">
        <w:rPr>
          <w:noProof/>
        </w:rPr>
        <w:t>1990;</w:t>
      </w:r>
      <w:r w:rsidR="00FA6558" w:rsidRPr="001C45D7">
        <w:rPr>
          <w:noProof/>
        </w:rPr>
        <w:t xml:space="preserve"> </w:t>
      </w:r>
      <w:r w:rsidRPr="001C45D7">
        <w:rPr>
          <w:noProof/>
        </w:rPr>
        <w:t>Poppo</w:t>
      </w:r>
      <w:r w:rsidR="00FA6558" w:rsidRPr="001C45D7">
        <w:rPr>
          <w:noProof/>
        </w:rPr>
        <w:t xml:space="preserve"> </w:t>
      </w:r>
      <w:r w:rsidRPr="001C45D7">
        <w:rPr>
          <w:noProof/>
        </w:rPr>
        <w:t>and</w:t>
      </w:r>
      <w:r w:rsidR="00FA6558" w:rsidRPr="001C45D7">
        <w:rPr>
          <w:noProof/>
        </w:rPr>
        <w:t xml:space="preserve"> </w:t>
      </w:r>
      <w:r w:rsidRPr="001C45D7">
        <w:rPr>
          <w:noProof/>
        </w:rPr>
        <w:t>Zenger,</w:t>
      </w:r>
      <w:r w:rsidR="00FA6558" w:rsidRPr="001C45D7">
        <w:rPr>
          <w:noProof/>
        </w:rPr>
        <w:t xml:space="preserve"> </w:t>
      </w:r>
      <w:r w:rsidRPr="001C45D7">
        <w:rPr>
          <w:noProof/>
        </w:rPr>
        <w:t>2002)</w:t>
      </w:r>
      <w:r w:rsidRPr="001C45D7">
        <w:fldChar w:fldCharType="end"/>
      </w:r>
      <w:r w:rsidRPr="001C45D7">
        <w:t>.</w:t>
      </w:r>
      <w:r w:rsidR="00FA6558" w:rsidRPr="001C45D7">
        <w:t xml:space="preserve"> </w:t>
      </w:r>
      <w:r w:rsidR="00537083" w:rsidRPr="001C45D7">
        <w:t>A high</w:t>
      </w:r>
      <w:r w:rsidR="00481C76" w:rsidRPr="001C45D7">
        <w:t xml:space="preserve"> </w:t>
      </w:r>
      <w:r w:rsidRPr="001C45D7">
        <w:t>level</w:t>
      </w:r>
      <w:r w:rsidR="00FA6558" w:rsidRPr="001C45D7">
        <w:t xml:space="preserve"> </w:t>
      </w:r>
      <w:r w:rsidRPr="001C45D7">
        <w:t>of</w:t>
      </w:r>
      <w:r w:rsidR="00FA6558" w:rsidRPr="001C45D7">
        <w:t xml:space="preserve"> </w:t>
      </w:r>
      <w:r w:rsidRPr="001C45D7">
        <w:t>trust</w:t>
      </w:r>
      <w:r w:rsidR="00FA6558" w:rsidRPr="001C45D7">
        <w:t xml:space="preserve"> </w:t>
      </w:r>
      <w:r w:rsidRPr="001C45D7">
        <w:t>between</w:t>
      </w:r>
      <w:r w:rsidR="00FA6558" w:rsidRPr="001C45D7">
        <w:t xml:space="preserve"> </w:t>
      </w:r>
      <w:r w:rsidRPr="001C45D7">
        <w:t>a</w:t>
      </w:r>
      <w:r w:rsidR="00537083" w:rsidRPr="001C45D7">
        <w:t>n</w:t>
      </w:r>
      <w:r w:rsidR="00FA6558" w:rsidRPr="001C45D7">
        <w:t xml:space="preserve"> </w:t>
      </w:r>
      <w:r w:rsidRPr="001C45D7">
        <w:t>SME</w:t>
      </w:r>
      <w:r w:rsidR="00FA6558" w:rsidRPr="001C45D7">
        <w:t xml:space="preserve"> </w:t>
      </w:r>
      <w:r w:rsidRPr="001C45D7">
        <w:t>supplier</w:t>
      </w:r>
      <w:r w:rsidR="00FA6558" w:rsidRPr="001C45D7">
        <w:t xml:space="preserve"> </w:t>
      </w:r>
      <w:r w:rsidRPr="001C45D7">
        <w:t>and</w:t>
      </w:r>
      <w:r w:rsidR="00FA6558" w:rsidRPr="001C45D7">
        <w:t xml:space="preserve"> </w:t>
      </w:r>
      <w:r w:rsidRPr="001C45D7">
        <w:t>its</w:t>
      </w:r>
      <w:r w:rsidR="00FA6558" w:rsidRPr="001C45D7">
        <w:t xml:space="preserve"> </w:t>
      </w:r>
      <w:r w:rsidRPr="001C45D7">
        <w:t>more</w:t>
      </w:r>
      <w:r w:rsidR="00FA6558" w:rsidRPr="001C45D7">
        <w:t xml:space="preserve"> </w:t>
      </w:r>
      <w:r w:rsidR="00481C76" w:rsidRPr="001C45D7">
        <w:t xml:space="preserve">digitally </w:t>
      </w:r>
      <w:r w:rsidRPr="001C45D7">
        <w:t>capable</w:t>
      </w:r>
      <w:r w:rsidR="00FA6558" w:rsidRPr="001C45D7">
        <w:t xml:space="preserve"> </w:t>
      </w:r>
      <w:r w:rsidRPr="001C45D7">
        <w:t>buyer</w:t>
      </w:r>
      <w:r w:rsidR="00FA6558" w:rsidRPr="001C45D7">
        <w:t xml:space="preserve"> </w:t>
      </w:r>
      <w:r w:rsidRPr="001C45D7">
        <w:t>creates</w:t>
      </w:r>
      <w:r w:rsidR="00FA6558" w:rsidRPr="001C45D7">
        <w:t xml:space="preserve"> </w:t>
      </w:r>
      <w:r w:rsidRPr="001C45D7">
        <w:t>significant</w:t>
      </w:r>
      <w:r w:rsidR="00FA6558" w:rsidRPr="001C45D7">
        <w:t xml:space="preserve"> </w:t>
      </w:r>
      <w:r w:rsidRPr="001C45D7">
        <w:t>incentives</w:t>
      </w:r>
      <w:r w:rsidR="00FA6558" w:rsidRPr="001C45D7">
        <w:t xml:space="preserve"> </w:t>
      </w:r>
      <w:r w:rsidRPr="001C45D7">
        <w:t>to</w:t>
      </w:r>
      <w:r w:rsidR="00FA6558" w:rsidRPr="001C45D7">
        <w:t xml:space="preserve"> </w:t>
      </w:r>
      <w:r w:rsidRPr="001C45D7">
        <w:t>cooperate</w:t>
      </w:r>
      <w:r w:rsidR="00FA6558" w:rsidRPr="001C45D7">
        <w:t xml:space="preserve"> </w:t>
      </w:r>
      <w:r w:rsidRPr="001C45D7">
        <w:fldChar w:fldCharType="begin" w:fldLock="1"/>
      </w:r>
      <w:r w:rsidRPr="001C45D7">
        <w:instrText>ADDIN CSL_CITATION {"citationItems":[{"id":"ITEM-1","itemData":{"DOI":"10.5465/amr.1990.4309111","ISSN":"0363-7425","abstract":"Transaction cost theorists have generally neglected to consider the implications that the invisible hand of the market mechanism can have for the risk of opportunism. In the long run, the invisible hand deletes actors whose behaviors are habitually opportunistic. Consequently, as markets move toward the state of competitive equilibrium, the risk of opportunism will be low, even for transactions supported by specific asset investments. Therefore, in many contexts the transaction cost rationale for internalization has been overstated.","author":[{"dropping-particle":"","family":"Hill","given":"Charles W. L.","non-dropping-particle":"","parse-names":false,"suffix":""}],"container-title":"Academy of Management Review","id":"ITEM-1","issue":"3","issued":{"date-parts":[["1990","7"]]},"page":"500-513","publisher":"Academy of Management","title":"Cooperation, Opportunism, and the Invisible Hand: Implications for Transaction Cost Theory","type":"article-journal","volume":"15"},"uris":["http://www.mendeley.com/documents/?uuid=b2ff78ba-e23e-3fac-986d-23adc46d7d97"]}],"mendeley":{"formattedCitation":"(Hill, 1990)","plainTextFormattedCitation":"(Hill, 1990)","previouslyFormattedCitation":"(Hill, 1990)"},"properties":{"noteIndex":0},"schema":"https://github.com/citation-style-language/schema/raw/master/csl-citation.json"}</w:instrText>
      </w:r>
      <w:r w:rsidRPr="001C45D7">
        <w:fldChar w:fldCharType="separate"/>
      </w:r>
      <w:r w:rsidRPr="001C45D7">
        <w:rPr>
          <w:noProof/>
        </w:rPr>
        <w:t>(Hill,</w:t>
      </w:r>
      <w:r w:rsidR="00FA6558" w:rsidRPr="001C45D7">
        <w:rPr>
          <w:noProof/>
        </w:rPr>
        <w:t xml:space="preserve"> </w:t>
      </w:r>
      <w:r w:rsidRPr="001C45D7">
        <w:rPr>
          <w:noProof/>
        </w:rPr>
        <w:t>1990)</w:t>
      </w:r>
      <w:r w:rsidRPr="001C45D7">
        <w:fldChar w:fldCharType="end"/>
      </w:r>
      <w:r w:rsidR="00537083" w:rsidRPr="001C45D7">
        <w:t>,</w:t>
      </w:r>
      <w:r w:rsidR="00FA6558" w:rsidRPr="001C45D7">
        <w:t xml:space="preserve"> </w:t>
      </w:r>
      <w:r w:rsidRPr="001C45D7">
        <w:t>as</w:t>
      </w:r>
      <w:r w:rsidR="00FA6558" w:rsidRPr="001C45D7">
        <w:t xml:space="preserve"> </w:t>
      </w:r>
      <w:r w:rsidRPr="001C45D7">
        <w:t>well</w:t>
      </w:r>
      <w:r w:rsidR="00FA6558" w:rsidRPr="001C45D7">
        <w:t xml:space="preserve"> </w:t>
      </w:r>
      <w:r w:rsidRPr="001C45D7">
        <w:t>as</w:t>
      </w:r>
      <w:r w:rsidR="00FA6558" w:rsidRPr="001C45D7">
        <w:t xml:space="preserve"> </w:t>
      </w:r>
      <w:r w:rsidRPr="001C45D7">
        <w:t>maintain</w:t>
      </w:r>
      <w:r w:rsidR="00537083" w:rsidRPr="001C45D7">
        <w:t>ing</w:t>
      </w:r>
      <w:r w:rsidR="00FA6558" w:rsidRPr="001C45D7">
        <w:t xml:space="preserve"> </w:t>
      </w:r>
      <w:r w:rsidR="00537083" w:rsidRPr="001C45D7">
        <w:t xml:space="preserve">a stable </w:t>
      </w:r>
      <w:r w:rsidRPr="001C45D7">
        <w:t>relationship</w:t>
      </w:r>
      <w:r w:rsidR="00FA6558" w:rsidRPr="001C45D7">
        <w:t xml:space="preserve"> </w:t>
      </w:r>
      <w:r w:rsidRPr="001C45D7">
        <w:fldChar w:fldCharType="begin" w:fldLock="1"/>
      </w:r>
      <w:r w:rsidRPr="001C45D7">
        <w:instrText>ADDIN CSL_CITATION {"citationItems":[{"id":"ITEM-1","itemData":{"DOI":"10.1016/j.jom.2014.09.009","ISSN":"02726963","abstract":"Although extant literature has shown that formal contracts and relational governance play a key role in interorganizational relationships, the nature of their interplay still remains equivocal. To better understand the relationships between contractual and relational governance, we conducted a qualitative review and meta-analysis of the existing literature. Meta-analytic results from 33,051 interorganizational relationships across 149 empirical studies have indicated that contractual governance is positively related to both sides of relational governance - trust and relational norms. Our results have also indicated that contracts, trust, and relational norms jointly improve satisfaction and relationship performance and jointly reduce opportunism. These findings provide strong evidence for the complementarity arguments of the contractual-relational governance relationships and their joint impacts on performance. We also found that the mutual relationships between contractual and relational governance are moderated by the institutional environments, the interorganizational relationship type and length, and the construct measurement of contracts. Overall, this study provides new insights on when contractual and relational governance complement or substitute each other. We discuss the implications of our study for theory and practice and propose a research agenda for future research on governance in interorganizational relationships.","author":[{"dropping-particle":"","family":"Cao","given":"Zhi","non-dropping-particle":"","parse-names":false,"suffix":""},{"dropping-particle":"","family":"Lumineau","given":"Fabrice","non-dropping-particle":"","parse-names":false,"suffix":""}],"container-title":"Journal of Operations Management","id":"ITEM-1","issued":{"date-parts":[["2015"]]},"page":"15-42","publisher":"Elsevier B.V.","title":"Revisiting the interplay between contractual and relational governance: A qualitative and meta-analytic investigation","type":"article-journal","volume":"33-34"},"uris":["http://www.mendeley.com/documents/?uuid=b80252ca-f41a-3c85-8e78-68501588758f"]}],"mendeley":{"formattedCitation":"(Cao and Lumineau, 2015)","plainTextFormattedCitation":"(Cao and Lumineau, 2015)","previouslyFormattedCitation":"(Cao and Lumineau, 2015)"},"properties":{"noteIndex":0},"schema":"https://github.com/citation-style-language/schema/raw/master/csl-citation.json"}</w:instrText>
      </w:r>
      <w:r w:rsidRPr="001C45D7">
        <w:fldChar w:fldCharType="separate"/>
      </w:r>
      <w:r w:rsidRPr="001C45D7">
        <w:rPr>
          <w:noProof/>
        </w:rPr>
        <w:t>(Cao</w:t>
      </w:r>
      <w:r w:rsidR="00FA6558" w:rsidRPr="001C45D7">
        <w:rPr>
          <w:noProof/>
        </w:rPr>
        <w:t xml:space="preserve"> </w:t>
      </w:r>
      <w:r w:rsidRPr="001C45D7">
        <w:rPr>
          <w:noProof/>
        </w:rPr>
        <w:t>and</w:t>
      </w:r>
      <w:r w:rsidR="00FA6558" w:rsidRPr="001C45D7">
        <w:rPr>
          <w:noProof/>
        </w:rPr>
        <w:t xml:space="preserve"> </w:t>
      </w:r>
      <w:r w:rsidRPr="001C45D7">
        <w:rPr>
          <w:noProof/>
        </w:rPr>
        <w:t>Lumineau,</w:t>
      </w:r>
      <w:r w:rsidR="00FA6558" w:rsidRPr="001C45D7">
        <w:rPr>
          <w:noProof/>
        </w:rPr>
        <w:t xml:space="preserve"> </w:t>
      </w:r>
      <w:r w:rsidRPr="001C45D7">
        <w:rPr>
          <w:noProof/>
        </w:rPr>
        <w:t>2015)</w:t>
      </w:r>
      <w:r w:rsidRPr="001C45D7">
        <w:fldChar w:fldCharType="end"/>
      </w:r>
      <w:r w:rsidRPr="001C45D7">
        <w:t>.</w:t>
      </w:r>
      <w:r w:rsidR="00FA6558" w:rsidRPr="001C45D7">
        <w:t xml:space="preserve"> </w:t>
      </w:r>
      <w:r w:rsidR="00952A5D" w:rsidRPr="001C45D7">
        <w:t>T</w:t>
      </w:r>
      <w:r w:rsidRPr="001C45D7">
        <w:t>rust</w:t>
      </w:r>
      <w:r w:rsidR="00FA6558" w:rsidRPr="001C45D7">
        <w:t xml:space="preserve"> </w:t>
      </w:r>
      <w:r w:rsidRPr="001C45D7">
        <w:t>in</w:t>
      </w:r>
      <w:r w:rsidR="00FA6558" w:rsidRPr="001C45D7">
        <w:t xml:space="preserve"> </w:t>
      </w:r>
      <w:r w:rsidRPr="001C45D7">
        <w:t>a</w:t>
      </w:r>
      <w:r w:rsidR="00FA6558" w:rsidRPr="001C45D7">
        <w:t xml:space="preserve"> </w:t>
      </w:r>
      <w:r w:rsidRPr="001C45D7">
        <w:t>buyer</w:t>
      </w:r>
      <w:r w:rsidR="00952A5D" w:rsidRPr="001C45D7">
        <w:t>–</w:t>
      </w:r>
      <w:r w:rsidRPr="001C45D7">
        <w:t>supplier</w:t>
      </w:r>
      <w:r w:rsidR="00FA6558" w:rsidRPr="001C45D7">
        <w:t xml:space="preserve"> </w:t>
      </w:r>
      <w:r w:rsidRPr="001C45D7">
        <w:t>relationship</w:t>
      </w:r>
      <w:r w:rsidR="00FA6558" w:rsidRPr="001C45D7">
        <w:t xml:space="preserve"> </w:t>
      </w:r>
      <w:r w:rsidR="00952A5D" w:rsidRPr="001C45D7">
        <w:t xml:space="preserve">also </w:t>
      </w:r>
      <w:r w:rsidRPr="001C45D7">
        <w:t>creates</w:t>
      </w:r>
      <w:r w:rsidR="00FA6558" w:rsidRPr="001C45D7">
        <w:t xml:space="preserve"> </w:t>
      </w:r>
      <w:r w:rsidRPr="001C45D7">
        <w:t>a</w:t>
      </w:r>
      <w:r w:rsidR="00FA6558" w:rsidRPr="001C45D7">
        <w:t xml:space="preserve"> </w:t>
      </w:r>
      <w:r w:rsidRPr="001C45D7">
        <w:t>sense</w:t>
      </w:r>
      <w:r w:rsidR="00FA6558" w:rsidRPr="001C45D7">
        <w:t xml:space="preserve"> </w:t>
      </w:r>
      <w:r w:rsidRPr="001C45D7">
        <w:t>of</w:t>
      </w:r>
      <w:r w:rsidR="00FA6558" w:rsidRPr="001C45D7">
        <w:t xml:space="preserve"> </w:t>
      </w:r>
      <w:r w:rsidRPr="001C45D7">
        <w:t>reciprocity</w:t>
      </w:r>
      <w:r w:rsidR="00FA6558" w:rsidRPr="001C45D7">
        <w:t xml:space="preserve"> </w:t>
      </w:r>
      <w:r w:rsidRPr="001C45D7">
        <w:fldChar w:fldCharType="begin" w:fldLock="1"/>
      </w:r>
      <w:r w:rsidR="006E4923" w:rsidRPr="001C45D7">
        <w:instrText>ADDIN CSL_CITATION {"citationItems":[{"id":"ITEM-1","itemData":{"DOI":"10.5465/257085","ISSN":"0001-4273","abstract":"Social sciences researchers commend the scientists in the field of natural science for their history of replication and reproduction of scientific research. Such advocates for replication warn that business research is frequently built on a foundation that is ever evolving and necessitates the replicating of theoretical work. Following this logic, this paper is a replication of the celebrated 1998 article by Tsai and Ghoshal, Social capital and value creation: The role of intrafirm networks. Replication was conducted utilizing Structural Equation Modeling. The data was collected by the original researchers through a survey administered by mail. The survey comprised questions rated using a Likert scale. Findings mostly support Tsai and Ghoshal's results with the exception of the relationships among constructs measuring trustworthiness, resource combination and sharing, and product innovation. Utilizing the before-mentioned constructs and the same analysis as Tsai and Ghoshal--structural equation modeling (SEM); the replicated model presented in this paper shows a non-recursive relationship versus Tsai and Ghoshal's recursive model. All in all, we contend that the replicated model presented in this paper agrees with current literature and is a more comprehensive model than the one offered by Tsai and Ghoshal.","author":[{"dropping-particle":"","family":"Tsai","given":"Wenpin","non-dropping-particle":"","parse-names":false,"suffix":""},{"dropping-particle":"","family":"Ghoshal","given":"Sumantra","non-dropping-particle":"","parse-names":false,"suffix":""}],"container-title":"Academy of management Journal","id":"ITEM-1","issue":"4","issued":{"date-parts":[["1998","8"]]},"page":"464-476","publisher":"Academy of Management","title":"Social capital and value creation: The role of intrafirm networks","type":"article-journal","volume":"41"},"uris":["http://www.mendeley.com/documents/?uuid=68f3a853-4d1d-47e0-9bf1-9ec072e13256"]},{"id":"ITEM-2","itemData":{"DOI":"10.1287/orsc.9.2.141","ISSN":"10477039","abstract":"A conceptual challenge in exploring the role of trust in interorganizational exchange is translating an inherently individual-level concept - trust - to the organizational-level outcome of performance. We define interpersonal and interorganizational trust as distinct constructs and draw on theories of interorganizational relations to derive a model of exchange performance. Specifically, we investigate the role of trust in interfirm exchange at two levels of analysis and assess its effects on negotiation costs, conflict, and ultimately performance. Propositions were tested with data from a sample of 107 buyer-supplier interfirm relationships in the electrical equipment manufacturing industry using a structural equation model. The results indicate that interpersonal and interorganizational trust are related but distinct constructs, and play different roles in affecting negotiation processes and exchange performance. Further, the hypotheses linking trust to performance receive some support, although the precise nature of the link is somewhat different than initially proposed. Overall, the results show that trust in interorganizational exchange relations clearly matters.","author":[{"dropping-particle":"","family":"Zaheer","given":"Akbar","non-dropping-particle":"","parse-names":false,"suffix":""},{"dropping-particle":"","family":"McEvily","given":"Bill","non-dropping-particle":"","parse-names":false,"suffix":""},{"dropping-particle":"","family":"Perrone","given":"Vincenzo","non-dropping-particle":"","parse-names":false,"suffix":""}],"container-title":"Organization Science","id":"ITEM-2","issue":"2","issued":{"date-parts":[["1998"]]},"page":"141-159","publisher":"INFORMS Inst.for Operations Res.and the Management Sciences","title":"Does Trust Matter? Exploring the Effects of Interorganizational and Interpersonal Trust on Performance","type":"article-journal","volume":"9"},"uris":["http://www.mendeley.com/documents/?uuid=0fa20734-8073-3b14-9e3c-76095b43e763"]}],"mendeley":{"formattedCitation":"(Tsai and Ghoshal, 1998; Zaheer &lt;i&gt;et al.&lt;/i&gt;, 1998)","manualFormatting":"(Tsai and Ghoshal, 1998a; Zaheer et al., 1998)","plainTextFormattedCitation":"(Tsai and Ghoshal, 1998; Zaheer et al., 1998)","previouslyFormattedCitation":"(Tsai and Ghoshal, 1998; Zaheer &lt;i&gt;et al.&lt;/i&gt;, 1998)"},"properties":{"noteIndex":0},"schema":"https://github.com/citation-style-language/schema/raw/master/csl-citation.json"}</w:instrText>
      </w:r>
      <w:r w:rsidRPr="001C45D7">
        <w:fldChar w:fldCharType="separate"/>
      </w:r>
      <w:r w:rsidR="00881C19" w:rsidRPr="001C45D7">
        <w:rPr>
          <w:noProof/>
        </w:rPr>
        <w:t>(Tsai</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Ghoshal,</w:t>
      </w:r>
      <w:r w:rsidR="00FA6558" w:rsidRPr="001C45D7">
        <w:rPr>
          <w:noProof/>
        </w:rPr>
        <w:t xml:space="preserve"> </w:t>
      </w:r>
      <w:r w:rsidR="00881C19" w:rsidRPr="001C45D7">
        <w:rPr>
          <w:noProof/>
        </w:rPr>
        <w:t>1998a;</w:t>
      </w:r>
      <w:r w:rsidR="00FA6558" w:rsidRPr="001C45D7">
        <w:rPr>
          <w:noProof/>
        </w:rPr>
        <w:t xml:space="preserve"> </w:t>
      </w:r>
      <w:r w:rsidR="00881C19" w:rsidRPr="001C45D7">
        <w:rPr>
          <w:noProof/>
        </w:rPr>
        <w:t>Zaheer</w:t>
      </w:r>
      <w:r w:rsidR="00537083" w:rsidRPr="001C45D7">
        <w:rPr>
          <w:noProof/>
        </w:rPr>
        <w:t xml:space="preserve"> </w:t>
      </w:r>
      <w:r w:rsidR="00537083" w:rsidRPr="001C45D7">
        <w:rPr>
          <w:i/>
          <w:noProof/>
        </w:rPr>
        <w:t>et al</w:t>
      </w:r>
      <w:r w:rsidR="00537083" w:rsidRPr="001C45D7">
        <w:rPr>
          <w:noProof/>
        </w:rPr>
        <w:t>.</w:t>
      </w:r>
      <w:r w:rsidR="00881C19" w:rsidRPr="001C45D7">
        <w:rPr>
          <w:noProof/>
        </w:rPr>
        <w:t>,</w:t>
      </w:r>
      <w:r w:rsidR="00FA6558" w:rsidRPr="001C45D7">
        <w:rPr>
          <w:noProof/>
        </w:rPr>
        <w:t xml:space="preserve"> </w:t>
      </w:r>
      <w:r w:rsidR="00881C19" w:rsidRPr="001C45D7">
        <w:rPr>
          <w:noProof/>
        </w:rPr>
        <w:t>1998)</w:t>
      </w:r>
      <w:r w:rsidRPr="001C45D7">
        <w:fldChar w:fldCharType="end"/>
      </w:r>
      <w:r w:rsidR="00FA6558" w:rsidRPr="001C45D7">
        <w:t xml:space="preserve"> </w:t>
      </w:r>
      <w:r w:rsidR="00B60590" w:rsidRPr="001C45D7">
        <w:t>between parties</w:t>
      </w:r>
      <w:r w:rsidRPr="001C45D7">
        <w:t>.</w:t>
      </w:r>
      <w:r w:rsidR="00FA6558" w:rsidRPr="001C45D7">
        <w:t xml:space="preserve"> </w:t>
      </w:r>
      <w:r w:rsidRPr="001C45D7">
        <w:t>This</w:t>
      </w:r>
      <w:r w:rsidR="00FA6558" w:rsidRPr="001C45D7">
        <w:t xml:space="preserve"> </w:t>
      </w:r>
      <w:r w:rsidRPr="001C45D7">
        <w:t>means</w:t>
      </w:r>
      <w:r w:rsidR="00537083" w:rsidRPr="001C45D7">
        <w:t xml:space="preserve"> that</w:t>
      </w:r>
      <w:r w:rsidR="00FA6558" w:rsidRPr="001C45D7">
        <w:t xml:space="preserve"> </w:t>
      </w:r>
      <w:r w:rsidRPr="001C45D7">
        <w:t>trust</w:t>
      </w:r>
      <w:r w:rsidR="00FA6558" w:rsidRPr="001C45D7">
        <w:t xml:space="preserve"> </w:t>
      </w:r>
      <w:r w:rsidRPr="001C45D7">
        <w:t>will</w:t>
      </w:r>
      <w:r w:rsidR="00FA6558" w:rsidRPr="001C45D7">
        <w:t xml:space="preserve"> </w:t>
      </w:r>
      <w:r w:rsidRPr="001C45D7">
        <w:t>significantly</w:t>
      </w:r>
      <w:r w:rsidR="00FA6558" w:rsidRPr="001C45D7">
        <w:t xml:space="preserve"> </w:t>
      </w:r>
      <w:r w:rsidRPr="001C45D7">
        <w:t>reduce</w:t>
      </w:r>
      <w:r w:rsidR="00FA6558" w:rsidRPr="001C45D7">
        <w:t xml:space="preserve"> </w:t>
      </w:r>
      <w:r w:rsidR="00B25BC3" w:rsidRPr="001C45D7">
        <w:t xml:space="preserve">the </w:t>
      </w:r>
      <w:r w:rsidRPr="001C45D7">
        <w:t>potential</w:t>
      </w:r>
      <w:r w:rsidR="00FA6558" w:rsidRPr="001C45D7">
        <w:t xml:space="preserve"> </w:t>
      </w:r>
      <w:r w:rsidRPr="001C45D7">
        <w:t>gains</w:t>
      </w:r>
      <w:r w:rsidR="00FA6558" w:rsidRPr="001C45D7">
        <w:t xml:space="preserve"> </w:t>
      </w:r>
      <w:r w:rsidR="00B25BC3" w:rsidRPr="001C45D7">
        <w:t xml:space="preserve">that </w:t>
      </w:r>
      <w:r w:rsidRPr="001C45D7">
        <w:t>a</w:t>
      </w:r>
      <w:r w:rsidR="00FA6558" w:rsidRPr="001C45D7">
        <w:t xml:space="preserve"> </w:t>
      </w:r>
      <w:r w:rsidRPr="001C45D7">
        <w:t>large</w:t>
      </w:r>
      <w:r w:rsidR="00FA6558" w:rsidRPr="001C45D7">
        <w:t xml:space="preserve"> </w:t>
      </w:r>
      <w:r w:rsidRPr="001C45D7">
        <w:t>and</w:t>
      </w:r>
      <w:r w:rsidR="00FA6558" w:rsidRPr="001C45D7">
        <w:t xml:space="preserve"> </w:t>
      </w:r>
      <w:r w:rsidRPr="001C45D7">
        <w:t>more</w:t>
      </w:r>
      <w:r w:rsidR="00FA6558" w:rsidRPr="001C45D7">
        <w:t xml:space="preserve"> </w:t>
      </w:r>
      <w:r w:rsidR="00B25BC3" w:rsidRPr="001C45D7">
        <w:t xml:space="preserve">digitally </w:t>
      </w:r>
      <w:r w:rsidRPr="001C45D7">
        <w:t>capable</w:t>
      </w:r>
      <w:r w:rsidR="00FA6558" w:rsidRPr="001C45D7">
        <w:t xml:space="preserve"> </w:t>
      </w:r>
      <w:r w:rsidRPr="001C45D7">
        <w:t>buyer’s</w:t>
      </w:r>
      <w:r w:rsidR="00FA6558" w:rsidRPr="001C45D7">
        <w:t xml:space="preserve"> </w:t>
      </w:r>
      <w:r w:rsidRPr="001C45D7">
        <w:t>opportunistic</w:t>
      </w:r>
      <w:r w:rsidR="00FA6558" w:rsidRPr="001C45D7">
        <w:t xml:space="preserve"> </w:t>
      </w:r>
      <w:r w:rsidRPr="001C45D7">
        <w:t>behaviour</w:t>
      </w:r>
      <w:r w:rsidR="00FA6558" w:rsidRPr="001C45D7">
        <w:t xml:space="preserve"> </w:t>
      </w:r>
      <w:r w:rsidR="00325663" w:rsidRPr="001C45D7">
        <w:t xml:space="preserve">may aim </w:t>
      </w:r>
      <w:r w:rsidR="002C58F5" w:rsidRPr="001C45D7">
        <w:t>to achieve</w:t>
      </w:r>
      <w:r w:rsidR="00325663" w:rsidRPr="001C45D7">
        <w:t xml:space="preserve"> </w:t>
      </w:r>
      <w:r w:rsidRPr="001C45D7">
        <w:t>by</w:t>
      </w:r>
      <w:r w:rsidR="00FA6558" w:rsidRPr="001C45D7">
        <w:t xml:space="preserve"> </w:t>
      </w:r>
      <w:r w:rsidRPr="001C45D7">
        <w:t>taking</w:t>
      </w:r>
      <w:r w:rsidR="00FA6558" w:rsidRPr="001C45D7">
        <w:t xml:space="preserve"> </w:t>
      </w:r>
      <w:r w:rsidRPr="001C45D7">
        <w:t>advantage</w:t>
      </w:r>
      <w:r w:rsidR="00FA6558" w:rsidRPr="001C45D7">
        <w:t xml:space="preserve"> </w:t>
      </w:r>
      <w:r w:rsidRPr="001C45D7">
        <w:t>of</w:t>
      </w:r>
      <w:r w:rsidR="00FA6558" w:rsidRPr="001C45D7">
        <w:t xml:space="preserve"> </w:t>
      </w:r>
      <w:r w:rsidRPr="001C45D7">
        <w:t>widened</w:t>
      </w:r>
      <w:r w:rsidR="00FA6558" w:rsidRPr="001C45D7">
        <w:t xml:space="preserve"> </w:t>
      </w:r>
      <w:r w:rsidRPr="001C45D7">
        <w:t>dependence.</w:t>
      </w:r>
      <w:r w:rsidR="00FA6558" w:rsidRPr="001C45D7">
        <w:t xml:space="preserve"> </w:t>
      </w:r>
    </w:p>
    <w:p w14:paraId="4E53B43B" w14:textId="136FE567" w:rsidR="00B754F9" w:rsidRPr="001C45D7" w:rsidRDefault="00B754F9" w:rsidP="00566B02">
      <w:pPr>
        <w:pStyle w:val="BodyText"/>
      </w:pPr>
      <w:r w:rsidRPr="001C45D7">
        <w:t>Another</w:t>
      </w:r>
      <w:r w:rsidR="00FA6558" w:rsidRPr="001C45D7">
        <w:t xml:space="preserve"> </w:t>
      </w:r>
      <w:r w:rsidRPr="001C45D7">
        <w:t>aspect</w:t>
      </w:r>
      <w:r w:rsidR="00FA6558" w:rsidRPr="001C45D7">
        <w:t xml:space="preserve"> </w:t>
      </w:r>
      <w:r w:rsidRPr="001C45D7">
        <w:t>of</w:t>
      </w:r>
      <w:r w:rsidR="00FA6558" w:rsidRPr="001C45D7">
        <w:t xml:space="preserve"> </w:t>
      </w:r>
      <w:r w:rsidRPr="001C45D7">
        <w:t>relational</w:t>
      </w:r>
      <w:r w:rsidR="00FA6558" w:rsidRPr="001C45D7">
        <w:t xml:space="preserve"> </w:t>
      </w:r>
      <w:r w:rsidRPr="001C45D7">
        <w:t>governance</w:t>
      </w:r>
      <w:r w:rsidR="002E64D7" w:rsidRPr="001C45D7">
        <w:t xml:space="preserve"> –</w:t>
      </w:r>
      <w:r w:rsidR="00FA6558" w:rsidRPr="001C45D7">
        <w:t xml:space="preserve"> </w:t>
      </w:r>
      <w:r w:rsidRPr="001C45D7">
        <w:t>the</w:t>
      </w:r>
      <w:r w:rsidR="00FA6558" w:rsidRPr="001C45D7">
        <w:t xml:space="preserve"> </w:t>
      </w:r>
      <w:r w:rsidRPr="001C45D7">
        <w:t>buyer’s</w:t>
      </w:r>
      <w:r w:rsidR="00FA6558" w:rsidRPr="001C45D7">
        <w:t xml:space="preserve"> </w:t>
      </w:r>
      <w:r w:rsidRPr="001C45D7">
        <w:t>commitment/obligation</w:t>
      </w:r>
      <w:r w:rsidR="002E64D7" w:rsidRPr="001C45D7">
        <w:t xml:space="preserve"> –</w:t>
      </w:r>
      <w:r w:rsidR="00FA6558" w:rsidRPr="001C45D7">
        <w:t xml:space="preserve"> </w:t>
      </w:r>
      <w:r w:rsidRPr="001C45D7">
        <w:t>can</w:t>
      </w:r>
      <w:r w:rsidR="00FA6558" w:rsidRPr="001C45D7">
        <w:t xml:space="preserve"> </w:t>
      </w:r>
      <w:r w:rsidRPr="001C45D7">
        <w:t>encourage</w:t>
      </w:r>
      <w:r w:rsidR="00FA6558" w:rsidRPr="001C45D7">
        <w:t xml:space="preserve"> </w:t>
      </w:r>
      <w:r w:rsidR="005C68C3" w:rsidRPr="001C45D7">
        <w:t xml:space="preserve">the buyer </w:t>
      </w:r>
      <w:r w:rsidRPr="001C45D7">
        <w:t>to</w:t>
      </w:r>
      <w:r w:rsidR="00FA6558" w:rsidRPr="001C45D7">
        <w:t xml:space="preserve"> </w:t>
      </w:r>
      <w:r w:rsidRPr="001C45D7">
        <w:t>abide</w:t>
      </w:r>
      <w:r w:rsidR="00FA6558" w:rsidRPr="001C45D7">
        <w:t xml:space="preserve"> </w:t>
      </w:r>
      <w:r w:rsidRPr="001C45D7">
        <w:t>by</w:t>
      </w:r>
      <w:r w:rsidR="00FA6558" w:rsidRPr="001C45D7">
        <w:t xml:space="preserve"> </w:t>
      </w:r>
      <w:r w:rsidRPr="001C45D7">
        <w:t>the</w:t>
      </w:r>
      <w:r w:rsidR="00FA6558" w:rsidRPr="001C45D7">
        <w:t xml:space="preserve"> </w:t>
      </w:r>
      <w:r w:rsidRPr="001C45D7">
        <w:t>agreed</w:t>
      </w:r>
      <w:r w:rsidR="00FA6558" w:rsidRPr="001C45D7">
        <w:t xml:space="preserve"> </w:t>
      </w:r>
      <w:r w:rsidRPr="001C45D7">
        <w:t>norms</w:t>
      </w:r>
      <w:r w:rsidR="00FA6558" w:rsidRPr="001C45D7">
        <w:t xml:space="preserve"> </w:t>
      </w:r>
      <w:r w:rsidRPr="001C45D7">
        <w:t>of</w:t>
      </w:r>
      <w:r w:rsidR="00FA6558" w:rsidRPr="001C45D7">
        <w:t xml:space="preserve"> </w:t>
      </w:r>
      <w:r w:rsidRPr="001C45D7">
        <w:t>interaction</w:t>
      </w:r>
      <w:r w:rsidR="001136A6" w:rsidRPr="001C45D7">
        <w:t>,</w:t>
      </w:r>
      <w:r w:rsidR="00FA6558" w:rsidRPr="001C45D7">
        <w:t xml:space="preserve"> </w:t>
      </w:r>
      <w:r w:rsidRPr="001C45D7">
        <w:t>rather</w:t>
      </w:r>
      <w:r w:rsidR="00FA6558" w:rsidRPr="001C45D7">
        <w:t xml:space="preserve"> </w:t>
      </w:r>
      <w:r w:rsidRPr="001C45D7">
        <w:t>than</w:t>
      </w:r>
      <w:r w:rsidR="00FA6558" w:rsidRPr="001C45D7">
        <w:t xml:space="preserve"> </w:t>
      </w:r>
      <w:r w:rsidRPr="001C45D7">
        <w:t>behaving</w:t>
      </w:r>
      <w:r w:rsidR="00FA6558" w:rsidRPr="001C45D7">
        <w:t xml:space="preserve"> </w:t>
      </w:r>
      <w:r w:rsidRPr="001C45D7">
        <w:t>opportunistically</w:t>
      </w:r>
      <w:r w:rsidR="00FA6558" w:rsidRPr="001C45D7">
        <w:t xml:space="preserve"> </w:t>
      </w:r>
      <w:r w:rsidRPr="001C45D7">
        <w:t>by</w:t>
      </w:r>
      <w:r w:rsidR="00FA6558" w:rsidRPr="001C45D7">
        <w:t xml:space="preserve"> </w:t>
      </w:r>
      <w:r w:rsidRPr="001C45D7">
        <w:t>taking</w:t>
      </w:r>
      <w:r w:rsidR="00FA6558" w:rsidRPr="001C45D7">
        <w:t xml:space="preserve"> </w:t>
      </w:r>
      <w:r w:rsidRPr="001C45D7">
        <w:t>advantage</w:t>
      </w:r>
      <w:r w:rsidR="00FA6558" w:rsidRPr="001C45D7">
        <w:t xml:space="preserve"> </w:t>
      </w:r>
      <w:r w:rsidRPr="001C45D7">
        <w:t>of</w:t>
      </w:r>
      <w:r w:rsidR="00FA6558" w:rsidRPr="001C45D7">
        <w:t xml:space="preserve"> </w:t>
      </w:r>
      <w:r w:rsidRPr="001C45D7">
        <w:t>the</w:t>
      </w:r>
      <w:r w:rsidR="00FA6558" w:rsidRPr="001C45D7">
        <w:t xml:space="preserve"> </w:t>
      </w:r>
      <w:r w:rsidRPr="001C45D7">
        <w:t>widened</w:t>
      </w:r>
      <w:r w:rsidR="00FA6558" w:rsidRPr="001C45D7">
        <w:t xml:space="preserve"> </w:t>
      </w:r>
      <w:r w:rsidRPr="001C45D7">
        <w:t>dependence</w:t>
      </w:r>
      <w:r w:rsidR="00FA6558" w:rsidRPr="001C45D7">
        <w:t xml:space="preserve"> </w:t>
      </w:r>
      <w:r w:rsidRPr="001C45D7">
        <w:t>gap</w:t>
      </w:r>
      <w:r w:rsidR="00FA6558" w:rsidRPr="001C45D7">
        <w:t xml:space="preserve"> </w:t>
      </w:r>
      <w:r w:rsidRPr="001C45D7">
        <w:fldChar w:fldCharType="begin" w:fldLock="1"/>
      </w:r>
      <w:r w:rsidR="004A2B48" w:rsidRPr="001C45D7">
        <w:instrText>ADDIN CSL_CITATION {"citationItems":[{"id":"ITEM-1","itemData":{"DOI":"10.1177/000169939203500101","ISSN":"15023869","abstract":"Institutional economics has moved from a position, earlier in the twentieth century, of drawing eclectically on several other disciplines, to a stance of building its arguments almost entirely out of neoclassical materials This paper argues that such a stance cannot provide a persuasive account of economic institutions, and suggests a broader toundation based on classical sociological arguments about the embeddedness of economic goals and activities in socially oriented goals and structures Emphasis is placed on how economic activity comes to be coordinated by groups of people rather than carried out by isolated individuals Firms in developing countries, busmess groups, and the origins of the electrical utility industry in the United States are posed as cases of the ‘social construction of economic institutions’ It is argued that, although proper analysis of such cases involves a high level of contingency. these contingencies can be taken into account in a systematic theoretical argument, and that historicist pitfalls can be avoided Such an argument is posed as the distinctive agenda for a new economic sociology. © 1992, Sage Publications. All rights reserved.","author":[{"dropping-particle":"","family":"Granovetter","given":"Mark","non-dropping-particle":"","parse-names":false,"suffix":""}],"container-title":"Acta Sociologica","id":"ITEM-1","issue":"1","issued":{"date-parts":[["1992"]]},"page":"3-11","title":"Economic Institutions as Social Constructions: A Framework for Analysis","type":"article-journal","volume":"35"},"uris":["http://www.mendeley.com/documents/?uuid=11353a4d-a778-393d-8aa8-83c9c8f1f046"]},{"id":"ITEM-2","itemData":{"DOI":"10.1016/S0148-2963(02)00501-5","ISSN":"01482963","abstract":"Turbulent competition and sweeping regulatory changes in high-technology industries fuel many firms' desire to develop horizontal strategic alliances (HSAs) for offensive and defensive reasons. To a greater extent than in vertical alliances, collaborating firms in horizontal alliances are direct or indirect competitors. The coordination difficulties and risks inherent in alliances are magnified in horizontal alliances, posing a greater challenge for partners. Conclusions from our survey of 106 firms highlight important relationships among trust, commitment, termination penalties, technological uncertainty and alliance effectiveness. Trust and commitment are the building blocks of alliance effectiveness, while trust and termination penalties may be effective tools to motivate commitment and enhance alliance effectiveness. © 2002 Elsevier Inc. All rights reserved.","author":[{"dropping-particle":"","family":"Perry","given":"Monica L.","non-dropping-particle":"","parse-names":false,"suffix":""},{"dropping-particle":"","family":"Sengupta","given":"Sanjit","non-dropping-particle":"","parse-names":false,"suffix":""},{"dropping-particle":"","family":"Krapfel","given":"Robert","non-dropping-particle":"","parse-names":false,"suffix":""}],"container-title":"Journal of Business Research","id":"ITEM-2","issue":"9","issued":{"date-parts":[["2004"]]},"page":"951-956","title":"Effectiveness of horizontal strategic alliances in technologically uncertain environments: Are trust and commitment enough?","type":"article-journal","volume":"57"},"uris":["http://www.mendeley.com/documents/?uuid=0f695fe7-e4d4-3074-9c9e-d36178448cf5"]}],"mendeley":{"formattedCitation":"(Granovetter, 1992; Perry &lt;i&gt;et al.&lt;/i&gt;, 2004)","manualFormatting":"(Granovetter, 1992; Perry et al., 2004)","plainTextFormattedCitation":"(Granovetter, 1992; Perry et al., 2004)","previouslyFormattedCitation":"(Granovetter, 1992; Perry &lt;i&gt;et al.&lt;/i&gt;, 2004)"},"properties":{"noteIndex":0},"schema":"https://github.com/citation-style-language/schema/raw/master/csl-citation.json"}</w:instrText>
      </w:r>
      <w:r w:rsidRPr="001C45D7">
        <w:fldChar w:fldCharType="separate"/>
      </w:r>
      <w:r w:rsidR="00881C19" w:rsidRPr="001C45D7">
        <w:rPr>
          <w:noProof/>
        </w:rPr>
        <w:t>(Granovetter,</w:t>
      </w:r>
      <w:r w:rsidR="00FA6558" w:rsidRPr="001C45D7">
        <w:rPr>
          <w:noProof/>
        </w:rPr>
        <w:t xml:space="preserve"> </w:t>
      </w:r>
      <w:r w:rsidR="00881C19" w:rsidRPr="001C45D7">
        <w:rPr>
          <w:noProof/>
        </w:rPr>
        <w:t>1992;</w:t>
      </w:r>
      <w:r w:rsidR="00FA6558" w:rsidRPr="001C45D7">
        <w:rPr>
          <w:noProof/>
        </w:rPr>
        <w:t xml:space="preserve"> </w:t>
      </w:r>
      <w:r w:rsidR="00881C19" w:rsidRPr="001C45D7">
        <w:rPr>
          <w:noProof/>
        </w:rPr>
        <w:t>Perry</w:t>
      </w:r>
      <w:r w:rsidR="00537083" w:rsidRPr="001C45D7">
        <w:rPr>
          <w:noProof/>
        </w:rPr>
        <w:t xml:space="preserve"> </w:t>
      </w:r>
      <w:r w:rsidR="00537083" w:rsidRPr="001C45D7">
        <w:rPr>
          <w:i/>
          <w:noProof/>
        </w:rPr>
        <w:t>et al</w:t>
      </w:r>
      <w:r w:rsidR="00537083" w:rsidRPr="001C45D7">
        <w:rPr>
          <w:noProof/>
        </w:rPr>
        <w:t>.</w:t>
      </w:r>
      <w:r w:rsidR="00881C19" w:rsidRPr="001C45D7">
        <w:rPr>
          <w:noProof/>
        </w:rPr>
        <w:t>,</w:t>
      </w:r>
      <w:r w:rsidR="00FA6558" w:rsidRPr="001C45D7">
        <w:rPr>
          <w:noProof/>
        </w:rPr>
        <w:t xml:space="preserve"> </w:t>
      </w:r>
      <w:r w:rsidR="00881C19" w:rsidRPr="001C45D7">
        <w:rPr>
          <w:noProof/>
        </w:rPr>
        <w:t>2004)</w:t>
      </w:r>
      <w:r w:rsidRPr="001C45D7">
        <w:fldChar w:fldCharType="end"/>
      </w:r>
      <w:r w:rsidRPr="001C45D7">
        <w:t>.</w:t>
      </w:r>
      <w:r w:rsidR="00FA6558" w:rsidRPr="001C45D7">
        <w:t xml:space="preserve"> </w:t>
      </w:r>
      <w:r w:rsidRPr="001C45D7">
        <w:t>Moreover,</w:t>
      </w:r>
      <w:r w:rsidR="00FA6558" w:rsidRPr="001C45D7">
        <w:t xml:space="preserve"> </w:t>
      </w:r>
      <w:r w:rsidRPr="001C45D7">
        <w:t>relational</w:t>
      </w:r>
      <w:r w:rsidR="00FA6558" w:rsidRPr="001C45D7">
        <w:t xml:space="preserve"> </w:t>
      </w:r>
      <w:r w:rsidRPr="001C45D7">
        <w:t>governance</w:t>
      </w:r>
      <w:r w:rsidR="00FA6558" w:rsidRPr="001C45D7">
        <w:t xml:space="preserve"> </w:t>
      </w:r>
      <w:r w:rsidRPr="001C45D7">
        <w:t>extends</w:t>
      </w:r>
      <w:r w:rsidR="00FA6558" w:rsidRPr="001C45D7">
        <w:t xml:space="preserve"> </w:t>
      </w:r>
      <w:r w:rsidRPr="001C45D7">
        <w:t>the</w:t>
      </w:r>
      <w:r w:rsidR="00FA6558" w:rsidRPr="001C45D7">
        <w:t xml:space="preserve"> </w:t>
      </w:r>
      <w:r w:rsidRPr="001C45D7">
        <w:t>buyer’s</w:t>
      </w:r>
      <w:r w:rsidR="00FA6558" w:rsidRPr="001C45D7">
        <w:t xml:space="preserve"> </w:t>
      </w:r>
      <w:r w:rsidRPr="001C45D7">
        <w:t>expectation</w:t>
      </w:r>
      <w:r w:rsidR="00FA6558" w:rsidRPr="001C45D7">
        <w:t xml:space="preserve"> </w:t>
      </w:r>
      <w:r w:rsidRPr="001C45D7">
        <w:t>o</w:t>
      </w:r>
      <w:r w:rsidR="00636C54" w:rsidRPr="001C45D7">
        <w:t>f</w:t>
      </w:r>
      <w:r w:rsidR="00FA6558" w:rsidRPr="001C45D7">
        <w:t xml:space="preserve"> </w:t>
      </w:r>
      <w:r w:rsidRPr="001C45D7">
        <w:t>the</w:t>
      </w:r>
      <w:r w:rsidR="00FA6558" w:rsidRPr="001C45D7">
        <w:t xml:space="preserve"> </w:t>
      </w:r>
      <w:r w:rsidRPr="001C45D7">
        <w:t>continuity</w:t>
      </w:r>
      <w:r w:rsidR="00FA6558" w:rsidRPr="001C45D7">
        <w:t xml:space="preserve"> </w:t>
      </w:r>
      <w:r w:rsidRPr="001C45D7">
        <w:t>of</w:t>
      </w:r>
      <w:r w:rsidR="00FA6558" w:rsidRPr="001C45D7">
        <w:t xml:space="preserve"> </w:t>
      </w:r>
      <w:r w:rsidRPr="001C45D7">
        <w:t>its</w:t>
      </w:r>
      <w:r w:rsidR="00FA6558" w:rsidRPr="001C45D7">
        <w:t xml:space="preserve"> </w:t>
      </w:r>
      <w:r w:rsidRPr="001C45D7">
        <w:t>relationship</w:t>
      </w:r>
      <w:r w:rsidR="00FA6558" w:rsidRPr="001C45D7">
        <w:t xml:space="preserve"> </w:t>
      </w:r>
      <w:r w:rsidRPr="001C45D7">
        <w:t>with</w:t>
      </w:r>
      <w:r w:rsidR="00FA6558" w:rsidRPr="001C45D7">
        <w:t xml:space="preserve"> </w:t>
      </w:r>
      <w:r w:rsidRPr="001C45D7">
        <w:t>the</w:t>
      </w:r>
      <w:r w:rsidR="00FA6558" w:rsidRPr="001C45D7">
        <w:t xml:space="preserve"> </w:t>
      </w:r>
      <w:r w:rsidRPr="001C45D7">
        <w:t>SME</w:t>
      </w:r>
      <w:r w:rsidR="00FA6558" w:rsidRPr="001C45D7">
        <w:t xml:space="preserve"> </w:t>
      </w:r>
      <w:r w:rsidRPr="001C45D7">
        <w:t>supplier</w:t>
      </w:r>
      <w:r w:rsidR="00FA6558" w:rsidRPr="001C45D7">
        <w:t xml:space="preserve"> </w:t>
      </w:r>
      <w:r w:rsidRPr="001C45D7">
        <w:t>in</w:t>
      </w:r>
      <w:r w:rsidR="00FA6558" w:rsidRPr="001C45D7">
        <w:t xml:space="preserve"> </w:t>
      </w:r>
      <w:r w:rsidRPr="001C45D7">
        <w:t>the</w:t>
      </w:r>
      <w:r w:rsidR="00FA6558" w:rsidRPr="001C45D7">
        <w:t xml:space="preserve"> </w:t>
      </w:r>
      <w:r w:rsidRPr="001C45D7">
        <w:t>future</w:t>
      </w:r>
      <w:r w:rsidR="00FA6558" w:rsidRPr="001C45D7">
        <w:t xml:space="preserve"> </w:t>
      </w:r>
      <w:r w:rsidRPr="001C45D7">
        <w:fldChar w:fldCharType="begin" w:fldLock="1"/>
      </w:r>
      <w:r w:rsidR="00433778" w:rsidRPr="001C45D7">
        <w:instrText>ADDIN CSL_CITATION {"citationItems":[{"id":"ITEM-1","itemData":{"DOI":"10.5465/256374","ISSN":"0001-4273","abstract":"This research examined cooperation between 136 industrial buyers and suppliers. We identified four domains of potential cooperation: flexi- bility, information exchange, shared problem solving, and restraint in the use of power. Using an iterated games framework, we predicted that (1) anticipated open-ended future interaction, or extendedness, and (2) frequency of contact will increase the chances that a pattern of coop- erative hehavior will occur, hut (3) performance ambiguity will de- crease such chances. Regression analysis results indicated that extend- edness and frequency are associated with joint cooperation. Neither simple structural theories of cooperation nor interactive models stress- ing commitment would fully predict these results, which support the potential value of interactive perspectives on interorganizational coop- eration in particular and on interorganizational relationships in gen- eral. Research","author":[{"dropping-particle":"","family":"Heide","given":"Jan B.","non-dropping-particle":"","parse-names":false,"suffix":""},{"dropping-particle":"","family":"Miner","given":"Anne S.","non-dropping-particle":"","parse-names":false,"suffix":""}],"container-title":"Academy of Management Journal","id":"ITEM-1","issue":"2","issued":{"date-parts":[["1992","6"]]},"page":"265-291","publisher":"Academy of Management","title":"The Shadow Of The Future: Effects Of Anticipated Interaction And Frequency Of Contact On Buyer-Seller Cooperation","type":"article-journal","volume":"35"},"uris":["http://www.mendeley.com/documents/?uuid=909db16a-9374-3868-9fd9-72413733fb4e"]},{"id":"ITEM-2","itemData":{"DOI":"10.1177/002224299405800106","ISSN":"0022-2429","abstract":"Relationship management rapidly is becoming a central research paradigm in the marketing channels literature. A growing body of conceptual and empirical literature addresses different aspects of in...","author":[{"dropping-particle":"","family":"Heide","given":"Jan B.","non-dropping-particle":"","parse-names":false,"suffix":""}],"container-title":"Journal of Marketing","id":"ITEM-2","issue":"1","issued":{"date-parts":[["1994","1"]]},"page":"71-85","publisher":"SAGE Publications","title":"Interorganizational Governance in Marketing Channels","type":"article-journal","volume":"58"},"uris":["http://www.mendeley.com/documents/?uuid=9803c237-a8b2-3842-b719-91ccb74dc104"]},{"id":"ITEM-3","itemData":{"DOI":"10.5465/256885","ISSN":"0001-4273","abstract":"Resumen El concepto de Fatiga por Compasión (Compassion Fatigue) o Desgaste por Empatía es común en la litera-tura científica de Trabajo Social internacional, aunque sorprendentemente inexistente en la literatura espa-ñola. Puede definirse la fatiga por compasión como estado de agotamiento y disfunción biológica, psicoló-gica y relacional, resultado de la exposición inmediata o prolongada al estrés por compasión y como el resultado final del proceso progresivo y acumulativo consecuen-cia del contacto prolongado, continuado e intenso con clientes o pacientes, el uso de uno mismo y la expo-sición al estrés. El mantenimiento del desgaste puede derivar en cuadros severos típicos de traumatización secundaria o en el inicio del Síndrome del Profesional Quemado (Burnout). En todo caso, si un profesional del trabajo social experimenta dicho fenómeno, su capacidad para empatizar, conectar y ayudar a sus clientes se ve gra-vemente disminuida. Paradójicamente, la fatiga por compasión es por una parte, necesaria e inevitable si se desarrolla una buena práctica; por otra, peligrosa e inhabilitante si no se compensa mediante otros mecanismos. La fatiga por compasión no se puede prevenirse pero puede y debe paliarse de forma consciente. Incrementar la capacidad de reconocer y minimizar el impacto del desgaste es una responsabilidad del pro-fesional y de la organización en la cual trabaja. Por último, el trabajo plantea el qué hacer ante este fenó-meno y de qué manera cuidarse personal, profesional e institucionalmente. Palabras clave: Trabajo Social; Fatiga por compasión; desgaste profesional; relación de ayuda; autocuidado. Este trabajo se publica bajo una licencia de Creative Commons Reconocimiento-NoComercial 4.0 Internacional.. Afrontar el desgaste: cuidado y mecanismos paliativos de la fatiga por compasión [Facing the wear: care and palliative mechanisms of compassion fatigue]. Alternativas. Cuadernos de Trabajo Social, 24, 119-136. https://doi.","author":[{"dropping-particle":"","family":"Nooteboom","given":"Bart","non-dropping-particle":"","parse-names":false,"suffix":""},{"dropping-particle":"","family":"Berger","given":"Hans","non-dropping-particle":"","parse-names":false,"suffix":""},{"dropping-particle":"","family":"Noorderhaven","given":"Niels G.","non-dropping-particle":"","parse-names":false,"suffix":""}],"container-title":"Academy of Management Journal","id":"ITEM-3","issue":"2","issued":{"date-parts":[["1997","4"]]},"page":"308-338","publisher":"Academy of Management","title":"Effects of Trust and Governance on Relational Risk","type":"article-journal","volume":"40"},"uris":["http://www.mendeley.com/documents/?uuid=b6d9a03c-e468-3a00-a551-ecdc53c4f647"]},{"id":"ITEM-4","itemData":{"author":[{"dropping-particle":"","family":"Artz","given":"Kendall W","non-dropping-particle":"","parse-names":false,"suffix":""},{"dropping-particle":"","family":"Brush","given":"Thomas H","non-dropping-particle":"","parse-names":false,"suffix":""}],"container-title":"Journal of Economic Behavior &amp; Organization","id":"ITEM-4","issue":"4","issued":{"date-parts":[["2000"]]},"page":"337-362","title":"Asset specificity, uncertainty and relational norms: an examination of coordination costs in collaborative strategic alliances","type":"article-journal","volume":"41"},"uris":["http://www.mendeley.com/documents/?uuid=96474597-8154-467e-84db-dd7566d76f27"]},{"id":"ITEM-5","itemData":{"DOI":"10.5465/AMJ.2007.25526452","ISSN":"00014273","abstract":"This study extends research on strategic alliances by exploring independent and combined effects of distributive, procedural, and interactional justice in these alliances. An integrated framework links cooperation payoffs with organizational justice as perceived by boundary-spanning alliance executives, through whom justice perceptions become parent actions. Analysis of 127 alliances demonstrates that when goal differences between parties are high, the joint effect on alliance performance of procedural and distributive justice is significantly positive. When interactional justice is high, procedural justice exerts a stronger performance effect. This perspective enriches alliance research, especially regarding procedural formalization, incentive structure, and interparty attachment. Copyright of the Academy of Management, all rights reserved.","author":[{"dropping-particle":"","family":"Luo","given":"Yadong","non-dropping-particle":"","parse-names":false,"suffix":""}],"container-title":"Academy of Management Journal","id":"ITEM-5","issue":"3","issued":{"date-parts":[["2007"]]},"page":"644-664","publisher":"Academy of Management","title":"The independent and interactive roles of procedural, distributive, and interactional justice in strategic alliances","type":"article-journal","volume":"50"},"uris":["http://www.mendeley.com/documents/?uuid=b7611b1b-6a49-3e53-955a-b60d7a896c72"]}],"mendeley":{"formattedCitation":"(Artz and Brush, 2000; Heide, 1994; Heide and Miner, 1992; Luo, 2007; Nooteboom &lt;i&gt;et al.&lt;/i&gt;, 1997)","manualFormatting":"(Heide, 1994; Nooteboom et al., 1997; Artz and Brush, 2000; Luo, 2007)","plainTextFormattedCitation":"(Artz and Brush, 2000; Heide, 1994; Heide and Miner, 1992; Luo, 2007; Nooteboom et al., 1997)","previouslyFormattedCitation":"(Artz and Brush, 2000; Heide, 1994; Heide and Miner, 1992; Luo, 2007; Nooteboom &lt;i&gt;et al.&lt;/i&gt;, 1997)"},"properties":{"noteIndex":0},"schema":"https://github.com/citation-style-language/schema/raw/master/csl-citation.json"}</w:instrText>
      </w:r>
      <w:r w:rsidRPr="001C45D7">
        <w:fldChar w:fldCharType="separate"/>
      </w:r>
      <w:r w:rsidR="00881C19" w:rsidRPr="001C45D7">
        <w:rPr>
          <w:noProof/>
        </w:rPr>
        <w:t>(Heide,</w:t>
      </w:r>
      <w:r w:rsidR="00FA6558" w:rsidRPr="001C45D7">
        <w:rPr>
          <w:noProof/>
        </w:rPr>
        <w:t xml:space="preserve"> </w:t>
      </w:r>
      <w:r w:rsidR="00881C19" w:rsidRPr="001C45D7">
        <w:rPr>
          <w:noProof/>
        </w:rPr>
        <w:t>1994;</w:t>
      </w:r>
      <w:r w:rsidR="00FA6558" w:rsidRPr="001C45D7">
        <w:rPr>
          <w:noProof/>
        </w:rPr>
        <w:t xml:space="preserve"> </w:t>
      </w:r>
      <w:r w:rsidR="00881C19" w:rsidRPr="001C45D7">
        <w:rPr>
          <w:noProof/>
        </w:rPr>
        <w:t>Nooteboom</w:t>
      </w:r>
      <w:r w:rsidR="00537083" w:rsidRPr="001C45D7">
        <w:rPr>
          <w:noProof/>
        </w:rPr>
        <w:t xml:space="preserve"> </w:t>
      </w:r>
      <w:r w:rsidR="00537083" w:rsidRPr="001C45D7">
        <w:rPr>
          <w:i/>
          <w:noProof/>
        </w:rPr>
        <w:t>et al</w:t>
      </w:r>
      <w:r w:rsidR="00537083" w:rsidRPr="001C45D7">
        <w:rPr>
          <w:noProof/>
        </w:rPr>
        <w:t>.</w:t>
      </w:r>
      <w:r w:rsidR="00881C19" w:rsidRPr="001C45D7">
        <w:rPr>
          <w:noProof/>
        </w:rPr>
        <w:t>,</w:t>
      </w:r>
      <w:r w:rsidR="00FA6558" w:rsidRPr="001C45D7">
        <w:rPr>
          <w:noProof/>
        </w:rPr>
        <w:t xml:space="preserve"> </w:t>
      </w:r>
      <w:r w:rsidR="00881C19" w:rsidRPr="001C45D7">
        <w:rPr>
          <w:noProof/>
        </w:rPr>
        <w:t>1997;</w:t>
      </w:r>
      <w:r w:rsidR="00FA6558" w:rsidRPr="001C45D7">
        <w:rPr>
          <w:noProof/>
        </w:rPr>
        <w:t xml:space="preserve"> </w:t>
      </w:r>
      <w:r w:rsidR="00881C19" w:rsidRPr="001C45D7">
        <w:rPr>
          <w:noProof/>
        </w:rPr>
        <w:t>Artz</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Brush,</w:t>
      </w:r>
      <w:r w:rsidR="00FA6558" w:rsidRPr="001C45D7">
        <w:rPr>
          <w:noProof/>
        </w:rPr>
        <w:t xml:space="preserve"> </w:t>
      </w:r>
      <w:r w:rsidR="00881C19" w:rsidRPr="001C45D7">
        <w:rPr>
          <w:noProof/>
        </w:rPr>
        <w:t>2000;</w:t>
      </w:r>
      <w:r w:rsidR="00FA6558" w:rsidRPr="001C45D7">
        <w:rPr>
          <w:noProof/>
        </w:rPr>
        <w:t xml:space="preserve"> </w:t>
      </w:r>
      <w:r w:rsidR="00881C19" w:rsidRPr="001C45D7">
        <w:rPr>
          <w:noProof/>
        </w:rPr>
        <w:t>Luo,</w:t>
      </w:r>
      <w:r w:rsidR="00FA6558" w:rsidRPr="001C45D7">
        <w:rPr>
          <w:noProof/>
        </w:rPr>
        <w:t xml:space="preserve"> </w:t>
      </w:r>
      <w:r w:rsidR="00881C19" w:rsidRPr="001C45D7">
        <w:rPr>
          <w:noProof/>
        </w:rPr>
        <w:t>2007)</w:t>
      </w:r>
      <w:r w:rsidRPr="001C45D7">
        <w:fldChar w:fldCharType="end"/>
      </w:r>
      <w:r w:rsidRPr="001C45D7">
        <w:t>.</w:t>
      </w:r>
      <w:r w:rsidR="00FA6558" w:rsidRPr="001C45D7">
        <w:t xml:space="preserve"> </w:t>
      </w:r>
      <w:r w:rsidR="00583CB2" w:rsidRPr="001C45D7">
        <w:t>Furthermore</w:t>
      </w:r>
      <w:r w:rsidR="00537083" w:rsidRPr="001C45D7">
        <w:t xml:space="preserve">, </w:t>
      </w:r>
      <w:r w:rsidRPr="001C45D7">
        <w:t>if</w:t>
      </w:r>
      <w:r w:rsidR="00FA6558" w:rsidRPr="001C45D7">
        <w:t xml:space="preserve"> </w:t>
      </w:r>
      <w:r w:rsidRPr="001C45D7">
        <w:t>the</w:t>
      </w:r>
      <w:r w:rsidR="00FA6558" w:rsidRPr="001C45D7">
        <w:t xml:space="preserve"> </w:t>
      </w:r>
      <w:r w:rsidRPr="001C45D7">
        <w:t>buyer</w:t>
      </w:r>
      <w:r w:rsidR="00FA6558" w:rsidRPr="001C45D7">
        <w:t xml:space="preserve"> </w:t>
      </w:r>
      <w:r w:rsidRPr="001C45D7">
        <w:t>expects</w:t>
      </w:r>
      <w:r w:rsidR="00FA6558" w:rsidRPr="001C45D7">
        <w:t xml:space="preserve"> </w:t>
      </w:r>
      <w:r w:rsidRPr="001C45D7">
        <w:t>that</w:t>
      </w:r>
      <w:r w:rsidR="00FA6558" w:rsidRPr="001C45D7">
        <w:t xml:space="preserve"> </w:t>
      </w:r>
      <w:r w:rsidRPr="001C45D7">
        <w:t>the</w:t>
      </w:r>
      <w:r w:rsidR="00FA6558" w:rsidRPr="001C45D7">
        <w:t xml:space="preserve"> </w:t>
      </w:r>
      <w:r w:rsidRPr="001C45D7">
        <w:t>relationship</w:t>
      </w:r>
      <w:r w:rsidR="00FA6558" w:rsidRPr="001C45D7">
        <w:t xml:space="preserve"> </w:t>
      </w:r>
      <w:r w:rsidRPr="001C45D7">
        <w:t>will</w:t>
      </w:r>
      <w:r w:rsidR="00FA6558" w:rsidRPr="001C45D7">
        <w:t xml:space="preserve"> </w:t>
      </w:r>
      <w:r w:rsidRPr="001C45D7">
        <w:t>last</w:t>
      </w:r>
      <w:r w:rsidR="00FA6558" w:rsidRPr="001C45D7">
        <w:t xml:space="preserve"> </w:t>
      </w:r>
      <w:r w:rsidRPr="001C45D7">
        <w:t>for</w:t>
      </w:r>
      <w:r w:rsidR="00FA6558" w:rsidRPr="001C45D7">
        <w:t xml:space="preserve"> </w:t>
      </w:r>
      <w:r w:rsidRPr="001C45D7">
        <w:t>a</w:t>
      </w:r>
      <w:r w:rsidR="00FA6558" w:rsidRPr="001C45D7">
        <w:t xml:space="preserve"> </w:t>
      </w:r>
      <w:r w:rsidRPr="001C45D7">
        <w:t>long</w:t>
      </w:r>
      <w:r w:rsidR="00FA6558" w:rsidRPr="001C45D7">
        <w:t xml:space="preserve"> </w:t>
      </w:r>
      <w:r w:rsidRPr="001C45D7">
        <w:t>period</w:t>
      </w:r>
      <w:r w:rsidR="00FF1C9F" w:rsidRPr="001C45D7">
        <w:t>,</w:t>
      </w:r>
      <w:r w:rsidR="00FA6558" w:rsidRPr="001C45D7">
        <w:t xml:space="preserve"> </w:t>
      </w:r>
      <w:r w:rsidRPr="001C45D7">
        <w:t>and</w:t>
      </w:r>
      <w:r w:rsidR="00FA6558" w:rsidRPr="001C45D7">
        <w:t xml:space="preserve"> </w:t>
      </w:r>
      <w:r w:rsidRPr="001C45D7">
        <w:t>related</w:t>
      </w:r>
      <w:r w:rsidR="00FA6558" w:rsidRPr="001C45D7">
        <w:t xml:space="preserve"> </w:t>
      </w:r>
      <w:r w:rsidRPr="001C45D7">
        <w:t>benefits</w:t>
      </w:r>
      <w:r w:rsidR="00FA6558" w:rsidRPr="001C45D7">
        <w:t xml:space="preserve"> </w:t>
      </w:r>
      <w:r w:rsidRPr="001C45D7">
        <w:t>are</w:t>
      </w:r>
      <w:r w:rsidR="00FA6558" w:rsidRPr="001C45D7">
        <w:t xml:space="preserve"> </w:t>
      </w:r>
      <w:r w:rsidRPr="001C45D7">
        <w:t>anticipated,</w:t>
      </w:r>
      <w:r w:rsidR="00FA6558" w:rsidRPr="001C45D7">
        <w:t xml:space="preserve"> </w:t>
      </w:r>
      <w:r w:rsidRPr="001C45D7">
        <w:t>it</w:t>
      </w:r>
      <w:r w:rsidR="00FA6558" w:rsidRPr="001C45D7">
        <w:t xml:space="preserve"> </w:t>
      </w:r>
      <w:r w:rsidR="0012117A" w:rsidRPr="001C45D7">
        <w:t xml:space="preserve">may </w:t>
      </w:r>
      <w:r w:rsidRPr="001C45D7">
        <w:t>refrain</w:t>
      </w:r>
      <w:r w:rsidR="00FA6558" w:rsidRPr="001C45D7">
        <w:t xml:space="preserve"> </w:t>
      </w:r>
      <w:r w:rsidRPr="001C45D7">
        <w:t>from</w:t>
      </w:r>
      <w:r w:rsidR="00FA6558" w:rsidRPr="001C45D7">
        <w:t xml:space="preserve"> </w:t>
      </w:r>
      <w:r w:rsidRPr="001C45D7">
        <w:t>taking</w:t>
      </w:r>
      <w:r w:rsidR="00FA6558" w:rsidRPr="001C45D7">
        <w:t xml:space="preserve"> </w:t>
      </w:r>
      <w:r w:rsidRPr="001C45D7">
        <w:t>advantage</w:t>
      </w:r>
      <w:r w:rsidR="00FA6558" w:rsidRPr="001C45D7">
        <w:t xml:space="preserve"> </w:t>
      </w:r>
      <w:r w:rsidRPr="001C45D7">
        <w:t>of</w:t>
      </w:r>
      <w:r w:rsidR="00FA6558" w:rsidRPr="001C45D7">
        <w:t xml:space="preserve"> </w:t>
      </w:r>
      <w:r w:rsidRPr="001C45D7">
        <w:t>the</w:t>
      </w:r>
      <w:r w:rsidR="00FA6558" w:rsidRPr="001C45D7">
        <w:t xml:space="preserve"> </w:t>
      </w:r>
      <w:r w:rsidRPr="001C45D7">
        <w:t>dependence</w:t>
      </w:r>
      <w:r w:rsidR="00FA6558" w:rsidRPr="001C45D7">
        <w:t xml:space="preserve"> </w:t>
      </w:r>
      <w:r w:rsidRPr="001C45D7">
        <w:t>gap</w:t>
      </w:r>
      <w:r w:rsidR="009E4FA5" w:rsidRPr="001C45D7">
        <w:t xml:space="preserve"> that has been</w:t>
      </w:r>
      <w:r w:rsidR="00FA6558" w:rsidRPr="001C45D7">
        <w:t xml:space="preserve"> </w:t>
      </w:r>
      <w:r w:rsidR="008D2081" w:rsidRPr="001C45D7">
        <w:t xml:space="preserve">widened </w:t>
      </w:r>
      <w:r w:rsidR="001B4CD7" w:rsidRPr="001C45D7">
        <w:t>by</w:t>
      </w:r>
      <w:r w:rsidR="00FA6558" w:rsidRPr="001C45D7">
        <w:t xml:space="preserve"> </w:t>
      </w:r>
      <w:r w:rsidR="001B4CD7" w:rsidRPr="001C45D7">
        <w:t>digitalisation</w:t>
      </w:r>
      <w:r w:rsidR="00FA6558" w:rsidRPr="001C45D7">
        <w:t xml:space="preserve"> </w:t>
      </w:r>
      <w:r w:rsidRPr="001C45D7">
        <w:t>at</w:t>
      </w:r>
      <w:r w:rsidR="00FA6558" w:rsidRPr="001C45D7">
        <w:t xml:space="preserve"> </w:t>
      </w:r>
      <w:r w:rsidRPr="001C45D7">
        <w:t>the</w:t>
      </w:r>
      <w:r w:rsidR="00FA6558" w:rsidRPr="001C45D7">
        <w:t xml:space="preserve"> </w:t>
      </w:r>
      <w:r w:rsidRPr="001C45D7">
        <w:lastRenderedPageBreak/>
        <w:t>expense</w:t>
      </w:r>
      <w:r w:rsidR="00FA6558" w:rsidRPr="001C45D7">
        <w:t xml:space="preserve"> </w:t>
      </w:r>
      <w:r w:rsidRPr="001C45D7">
        <w:t>of</w:t>
      </w:r>
      <w:r w:rsidR="00FA6558" w:rsidRPr="001C45D7">
        <w:t xml:space="preserve"> </w:t>
      </w:r>
      <w:r w:rsidRPr="001C45D7">
        <w:t>the</w:t>
      </w:r>
      <w:r w:rsidR="00FA6558" w:rsidRPr="001C45D7">
        <w:t xml:space="preserve"> </w:t>
      </w:r>
      <w:r w:rsidRPr="001C45D7">
        <w:t>SME</w:t>
      </w:r>
      <w:r w:rsidR="00FA6558" w:rsidRPr="001C45D7">
        <w:t xml:space="preserve"> </w:t>
      </w:r>
      <w:r w:rsidRPr="001C45D7">
        <w:t>supplier</w:t>
      </w:r>
      <w:r w:rsidR="00FA6558" w:rsidRPr="001C45D7">
        <w:t xml:space="preserve"> </w:t>
      </w:r>
      <w:r w:rsidRPr="001C45D7">
        <w:fldChar w:fldCharType="begin" w:fldLock="1"/>
      </w:r>
      <w:r w:rsidRPr="001C45D7">
        <w:instrText>ADDIN CSL_CITATION {"citationItems":[{"id":"ITEM-1","itemData":{"DOI":"10.1002/smj.249","ISSN":"01432095","abstract":"Relational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Journal","id":"ITEM-1","issue":"8","issued":{"date-parts":[["2002","8"]]},"page":"707-725","title":"Do formal contracts and relational governance function as substitutes or complements?","type":"article-journal","volume":"23"},"uris":["http://www.mendeley.com/documents/?uuid=0f5b4bc5-de16-3976-800b-d5afcee477cc"]}],"mendeley":{"formattedCitation":"(Poppo and Zenger, 2002)","plainTextFormattedCitation":"(Poppo and Zenger, 2002)","previouslyFormattedCitation":"(Poppo and Zenger, 2002)"},"properties":{"noteIndex":0},"schema":"https://github.com/citation-style-language/schema/raw/master/csl-citation.json"}</w:instrText>
      </w:r>
      <w:r w:rsidRPr="001C45D7">
        <w:fldChar w:fldCharType="separate"/>
      </w:r>
      <w:r w:rsidRPr="001C45D7">
        <w:rPr>
          <w:noProof/>
        </w:rPr>
        <w:t>(Poppo</w:t>
      </w:r>
      <w:r w:rsidR="00FA6558" w:rsidRPr="001C45D7">
        <w:rPr>
          <w:noProof/>
        </w:rPr>
        <w:t xml:space="preserve"> </w:t>
      </w:r>
      <w:r w:rsidRPr="001C45D7">
        <w:rPr>
          <w:noProof/>
        </w:rPr>
        <w:t>and</w:t>
      </w:r>
      <w:r w:rsidR="00FA6558" w:rsidRPr="001C45D7">
        <w:rPr>
          <w:noProof/>
        </w:rPr>
        <w:t xml:space="preserve"> </w:t>
      </w:r>
      <w:r w:rsidRPr="001C45D7">
        <w:rPr>
          <w:noProof/>
        </w:rPr>
        <w:t>Zenger,</w:t>
      </w:r>
      <w:r w:rsidR="00FA6558" w:rsidRPr="001C45D7">
        <w:rPr>
          <w:noProof/>
        </w:rPr>
        <w:t xml:space="preserve"> </w:t>
      </w:r>
      <w:r w:rsidRPr="001C45D7">
        <w:rPr>
          <w:noProof/>
        </w:rPr>
        <w:t>2002)</w:t>
      </w:r>
      <w:r w:rsidRPr="001C45D7">
        <w:fldChar w:fldCharType="end"/>
      </w:r>
      <w:r w:rsidRPr="001C45D7">
        <w:t>.</w:t>
      </w:r>
      <w:r w:rsidR="00FA6558" w:rsidRPr="001C45D7">
        <w:t xml:space="preserve"> </w:t>
      </w:r>
      <w:r w:rsidR="001B4CD7" w:rsidRPr="001C45D7">
        <w:t>This</w:t>
      </w:r>
      <w:r w:rsidR="00FA6558" w:rsidRPr="001C45D7">
        <w:t xml:space="preserve"> </w:t>
      </w:r>
      <w:r w:rsidR="001B4CD7" w:rsidRPr="001C45D7">
        <w:t>means</w:t>
      </w:r>
      <w:r w:rsidR="00537083" w:rsidRPr="001C45D7">
        <w:t xml:space="preserve"> that</w:t>
      </w:r>
      <w:r w:rsidR="00FA6558" w:rsidRPr="001C45D7">
        <w:t xml:space="preserve"> </w:t>
      </w:r>
      <w:r w:rsidR="001B4CD7" w:rsidRPr="001C45D7">
        <w:t>relational</w:t>
      </w:r>
      <w:r w:rsidR="00FA6558" w:rsidRPr="001C45D7">
        <w:t xml:space="preserve"> </w:t>
      </w:r>
      <w:r w:rsidR="001B4CD7" w:rsidRPr="001C45D7">
        <w:t>governance</w:t>
      </w:r>
      <w:r w:rsidR="00FA6558" w:rsidRPr="001C45D7">
        <w:t xml:space="preserve"> </w:t>
      </w:r>
      <w:r w:rsidR="001B4CD7" w:rsidRPr="001C45D7">
        <w:t>can</w:t>
      </w:r>
      <w:r w:rsidR="00FA6558" w:rsidRPr="001C45D7">
        <w:t xml:space="preserve"> </w:t>
      </w:r>
      <w:r w:rsidR="001B4CD7" w:rsidRPr="001C45D7">
        <w:t>be</w:t>
      </w:r>
      <w:r w:rsidR="00FA6558" w:rsidRPr="001C45D7">
        <w:t xml:space="preserve"> </w:t>
      </w:r>
      <w:r w:rsidR="001B4CD7" w:rsidRPr="001C45D7">
        <w:t>particularly</w:t>
      </w:r>
      <w:r w:rsidR="00FA6558" w:rsidRPr="001C45D7">
        <w:t xml:space="preserve"> </w:t>
      </w:r>
      <w:r w:rsidR="001B4CD7" w:rsidRPr="001C45D7">
        <w:t>effective</w:t>
      </w:r>
      <w:r w:rsidR="00FA6558" w:rsidRPr="001C45D7">
        <w:t xml:space="preserve"> </w:t>
      </w:r>
      <w:r w:rsidR="001B4CD7" w:rsidRPr="001C45D7">
        <w:t>in</w:t>
      </w:r>
      <w:r w:rsidR="00FA6558" w:rsidRPr="001C45D7">
        <w:t xml:space="preserve"> </w:t>
      </w:r>
      <w:r w:rsidR="001B4CD7" w:rsidRPr="001C45D7">
        <w:t>suppressing</w:t>
      </w:r>
      <w:r w:rsidR="00FA6558" w:rsidRPr="001C45D7">
        <w:t xml:space="preserve"> </w:t>
      </w:r>
      <w:r w:rsidR="001B4CD7" w:rsidRPr="001C45D7">
        <w:t>dependence</w:t>
      </w:r>
      <w:r w:rsidR="00810178" w:rsidRPr="001C45D7">
        <w:t>-</w:t>
      </w:r>
      <w:r w:rsidR="001B4CD7" w:rsidRPr="001C45D7">
        <w:t>gap</w:t>
      </w:r>
      <w:r w:rsidR="00810178" w:rsidRPr="001C45D7">
        <w:t>-</w:t>
      </w:r>
      <w:r w:rsidR="001B4CD7" w:rsidRPr="001C45D7">
        <w:t>induced</w:t>
      </w:r>
      <w:r w:rsidR="00FA6558" w:rsidRPr="001C45D7">
        <w:t xml:space="preserve"> </w:t>
      </w:r>
      <w:r w:rsidR="001B4CD7" w:rsidRPr="001C45D7">
        <w:t>opportunism.</w:t>
      </w:r>
      <w:r w:rsidR="00FA6558" w:rsidRPr="001C45D7">
        <w:t xml:space="preserve"> </w:t>
      </w:r>
      <w:r w:rsidR="001B4CD7" w:rsidRPr="001C45D7">
        <w:t>Therefore,</w:t>
      </w:r>
      <w:r w:rsidR="00FA6558" w:rsidRPr="001C45D7">
        <w:t xml:space="preserve"> </w:t>
      </w:r>
      <w:r w:rsidRPr="001C45D7">
        <w:t>we</w:t>
      </w:r>
      <w:r w:rsidR="00FA6558" w:rsidRPr="001C45D7">
        <w:t xml:space="preserve"> </w:t>
      </w:r>
      <w:r w:rsidRPr="001C45D7">
        <w:t>hypothesise</w:t>
      </w:r>
      <w:r w:rsidR="00793327" w:rsidRPr="001C45D7">
        <w:t xml:space="preserve"> as follows</w:t>
      </w:r>
      <w:r w:rsidRPr="001C45D7">
        <w:t>:</w:t>
      </w:r>
    </w:p>
    <w:p w14:paraId="72BA3B54" w14:textId="77777777" w:rsidR="00F45E19" w:rsidRDefault="00F45E19" w:rsidP="00566B02">
      <w:pPr>
        <w:pStyle w:val="BodyText"/>
      </w:pPr>
      <w:bookmarkStart w:id="17" w:name="_Hlk51060302"/>
    </w:p>
    <w:p w14:paraId="40961EB7" w14:textId="08A9C977" w:rsidR="00B754F9" w:rsidRPr="001C45D7" w:rsidRDefault="00B754F9" w:rsidP="00566B02">
      <w:pPr>
        <w:pStyle w:val="BodyText"/>
      </w:pPr>
      <w:r w:rsidRPr="001C45D7">
        <w:t>Hypothesis</w:t>
      </w:r>
      <w:r w:rsidR="00FA6558" w:rsidRPr="001C45D7">
        <w:t xml:space="preserve"> </w:t>
      </w:r>
      <w:r w:rsidR="00F139DB" w:rsidRPr="001C45D7">
        <w:t>3</w:t>
      </w:r>
      <w:r w:rsidRPr="001C45D7">
        <w:t>:</w:t>
      </w:r>
      <w:r w:rsidR="00FA6558" w:rsidRPr="001C45D7">
        <w:t xml:space="preserve"> </w:t>
      </w:r>
      <w:r w:rsidRPr="001C45D7">
        <w:t>The</w:t>
      </w:r>
      <w:r w:rsidR="00FA6558" w:rsidRPr="001C45D7">
        <w:t xml:space="preserve"> </w:t>
      </w:r>
      <w:r w:rsidR="00F102B2" w:rsidRPr="001C45D7">
        <w:t>extent</w:t>
      </w:r>
      <w:r w:rsidR="00FA6558" w:rsidRPr="001C45D7">
        <w:t xml:space="preserve"> </w:t>
      </w:r>
      <w:r w:rsidRPr="001C45D7">
        <w:t>of</w:t>
      </w:r>
      <w:r w:rsidR="00FA6558" w:rsidRPr="001C45D7">
        <w:t xml:space="preserve"> </w:t>
      </w:r>
      <w:r w:rsidRPr="001C45D7">
        <w:t>the</w:t>
      </w:r>
      <w:r w:rsidR="00FA6558" w:rsidRPr="001C45D7">
        <w:t xml:space="preserve"> </w:t>
      </w:r>
      <w:r w:rsidRPr="001C45D7">
        <w:t>relational</w:t>
      </w:r>
      <w:r w:rsidR="00FA6558" w:rsidRPr="001C45D7">
        <w:t xml:space="preserve"> </w:t>
      </w:r>
      <w:r w:rsidRPr="001C45D7">
        <w:t>governance</w:t>
      </w:r>
      <w:r w:rsidR="00FA6558" w:rsidRPr="001C45D7">
        <w:t xml:space="preserve"> </w:t>
      </w:r>
      <w:bookmarkStart w:id="18" w:name="_Hlk53045322"/>
      <w:r w:rsidR="00BD298D" w:rsidRPr="001C45D7">
        <w:t>in</w:t>
      </w:r>
      <w:r w:rsidR="00FA6558" w:rsidRPr="001C45D7">
        <w:t xml:space="preserve"> </w:t>
      </w:r>
      <w:r w:rsidR="00BD298D" w:rsidRPr="001C45D7">
        <w:t>the</w:t>
      </w:r>
      <w:r w:rsidR="00FA6558" w:rsidRPr="001C45D7">
        <w:t xml:space="preserve"> </w:t>
      </w:r>
      <w:r w:rsidR="00AA1C3E">
        <w:t xml:space="preserve">buyer-supplier </w:t>
      </w:r>
      <w:r w:rsidR="00BD298D" w:rsidRPr="001C45D7">
        <w:t>relationship</w:t>
      </w:r>
      <w:r w:rsidR="00FA6558" w:rsidRPr="001C45D7">
        <w:t xml:space="preserve"> </w:t>
      </w:r>
      <w:bookmarkEnd w:id="18"/>
      <w:r w:rsidRPr="001C45D7">
        <w:t>is</w:t>
      </w:r>
      <w:r w:rsidR="00FA6558" w:rsidRPr="001C45D7">
        <w:t xml:space="preserve"> </w:t>
      </w:r>
      <w:r w:rsidRPr="001C45D7">
        <w:t>negatively</w:t>
      </w:r>
      <w:r w:rsidR="00FA6558" w:rsidRPr="001C45D7">
        <w:t xml:space="preserve"> </w:t>
      </w:r>
      <w:r w:rsidRPr="001C45D7">
        <w:t>related</w:t>
      </w:r>
      <w:r w:rsidR="00FA6558" w:rsidRPr="001C45D7">
        <w:t xml:space="preserve"> </w:t>
      </w:r>
      <w:r w:rsidRPr="001C45D7">
        <w:t>to</w:t>
      </w:r>
      <w:r w:rsidR="00FA6558" w:rsidRPr="001C45D7">
        <w:t xml:space="preserve"> </w:t>
      </w:r>
      <w:r w:rsidRPr="00CF4CBE">
        <w:t>the</w:t>
      </w:r>
      <w:r w:rsidR="00FA6558" w:rsidRPr="00CF4CBE">
        <w:t xml:space="preserve"> </w:t>
      </w:r>
      <w:r w:rsidR="00CF4CBE">
        <w:t xml:space="preserve">SME </w:t>
      </w:r>
      <w:r w:rsidRPr="00CF4CBE">
        <w:t>supplier’s</w:t>
      </w:r>
      <w:r w:rsidR="00FA6558" w:rsidRPr="00CF4CBE">
        <w:t xml:space="preserve"> </w:t>
      </w:r>
      <w:r w:rsidRPr="00CF4CBE">
        <w:t>perceived</w:t>
      </w:r>
      <w:r w:rsidR="00FA6558" w:rsidRPr="001C45D7">
        <w:t xml:space="preserve"> </w:t>
      </w:r>
      <w:r w:rsidRPr="001C45D7">
        <w:t>level</w:t>
      </w:r>
      <w:r w:rsidR="00FA6558" w:rsidRPr="001C45D7">
        <w:t xml:space="preserve"> </w:t>
      </w:r>
      <w:r w:rsidRPr="001C45D7">
        <w:t>of</w:t>
      </w:r>
      <w:r w:rsidR="00FA6558" w:rsidRPr="001C45D7">
        <w:t xml:space="preserve"> </w:t>
      </w:r>
      <w:r w:rsidRPr="001C45D7">
        <w:t>the</w:t>
      </w:r>
      <w:r w:rsidR="00FA6558" w:rsidRPr="001C45D7">
        <w:t xml:space="preserve"> </w:t>
      </w:r>
      <w:r w:rsidRPr="001C45D7">
        <w:t>buyer</w:t>
      </w:r>
      <w:r w:rsidR="00F139DB" w:rsidRPr="001C45D7">
        <w:t>’s</w:t>
      </w:r>
      <w:r w:rsidR="00FA6558" w:rsidRPr="001C45D7">
        <w:t xml:space="preserve"> </w:t>
      </w:r>
      <w:r w:rsidRPr="001C45D7">
        <w:t>opportunis</w:t>
      </w:r>
      <w:r w:rsidR="00AF15CE">
        <w:t>m</w:t>
      </w:r>
    </w:p>
    <w:bookmarkEnd w:id="17"/>
    <w:p w14:paraId="30EB38E6" w14:textId="77777777" w:rsidR="009C344A" w:rsidRPr="00AF15CE" w:rsidRDefault="009C344A" w:rsidP="00566B02">
      <w:pPr>
        <w:pStyle w:val="BodyText"/>
        <w:rPr>
          <w:rFonts w:eastAsiaTheme="minorEastAsia"/>
        </w:rPr>
      </w:pPr>
    </w:p>
    <w:p w14:paraId="03501251" w14:textId="1D506FC6" w:rsidR="00143AE8" w:rsidRPr="001C45D7" w:rsidRDefault="00960BB6" w:rsidP="00566B02">
      <w:pPr>
        <w:pStyle w:val="BodyText"/>
      </w:pPr>
      <w:r w:rsidRPr="001C45D7">
        <w:t>In</w:t>
      </w:r>
      <w:r w:rsidR="00FA6558" w:rsidRPr="001C45D7">
        <w:t xml:space="preserve"> </w:t>
      </w:r>
      <w:r w:rsidRPr="001C45D7">
        <w:t>most</w:t>
      </w:r>
      <w:r w:rsidR="00FA6558" w:rsidRPr="001C45D7">
        <w:t xml:space="preserve"> </w:t>
      </w:r>
      <w:r w:rsidRPr="001C45D7">
        <w:t>cases,</w:t>
      </w:r>
      <w:r w:rsidR="00FA6558" w:rsidRPr="001C45D7">
        <w:t xml:space="preserve"> </w:t>
      </w:r>
      <w:r w:rsidRPr="001C45D7">
        <w:t>a</w:t>
      </w:r>
      <w:r w:rsidR="00FA6558" w:rsidRPr="001C45D7">
        <w:t xml:space="preserve"> </w:t>
      </w:r>
      <w:r w:rsidRPr="001C45D7">
        <w:t>buyer</w:t>
      </w:r>
      <w:r w:rsidR="005B0E56" w:rsidRPr="001C45D7">
        <w:t>–</w:t>
      </w:r>
      <w:r w:rsidRPr="001C45D7">
        <w:t>supplier</w:t>
      </w:r>
      <w:r w:rsidR="00FA6558" w:rsidRPr="001C45D7">
        <w:t xml:space="preserve"> </w:t>
      </w:r>
      <w:r w:rsidRPr="001C45D7">
        <w:t>relationship</w:t>
      </w:r>
      <w:r w:rsidR="00FA6558" w:rsidRPr="001C45D7">
        <w:t xml:space="preserve"> </w:t>
      </w:r>
      <w:r w:rsidRPr="001C45D7">
        <w:t>is</w:t>
      </w:r>
      <w:r w:rsidR="00FA6558" w:rsidRPr="001C45D7">
        <w:t xml:space="preserve"> </w:t>
      </w:r>
      <w:r w:rsidRPr="001C45D7">
        <w:t>safeguarded</w:t>
      </w:r>
      <w:r w:rsidR="00FA6558" w:rsidRPr="001C45D7">
        <w:t xml:space="preserve"> </w:t>
      </w:r>
      <w:r w:rsidRPr="001C45D7">
        <w:t>with</w:t>
      </w:r>
      <w:r w:rsidR="00FA6558" w:rsidRPr="001C45D7">
        <w:t xml:space="preserve"> </w:t>
      </w:r>
      <w:r w:rsidRPr="001C45D7">
        <w:t>a</w:t>
      </w:r>
      <w:r w:rsidR="00FA6558" w:rsidRPr="001C45D7">
        <w:t xml:space="preserve"> </w:t>
      </w:r>
      <w:r w:rsidRPr="001C45D7">
        <w:t>formal</w:t>
      </w:r>
      <w:r w:rsidR="00FA6558" w:rsidRPr="001C45D7">
        <w:t xml:space="preserve"> </w:t>
      </w:r>
      <w:r w:rsidRPr="001C45D7">
        <w:t>legal</w:t>
      </w:r>
      <w:r w:rsidR="00FA6558" w:rsidRPr="001C45D7">
        <w:t xml:space="preserve"> </w:t>
      </w:r>
      <w:r w:rsidRPr="001C45D7">
        <w:t>contract</w:t>
      </w:r>
      <w:r w:rsidR="00FA6558" w:rsidRPr="001C45D7">
        <w:t xml:space="preserve"> </w:t>
      </w:r>
      <w:r w:rsidRPr="001C45D7">
        <w:fldChar w:fldCharType="begin" w:fldLock="1"/>
      </w:r>
      <w:r w:rsidRPr="001C45D7">
        <w:instrText>ADDIN CSL_CITATION {"citationItems":[{"id":"ITEM-1","itemData":{"DOI":"10.5465/amr.1989.4279003","ISSN":"0363-7425","abstract":"Agency theory is an important, yet controversial, theory. This paper reviews agency theory, its contributions to organization theory, and the extant empirical work and develops testable propositions. The conclusions are that agency theory (a) offers unique insight into information systems, outcome uncertainty, incentives, and risk and (b) is an empirically valid perspective, particularly when coupled with complementary perspectives. The principal recommendation is to incorporate an agency perspective in studies of the many problems having a cooperative structure.","author":[{"dropping-particle":"","family":"Eisenhardt","given":"Kathleen M.","non-dropping-particle":"","parse-names":false,"suffix":""}],"container-title":"Academy of Management Review","id":"ITEM-1","issued":{"date-parts":[["1989"]]},"title":"Agency Theory: An Assessment and Review","type":"article-journal"},"uris":["http://www.mendeley.com/documents/?uuid=ebe0b735-4b3b-49ae-8f00-ba4b0747e472"]}],"mendeley":{"formattedCitation":"(Eisenhardt, 1989)","plainTextFormattedCitation":"(Eisenhardt, 1989)","previouslyFormattedCitation":"(Eisenhardt, 1989)"},"properties":{"noteIndex":0},"schema":"https://github.com/citation-style-language/schema/raw/master/csl-citation.json"}</w:instrText>
      </w:r>
      <w:r w:rsidRPr="001C45D7">
        <w:fldChar w:fldCharType="separate"/>
      </w:r>
      <w:r w:rsidRPr="001C45D7">
        <w:rPr>
          <w:noProof/>
        </w:rPr>
        <w:t>(Eisenhardt,</w:t>
      </w:r>
      <w:r w:rsidR="00FA6558" w:rsidRPr="001C45D7">
        <w:rPr>
          <w:noProof/>
        </w:rPr>
        <w:t xml:space="preserve"> </w:t>
      </w:r>
      <w:r w:rsidRPr="001C45D7">
        <w:rPr>
          <w:noProof/>
        </w:rPr>
        <w:t>1989)</w:t>
      </w:r>
      <w:r w:rsidRPr="001C45D7">
        <w:fldChar w:fldCharType="end"/>
      </w:r>
      <w:r w:rsidRPr="001C45D7">
        <w:t>.</w:t>
      </w:r>
      <w:r w:rsidR="00FA6558" w:rsidRPr="001C45D7">
        <w:t xml:space="preserve"> </w:t>
      </w:r>
      <w:r w:rsidRPr="001C45D7">
        <w:t>Therefore,</w:t>
      </w:r>
      <w:r w:rsidR="00FA6558" w:rsidRPr="001C45D7">
        <w:t xml:space="preserve"> </w:t>
      </w:r>
      <w:r w:rsidRPr="001C45D7">
        <w:t>a</w:t>
      </w:r>
      <w:r w:rsidR="00FA6558" w:rsidRPr="001C45D7">
        <w:t xml:space="preserve"> </w:t>
      </w:r>
      <w:r w:rsidRPr="001C45D7">
        <w:t>legal</w:t>
      </w:r>
      <w:r w:rsidR="00FA6558" w:rsidRPr="001C45D7">
        <w:t xml:space="preserve"> </w:t>
      </w:r>
      <w:r w:rsidRPr="001C45D7">
        <w:t>contract</w:t>
      </w:r>
      <w:r w:rsidR="00FA6558" w:rsidRPr="001C45D7">
        <w:t xml:space="preserve"> </w:t>
      </w:r>
      <w:r w:rsidR="00E26EBA" w:rsidRPr="001C45D7">
        <w:t>is</w:t>
      </w:r>
      <w:r w:rsidR="00FA6558" w:rsidRPr="001C45D7">
        <w:t xml:space="preserve"> </w:t>
      </w:r>
      <w:r w:rsidRPr="001C45D7">
        <w:t>the</w:t>
      </w:r>
      <w:r w:rsidR="00FA6558" w:rsidRPr="001C45D7">
        <w:t xml:space="preserve"> </w:t>
      </w:r>
      <w:r w:rsidRPr="001C45D7">
        <w:t>first</w:t>
      </w:r>
      <w:r w:rsidR="00FA6558" w:rsidRPr="001C45D7">
        <w:t xml:space="preserve"> </w:t>
      </w:r>
      <w:r w:rsidRPr="001C45D7">
        <w:t>line</w:t>
      </w:r>
      <w:r w:rsidR="00FA6558" w:rsidRPr="001C45D7">
        <w:t xml:space="preserve"> </w:t>
      </w:r>
      <w:r w:rsidRPr="001C45D7">
        <w:t>of</w:t>
      </w:r>
      <w:r w:rsidR="00FA6558" w:rsidRPr="001C45D7">
        <w:t xml:space="preserve"> </w:t>
      </w:r>
      <w:r w:rsidRPr="001C45D7">
        <w:t>safeguard</w:t>
      </w:r>
      <w:r w:rsidR="00B601C4" w:rsidRPr="001C45D7">
        <w:t>ing</w:t>
      </w:r>
      <w:r w:rsidR="00FA6558" w:rsidRPr="001C45D7">
        <w:t xml:space="preserve"> </w:t>
      </w:r>
      <w:r w:rsidRPr="001C45D7">
        <w:t>available</w:t>
      </w:r>
      <w:r w:rsidR="00FA6558" w:rsidRPr="001C45D7">
        <w:t xml:space="preserve"> </w:t>
      </w:r>
      <w:r w:rsidRPr="001C45D7">
        <w:t>for</w:t>
      </w:r>
      <w:r w:rsidR="00FA6558" w:rsidRPr="001C45D7">
        <w:t xml:space="preserve"> </w:t>
      </w:r>
      <w:r w:rsidRPr="001C45D7">
        <w:t>SME</w:t>
      </w:r>
      <w:r w:rsidR="00FA6558" w:rsidRPr="001C45D7">
        <w:t xml:space="preserve"> </w:t>
      </w:r>
      <w:r w:rsidRPr="001C45D7">
        <w:t>suppliers</w:t>
      </w:r>
      <w:r w:rsidR="00FA6558" w:rsidRPr="001C45D7">
        <w:t xml:space="preserve"> </w:t>
      </w:r>
      <w:r w:rsidRPr="001C45D7">
        <w:t>against</w:t>
      </w:r>
      <w:r w:rsidR="00FA6558" w:rsidRPr="001C45D7">
        <w:t xml:space="preserve"> </w:t>
      </w:r>
      <w:r w:rsidRPr="001C45D7">
        <w:t>larger</w:t>
      </w:r>
      <w:r w:rsidR="00FA6558" w:rsidRPr="001C45D7">
        <w:t xml:space="preserve"> </w:t>
      </w:r>
      <w:r w:rsidRPr="001C45D7">
        <w:t>and</w:t>
      </w:r>
      <w:r w:rsidR="00FA6558" w:rsidRPr="001C45D7">
        <w:t xml:space="preserve"> </w:t>
      </w:r>
      <w:r w:rsidRPr="001C45D7">
        <w:t>more</w:t>
      </w:r>
      <w:r w:rsidR="00FA6558" w:rsidRPr="001C45D7">
        <w:t xml:space="preserve"> </w:t>
      </w:r>
      <w:r w:rsidRPr="001C45D7">
        <w:t>digitally</w:t>
      </w:r>
      <w:r w:rsidR="00FA6558" w:rsidRPr="001C45D7">
        <w:t xml:space="preserve"> </w:t>
      </w:r>
      <w:r w:rsidRPr="001C45D7">
        <w:t>capable</w:t>
      </w:r>
      <w:r w:rsidR="00FA6558" w:rsidRPr="001C45D7">
        <w:t xml:space="preserve"> </w:t>
      </w:r>
      <w:r w:rsidRPr="001C45D7">
        <w:t>buyers’</w:t>
      </w:r>
      <w:r w:rsidR="00FA6558" w:rsidRPr="001C45D7">
        <w:t xml:space="preserve"> </w:t>
      </w:r>
      <w:r w:rsidRPr="001C45D7">
        <w:t>attempt</w:t>
      </w:r>
      <w:r w:rsidR="00537083" w:rsidRPr="001C45D7">
        <w:t>s</w:t>
      </w:r>
      <w:r w:rsidR="00FA6558" w:rsidRPr="001C45D7">
        <w:t xml:space="preserve"> </w:t>
      </w:r>
      <w:r w:rsidRPr="001C45D7">
        <w:t>to</w:t>
      </w:r>
      <w:r w:rsidR="00FA6558" w:rsidRPr="001C45D7">
        <w:t xml:space="preserve"> </w:t>
      </w:r>
      <w:r w:rsidRPr="001C45D7">
        <w:t>exploit</w:t>
      </w:r>
      <w:r w:rsidR="00FA6558" w:rsidRPr="001C45D7">
        <w:t xml:space="preserve"> </w:t>
      </w:r>
      <w:r w:rsidRPr="001C45D7">
        <w:t>the</w:t>
      </w:r>
      <w:r w:rsidR="00FA6558" w:rsidRPr="001C45D7">
        <w:t xml:space="preserve"> </w:t>
      </w:r>
      <w:r w:rsidRPr="001C45D7">
        <w:t>widened</w:t>
      </w:r>
      <w:r w:rsidR="00FA6558" w:rsidRPr="001C45D7">
        <w:t xml:space="preserve"> </w:t>
      </w:r>
      <w:r w:rsidRPr="001C45D7">
        <w:t>dependence</w:t>
      </w:r>
      <w:r w:rsidR="00FA6558" w:rsidRPr="001C45D7">
        <w:t xml:space="preserve"> </w:t>
      </w:r>
      <w:r w:rsidRPr="001C45D7">
        <w:t>gap</w:t>
      </w:r>
      <w:r w:rsidR="00780654" w:rsidRPr="001C45D7">
        <w:t xml:space="preserve"> created</w:t>
      </w:r>
      <w:r w:rsidR="00FA6558" w:rsidRPr="001C45D7">
        <w:t xml:space="preserve"> </w:t>
      </w:r>
      <w:r w:rsidRPr="001C45D7">
        <w:t>by</w:t>
      </w:r>
      <w:r w:rsidR="00FA6558" w:rsidRPr="001C45D7">
        <w:t xml:space="preserve"> </w:t>
      </w:r>
      <w:r w:rsidR="00780654" w:rsidRPr="001C45D7">
        <w:t xml:space="preserve">digital capability </w:t>
      </w:r>
      <w:r w:rsidRPr="001C45D7">
        <w:t>asymmetry</w:t>
      </w:r>
      <w:r w:rsidR="00FA6558" w:rsidRPr="001C45D7">
        <w:t xml:space="preserve"> </w:t>
      </w:r>
      <w:r w:rsidRPr="001C45D7">
        <w:t>(</w:t>
      </w:r>
      <w:proofErr w:type="spellStart"/>
      <w:r w:rsidRPr="001C45D7">
        <w:t>Artz</w:t>
      </w:r>
      <w:proofErr w:type="spellEnd"/>
      <w:r w:rsidR="00FA6558" w:rsidRPr="001C45D7">
        <w:t xml:space="preserve"> </w:t>
      </w:r>
      <w:r w:rsidRPr="001C45D7">
        <w:t>and</w:t>
      </w:r>
      <w:r w:rsidR="00FA6558" w:rsidRPr="001C45D7">
        <w:t xml:space="preserve"> </w:t>
      </w:r>
      <w:r w:rsidRPr="001C45D7">
        <w:t>Brush,</w:t>
      </w:r>
      <w:r w:rsidR="00FA6558" w:rsidRPr="001C45D7">
        <w:t xml:space="preserve"> </w:t>
      </w:r>
      <w:r w:rsidRPr="001C45D7">
        <w:t>2000;</w:t>
      </w:r>
      <w:r w:rsidR="00FA6558" w:rsidRPr="001C45D7">
        <w:t xml:space="preserve"> </w:t>
      </w:r>
      <w:r w:rsidRPr="001C45D7">
        <w:t>Hill</w:t>
      </w:r>
      <w:r w:rsidR="00FA6558" w:rsidRPr="001C45D7">
        <w:t xml:space="preserve"> </w:t>
      </w:r>
      <w:r w:rsidRPr="001C45D7">
        <w:t>and</w:t>
      </w:r>
      <w:r w:rsidR="00FA6558" w:rsidRPr="001C45D7">
        <w:t xml:space="preserve"> </w:t>
      </w:r>
      <w:r w:rsidRPr="001C45D7">
        <w:t>Deeds,</w:t>
      </w:r>
      <w:r w:rsidR="00FA6558" w:rsidRPr="001C45D7">
        <w:t xml:space="preserve"> </w:t>
      </w:r>
      <w:r w:rsidRPr="001C45D7">
        <w:t>1996;</w:t>
      </w:r>
      <w:r w:rsidR="00FA6558" w:rsidRPr="001C45D7">
        <w:t xml:space="preserve"> </w:t>
      </w:r>
      <w:proofErr w:type="spellStart"/>
      <w:r w:rsidRPr="001C45D7">
        <w:t>Lumineau</w:t>
      </w:r>
      <w:proofErr w:type="spellEnd"/>
      <w:r w:rsidR="00FA6558" w:rsidRPr="001C45D7">
        <w:t xml:space="preserve"> </w:t>
      </w:r>
      <w:r w:rsidRPr="001C45D7">
        <w:t>and</w:t>
      </w:r>
      <w:r w:rsidR="00FA6558" w:rsidRPr="001C45D7">
        <w:t xml:space="preserve"> </w:t>
      </w:r>
      <w:r w:rsidRPr="001C45D7">
        <w:t>Henderson,</w:t>
      </w:r>
      <w:r w:rsidR="00FA6558" w:rsidRPr="001C45D7">
        <w:t xml:space="preserve"> </w:t>
      </w:r>
      <w:r w:rsidRPr="001C45D7">
        <w:t>2012;</w:t>
      </w:r>
      <w:r w:rsidR="00FA6558" w:rsidRPr="001C45D7">
        <w:t xml:space="preserve"> </w:t>
      </w:r>
      <w:r w:rsidRPr="001C45D7">
        <w:t>Luo,</w:t>
      </w:r>
      <w:r w:rsidR="00FA6558" w:rsidRPr="001C45D7">
        <w:t xml:space="preserve"> </w:t>
      </w:r>
      <w:r w:rsidRPr="001C45D7">
        <w:t>2007).</w:t>
      </w:r>
      <w:r w:rsidR="00FA6558" w:rsidRPr="001C45D7">
        <w:t xml:space="preserve"> </w:t>
      </w:r>
      <w:r w:rsidR="00574142" w:rsidRPr="001C45D7">
        <w:t>C</w:t>
      </w:r>
      <w:r w:rsidRPr="001C45D7">
        <w:t>ontractual</w:t>
      </w:r>
      <w:r w:rsidR="00FA6558" w:rsidRPr="001C45D7">
        <w:t xml:space="preserve"> </w:t>
      </w:r>
      <w:r w:rsidRPr="001C45D7">
        <w:t>governance</w:t>
      </w:r>
      <w:r w:rsidR="00FA6558" w:rsidRPr="001C45D7">
        <w:t xml:space="preserve"> </w:t>
      </w:r>
      <w:r w:rsidR="00574142" w:rsidRPr="001C45D7">
        <w:t xml:space="preserve">firstly </w:t>
      </w:r>
      <w:r w:rsidRPr="001C45D7">
        <w:t>suppresses</w:t>
      </w:r>
      <w:r w:rsidR="00FA6558" w:rsidRPr="001C45D7">
        <w:t xml:space="preserve"> </w:t>
      </w:r>
      <w:r w:rsidRPr="001C45D7">
        <w:t>opportunism</w:t>
      </w:r>
      <w:r w:rsidR="00FA6558" w:rsidRPr="001C45D7">
        <w:t xml:space="preserve"> </w:t>
      </w:r>
      <w:r w:rsidRPr="001C45D7">
        <w:t>by</w:t>
      </w:r>
      <w:r w:rsidR="00FA6558" w:rsidRPr="001C45D7">
        <w:t xml:space="preserve"> </w:t>
      </w:r>
      <w:r w:rsidRPr="001C45D7">
        <w:t>creating</w:t>
      </w:r>
      <w:r w:rsidR="00FA6558" w:rsidRPr="001C45D7">
        <w:t xml:space="preserve"> </w:t>
      </w:r>
      <w:r w:rsidRPr="001C45D7">
        <w:rPr>
          <w:i/>
        </w:rPr>
        <w:t>ex-post</w:t>
      </w:r>
      <w:r w:rsidR="00FA6558" w:rsidRPr="001C45D7">
        <w:t xml:space="preserve"> </w:t>
      </w:r>
      <w:r w:rsidRPr="001C45D7">
        <w:t>cost</w:t>
      </w:r>
      <w:r w:rsidR="00537083" w:rsidRPr="001C45D7">
        <w:t>s</w:t>
      </w:r>
      <w:r w:rsidR="00FA6558" w:rsidRPr="001C45D7">
        <w:t xml:space="preserve"> </w:t>
      </w:r>
      <w:r w:rsidRPr="001C45D7">
        <w:fldChar w:fldCharType="begin" w:fldLock="1"/>
      </w:r>
      <w:r w:rsidR="00822E4D" w:rsidRPr="001C45D7">
        <w:instrText>ADDIN CSL_CITATION {"citationItems":[{"id":"ITEM-1","itemData":{"DOI":"10.1177/031289628701200109","ISSN":"13272020","author":[{"dropping-particle":"","family":"Gorringe","given":"Peter","non-dropping-particle":"","parse-names":false,"suffix":""}],"container-title":"Australian Journal of Management","id":"ITEM-1","issue":"1","issued":{"date-parts":[["1987"]]},"number-of-pages":"125-143","publisher":"The Free Press","publisher-place":"New York","title":"The Economic Institutions of Capitalism: Firms, Markets and Relational Contracting by Oliver E. Williamson","type":"book","volume":"12"},"uris":["http://www.mendeley.com/documents/?uuid=50f17ec1-d835-3d51-87be-c52e41f54600"]}],"mendeley":{"formattedCitation":"(Gorringe, 1987)","plainTextFormattedCitation":"(Gorringe, 1987)","previouslyFormattedCitation":"(Williamson, 1985)"},"properties":{"noteIndex":0},"schema":"https://github.com/citation-style-language/schema/raw/master/csl-citation.json"}</w:instrText>
      </w:r>
      <w:r w:rsidRPr="001C45D7">
        <w:fldChar w:fldCharType="separate"/>
      </w:r>
      <w:r w:rsidR="00822E4D" w:rsidRPr="001C45D7">
        <w:rPr>
          <w:noProof/>
        </w:rPr>
        <w:t>(</w:t>
      </w:r>
      <w:r w:rsidR="00D41419" w:rsidRPr="001C45D7">
        <w:rPr>
          <w:rFonts w:eastAsiaTheme="minorEastAsia" w:hint="eastAsia"/>
          <w:noProof/>
          <w:lang w:eastAsia="ko-KR"/>
        </w:rPr>
        <w:t>Williamson, 1985</w:t>
      </w:r>
      <w:r w:rsidR="00822E4D" w:rsidRPr="001C45D7">
        <w:rPr>
          <w:noProof/>
        </w:rPr>
        <w:t>)</w:t>
      </w:r>
      <w:r w:rsidRPr="001C45D7">
        <w:fldChar w:fldCharType="end"/>
      </w:r>
      <w:r w:rsidR="00E90DEB" w:rsidRPr="001C45D7">
        <w:t>, as discussed previously</w:t>
      </w:r>
      <w:r w:rsidRPr="001C45D7">
        <w:t>.</w:t>
      </w:r>
      <w:r w:rsidR="00FA6558" w:rsidRPr="001C45D7">
        <w:t xml:space="preserve"> </w:t>
      </w:r>
      <w:r w:rsidRPr="001C45D7">
        <w:t>This</w:t>
      </w:r>
      <w:r w:rsidR="00FA6558" w:rsidRPr="001C45D7">
        <w:t xml:space="preserve"> </w:t>
      </w:r>
      <w:r w:rsidRPr="001C45D7">
        <w:t>means</w:t>
      </w:r>
      <w:r w:rsidR="00537083" w:rsidRPr="001C45D7">
        <w:t xml:space="preserve"> that</w:t>
      </w:r>
      <w:r w:rsidR="00FA6558" w:rsidRPr="001C45D7">
        <w:t xml:space="preserve"> </w:t>
      </w:r>
      <w:r w:rsidRPr="001C45D7">
        <w:t>a</w:t>
      </w:r>
      <w:r w:rsidR="00FA6558" w:rsidRPr="001C45D7">
        <w:t xml:space="preserve"> </w:t>
      </w:r>
      <w:r w:rsidRPr="001C45D7">
        <w:t>legal</w:t>
      </w:r>
      <w:r w:rsidR="00FA6558" w:rsidRPr="001C45D7">
        <w:t xml:space="preserve"> </w:t>
      </w:r>
      <w:r w:rsidRPr="001C45D7">
        <w:t>contract</w:t>
      </w:r>
      <w:r w:rsidR="00FA6558" w:rsidRPr="001C45D7">
        <w:t xml:space="preserve"> </w:t>
      </w:r>
      <w:r w:rsidRPr="001C45D7">
        <w:t>clearly</w:t>
      </w:r>
      <w:r w:rsidR="00FA6558" w:rsidRPr="001C45D7">
        <w:t xml:space="preserve"> </w:t>
      </w:r>
      <w:r w:rsidRPr="001C45D7">
        <w:t>specifying</w:t>
      </w:r>
      <w:r w:rsidR="00FA6558" w:rsidRPr="001C45D7">
        <w:t xml:space="preserve"> </w:t>
      </w:r>
      <w:r w:rsidRPr="001C45D7">
        <w:t>(1)</w:t>
      </w:r>
      <w:r w:rsidR="00FA6558" w:rsidRPr="001C45D7">
        <w:t xml:space="preserve"> </w:t>
      </w:r>
      <w:r w:rsidRPr="001C45D7">
        <w:t>obligations</w:t>
      </w:r>
      <w:r w:rsidR="00FA6558" w:rsidRPr="001C45D7">
        <w:t xml:space="preserve"> </w:t>
      </w:r>
      <w:r w:rsidRPr="001C45D7">
        <w:t>and</w:t>
      </w:r>
      <w:r w:rsidR="00FA6558" w:rsidRPr="001C45D7">
        <w:t xml:space="preserve"> </w:t>
      </w:r>
      <w:r w:rsidRPr="001C45D7">
        <w:t>duties</w:t>
      </w:r>
      <w:r w:rsidR="00FA6558" w:rsidRPr="001C45D7">
        <w:t xml:space="preserve"> </w:t>
      </w:r>
      <w:r w:rsidRPr="001C45D7">
        <w:t>of</w:t>
      </w:r>
      <w:r w:rsidR="00FA6558" w:rsidRPr="001C45D7">
        <w:t xml:space="preserve"> </w:t>
      </w:r>
      <w:r w:rsidRPr="001C45D7">
        <w:t>exchange</w:t>
      </w:r>
      <w:r w:rsidR="00FA6558" w:rsidRPr="001C45D7">
        <w:t xml:space="preserve"> </w:t>
      </w:r>
      <w:r w:rsidRPr="001C45D7">
        <w:t>partners</w:t>
      </w:r>
      <w:r w:rsidR="00FA6558" w:rsidRPr="001C45D7">
        <w:t xml:space="preserve"> </w:t>
      </w:r>
      <w:r w:rsidRPr="001C45D7">
        <w:fldChar w:fldCharType="begin" w:fldLock="1"/>
      </w:r>
      <w:r w:rsidRPr="001C45D7">
        <w:instrText>ADDIN CSL_CITATION {"citationItems":[{"id":"ITEM-1","itemData":{"author":[{"dropping-particle":"","family":"Artz","given":"Kendall W","non-dropping-particle":"","parse-names":false,"suffix":""},{"dropping-particle":"","family":"Brush","given":"Thomas H","non-dropping-particle":"","parse-names":false,"suffix":""}],"container-title":"Journal of Economic Behavior &amp; Organization","id":"ITEM-1","issue":"4","issued":{"date-parts":[["2000"]]},"page":"337-362","title":"Asset specificity, uncertainty and relational norms: an examination of coordination costs in collaborative strategic alliances","type":"article-journal","volume":"41"},"uris":["http://www.mendeley.com/documents/?uuid=96474597-8154-467e-84db-dd7566d76f27"]},{"id":"ITEM-2","itemData":{"DOI":"10.1016/j.jom.2012.03.005","ISSN":"02726963","abstract":"This paper theoretically refines and empirically extends the debate on the type of interplay between relational experience and contractual governance in an under-researched area: supply chain disputes. We define relational experience as either cooperative or competitive; distinguish between control and coordination functions of contractual governance; and assess their interplay on the negotiation strategy used in disputes. Using a unique data set of buyer-supplier disputes, we find, in particular that increasing contractual control governance weakens the positive effect of cooperative relational experience on cooperative negotiation strategy. However, increasing contractual control governance for a buyer-supplier dyad with competitive relational experience will increase cooperative negotiation strategy. Contractual coordination governance reinforces the positive effect of cooperative relational experience. Through this study, we reach a better understanding of how and when contractual and relational governance dimensions interact; rather than whether they act as substitutes or complements as has been studied in prior research. We discuss the implications of these findings for the field of supply chain management. © 2012 Elsevier B.V. All rights reserved.","author":[{"dropping-particle":"","family":"Lumineau","given":"Fabrice","non-dropping-particle":"","parse-names":false,"suffix":""},{"dropping-particle":"","family":"Henderson","given":"James E.","non-dropping-particle":"","parse-names":false,"suffix":""}],"container-title":"Journal of Operations Management","id":"ITEM-2","issue":"5","issued":{"date-parts":[["2012","7"]]},"page":"382-395","title":"The influence of relational experience and contractual governance on the negotiation strategy in buyer-supplier disputes","type":"article-journal","volume":"30"},"uris":["http://www.mendeley.com/documents/?uuid=e73b9f24-77c1-3a43-a413-26166676ef38"]}],"mendeley":{"formattedCitation":"(Artz and Brush, 2000; Lumineau and Henderson, 2012)","plainTextFormattedCitation":"(Artz and Brush, 2000; Lumineau and Henderson, 2012)","previouslyFormattedCitation":"(Artz and Brush, 2000; Lumineau and Henderson, 2012)"},"properties":{"noteIndex":0},"schema":"https://github.com/citation-style-language/schema/raw/master/csl-citation.json"}</w:instrText>
      </w:r>
      <w:r w:rsidRPr="001C45D7">
        <w:fldChar w:fldCharType="separate"/>
      </w:r>
      <w:r w:rsidRPr="001C45D7">
        <w:rPr>
          <w:noProof/>
        </w:rPr>
        <w:t>(Artz</w:t>
      </w:r>
      <w:r w:rsidR="00FA6558" w:rsidRPr="001C45D7">
        <w:rPr>
          <w:noProof/>
        </w:rPr>
        <w:t xml:space="preserve"> </w:t>
      </w:r>
      <w:r w:rsidRPr="001C45D7">
        <w:rPr>
          <w:noProof/>
        </w:rPr>
        <w:t>and</w:t>
      </w:r>
      <w:r w:rsidR="00FA6558" w:rsidRPr="001C45D7">
        <w:rPr>
          <w:noProof/>
        </w:rPr>
        <w:t xml:space="preserve"> </w:t>
      </w:r>
      <w:r w:rsidRPr="001C45D7">
        <w:rPr>
          <w:noProof/>
        </w:rPr>
        <w:t>Brush,</w:t>
      </w:r>
      <w:r w:rsidR="00FA6558" w:rsidRPr="001C45D7">
        <w:rPr>
          <w:noProof/>
        </w:rPr>
        <w:t xml:space="preserve"> </w:t>
      </w:r>
      <w:r w:rsidRPr="001C45D7">
        <w:rPr>
          <w:noProof/>
        </w:rPr>
        <w:t>2000;</w:t>
      </w:r>
      <w:r w:rsidR="00FA6558" w:rsidRPr="001C45D7">
        <w:rPr>
          <w:noProof/>
        </w:rPr>
        <w:t xml:space="preserve"> </w:t>
      </w:r>
      <w:r w:rsidRPr="001C45D7">
        <w:rPr>
          <w:noProof/>
        </w:rPr>
        <w:t>Lumineau</w:t>
      </w:r>
      <w:r w:rsidR="00FA6558" w:rsidRPr="001C45D7">
        <w:rPr>
          <w:noProof/>
        </w:rPr>
        <w:t xml:space="preserve"> </w:t>
      </w:r>
      <w:r w:rsidRPr="001C45D7">
        <w:rPr>
          <w:noProof/>
        </w:rPr>
        <w:t>and</w:t>
      </w:r>
      <w:r w:rsidR="00FA6558" w:rsidRPr="001C45D7">
        <w:rPr>
          <w:noProof/>
        </w:rPr>
        <w:t xml:space="preserve"> </w:t>
      </w:r>
      <w:r w:rsidRPr="001C45D7">
        <w:rPr>
          <w:noProof/>
        </w:rPr>
        <w:t>Henderson,</w:t>
      </w:r>
      <w:r w:rsidR="00FA6558" w:rsidRPr="001C45D7">
        <w:rPr>
          <w:noProof/>
        </w:rPr>
        <w:t xml:space="preserve"> </w:t>
      </w:r>
      <w:r w:rsidRPr="001C45D7">
        <w:rPr>
          <w:noProof/>
        </w:rPr>
        <w:t>2012)</w:t>
      </w:r>
      <w:r w:rsidRPr="001C45D7">
        <w:fldChar w:fldCharType="end"/>
      </w:r>
      <w:r w:rsidR="00537083" w:rsidRPr="001C45D7">
        <w:t>,</w:t>
      </w:r>
      <w:r w:rsidR="00FA6558" w:rsidRPr="001C45D7">
        <w:t xml:space="preserve"> </w:t>
      </w:r>
      <w:r w:rsidR="00143AE8" w:rsidRPr="001C45D7">
        <w:t xml:space="preserve">and </w:t>
      </w:r>
      <w:r w:rsidRPr="001C45D7">
        <w:t>(2)</w:t>
      </w:r>
      <w:r w:rsidR="00FA6558" w:rsidRPr="001C45D7">
        <w:t xml:space="preserve"> </w:t>
      </w:r>
      <w:r w:rsidRPr="001C45D7">
        <w:t>legal</w:t>
      </w:r>
      <w:r w:rsidR="00FA6558" w:rsidRPr="001C45D7">
        <w:t xml:space="preserve"> </w:t>
      </w:r>
      <w:r w:rsidRPr="001C45D7">
        <w:t>penalt</w:t>
      </w:r>
      <w:r w:rsidR="00143AE8" w:rsidRPr="001C45D7">
        <w:t>ies</w:t>
      </w:r>
      <w:r w:rsidR="00FA6558" w:rsidRPr="001C45D7">
        <w:t xml:space="preserve"> </w:t>
      </w:r>
      <w:r w:rsidR="00143AE8" w:rsidRPr="001C45D7">
        <w:t xml:space="preserve">for </w:t>
      </w:r>
      <w:r w:rsidRPr="001C45D7">
        <w:t>opportunistic</w:t>
      </w:r>
      <w:r w:rsidR="00FA6558" w:rsidRPr="001C45D7">
        <w:t xml:space="preserve"> </w:t>
      </w:r>
      <w:r w:rsidRPr="001C45D7">
        <w:t>behaviours</w:t>
      </w:r>
      <w:r w:rsidR="00FA6558" w:rsidRPr="001C45D7">
        <w:t xml:space="preserve"> </w:t>
      </w:r>
      <w:r w:rsidRPr="001C45D7">
        <w:fldChar w:fldCharType="begin" w:fldLock="1"/>
      </w:r>
      <w:r w:rsidR="00433778" w:rsidRPr="001C45D7">
        <w:instrText>ADDIN CSL_CITATION {"citationItems":[{"id":"ITEM-1","itemData":{"DOI":"10.1057/jibs.2012.11","ISSN":"00472506","abstract":"Interfirm relationships among partners from institutionally distant environments are subject to governance difficulties, owing to the paucity of shared cognitive and regulatory frameworks. We examine the potential of formal contracting and relational governance developed at the partnership level to overcome the formal and informal institutional gap at the country level. Empirical results from a sample of 184 international partnerships of large US firms support an overall substitutive relationship between informal institutional frameworks and interorganizational relational arrangements whereby the performance benefits of relational governance are reinforced at higher degrees of informal institutional distance. Contrastingly, formal institutional frameworks and contractual governance are found to have a complementary relationship, with performance gains from formal contracting undermined at higher degrees of formal distance. © 2012 Academy of International Business All rights reserved.","author":[{"dropping-particle":"","family":"Abdi","given":"Majid","non-dropping-particle":"","parse-names":false,"suffix":""},{"dropping-particle":"","family":"Aulakh","given":"Preet S.","non-dropping-particle":"","parse-names":false,"suffix":""}],"container-title":"Journal of International Business Studies","id":"ITEM-1","issue":"5","issued":{"date-parts":[["2012","6"]]},"page":"477-497","title":"Do country-level institutional frameworks and interfirm governance arrangements substitute or complement in international business relationships","type":"article-journal","volume":"43"},"uris":["http://www.mendeley.com/documents/?uuid=16985b16-b9c3-4503-af6a-09037547b237"]},{"id":"ITEM-2","itemData":{"DOI":"10.1057/palgrave.jibs.8400125","ISSN":"00472506","abstract":"This study examines how transactional characteristics and the institutional environment influence contractual governance for international joint ventures (IJVs). Unlike previous studies that view joint venture contractual governance as a unidimensional construct (clause specificity), thus causing a debate upon whether IJV contracts should be more specific, contractual governance herein is defined as a three-dimensional construct that includes the extent to which contractual terms are clearly specified (term specificity), possible contingencies are accounted for (contingency adaptability), and joint venture parties are legally bound to the contract (contractual obligatoriness). Our analysis of IJVs in China suggests that term specificity and contractual obligatoriness increase when the proprietariness of resources to be invested in the IJV or the incompleteness of the host country's legal system increase. Contractual obligatoriness appears to be an increasing function of economic exposure and environmental volatility, whereas contingency adaptability in a contract rises when interparty dependency, investment uncertainty, and knowledge proprietariness intensify or when environmental hazards escalate. These results suggest that an IJV contract, if structured multidimensionally as above, can curtail opportunism and guide venture evolution at the same time. These contractual dimensions should not be prefixed but properly aligned with transactional and institutional characteristics. This alignment has strong implications in reducing transaction costs and spurring IJV evolution in the complex and volatile institutional environment. © 2005 Palgrave Macmillan Ltd. All rights reserved.","author":[{"dropping-particle":"","family":"Luo","given":"Yadong","non-dropping-particle":"","parse-names":false,"suffix":""}],"container-title":"Journal of International Business Studies","id":"ITEM-2","issue":"2","issued":{"date-parts":[["2005","3"]]},"page":"209-230","title":"Transactional characteristics, institutional environment and joint venture contracts","type":"article-journal","volume":"36"},"uris":["http://www.mendeley.com/documents/?uuid=9fe96315-2840-3b76-a0bf-94efcf5637de"]}],"mendeley":{"formattedCitation":"(Abdi and Aulakh, 2012; Luo, 2005)","manualFormatting":"( Luo, 2005)","plainTextFormattedCitation":"(Abdi and Aulakh, 2012; Luo, 2005)","previouslyFormattedCitation":"(Abdi and Aulakh, 2012; Luo, 2005)"},"properties":{"noteIndex":0},"schema":"https://github.com/citation-style-language/schema/raw/master/csl-citation.json"}</w:instrText>
      </w:r>
      <w:r w:rsidRPr="001C45D7">
        <w:fldChar w:fldCharType="separate"/>
      </w:r>
      <w:r w:rsidR="004A2B48" w:rsidRPr="001C45D7">
        <w:rPr>
          <w:noProof/>
        </w:rPr>
        <w:t>(Luo, 2005)</w:t>
      </w:r>
      <w:r w:rsidRPr="001C45D7">
        <w:fldChar w:fldCharType="end"/>
      </w:r>
      <w:r w:rsidR="00FA6558" w:rsidRPr="001C45D7">
        <w:t xml:space="preserve"> </w:t>
      </w:r>
      <w:r w:rsidRPr="001C45D7">
        <w:t>would</w:t>
      </w:r>
      <w:r w:rsidR="00FA6558" w:rsidRPr="001C45D7">
        <w:t xml:space="preserve"> </w:t>
      </w:r>
      <w:r w:rsidRPr="001C45D7">
        <w:t>reduce</w:t>
      </w:r>
      <w:r w:rsidR="00FA6558" w:rsidRPr="001C45D7">
        <w:t xml:space="preserve"> </w:t>
      </w:r>
      <w:r w:rsidRPr="001C45D7">
        <w:t>the</w:t>
      </w:r>
      <w:r w:rsidR="00FA6558" w:rsidRPr="001C45D7">
        <w:t xml:space="preserve"> </w:t>
      </w:r>
      <w:r w:rsidRPr="001C45D7">
        <w:t>likelihood</w:t>
      </w:r>
      <w:r w:rsidR="00FA6558" w:rsidRPr="001C45D7">
        <w:t xml:space="preserve"> </w:t>
      </w:r>
      <w:r w:rsidRPr="001C45D7">
        <w:t>of</w:t>
      </w:r>
      <w:r w:rsidR="00FA6558" w:rsidRPr="001C45D7">
        <w:t xml:space="preserve"> </w:t>
      </w:r>
      <w:r w:rsidRPr="001C45D7">
        <w:t>the</w:t>
      </w:r>
      <w:r w:rsidR="00FA6558" w:rsidRPr="001C45D7">
        <w:t xml:space="preserve"> </w:t>
      </w:r>
      <w:r w:rsidRPr="001C45D7">
        <w:t>large</w:t>
      </w:r>
      <w:r w:rsidR="00FA6558" w:rsidRPr="001C45D7">
        <w:t xml:space="preserve"> </w:t>
      </w:r>
      <w:r w:rsidRPr="001C45D7">
        <w:t>and</w:t>
      </w:r>
      <w:r w:rsidR="00FA6558" w:rsidRPr="001C45D7">
        <w:t xml:space="preserve"> </w:t>
      </w:r>
      <w:r w:rsidRPr="001C45D7">
        <w:t>more</w:t>
      </w:r>
      <w:r w:rsidR="00FA6558" w:rsidRPr="001C45D7">
        <w:t xml:space="preserve"> </w:t>
      </w:r>
      <w:r w:rsidR="00807C77" w:rsidRPr="001C45D7">
        <w:t xml:space="preserve">digitally </w:t>
      </w:r>
      <w:r w:rsidRPr="001C45D7">
        <w:t>capable</w:t>
      </w:r>
      <w:r w:rsidR="00FA6558" w:rsidRPr="001C45D7">
        <w:t xml:space="preserve"> </w:t>
      </w:r>
      <w:r w:rsidRPr="001C45D7">
        <w:t>buyer</w:t>
      </w:r>
      <w:r w:rsidR="00FA6558" w:rsidRPr="001C45D7">
        <w:t xml:space="preserve"> </w:t>
      </w:r>
      <w:r w:rsidRPr="001C45D7">
        <w:t>taking</w:t>
      </w:r>
      <w:r w:rsidR="00FA6558" w:rsidRPr="001C45D7">
        <w:t xml:space="preserve"> </w:t>
      </w:r>
      <w:r w:rsidRPr="001C45D7">
        <w:t>advantage</w:t>
      </w:r>
      <w:r w:rsidR="00FA6558" w:rsidRPr="001C45D7">
        <w:t xml:space="preserve"> </w:t>
      </w:r>
      <w:r w:rsidRPr="001C45D7">
        <w:t>of</w:t>
      </w:r>
      <w:r w:rsidR="00FA6558" w:rsidRPr="001C45D7">
        <w:t xml:space="preserve"> </w:t>
      </w:r>
      <w:r w:rsidRPr="001C45D7">
        <w:t>the</w:t>
      </w:r>
      <w:r w:rsidR="00FA6558" w:rsidRPr="001C45D7">
        <w:t xml:space="preserve"> </w:t>
      </w:r>
      <w:r w:rsidRPr="001C45D7">
        <w:t>widened</w:t>
      </w:r>
      <w:r w:rsidR="00FA6558" w:rsidRPr="001C45D7">
        <w:t xml:space="preserve"> </w:t>
      </w:r>
      <w:r w:rsidRPr="001C45D7">
        <w:t>dependence</w:t>
      </w:r>
      <w:r w:rsidR="00FA6558" w:rsidRPr="001C45D7">
        <w:t xml:space="preserve"> </w:t>
      </w:r>
      <w:r w:rsidRPr="001C45D7">
        <w:t>gap</w:t>
      </w:r>
      <w:r w:rsidR="00FA6558" w:rsidRPr="001C45D7">
        <w:t xml:space="preserve"> </w:t>
      </w:r>
      <w:r w:rsidR="00BD521D" w:rsidRPr="001C45D7">
        <w:t xml:space="preserve">and </w:t>
      </w:r>
      <w:r w:rsidRPr="001C45D7">
        <w:t>behaving</w:t>
      </w:r>
      <w:r w:rsidR="00FA6558" w:rsidRPr="001C45D7">
        <w:t xml:space="preserve"> </w:t>
      </w:r>
      <w:r w:rsidRPr="001C45D7">
        <w:t>opportunistically.</w:t>
      </w:r>
      <w:r w:rsidR="00FA6558" w:rsidRPr="001C45D7">
        <w:t xml:space="preserve"> </w:t>
      </w:r>
    </w:p>
    <w:p w14:paraId="6DD9406E" w14:textId="22ED9AB2" w:rsidR="00960BB6" w:rsidRPr="001C45D7" w:rsidRDefault="00960BB6" w:rsidP="00566B02">
      <w:pPr>
        <w:pStyle w:val="BodyText"/>
      </w:pPr>
      <w:r w:rsidRPr="001C45D7">
        <w:t>Second,</w:t>
      </w:r>
      <w:r w:rsidR="00FA6558" w:rsidRPr="001C45D7">
        <w:t xml:space="preserve"> </w:t>
      </w:r>
      <w:r w:rsidRPr="001C45D7">
        <w:t>supply</w:t>
      </w:r>
      <w:r w:rsidR="00FA6558" w:rsidRPr="001C45D7">
        <w:t xml:space="preserve"> </w:t>
      </w:r>
      <w:r w:rsidRPr="001C45D7">
        <w:t>chain</w:t>
      </w:r>
      <w:r w:rsidR="00FA6558" w:rsidRPr="001C45D7">
        <w:t xml:space="preserve"> </w:t>
      </w:r>
      <w:r w:rsidRPr="001C45D7">
        <w:t>digitalisation</w:t>
      </w:r>
      <w:r w:rsidR="00FA6558" w:rsidRPr="001C45D7">
        <w:t xml:space="preserve"> </w:t>
      </w:r>
      <w:r w:rsidRPr="001C45D7">
        <w:t>can</w:t>
      </w:r>
      <w:r w:rsidR="00FA6558" w:rsidRPr="001C45D7">
        <w:t xml:space="preserve"> </w:t>
      </w:r>
      <w:r w:rsidRPr="001C45D7">
        <w:t>potentially</w:t>
      </w:r>
      <w:r w:rsidR="00FA6558" w:rsidRPr="001C45D7">
        <w:t xml:space="preserve"> </w:t>
      </w:r>
      <w:r w:rsidRPr="001C45D7">
        <w:t>create</w:t>
      </w:r>
      <w:r w:rsidR="00FA6558" w:rsidRPr="001C45D7">
        <w:t xml:space="preserve"> </w:t>
      </w:r>
      <w:r w:rsidRPr="001C45D7">
        <w:t>a</w:t>
      </w:r>
      <w:r w:rsidR="00FA6558" w:rsidRPr="001C45D7">
        <w:t xml:space="preserve"> </w:t>
      </w:r>
      <w:r w:rsidRPr="001C45D7">
        <w:t>huge</w:t>
      </w:r>
      <w:r w:rsidR="00FA6558" w:rsidRPr="001C45D7">
        <w:t xml:space="preserve"> </w:t>
      </w:r>
      <w:r w:rsidRPr="001C45D7">
        <w:t>amount</w:t>
      </w:r>
      <w:r w:rsidR="00FA6558" w:rsidRPr="001C45D7">
        <w:t xml:space="preserve"> </w:t>
      </w:r>
      <w:r w:rsidRPr="001C45D7">
        <w:t>of</w:t>
      </w:r>
      <w:r w:rsidR="00FA6558" w:rsidRPr="001C45D7">
        <w:t xml:space="preserve"> </w:t>
      </w:r>
      <w:r w:rsidRPr="001C45D7">
        <w:t>uncertainty</w:t>
      </w:r>
      <w:r w:rsidR="00FA6558" w:rsidRPr="001C45D7">
        <w:t xml:space="preserve"> </w:t>
      </w:r>
      <w:r w:rsidRPr="001C45D7">
        <w:t>in</w:t>
      </w:r>
      <w:r w:rsidR="00FA6558" w:rsidRPr="001C45D7">
        <w:t xml:space="preserve"> </w:t>
      </w:r>
      <w:r w:rsidRPr="001C45D7">
        <w:t>a</w:t>
      </w:r>
      <w:r w:rsidR="00FA6558" w:rsidRPr="001C45D7">
        <w:t xml:space="preserve"> </w:t>
      </w:r>
      <w:r w:rsidRPr="001C45D7">
        <w:t>buyer</w:t>
      </w:r>
      <w:r w:rsidR="00063A44" w:rsidRPr="001C45D7">
        <w:t>–</w:t>
      </w:r>
      <w:r w:rsidRPr="001C45D7">
        <w:t>supplier</w:t>
      </w:r>
      <w:r w:rsidR="00FA6558" w:rsidRPr="001C45D7">
        <w:t xml:space="preserve"> </w:t>
      </w:r>
      <w:r w:rsidRPr="001C45D7">
        <w:t>relationship</w:t>
      </w:r>
      <w:r w:rsidR="00063A44" w:rsidRPr="001C45D7">
        <w:t>,</w:t>
      </w:r>
      <w:r w:rsidR="00FA6558" w:rsidRPr="001C45D7">
        <w:t xml:space="preserve"> </w:t>
      </w:r>
      <w:r w:rsidRPr="001C45D7">
        <w:t>and</w:t>
      </w:r>
      <w:r w:rsidR="00FA6558" w:rsidRPr="001C45D7">
        <w:t xml:space="preserve"> </w:t>
      </w:r>
      <w:r w:rsidRPr="001C45D7">
        <w:t>such</w:t>
      </w:r>
      <w:r w:rsidR="00FA6558" w:rsidRPr="001C45D7">
        <w:t xml:space="preserve"> </w:t>
      </w:r>
      <w:r w:rsidRPr="001C45D7">
        <w:t>uncertainty</w:t>
      </w:r>
      <w:r w:rsidR="00FA6558" w:rsidRPr="001C45D7">
        <w:t xml:space="preserve"> </w:t>
      </w:r>
      <w:r w:rsidR="00063A44" w:rsidRPr="001C45D7">
        <w:t xml:space="preserve">may </w:t>
      </w:r>
      <w:r w:rsidRPr="001C45D7">
        <w:t>increase</w:t>
      </w:r>
      <w:r w:rsidR="00FA6558" w:rsidRPr="001C45D7">
        <w:t xml:space="preserve"> </w:t>
      </w:r>
      <w:r w:rsidRPr="001C45D7">
        <w:t>a</w:t>
      </w:r>
      <w:r w:rsidR="00FA6558" w:rsidRPr="001C45D7">
        <w:t xml:space="preserve"> </w:t>
      </w:r>
      <w:r w:rsidRPr="001C45D7">
        <w:t>partner’s</w:t>
      </w:r>
      <w:r w:rsidR="00FA6558" w:rsidRPr="001C45D7">
        <w:t xml:space="preserve"> </w:t>
      </w:r>
      <w:r w:rsidRPr="001C45D7">
        <w:t>opportunistic</w:t>
      </w:r>
      <w:r w:rsidR="00FA6558" w:rsidRPr="001C45D7">
        <w:t xml:space="preserve"> </w:t>
      </w:r>
      <w:r w:rsidRPr="001C45D7">
        <w:t>behaviour</w:t>
      </w:r>
      <w:r w:rsidR="00D55EE8" w:rsidRPr="001C45D7">
        <w:t>,</w:t>
      </w:r>
      <w:r w:rsidR="00FA6558" w:rsidRPr="001C45D7">
        <w:t xml:space="preserve"> </w:t>
      </w:r>
      <w:r w:rsidRPr="001C45D7">
        <w:t>since</w:t>
      </w:r>
      <w:r w:rsidR="00FA6558" w:rsidRPr="001C45D7">
        <w:t xml:space="preserve"> </w:t>
      </w:r>
      <w:r w:rsidRPr="001C45D7">
        <w:t>it</w:t>
      </w:r>
      <w:r w:rsidR="00FA6558" w:rsidRPr="001C45D7">
        <w:t xml:space="preserve"> </w:t>
      </w:r>
      <w:r w:rsidR="00D55EE8" w:rsidRPr="001C45D7">
        <w:t xml:space="preserve">can </w:t>
      </w:r>
      <w:r w:rsidR="00143AE8" w:rsidRPr="001C45D7">
        <w:t xml:space="preserve">enable </w:t>
      </w:r>
      <w:r w:rsidRPr="001C45D7">
        <w:t>some</w:t>
      </w:r>
      <w:r w:rsidR="00FA6558" w:rsidRPr="001C45D7">
        <w:t xml:space="preserve"> </w:t>
      </w:r>
      <w:r w:rsidRPr="001C45D7">
        <w:t>opportunism</w:t>
      </w:r>
      <w:r w:rsidR="00FA6558" w:rsidRPr="001C45D7">
        <w:t xml:space="preserve"> </w:t>
      </w:r>
      <w:r w:rsidR="00143AE8" w:rsidRPr="001C45D7">
        <w:t xml:space="preserve">to </w:t>
      </w:r>
      <w:r w:rsidRPr="001C45D7">
        <w:t>go</w:t>
      </w:r>
      <w:r w:rsidR="00FA6558" w:rsidRPr="001C45D7">
        <w:t xml:space="preserve"> </w:t>
      </w:r>
      <w:r w:rsidRPr="001C45D7">
        <w:t>unnoticed,</w:t>
      </w:r>
      <w:r w:rsidR="00FA6558" w:rsidRPr="001C45D7">
        <w:t xml:space="preserve"> </w:t>
      </w:r>
      <w:r w:rsidRPr="001C45D7">
        <w:t>therefore</w:t>
      </w:r>
      <w:r w:rsidR="00FA6558" w:rsidRPr="001C45D7">
        <w:t xml:space="preserve"> </w:t>
      </w:r>
      <w:r w:rsidRPr="001C45D7">
        <w:t>reducing</w:t>
      </w:r>
      <w:r w:rsidR="00FA6558" w:rsidRPr="001C45D7">
        <w:t xml:space="preserve"> </w:t>
      </w:r>
      <w:r w:rsidR="00143AE8" w:rsidRPr="001C45D7">
        <w:t xml:space="preserve">the </w:t>
      </w:r>
      <w:r w:rsidRPr="001C45D7">
        <w:t>chance</w:t>
      </w:r>
      <w:r w:rsidR="00FA6558" w:rsidRPr="001C45D7">
        <w:t xml:space="preserve"> </w:t>
      </w:r>
      <w:r w:rsidRPr="001C45D7">
        <w:t>of</w:t>
      </w:r>
      <w:r w:rsidR="00FA6558" w:rsidRPr="001C45D7">
        <w:t xml:space="preserve"> </w:t>
      </w:r>
      <w:r w:rsidRPr="001C45D7">
        <w:t>sanctions</w:t>
      </w:r>
      <w:r w:rsidR="00FA6558" w:rsidRPr="001C45D7">
        <w:t xml:space="preserve"> </w:t>
      </w:r>
      <w:r w:rsidRPr="001C45D7">
        <w:t>(Carson</w:t>
      </w:r>
      <w:r w:rsidR="00FA6558" w:rsidRPr="001C45D7">
        <w:t xml:space="preserve"> </w:t>
      </w:r>
      <w:r w:rsidRPr="001C45D7">
        <w:rPr>
          <w:i/>
        </w:rPr>
        <w:t>et</w:t>
      </w:r>
      <w:r w:rsidR="00FA6558" w:rsidRPr="001C45D7">
        <w:rPr>
          <w:i/>
        </w:rPr>
        <w:t xml:space="preserve"> </w:t>
      </w:r>
      <w:r w:rsidRPr="001C45D7">
        <w:rPr>
          <w:i/>
        </w:rPr>
        <w:t>al</w:t>
      </w:r>
      <w:r w:rsidRPr="001C45D7">
        <w:t>.,</w:t>
      </w:r>
      <w:r w:rsidR="00FA6558" w:rsidRPr="001C45D7">
        <w:t xml:space="preserve"> </w:t>
      </w:r>
      <w:r w:rsidRPr="001C45D7">
        <w:t>2006).</w:t>
      </w:r>
      <w:r w:rsidR="00FA6558" w:rsidRPr="001C45D7">
        <w:t xml:space="preserve"> </w:t>
      </w:r>
      <w:r w:rsidRPr="001C45D7">
        <w:t>A</w:t>
      </w:r>
      <w:r w:rsidR="00FA6558" w:rsidRPr="001C45D7">
        <w:t xml:space="preserve"> </w:t>
      </w:r>
      <w:r w:rsidRPr="001C45D7">
        <w:t>contract</w:t>
      </w:r>
      <w:r w:rsidR="00FA6558" w:rsidRPr="001C45D7">
        <w:t xml:space="preserve"> </w:t>
      </w:r>
      <w:r w:rsidRPr="001C45D7">
        <w:t>with</w:t>
      </w:r>
      <w:r w:rsidR="00FA6558" w:rsidRPr="001C45D7">
        <w:t xml:space="preserve"> </w:t>
      </w:r>
      <w:r w:rsidR="00143AE8" w:rsidRPr="001C45D7">
        <w:t xml:space="preserve">a </w:t>
      </w:r>
      <w:r w:rsidRPr="001C45D7">
        <w:t>detailed</w:t>
      </w:r>
      <w:r w:rsidR="00FA6558" w:rsidRPr="001C45D7">
        <w:t xml:space="preserve"> </w:t>
      </w:r>
      <w:r w:rsidRPr="001C45D7">
        <w:t>process</w:t>
      </w:r>
      <w:r w:rsidR="00FA6558" w:rsidRPr="001C45D7">
        <w:t xml:space="preserve"> </w:t>
      </w:r>
      <w:r w:rsidR="00C82018" w:rsidRPr="001C45D7">
        <w:t xml:space="preserve">for </w:t>
      </w:r>
      <w:r w:rsidRPr="001C45D7">
        <w:t>resolving</w:t>
      </w:r>
      <w:r w:rsidR="00FA6558" w:rsidRPr="001C45D7">
        <w:t xml:space="preserve"> </w:t>
      </w:r>
      <w:r w:rsidRPr="001C45D7">
        <w:t>foreseeable</w:t>
      </w:r>
      <w:r w:rsidR="00FA6558" w:rsidRPr="001C45D7">
        <w:t xml:space="preserve"> </w:t>
      </w:r>
      <w:r w:rsidR="00664BAE" w:rsidRPr="001C45D7">
        <w:t>and</w:t>
      </w:r>
      <w:r w:rsidR="00FA6558" w:rsidRPr="001C45D7">
        <w:t xml:space="preserve"> </w:t>
      </w:r>
      <w:r w:rsidRPr="001C45D7">
        <w:t>unforeseen</w:t>
      </w:r>
      <w:r w:rsidR="00FA6558" w:rsidRPr="001C45D7">
        <w:t xml:space="preserve"> </w:t>
      </w:r>
      <w:r w:rsidRPr="001C45D7">
        <w:t>problems</w:t>
      </w:r>
      <w:r w:rsidR="00FA6558" w:rsidRPr="001C45D7">
        <w:t xml:space="preserve"> </w:t>
      </w:r>
      <w:r w:rsidRPr="001C45D7">
        <w:t>would</w:t>
      </w:r>
      <w:r w:rsidR="00FA6558" w:rsidRPr="001C45D7">
        <w:t xml:space="preserve"> </w:t>
      </w:r>
      <w:r w:rsidRPr="001C45D7">
        <w:t>facilitate</w:t>
      </w:r>
      <w:r w:rsidR="00FA6558" w:rsidRPr="001C45D7">
        <w:t xml:space="preserve"> </w:t>
      </w:r>
      <w:r w:rsidRPr="001C45D7">
        <w:t>SME</w:t>
      </w:r>
      <w:r w:rsidR="00FA6558" w:rsidRPr="001C45D7">
        <w:t xml:space="preserve"> </w:t>
      </w:r>
      <w:r w:rsidRPr="001C45D7">
        <w:t>suppliers’</w:t>
      </w:r>
      <w:r w:rsidR="00FA6558" w:rsidRPr="001C45D7">
        <w:t xml:space="preserve"> </w:t>
      </w:r>
      <w:r w:rsidRPr="001C45D7">
        <w:t>efforts</w:t>
      </w:r>
      <w:r w:rsidR="00FA6558" w:rsidRPr="001C45D7">
        <w:t xml:space="preserve"> </w:t>
      </w:r>
      <w:r w:rsidR="00A317B3" w:rsidRPr="001C45D7">
        <w:t xml:space="preserve">to </w:t>
      </w:r>
      <w:r w:rsidRPr="001C45D7">
        <w:t>monitor</w:t>
      </w:r>
      <w:r w:rsidR="00FA6558" w:rsidRPr="001C45D7">
        <w:t xml:space="preserve"> </w:t>
      </w:r>
      <w:r w:rsidRPr="001C45D7">
        <w:t>and</w:t>
      </w:r>
      <w:r w:rsidR="00FA6558" w:rsidRPr="001C45D7">
        <w:t xml:space="preserve"> </w:t>
      </w:r>
      <w:r w:rsidRPr="001C45D7">
        <w:t>detect</w:t>
      </w:r>
      <w:r w:rsidR="00FA6558" w:rsidRPr="001C45D7">
        <w:t xml:space="preserve"> </w:t>
      </w:r>
      <w:r w:rsidRPr="001C45D7">
        <w:t>buyers’</w:t>
      </w:r>
      <w:r w:rsidR="00FA6558" w:rsidRPr="001C45D7">
        <w:t xml:space="preserve"> </w:t>
      </w:r>
      <w:r w:rsidRPr="001C45D7">
        <w:t>opportunistic</w:t>
      </w:r>
      <w:r w:rsidR="00FA6558" w:rsidRPr="001C45D7">
        <w:t xml:space="preserve"> </w:t>
      </w:r>
      <w:r w:rsidRPr="001C45D7">
        <w:t>behaviours</w:t>
      </w:r>
      <w:r w:rsidR="00FA6558" w:rsidRPr="001C45D7">
        <w:t xml:space="preserve"> </w:t>
      </w:r>
      <w:r w:rsidRPr="001C45D7">
        <w:fldChar w:fldCharType="begin" w:fldLock="1"/>
      </w:r>
      <w:r w:rsidR="004A2B48" w:rsidRPr="001C45D7">
        <w:instrText>ADDIN CSL_CITATION {"citationItems":[{"id":"ITEM-1","itemData":{"DOI":"10.5465/AMJ.2006.22798187","ISSN":"00014273","abstract":"Comparing the effectiveness of contractual and relational governance in constraining opportunism under conditions of volatility and ambiguity, we hypothesize that relational contracts will be robust to volatility but not to ambiguity, whereas formal contracts will be robust to ambiguity but not to volatility. Data from 125 interorganizational relationships involving R&amp;D for new-product development support these hypotheses. Our findings suggest that formal and relational contracts each have advantages and disadvantages in specific situations and are not simply substitutes. Our results challenge the view that relational contracts are resistant to opportunism. A revised comparative governance schema is theorized for future research. © Academy of Management Journal.","author":[{"dropping-particle":"","family":"Carson","given":"Stephen J.","non-dropping-particle":"","parse-names":false,"suffix":""},{"dropping-particle":"","family":"Madhok","given":"Anoop","non-dropping-particle":"","parse-names":false,"suffix":""},{"dropping-particle":"","family":"Tao","given":"Wu","non-dropping-particle":"","parse-names":false,"suffix":""}],"container-title":"Academy of Management Journal","id":"ITEM-1","issue":"5","issued":{"date-parts":[["2006"]]},"page":"1058-1077","publisher":"Academy of Management","title":"Uncertainty, opportunism, and governance: The effects of volatility and ambiguity on formal and relational contracting","type":"article-journal","volume":"49"},"uris":["http://www.mendeley.com/documents/?uuid=203ee1ac-6b66-34b1-9bed-5efa539a6006"]},{"id":"ITEM-2","itemData":{"DOI":"10.1002/smj.249","ISSN":"01432095","abstract":"Relational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Journal","id":"ITEM-2","issue":"8","issued":{"date-parts":[["2002","8"]]},"page":"707-725","title":"Do formal contracts and relational governance function as substitutes or complements?","type":"article-journal","volume":"23"},"uris":["http://www.mendeley.com/documents/?uuid=0f5b4bc5-de16-3976-800b-d5afcee477cc"]}],"mendeley":{"formattedCitation":"(Carson &lt;i&gt;et al.&lt;/i&gt;, 2006; Poppo and Zenger, 2002)","manualFormatting":"(Poppo and Zenger, 2002; Carson et al., 2006)","plainTextFormattedCitation":"(Carson et al., 2006; Poppo and Zenger, 2002)","previouslyFormattedCitation":"(Carson &lt;i&gt;et al.&lt;/i&gt;, 2006; Poppo and Zenger, 2002)"},"properties":{"noteIndex":0},"schema":"https://github.com/citation-style-language/schema/raw/master/csl-citation.json"}</w:instrText>
      </w:r>
      <w:r w:rsidRPr="001C45D7">
        <w:fldChar w:fldCharType="separate"/>
      </w:r>
      <w:r w:rsidR="00881C19" w:rsidRPr="001C45D7">
        <w:rPr>
          <w:noProof/>
        </w:rPr>
        <w:t>(Poppo</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Zenger,</w:t>
      </w:r>
      <w:r w:rsidR="00FA6558" w:rsidRPr="001C45D7">
        <w:rPr>
          <w:noProof/>
        </w:rPr>
        <w:t xml:space="preserve"> </w:t>
      </w:r>
      <w:r w:rsidR="00881C19" w:rsidRPr="001C45D7">
        <w:rPr>
          <w:noProof/>
        </w:rPr>
        <w:t>2002;</w:t>
      </w:r>
      <w:r w:rsidR="00FA6558" w:rsidRPr="001C45D7">
        <w:rPr>
          <w:noProof/>
        </w:rPr>
        <w:t xml:space="preserve"> </w:t>
      </w:r>
      <w:r w:rsidR="00881C19" w:rsidRPr="001C45D7">
        <w:rPr>
          <w:noProof/>
        </w:rPr>
        <w:t>Carson</w:t>
      </w:r>
      <w:r w:rsidR="00143AE8" w:rsidRPr="001C45D7">
        <w:rPr>
          <w:noProof/>
        </w:rPr>
        <w:t xml:space="preserve"> </w:t>
      </w:r>
      <w:r w:rsidR="00143AE8" w:rsidRPr="001C45D7">
        <w:rPr>
          <w:i/>
          <w:noProof/>
        </w:rPr>
        <w:t>et al</w:t>
      </w:r>
      <w:r w:rsidR="00143AE8" w:rsidRPr="001C45D7">
        <w:rPr>
          <w:noProof/>
        </w:rPr>
        <w:t>.</w:t>
      </w:r>
      <w:r w:rsidR="00881C19" w:rsidRPr="001C45D7">
        <w:rPr>
          <w:noProof/>
        </w:rPr>
        <w:t>,</w:t>
      </w:r>
      <w:r w:rsidR="00FA6558" w:rsidRPr="001C45D7">
        <w:rPr>
          <w:noProof/>
        </w:rPr>
        <w:t xml:space="preserve"> </w:t>
      </w:r>
      <w:r w:rsidR="00881C19" w:rsidRPr="001C45D7">
        <w:rPr>
          <w:noProof/>
        </w:rPr>
        <w:t>2006)</w:t>
      </w:r>
      <w:r w:rsidRPr="001C45D7">
        <w:fldChar w:fldCharType="end"/>
      </w:r>
      <w:r w:rsidRPr="001C45D7">
        <w:t>.</w:t>
      </w:r>
      <w:r w:rsidR="00FA6558" w:rsidRPr="001C45D7">
        <w:t xml:space="preserve"> </w:t>
      </w:r>
      <w:r w:rsidRPr="001C45D7">
        <w:t>This</w:t>
      </w:r>
      <w:r w:rsidR="00FA6558" w:rsidRPr="001C45D7">
        <w:t xml:space="preserve"> </w:t>
      </w:r>
      <w:r w:rsidRPr="001C45D7">
        <w:t>means</w:t>
      </w:r>
      <w:r w:rsidR="00143AE8" w:rsidRPr="001C45D7">
        <w:t xml:space="preserve"> that</w:t>
      </w:r>
      <w:r w:rsidR="00FA6558" w:rsidRPr="001C45D7">
        <w:t xml:space="preserve"> </w:t>
      </w:r>
      <w:r w:rsidR="002B5A1D" w:rsidRPr="001C45D7">
        <w:t>such</w:t>
      </w:r>
      <w:r w:rsidR="00FA6558" w:rsidRPr="001C45D7">
        <w:t xml:space="preserve"> </w:t>
      </w:r>
      <w:r w:rsidR="002B5A1D" w:rsidRPr="001C45D7">
        <w:t>contracts</w:t>
      </w:r>
      <w:r w:rsidR="00FA6558" w:rsidRPr="001C45D7">
        <w:t xml:space="preserve"> </w:t>
      </w:r>
      <w:r w:rsidRPr="001C45D7">
        <w:t>would</w:t>
      </w:r>
      <w:r w:rsidR="00FA6558" w:rsidRPr="001C45D7">
        <w:t xml:space="preserve"> </w:t>
      </w:r>
      <w:r w:rsidRPr="001C45D7">
        <w:t>reduce</w:t>
      </w:r>
      <w:r w:rsidR="00FA6558" w:rsidRPr="001C45D7">
        <w:t xml:space="preserve"> </w:t>
      </w:r>
      <w:r w:rsidRPr="001C45D7">
        <w:t>the</w:t>
      </w:r>
      <w:r w:rsidR="00FA6558" w:rsidRPr="001C45D7">
        <w:t xml:space="preserve"> </w:t>
      </w:r>
      <w:r w:rsidRPr="001C45D7">
        <w:t>likelihood</w:t>
      </w:r>
      <w:r w:rsidR="00FA6558" w:rsidRPr="001C45D7">
        <w:t xml:space="preserve"> </w:t>
      </w:r>
      <w:r w:rsidRPr="001C45D7">
        <w:t>of</w:t>
      </w:r>
      <w:r w:rsidR="00FA6558" w:rsidRPr="001C45D7">
        <w:t xml:space="preserve"> </w:t>
      </w:r>
      <w:r w:rsidRPr="001C45D7">
        <w:t>opportunistic</w:t>
      </w:r>
      <w:r w:rsidR="00FA6558" w:rsidRPr="001C45D7">
        <w:t xml:space="preserve"> </w:t>
      </w:r>
      <w:r w:rsidRPr="001C45D7">
        <w:t>behaviours</w:t>
      </w:r>
      <w:r w:rsidR="00143AE8" w:rsidRPr="001C45D7">
        <w:t>,</w:t>
      </w:r>
      <w:r w:rsidR="00FA6558" w:rsidRPr="001C45D7">
        <w:t xml:space="preserve"> </w:t>
      </w:r>
      <w:r w:rsidRPr="001C45D7">
        <w:t>such</w:t>
      </w:r>
      <w:r w:rsidR="00FA6558" w:rsidRPr="001C45D7">
        <w:t xml:space="preserve"> </w:t>
      </w:r>
      <w:r w:rsidRPr="001C45D7">
        <w:t>as</w:t>
      </w:r>
      <w:r w:rsidR="00FA6558" w:rsidRPr="001C45D7">
        <w:t xml:space="preserve"> </w:t>
      </w:r>
      <w:r w:rsidRPr="001C45D7">
        <w:t>withholding</w:t>
      </w:r>
      <w:r w:rsidR="004D2AAA" w:rsidRPr="001C45D7">
        <w:t xml:space="preserve"> or </w:t>
      </w:r>
      <w:r w:rsidRPr="001C45D7">
        <w:t>manipulating</w:t>
      </w:r>
      <w:r w:rsidR="00FA6558" w:rsidRPr="001C45D7">
        <w:t xml:space="preserve"> </w:t>
      </w:r>
      <w:r w:rsidRPr="001C45D7">
        <w:t>information,</w:t>
      </w:r>
      <w:r w:rsidR="00FA6558" w:rsidRPr="001C45D7">
        <w:t xml:space="preserve"> </w:t>
      </w:r>
      <w:r w:rsidRPr="001C45D7">
        <w:t>haggling,</w:t>
      </w:r>
      <w:r w:rsidR="00FA6558" w:rsidRPr="001C45D7">
        <w:t xml:space="preserve"> </w:t>
      </w:r>
      <w:r w:rsidRPr="001C45D7">
        <w:t>shirking</w:t>
      </w:r>
      <w:r w:rsidR="00FA6558" w:rsidRPr="001C45D7">
        <w:t xml:space="preserve"> </w:t>
      </w:r>
      <w:r w:rsidRPr="001C45D7">
        <w:t>obligation</w:t>
      </w:r>
      <w:r w:rsidR="00FA6558" w:rsidRPr="001C45D7">
        <w:t xml:space="preserve"> </w:t>
      </w:r>
      <w:r w:rsidRPr="001C45D7">
        <w:t>and</w:t>
      </w:r>
      <w:r w:rsidR="00FA6558" w:rsidRPr="001C45D7">
        <w:t xml:space="preserve"> </w:t>
      </w:r>
      <w:r w:rsidRPr="001C45D7">
        <w:t>deceiving</w:t>
      </w:r>
      <w:r w:rsidR="00415D8F" w:rsidRPr="001C45D7">
        <w:t>, on the part of the large buyers</w:t>
      </w:r>
      <w:r w:rsidR="00FA6558" w:rsidRPr="001C45D7">
        <w:t xml:space="preserve"> </w:t>
      </w:r>
      <w:r w:rsidRPr="001C45D7">
        <w:t>(Luo,</w:t>
      </w:r>
      <w:r w:rsidR="00FA6558" w:rsidRPr="001C45D7">
        <w:t xml:space="preserve"> </w:t>
      </w:r>
      <w:r w:rsidRPr="001C45D7">
        <w:t>2007).</w:t>
      </w:r>
      <w:r w:rsidR="00FA6558" w:rsidRPr="001C45D7">
        <w:t xml:space="preserve"> </w:t>
      </w:r>
      <w:r w:rsidRPr="001C45D7">
        <w:t>Therefore,</w:t>
      </w:r>
      <w:r w:rsidR="00FA6558" w:rsidRPr="001C45D7">
        <w:t xml:space="preserve"> </w:t>
      </w:r>
      <w:r w:rsidRPr="001C45D7">
        <w:t>we</w:t>
      </w:r>
      <w:r w:rsidR="00FA6558" w:rsidRPr="001C45D7">
        <w:t xml:space="preserve"> </w:t>
      </w:r>
      <w:r w:rsidRPr="001C45D7">
        <w:t>hypothesi</w:t>
      </w:r>
      <w:r w:rsidR="00C66469" w:rsidRPr="001C45D7">
        <w:t>s</w:t>
      </w:r>
      <w:r w:rsidRPr="001C45D7">
        <w:t>e:</w:t>
      </w:r>
    </w:p>
    <w:p w14:paraId="5770AABA" w14:textId="77777777" w:rsidR="00F45E19" w:rsidRDefault="00F45E19" w:rsidP="00566B02">
      <w:pPr>
        <w:pStyle w:val="BodyText"/>
      </w:pPr>
      <w:bookmarkStart w:id="19" w:name="_Hlk51060318"/>
    </w:p>
    <w:p w14:paraId="373B5D7E" w14:textId="398C065E" w:rsidR="00960BB6" w:rsidRPr="001C45D7" w:rsidRDefault="00960BB6" w:rsidP="00566B02">
      <w:pPr>
        <w:pStyle w:val="BodyText"/>
      </w:pPr>
      <w:r w:rsidRPr="001C45D7">
        <w:t>Hypothesis</w:t>
      </w:r>
      <w:r w:rsidR="00FA6558" w:rsidRPr="001C45D7">
        <w:t xml:space="preserve"> </w:t>
      </w:r>
      <w:r w:rsidR="00B5176D" w:rsidRPr="001C45D7">
        <w:t>4</w:t>
      </w:r>
      <w:r w:rsidRPr="001C45D7">
        <w:t>:</w:t>
      </w:r>
      <w:r w:rsidR="00FA6558" w:rsidRPr="001C45D7">
        <w:t xml:space="preserve"> </w:t>
      </w:r>
      <w:r w:rsidRPr="001C45D7">
        <w:t>The</w:t>
      </w:r>
      <w:r w:rsidR="00FA6558" w:rsidRPr="001C45D7">
        <w:t xml:space="preserve"> </w:t>
      </w:r>
      <w:r w:rsidR="00BD298D" w:rsidRPr="001C45D7">
        <w:t>extent</w:t>
      </w:r>
      <w:r w:rsidR="00FA6558" w:rsidRPr="001C45D7">
        <w:t xml:space="preserve"> </w:t>
      </w:r>
      <w:r w:rsidRPr="001C45D7">
        <w:t>of</w:t>
      </w:r>
      <w:r w:rsidR="00FA6558" w:rsidRPr="001C45D7">
        <w:t xml:space="preserve"> </w:t>
      </w:r>
      <w:r w:rsidRPr="001C45D7">
        <w:t>the</w:t>
      </w:r>
      <w:r w:rsidR="00FA6558" w:rsidRPr="001C45D7">
        <w:t xml:space="preserve"> </w:t>
      </w:r>
      <w:r w:rsidRPr="001C45D7">
        <w:t>contractual</w:t>
      </w:r>
      <w:r w:rsidR="00FA6558" w:rsidRPr="001C45D7">
        <w:t xml:space="preserve"> </w:t>
      </w:r>
      <w:r w:rsidRPr="001C45D7">
        <w:t>governance</w:t>
      </w:r>
      <w:r w:rsidR="00FA6558" w:rsidRPr="001C45D7">
        <w:t xml:space="preserve"> </w:t>
      </w:r>
      <w:r w:rsidR="00BD298D" w:rsidRPr="001C45D7">
        <w:t>in</w:t>
      </w:r>
      <w:r w:rsidR="00FA6558" w:rsidRPr="001C45D7">
        <w:t xml:space="preserve"> </w:t>
      </w:r>
      <w:r w:rsidR="00BD298D" w:rsidRPr="001C45D7">
        <w:t>the</w:t>
      </w:r>
      <w:r w:rsidR="00FA6558" w:rsidRPr="001C45D7">
        <w:t xml:space="preserve"> </w:t>
      </w:r>
      <w:r w:rsidR="00AA1C3E">
        <w:t xml:space="preserve">buyer-supplier </w:t>
      </w:r>
      <w:r w:rsidR="00BD298D" w:rsidRPr="001C45D7">
        <w:t>relationship</w:t>
      </w:r>
      <w:r w:rsidR="00FA6558" w:rsidRPr="001C45D7">
        <w:t xml:space="preserve"> </w:t>
      </w:r>
      <w:r w:rsidR="00B754F9" w:rsidRPr="001C45D7">
        <w:t>is</w:t>
      </w:r>
      <w:r w:rsidR="00FA6558" w:rsidRPr="001C45D7">
        <w:t xml:space="preserve"> </w:t>
      </w:r>
      <w:r w:rsidR="00B754F9" w:rsidRPr="001C45D7">
        <w:t>negatively</w:t>
      </w:r>
      <w:r w:rsidR="00FA6558" w:rsidRPr="001C45D7">
        <w:t xml:space="preserve"> </w:t>
      </w:r>
      <w:r w:rsidR="00B754F9" w:rsidRPr="001C45D7">
        <w:t>related</w:t>
      </w:r>
      <w:r w:rsidR="00FA6558" w:rsidRPr="001C45D7">
        <w:t xml:space="preserve"> </w:t>
      </w:r>
      <w:r w:rsidR="00B754F9" w:rsidRPr="001C45D7">
        <w:t>to</w:t>
      </w:r>
      <w:r w:rsidR="00FA6558" w:rsidRPr="001C45D7">
        <w:t xml:space="preserve"> </w:t>
      </w:r>
      <w:r w:rsidR="00B754F9" w:rsidRPr="001C45D7">
        <w:t>the</w:t>
      </w:r>
      <w:r w:rsidR="00FA6558" w:rsidRPr="001C45D7">
        <w:t xml:space="preserve"> </w:t>
      </w:r>
      <w:r w:rsidR="00CF4CBE">
        <w:t xml:space="preserve">SME </w:t>
      </w:r>
      <w:r w:rsidR="00B754F9" w:rsidRPr="001C45D7">
        <w:t>supplier’s</w:t>
      </w:r>
      <w:r w:rsidR="00FA6558" w:rsidRPr="001C45D7">
        <w:t xml:space="preserve"> </w:t>
      </w:r>
      <w:r w:rsidR="00B754F9" w:rsidRPr="001C45D7">
        <w:t>perceived</w:t>
      </w:r>
      <w:r w:rsidR="00FA6558" w:rsidRPr="001C45D7">
        <w:t xml:space="preserve"> </w:t>
      </w:r>
      <w:r w:rsidR="00B754F9" w:rsidRPr="001C45D7">
        <w:t>level</w:t>
      </w:r>
      <w:r w:rsidR="00FA6558" w:rsidRPr="001C45D7">
        <w:t xml:space="preserve"> </w:t>
      </w:r>
      <w:r w:rsidR="00B754F9" w:rsidRPr="001C45D7">
        <w:t>of</w:t>
      </w:r>
      <w:r w:rsidR="00FA6558" w:rsidRPr="001C45D7">
        <w:t xml:space="preserve"> </w:t>
      </w:r>
      <w:r w:rsidR="00B754F9" w:rsidRPr="001C45D7">
        <w:t>the</w:t>
      </w:r>
      <w:r w:rsidR="00FA6558" w:rsidRPr="001C45D7">
        <w:t xml:space="preserve"> </w:t>
      </w:r>
      <w:r w:rsidR="00B754F9" w:rsidRPr="001C45D7">
        <w:t>buyer</w:t>
      </w:r>
      <w:r w:rsidR="00F139DB" w:rsidRPr="001C45D7">
        <w:t>’s</w:t>
      </w:r>
      <w:r w:rsidR="00892C4F">
        <w:t xml:space="preserve"> </w:t>
      </w:r>
      <w:r w:rsidR="00B754F9" w:rsidRPr="001C45D7">
        <w:t>opportunis</w:t>
      </w:r>
      <w:r w:rsidR="00AF15CE">
        <w:t>m</w:t>
      </w:r>
      <w:r w:rsidR="00B754F9" w:rsidRPr="001C45D7">
        <w:t>.</w:t>
      </w:r>
    </w:p>
    <w:bookmarkEnd w:id="19"/>
    <w:p w14:paraId="614F892C" w14:textId="47619BE3" w:rsidR="00880293" w:rsidRPr="001C45D7" w:rsidRDefault="00880293" w:rsidP="00566B02">
      <w:pPr>
        <w:pStyle w:val="BodyText"/>
      </w:pPr>
    </w:p>
    <w:p w14:paraId="7B92FEB7" w14:textId="603D082C" w:rsidR="004275B3" w:rsidRPr="001C45D7" w:rsidRDefault="00E17D5F" w:rsidP="00D61D5C">
      <w:pPr>
        <w:pStyle w:val="Caption"/>
        <w:widowControl/>
        <w:rPr>
          <w:rFonts w:eastAsiaTheme="minorEastAsia"/>
          <w:sz w:val="24"/>
          <w:szCs w:val="24"/>
          <w:lang w:eastAsia="ko-KR"/>
        </w:rPr>
      </w:pPr>
      <w:r w:rsidRPr="001C45D7">
        <w:rPr>
          <w:rFonts w:eastAsiaTheme="minorEastAsia" w:hint="eastAsia"/>
          <w:lang w:eastAsia="ko-KR"/>
        </w:rPr>
        <w:t>&lt;</w:t>
      </w:r>
      <w:r w:rsidRPr="001C45D7">
        <w:rPr>
          <w:rFonts w:eastAsiaTheme="minorEastAsia" w:hint="eastAsia"/>
          <w:b w:val="0"/>
          <w:lang w:eastAsia="ko-KR"/>
        </w:rPr>
        <w:t xml:space="preserve">Insert </w:t>
      </w:r>
      <w:r w:rsidR="00BD77BD" w:rsidRPr="001C45D7">
        <w:rPr>
          <w:b w:val="0"/>
        </w:rPr>
        <w:t>Figure</w:t>
      </w:r>
      <w:r w:rsidR="00FA6558" w:rsidRPr="001C45D7">
        <w:rPr>
          <w:b w:val="0"/>
        </w:rPr>
        <w:t xml:space="preserve"> </w:t>
      </w:r>
      <w:r w:rsidRPr="001C45D7">
        <w:rPr>
          <w:b w:val="0"/>
        </w:rPr>
        <w:fldChar w:fldCharType="begin"/>
      </w:r>
      <w:r w:rsidRPr="001C45D7">
        <w:rPr>
          <w:b w:val="0"/>
        </w:rPr>
        <w:instrText xml:space="preserve"> SEQ Figure \* ARABIC </w:instrText>
      </w:r>
      <w:r w:rsidRPr="001C45D7">
        <w:rPr>
          <w:b w:val="0"/>
        </w:rPr>
        <w:fldChar w:fldCharType="separate"/>
      </w:r>
      <w:r w:rsidR="009C344A">
        <w:rPr>
          <w:b w:val="0"/>
          <w:noProof/>
        </w:rPr>
        <w:t>1</w:t>
      </w:r>
      <w:r w:rsidRPr="001C45D7">
        <w:rPr>
          <w:b w:val="0"/>
        </w:rPr>
        <w:fldChar w:fldCharType="end"/>
      </w:r>
      <w:r w:rsidRPr="001C45D7">
        <w:rPr>
          <w:rFonts w:eastAsiaTheme="minorEastAsia" w:hint="eastAsia"/>
          <w:b w:val="0"/>
          <w:lang w:eastAsia="ko-KR"/>
        </w:rPr>
        <w:t xml:space="preserve"> here&gt;</w:t>
      </w:r>
    </w:p>
    <w:p w14:paraId="210DA835" w14:textId="591DC3D5" w:rsidR="00814FDF" w:rsidRPr="001C45D7" w:rsidRDefault="00814FDF" w:rsidP="00143AE8">
      <w:pPr>
        <w:widowControl/>
        <w:rPr>
          <w:sz w:val="24"/>
          <w:szCs w:val="24"/>
        </w:rPr>
      </w:pPr>
    </w:p>
    <w:bookmarkEnd w:id="11"/>
    <w:p w14:paraId="3920E898" w14:textId="64682915" w:rsidR="00AF7F15" w:rsidRPr="001C45D7" w:rsidRDefault="00AF7F15" w:rsidP="00D61D5C">
      <w:pPr>
        <w:pStyle w:val="Heading1"/>
        <w:keepNext w:val="0"/>
        <w:widowControl/>
      </w:pPr>
      <w:r w:rsidRPr="001C45D7">
        <w:t>Methodology</w:t>
      </w:r>
    </w:p>
    <w:p w14:paraId="2A9E66BC" w14:textId="77777777" w:rsidR="00EE7A68" w:rsidRPr="001C45D7" w:rsidRDefault="00EE7A68" w:rsidP="00D61D5C">
      <w:pPr>
        <w:widowControl/>
      </w:pPr>
    </w:p>
    <w:p w14:paraId="65BCBAB5" w14:textId="74496D30" w:rsidR="00517DFA" w:rsidRPr="001C45D7" w:rsidRDefault="00217AE2" w:rsidP="00157836">
      <w:pPr>
        <w:pStyle w:val="Heading2"/>
      </w:pPr>
      <w:r w:rsidRPr="001C45D7">
        <w:t>Sampling</w:t>
      </w:r>
      <w:r w:rsidR="00FA6558" w:rsidRPr="001C45D7">
        <w:t xml:space="preserve"> </w:t>
      </w:r>
      <w:r w:rsidRPr="001C45D7">
        <w:t>and</w:t>
      </w:r>
      <w:r w:rsidR="00FA6558" w:rsidRPr="001C45D7">
        <w:t xml:space="preserve"> </w:t>
      </w:r>
      <w:r w:rsidRPr="001C45D7">
        <w:t>data</w:t>
      </w:r>
      <w:r w:rsidR="00FA6558" w:rsidRPr="001C45D7">
        <w:t xml:space="preserve"> </w:t>
      </w:r>
      <w:r w:rsidRPr="001C45D7">
        <w:t>collection</w:t>
      </w:r>
    </w:p>
    <w:p w14:paraId="49ADB913" w14:textId="72641554" w:rsidR="00217AE2" w:rsidRPr="001C45D7" w:rsidRDefault="00AF15CE" w:rsidP="00566B02">
      <w:pPr>
        <w:pStyle w:val="BodyText"/>
      </w:pPr>
      <w:r>
        <w:t xml:space="preserve">Since this study focuses on the SME supplier’s viewpoint, we collected data </w:t>
      </w:r>
      <w:r w:rsidR="00F36526" w:rsidRPr="001C45D7">
        <w:t>from</w:t>
      </w:r>
      <w:r w:rsidR="00FA6558" w:rsidRPr="001C45D7">
        <w:t xml:space="preserve"> </w:t>
      </w:r>
      <w:r w:rsidR="00A15C61" w:rsidRPr="001C45D7">
        <w:t>SMEs</w:t>
      </w:r>
      <w:r w:rsidR="00FA6558" w:rsidRPr="001C45D7">
        <w:t xml:space="preserve"> </w:t>
      </w:r>
      <w:r w:rsidR="003C1089" w:rsidRPr="001C45D7">
        <w:t xml:space="preserve">in </w:t>
      </w:r>
      <w:r w:rsidR="00F36526" w:rsidRPr="001C45D7">
        <w:t>South</w:t>
      </w:r>
      <w:r w:rsidR="00FA6558" w:rsidRPr="001C45D7">
        <w:t xml:space="preserve"> </w:t>
      </w:r>
      <w:r w:rsidR="00F36526" w:rsidRPr="001C45D7">
        <w:t>Korea</w:t>
      </w:r>
      <w:r w:rsidR="006609EB">
        <w:t xml:space="preserve"> (</w:t>
      </w:r>
      <w:r w:rsidR="006609EB" w:rsidRPr="0060708E">
        <w:rPr>
          <w:bCs/>
        </w:rPr>
        <w:t>either annual sales do not exceed 150 million USD or total assets are less than 500 million USD)</w:t>
      </w:r>
      <w:r w:rsidR="00F02219">
        <w:rPr>
          <w:rStyle w:val="FootnoteReference"/>
          <w:bCs/>
        </w:rPr>
        <w:footnoteReference w:id="1"/>
      </w:r>
      <w:r w:rsidR="00217AE2" w:rsidRPr="001C45D7">
        <w:t>.</w:t>
      </w:r>
      <w:r w:rsidR="00FA6558" w:rsidRPr="001C45D7">
        <w:t xml:space="preserve"> </w:t>
      </w:r>
      <w:r w:rsidR="00217AE2" w:rsidRPr="001C45D7">
        <w:t>South</w:t>
      </w:r>
      <w:r w:rsidR="00FA6558" w:rsidRPr="001C45D7">
        <w:t xml:space="preserve"> </w:t>
      </w:r>
      <w:r w:rsidR="00217AE2" w:rsidRPr="001C45D7">
        <w:t>Korea</w:t>
      </w:r>
      <w:r w:rsidR="00FA6558" w:rsidRPr="001C45D7">
        <w:t xml:space="preserve"> </w:t>
      </w:r>
      <w:r w:rsidR="00217AE2" w:rsidRPr="001C45D7">
        <w:t>has</w:t>
      </w:r>
      <w:r w:rsidR="00FA6558" w:rsidRPr="001C45D7">
        <w:t xml:space="preserve"> </w:t>
      </w:r>
      <w:r w:rsidR="00F36526" w:rsidRPr="001C45D7">
        <w:t>a</w:t>
      </w:r>
      <w:r w:rsidR="00BA76D1" w:rsidRPr="001C45D7">
        <w:t>n</w:t>
      </w:r>
      <w:r w:rsidR="00FA6558" w:rsidRPr="001C45D7">
        <w:t xml:space="preserve"> </w:t>
      </w:r>
      <w:r w:rsidR="00EC1939" w:rsidRPr="001C45D7">
        <w:t xml:space="preserve">extensive </w:t>
      </w:r>
      <w:r w:rsidR="00F91330" w:rsidRPr="001C45D7">
        <w:t xml:space="preserve">information communication technology </w:t>
      </w:r>
      <w:r w:rsidR="00F36526" w:rsidRPr="001C45D7">
        <w:t>infrastructure</w:t>
      </w:r>
      <w:r w:rsidR="00FA6558" w:rsidRPr="001C45D7">
        <w:t xml:space="preserve"> </w:t>
      </w:r>
      <w:r w:rsidR="00F36526" w:rsidRPr="001C45D7">
        <w:t>for</w:t>
      </w:r>
      <w:r w:rsidR="00FA6558" w:rsidRPr="001C45D7">
        <w:t xml:space="preserve"> </w:t>
      </w:r>
      <w:r w:rsidR="00F36526" w:rsidRPr="001C45D7">
        <w:t>supply</w:t>
      </w:r>
      <w:r w:rsidR="00FA6558" w:rsidRPr="001C45D7">
        <w:t xml:space="preserve"> </w:t>
      </w:r>
      <w:r w:rsidR="00F36526" w:rsidRPr="001C45D7">
        <w:t>chain</w:t>
      </w:r>
      <w:r w:rsidR="00FA6558" w:rsidRPr="001C45D7">
        <w:t xml:space="preserve"> </w:t>
      </w:r>
      <w:r w:rsidR="00F36526" w:rsidRPr="001C45D7">
        <w:t>digitalisation</w:t>
      </w:r>
      <w:r w:rsidR="00143AE8" w:rsidRPr="001C45D7">
        <w:t>;</w:t>
      </w:r>
      <w:r w:rsidR="00FA6558" w:rsidRPr="001C45D7">
        <w:t xml:space="preserve"> </w:t>
      </w:r>
      <w:r w:rsidR="00F36526" w:rsidRPr="001C45D7">
        <w:t>for</w:t>
      </w:r>
      <w:r w:rsidR="00FA6558" w:rsidRPr="001C45D7">
        <w:t xml:space="preserve"> </w:t>
      </w:r>
      <w:r w:rsidR="00F36526" w:rsidRPr="001C45D7">
        <w:t>example,</w:t>
      </w:r>
      <w:r w:rsidR="00FA6558" w:rsidRPr="001C45D7">
        <w:t xml:space="preserve"> </w:t>
      </w:r>
      <w:r w:rsidR="00CE3E83" w:rsidRPr="001C45D7">
        <w:t xml:space="preserve">globally </w:t>
      </w:r>
      <w:r w:rsidR="00BA76D1" w:rsidRPr="001C45D7">
        <w:t>it</w:t>
      </w:r>
      <w:r w:rsidR="00FA6558" w:rsidRPr="001C45D7">
        <w:t xml:space="preserve"> </w:t>
      </w:r>
      <w:r w:rsidR="00BA76D1" w:rsidRPr="001C45D7">
        <w:t>has</w:t>
      </w:r>
      <w:r w:rsidR="00FA6558" w:rsidRPr="001C45D7">
        <w:t xml:space="preserve"> </w:t>
      </w:r>
      <w:r w:rsidR="00217AE2" w:rsidRPr="001C45D7">
        <w:t>the</w:t>
      </w:r>
      <w:r w:rsidR="00FA6558" w:rsidRPr="001C45D7">
        <w:t xml:space="preserve"> </w:t>
      </w:r>
      <w:r w:rsidR="00217AE2" w:rsidRPr="001C45D7">
        <w:t>most</w:t>
      </w:r>
      <w:r w:rsidR="00FA6558" w:rsidRPr="001C45D7">
        <w:t xml:space="preserve"> </w:t>
      </w:r>
      <w:r w:rsidR="00217AE2" w:rsidRPr="001C45D7">
        <w:t>optical</w:t>
      </w:r>
      <w:r w:rsidR="00FA6558" w:rsidRPr="001C45D7">
        <w:t xml:space="preserve"> </w:t>
      </w:r>
      <w:r w:rsidR="00217AE2" w:rsidRPr="001C45D7">
        <w:t>fibre</w:t>
      </w:r>
      <w:r w:rsidR="00FA6558" w:rsidRPr="001C45D7">
        <w:t xml:space="preserve"> </w:t>
      </w:r>
      <w:r w:rsidR="00217AE2" w:rsidRPr="001C45D7">
        <w:t>connections</w:t>
      </w:r>
      <w:r w:rsidR="00FA6558" w:rsidRPr="001C45D7">
        <w:t xml:space="preserve"> </w:t>
      </w:r>
      <w:r w:rsidR="00217AE2" w:rsidRPr="001C45D7">
        <w:t>per</w:t>
      </w:r>
      <w:r w:rsidR="00FA6558" w:rsidRPr="001C45D7">
        <w:t xml:space="preserve"> </w:t>
      </w:r>
      <w:r w:rsidR="00217AE2" w:rsidRPr="001C45D7">
        <w:t>capita</w:t>
      </w:r>
      <w:r w:rsidR="00FA6558" w:rsidRPr="001C45D7">
        <w:t xml:space="preserve"> </w:t>
      </w:r>
      <w:r w:rsidR="00217AE2" w:rsidRPr="001C45D7">
        <w:t>(31.9</w:t>
      </w:r>
      <w:r w:rsidR="00FA6558" w:rsidRPr="001C45D7">
        <w:t xml:space="preserve"> </w:t>
      </w:r>
      <w:r w:rsidR="00217AE2" w:rsidRPr="001C45D7">
        <w:t>subscriptions</w:t>
      </w:r>
      <w:r w:rsidR="00FA6558" w:rsidRPr="001C45D7">
        <w:t xml:space="preserve"> </w:t>
      </w:r>
      <w:r w:rsidR="00217AE2" w:rsidRPr="001C45D7">
        <w:t>per</w:t>
      </w:r>
      <w:r w:rsidR="00FA6558" w:rsidRPr="001C45D7">
        <w:t xml:space="preserve"> </w:t>
      </w:r>
      <w:r w:rsidR="00217AE2" w:rsidRPr="001C45D7">
        <w:t>100</w:t>
      </w:r>
      <w:r w:rsidR="00FA6558" w:rsidRPr="001C45D7">
        <w:t xml:space="preserve"> </w:t>
      </w:r>
      <w:r w:rsidR="00217AE2" w:rsidRPr="001C45D7">
        <w:t>people)</w:t>
      </w:r>
      <w:r w:rsidR="00FA6558" w:rsidRPr="001C45D7">
        <w:t xml:space="preserve"> </w:t>
      </w:r>
      <w:r w:rsidR="00217AE2" w:rsidRPr="001C45D7">
        <w:fldChar w:fldCharType="begin" w:fldLock="1"/>
      </w:r>
      <w:r w:rsidR="006E4923" w:rsidRPr="001C45D7">
        <w:instrText>ADDIN CSL_CITATION {"citationItems":[{"id":"ITEM-1","itemData":{"DOI":"92-95044-35-5","ISBN":"9781944835040","ISSN":"14679639","URL":"http://www3.weforum.org/docs/WEF_TheGlobalCompetitivenessReport2019.pdf","abstract":"This article presents a variant on the will-known Birthday Problem. © 1999 by the American Anthropological Association.","accessed":{"date-parts":[["2020","9","1"]]},"author":[{"dropping-particle":"","family":"Klaus Schwab","given":"","non-dropping-particle":"","parse-names":false,"suffix":""}],"container-title":"World Economic Forum","id":"ITEM-1","issue":"3","issued":{"date-parts":[["2016"]]},"page":"78-80","title":"The Global Competitiveness Report","type":"webpage","volume":"21"},"uris":["http://www.mendeley.com/documents/?uuid=6320d0ae-b1a0-4f87-ac92-e213305942be"]}],"mendeley":{"formattedCitation":"(Klaus Schwab, 2016)","plainTextFormattedCitation":"(Klaus Schwab, 2016)","previouslyFormattedCitation":"(Klaus Schwab, 2016)"},"properties":{"noteIndex":0},"schema":"https://github.com/citation-style-language/schema/raw/master/csl-citation.json"}</w:instrText>
      </w:r>
      <w:r w:rsidR="00217AE2" w:rsidRPr="001C45D7">
        <w:fldChar w:fldCharType="separate"/>
      </w:r>
      <w:r w:rsidR="00433778" w:rsidRPr="001C45D7">
        <w:rPr>
          <w:noProof/>
        </w:rPr>
        <w:t>(Schwab, 2016)</w:t>
      </w:r>
      <w:r w:rsidR="00217AE2" w:rsidRPr="001C45D7">
        <w:fldChar w:fldCharType="end"/>
      </w:r>
      <w:r w:rsidR="002A7992" w:rsidRPr="001C45D7">
        <w:t>,</w:t>
      </w:r>
      <w:r w:rsidR="00FA6558" w:rsidRPr="001C45D7">
        <w:t xml:space="preserve"> </w:t>
      </w:r>
      <w:r w:rsidR="00F36526" w:rsidRPr="001C45D7">
        <w:t>and</w:t>
      </w:r>
      <w:r w:rsidR="00FA6558" w:rsidRPr="001C45D7">
        <w:t xml:space="preserve"> </w:t>
      </w:r>
      <w:r w:rsidR="000B258B" w:rsidRPr="001C45D7">
        <w:t xml:space="preserve">it </w:t>
      </w:r>
      <w:r w:rsidR="00F36526" w:rsidRPr="001C45D7">
        <w:t>launched</w:t>
      </w:r>
      <w:r w:rsidR="00FA6558" w:rsidRPr="001C45D7">
        <w:t xml:space="preserve"> </w:t>
      </w:r>
      <w:r w:rsidR="00F36526" w:rsidRPr="001C45D7">
        <w:t>the</w:t>
      </w:r>
      <w:r w:rsidR="00FA6558" w:rsidRPr="001C45D7">
        <w:t xml:space="preserve"> </w:t>
      </w:r>
      <w:r w:rsidR="002A7992" w:rsidRPr="001C45D7">
        <w:t xml:space="preserve">world’s </w:t>
      </w:r>
      <w:r w:rsidR="00F36526" w:rsidRPr="001C45D7">
        <w:t>first</w:t>
      </w:r>
      <w:r w:rsidR="00FA6558" w:rsidRPr="001C45D7">
        <w:t xml:space="preserve"> </w:t>
      </w:r>
      <w:r w:rsidR="00F36526" w:rsidRPr="001C45D7">
        <w:t>commercial</w:t>
      </w:r>
      <w:r w:rsidR="00FA6558" w:rsidRPr="001C45D7">
        <w:t xml:space="preserve"> </w:t>
      </w:r>
      <w:r w:rsidR="00F36526" w:rsidRPr="001C45D7">
        <w:t>5G</w:t>
      </w:r>
      <w:r w:rsidR="00FA6558" w:rsidRPr="001C45D7">
        <w:t xml:space="preserve"> </w:t>
      </w:r>
      <w:r w:rsidR="00F36526" w:rsidRPr="001C45D7">
        <w:t>service</w:t>
      </w:r>
      <w:r w:rsidR="00FA6558" w:rsidRPr="001C45D7">
        <w:t xml:space="preserve"> </w:t>
      </w:r>
      <w:r w:rsidR="00F36526" w:rsidRPr="001C45D7">
        <w:t>in</w:t>
      </w:r>
      <w:r w:rsidR="00FA6558" w:rsidRPr="001C45D7">
        <w:t xml:space="preserve"> </w:t>
      </w:r>
      <w:r w:rsidR="00F36526" w:rsidRPr="001C45D7">
        <w:t>2019</w:t>
      </w:r>
      <w:r w:rsidR="00FA6558" w:rsidRPr="001C45D7">
        <w:t xml:space="preserve"> </w:t>
      </w:r>
      <w:r w:rsidR="00F36526" w:rsidRPr="001C45D7">
        <w:fldChar w:fldCharType="begin" w:fldLock="1"/>
      </w:r>
      <w:r w:rsidR="00B6512E" w:rsidRPr="001C45D7">
        <w:instrText>ADDIN CSL_CITATION {"citationItems":[{"id":"ITEM-1","itemData":{"URL":"https://www.bbc.co.uk/news/business-47796528","accessed":{"date-parts":[["2020","9","20"]]},"author":[{"dropping-particle":"","family":"Harrison","given":"Virginia","non-dropping-particle":"","parse-names":false,"suffix":""}],"container-title":"BBC News","id":"ITEM-1","issued":{"date-parts":[["2019"]]},"title":"5G: World's first commercial services promise 'great leap'","type":"webpage"},"uris":["http://www.mendeley.com/documents/?uuid=b5412899-8dfb-446c-beda-bd935d8ad54a"]}],"mendeley":{"formattedCitation":"(Harrison, 2019)","plainTextFormattedCitation":"(Harrison, 2019)","previouslyFormattedCitation":"(Harrison, 2019)"},"properties":{"noteIndex":0},"schema":"https://github.com/citation-style-language/schema/raw/master/csl-citation.json"}</w:instrText>
      </w:r>
      <w:r w:rsidR="00F36526" w:rsidRPr="001C45D7">
        <w:fldChar w:fldCharType="separate"/>
      </w:r>
      <w:r w:rsidR="00F36526" w:rsidRPr="001C45D7">
        <w:rPr>
          <w:noProof/>
        </w:rPr>
        <w:t>(Harrison,</w:t>
      </w:r>
      <w:r w:rsidR="00FA6558" w:rsidRPr="001C45D7">
        <w:rPr>
          <w:noProof/>
        </w:rPr>
        <w:t xml:space="preserve"> </w:t>
      </w:r>
      <w:r w:rsidR="00F36526" w:rsidRPr="001C45D7">
        <w:rPr>
          <w:noProof/>
        </w:rPr>
        <w:t>2019)</w:t>
      </w:r>
      <w:r w:rsidR="00F36526" w:rsidRPr="001C45D7">
        <w:fldChar w:fldCharType="end"/>
      </w:r>
      <w:r w:rsidR="00217AE2" w:rsidRPr="001C45D7">
        <w:t>.</w:t>
      </w:r>
      <w:r w:rsidR="00FA6558" w:rsidRPr="001C45D7">
        <w:t xml:space="preserve"> </w:t>
      </w:r>
      <w:r w:rsidR="00CE3D75" w:rsidRPr="001C45D7">
        <w:rPr>
          <w:rFonts w:eastAsiaTheme="minorEastAsia" w:hint="eastAsia"/>
          <w:lang w:eastAsia="ko-KR"/>
        </w:rPr>
        <w:t xml:space="preserve">In addition, according to the IMD World Digital Competitiveness Ranking 2020, Korea is ranked overall </w:t>
      </w:r>
      <w:r w:rsidR="00FD2264" w:rsidRPr="001C45D7">
        <w:rPr>
          <w:rFonts w:eastAsiaTheme="minorEastAsia"/>
          <w:lang w:eastAsia="ko-KR"/>
        </w:rPr>
        <w:t>eighth</w:t>
      </w:r>
      <w:r w:rsidR="00FD2264" w:rsidRPr="001C45D7">
        <w:rPr>
          <w:rFonts w:eastAsiaTheme="minorEastAsia" w:hint="eastAsia"/>
          <w:vertAlign w:val="superscript"/>
          <w:lang w:eastAsia="ko-KR"/>
        </w:rPr>
        <w:t xml:space="preserve"> </w:t>
      </w:r>
      <w:r w:rsidR="00CE3D75" w:rsidRPr="001C45D7">
        <w:rPr>
          <w:rFonts w:eastAsiaTheme="minorEastAsia" w:hint="eastAsia"/>
          <w:lang w:eastAsia="ko-KR"/>
        </w:rPr>
        <w:t>out of 63 countries</w:t>
      </w:r>
      <w:r w:rsidR="00FD2264" w:rsidRPr="001C45D7">
        <w:rPr>
          <w:rFonts w:eastAsiaTheme="minorEastAsia"/>
          <w:lang w:eastAsia="ko-KR"/>
        </w:rPr>
        <w:t>,</w:t>
      </w:r>
      <w:r w:rsidR="00CE3D75" w:rsidRPr="001C45D7">
        <w:rPr>
          <w:rFonts w:eastAsiaTheme="minorEastAsia" w:hint="eastAsia"/>
          <w:lang w:eastAsia="ko-KR"/>
        </w:rPr>
        <w:t xml:space="preserve"> and </w:t>
      </w:r>
      <w:r w:rsidR="00FD2264" w:rsidRPr="001C45D7">
        <w:rPr>
          <w:rFonts w:eastAsiaTheme="minorEastAsia"/>
          <w:lang w:eastAsia="ko-KR"/>
        </w:rPr>
        <w:t>third</w:t>
      </w:r>
      <w:r w:rsidR="00FD2264" w:rsidRPr="001C45D7">
        <w:rPr>
          <w:rFonts w:eastAsiaTheme="minorEastAsia" w:hint="eastAsia"/>
          <w:lang w:eastAsia="ko-KR"/>
        </w:rPr>
        <w:t xml:space="preserve"> </w:t>
      </w:r>
      <w:r w:rsidR="00CE3D75" w:rsidRPr="001C45D7">
        <w:rPr>
          <w:rFonts w:eastAsiaTheme="minorEastAsia" w:hint="eastAsia"/>
          <w:lang w:eastAsia="ko-KR"/>
        </w:rPr>
        <w:t xml:space="preserve">in the future readiness factor (IMD, 2020). </w:t>
      </w:r>
      <w:r w:rsidR="000E27BB" w:rsidRPr="001C45D7">
        <w:t>Therefore</w:t>
      </w:r>
      <w:r w:rsidR="00F36526" w:rsidRPr="001C45D7">
        <w:t>,</w:t>
      </w:r>
      <w:r w:rsidR="00FA6558" w:rsidRPr="001C45D7">
        <w:t xml:space="preserve"> </w:t>
      </w:r>
      <w:r w:rsidR="00217AE2" w:rsidRPr="001C45D7">
        <w:t>many</w:t>
      </w:r>
      <w:r w:rsidR="00FA6558" w:rsidRPr="001C45D7">
        <w:t xml:space="preserve"> </w:t>
      </w:r>
      <w:r w:rsidR="00217AE2" w:rsidRPr="001C45D7">
        <w:t>South</w:t>
      </w:r>
      <w:r w:rsidR="00FA6558" w:rsidRPr="001C45D7">
        <w:t xml:space="preserve"> </w:t>
      </w:r>
      <w:r w:rsidR="00217AE2" w:rsidRPr="001C45D7">
        <w:t>Korean</w:t>
      </w:r>
      <w:r w:rsidR="00FA6558" w:rsidRPr="001C45D7">
        <w:t xml:space="preserve"> </w:t>
      </w:r>
      <w:r w:rsidR="00217AE2" w:rsidRPr="001C45D7">
        <w:t>firms</w:t>
      </w:r>
      <w:r w:rsidR="00FA6558" w:rsidRPr="001C45D7">
        <w:t xml:space="preserve"> </w:t>
      </w:r>
      <w:r w:rsidR="00217AE2" w:rsidRPr="001C45D7">
        <w:t>have</w:t>
      </w:r>
      <w:r w:rsidR="00FA6558" w:rsidRPr="001C45D7">
        <w:t xml:space="preserve"> </w:t>
      </w:r>
      <w:r w:rsidR="00F36526" w:rsidRPr="001C45D7">
        <w:t>been</w:t>
      </w:r>
      <w:r w:rsidR="00FA6558" w:rsidRPr="001C45D7">
        <w:t xml:space="preserve"> </w:t>
      </w:r>
      <w:r w:rsidR="00217AE2" w:rsidRPr="001C45D7">
        <w:t>actively</w:t>
      </w:r>
      <w:r w:rsidR="00FA6558" w:rsidRPr="001C45D7">
        <w:t xml:space="preserve"> </w:t>
      </w:r>
      <w:r w:rsidR="00217AE2" w:rsidRPr="001C45D7">
        <w:t>involved</w:t>
      </w:r>
      <w:r w:rsidR="00FA6558" w:rsidRPr="001C45D7">
        <w:t xml:space="preserve"> </w:t>
      </w:r>
      <w:r w:rsidR="00217AE2" w:rsidRPr="001C45D7">
        <w:t>in</w:t>
      </w:r>
      <w:r w:rsidR="00FA6558" w:rsidRPr="001C45D7">
        <w:t xml:space="preserve"> </w:t>
      </w:r>
      <w:r w:rsidR="00F91330" w:rsidRPr="001C45D7">
        <w:t>supply chain digitalisation</w:t>
      </w:r>
      <w:r w:rsidR="00FA6558" w:rsidRPr="001C45D7">
        <w:t xml:space="preserve"> </w:t>
      </w:r>
      <w:r w:rsidR="00143AE8" w:rsidRPr="001C45D7">
        <w:t xml:space="preserve">in </w:t>
      </w:r>
      <w:r w:rsidR="00217AE2" w:rsidRPr="001C45D7">
        <w:t>recent</w:t>
      </w:r>
      <w:r w:rsidR="00FA6558" w:rsidRPr="001C45D7">
        <w:t xml:space="preserve"> </w:t>
      </w:r>
      <w:r w:rsidR="00217AE2" w:rsidRPr="001C45D7">
        <w:t>years</w:t>
      </w:r>
      <w:r w:rsidR="00FA6558" w:rsidRPr="001C45D7">
        <w:t xml:space="preserve"> </w:t>
      </w:r>
      <w:r w:rsidR="00824DDF" w:rsidRPr="001C45D7">
        <w:fldChar w:fldCharType="begin" w:fldLock="1"/>
      </w:r>
      <w:r w:rsidR="00824DDF" w:rsidRPr="001C45D7">
        <w:instrText>ADDIN CSL_CITATION {"citationItems":[{"id":"ITEM-1","itemData":{"author":[{"dropping-particle":"","family":"Yeo","given":"J","non-dropping-particle":"","parse-names":false,"suffix":""}],"container-title":"The Korea Herald","id":"ITEM-1","issued":{"date-parts":[["2019","7","7"]]},"title":"Korean firms fear disruption of digital transformation","type":"article-newspaper"},"uris":["http://www.mendeley.com/documents/?uuid=94e7228e-5f6d-42cc-b441-ae63e121140d"]}],"mendeley":{"formattedCitation":"(Yeo, 2019)","plainTextFormattedCitation":"(Yeo, 2019)","previouslyFormattedCitation":"(Yeo, 2019)"},"properties":{"noteIndex":0},"schema":"https://github.com/citation-style-language/schema/raw/master/csl-citation.json"}</w:instrText>
      </w:r>
      <w:r w:rsidR="00824DDF" w:rsidRPr="001C45D7">
        <w:fldChar w:fldCharType="separate"/>
      </w:r>
      <w:r w:rsidR="00824DDF" w:rsidRPr="001C45D7">
        <w:rPr>
          <w:noProof/>
        </w:rPr>
        <w:t>(Yeo,</w:t>
      </w:r>
      <w:r w:rsidR="00FA6558" w:rsidRPr="001C45D7">
        <w:rPr>
          <w:noProof/>
        </w:rPr>
        <w:t xml:space="preserve"> </w:t>
      </w:r>
      <w:r w:rsidR="00824DDF" w:rsidRPr="001C45D7">
        <w:rPr>
          <w:noProof/>
        </w:rPr>
        <w:t>2019)</w:t>
      </w:r>
      <w:r w:rsidR="00824DDF" w:rsidRPr="001C45D7">
        <w:fldChar w:fldCharType="end"/>
      </w:r>
      <w:r w:rsidR="00143AE8" w:rsidRPr="001C45D7">
        <w:t>.</w:t>
      </w:r>
      <w:r w:rsidR="00FA6558" w:rsidRPr="001C45D7">
        <w:t xml:space="preserve"> </w:t>
      </w:r>
      <w:r w:rsidR="00143AE8" w:rsidRPr="001C45D7">
        <w:t xml:space="preserve">This makes </w:t>
      </w:r>
      <w:r w:rsidR="00F36526" w:rsidRPr="001C45D7">
        <w:t>the</w:t>
      </w:r>
      <w:r w:rsidR="00FA6558" w:rsidRPr="001C45D7">
        <w:t xml:space="preserve"> </w:t>
      </w:r>
      <w:r w:rsidR="00217AE2" w:rsidRPr="001C45D7">
        <w:t>South</w:t>
      </w:r>
      <w:r w:rsidR="00FA6558" w:rsidRPr="001C45D7">
        <w:t xml:space="preserve"> </w:t>
      </w:r>
      <w:r w:rsidR="00217AE2" w:rsidRPr="001C45D7">
        <w:t>Korean</w:t>
      </w:r>
      <w:r w:rsidR="00FA6558" w:rsidRPr="001C45D7">
        <w:t xml:space="preserve"> </w:t>
      </w:r>
      <w:r>
        <w:t>companies</w:t>
      </w:r>
      <w:r w:rsidR="00FA6558" w:rsidRPr="001C45D7">
        <w:t xml:space="preserve"> </w:t>
      </w:r>
      <w:r w:rsidR="00217AE2" w:rsidRPr="001C45D7">
        <w:t>well</w:t>
      </w:r>
      <w:r w:rsidR="00FA6558" w:rsidRPr="001C45D7">
        <w:t xml:space="preserve"> </w:t>
      </w:r>
      <w:r w:rsidR="00217AE2" w:rsidRPr="001C45D7">
        <w:t>suited</w:t>
      </w:r>
      <w:r w:rsidR="00FA6558" w:rsidRPr="001C45D7">
        <w:t xml:space="preserve"> </w:t>
      </w:r>
      <w:r w:rsidR="00217AE2" w:rsidRPr="001C45D7">
        <w:t>to</w:t>
      </w:r>
      <w:r w:rsidR="00FA6558" w:rsidRPr="001C45D7">
        <w:t xml:space="preserve"> </w:t>
      </w:r>
      <w:r w:rsidR="00217AE2" w:rsidRPr="001C45D7">
        <w:t>the</w:t>
      </w:r>
      <w:r w:rsidR="00FA6558" w:rsidRPr="001C45D7">
        <w:t xml:space="preserve"> </w:t>
      </w:r>
      <w:r w:rsidR="00217AE2" w:rsidRPr="001C45D7">
        <w:t>purpose</w:t>
      </w:r>
      <w:r w:rsidR="00FA6558" w:rsidRPr="001C45D7">
        <w:t xml:space="preserve"> </w:t>
      </w:r>
      <w:r w:rsidR="00217AE2" w:rsidRPr="001C45D7">
        <w:t>of</w:t>
      </w:r>
      <w:r w:rsidR="00FA6558" w:rsidRPr="001C45D7">
        <w:t xml:space="preserve"> </w:t>
      </w:r>
      <w:r w:rsidR="00217AE2" w:rsidRPr="001C45D7">
        <w:t>this</w:t>
      </w:r>
      <w:r w:rsidR="00FA6558" w:rsidRPr="001C45D7">
        <w:t xml:space="preserve"> </w:t>
      </w:r>
      <w:r w:rsidR="00217AE2" w:rsidRPr="001C45D7">
        <w:t>study.</w:t>
      </w:r>
    </w:p>
    <w:p w14:paraId="666B59AE" w14:textId="105AED02" w:rsidR="006257C3" w:rsidRDefault="00FB3725" w:rsidP="00566B02">
      <w:pPr>
        <w:pStyle w:val="BodyText"/>
      </w:pPr>
      <w:r w:rsidRPr="001C45D7">
        <w:t xml:space="preserve">The target population of this study </w:t>
      </w:r>
      <w:r w:rsidR="00A349B8" w:rsidRPr="001C45D7">
        <w:t>wa</w:t>
      </w:r>
      <w:r w:rsidRPr="001C45D7">
        <w:t xml:space="preserve">s SME suppliers whose major buyers are large firms </w:t>
      </w:r>
      <w:r w:rsidR="00140F83" w:rsidRPr="001C45D7">
        <w:t xml:space="preserve">with </w:t>
      </w:r>
      <w:r w:rsidRPr="001C45D7">
        <w:t>over 1,000 employees in Korea. To generate a target sampling pool, we first identified 205 large firms from the Korea Enterprise Data</w:t>
      </w:r>
      <w:r w:rsidR="00D94CE7" w:rsidRPr="001C45D7">
        <w:rPr>
          <w:rStyle w:val="FootnoteReference"/>
        </w:rPr>
        <w:footnoteReference w:id="2"/>
      </w:r>
      <w:r w:rsidR="00396277" w:rsidRPr="001C45D7">
        <w:t xml:space="preserve"> </w:t>
      </w:r>
      <w:r w:rsidRPr="001C45D7">
        <w:t xml:space="preserve">and the list of </w:t>
      </w:r>
      <w:r w:rsidRPr="001C45D7">
        <w:rPr>
          <w:i/>
          <w:iCs/>
        </w:rPr>
        <w:t>chaebol</w:t>
      </w:r>
      <w:r w:rsidRPr="001C45D7">
        <w:t xml:space="preserve"> firms </w:t>
      </w:r>
      <w:r w:rsidR="00D73EBB" w:rsidRPr="001C45D7">
        <w:t xml:space="preserve">from </w:t>
      </w:r>
      <w:r w:rsidRPr="001C45D7">
        <w:t>the Korean National Commission for Corporate Partnership. These 205 companies, accounting for about 60% of all large corporations</w:t>
      </w:r>
      <w:r w:rsidR="00AF15CE">
        <w:t xml:space="preserve"> (with over 1,000 employees)</w:t>
      </w:r>
      <w:r w:rsidRPr="001C45D7">
        <w:t xml:space="preserve"> in Korea, are highly ranked in sales revenue and </w:t>
      </w:r>
      <w:r w:rsidR="000B74E8" w:rsidRPr="001C45D7">
        <w:t xml:space="preserve">are </w:t>
      </w:r>
      <w:r w:rsidRPr="001C45D7">
        <w:t>also recogni</w:t>
      </w:r>
      <w:r w:rsidR="008B76A8" w:rsidRPr="001C45D7">
        <w:t>s</w:t>
      </w:r>
      <w:r w:rsidRPr="001C45D7">
        <w:t xml:space="preserve">ed </w:t>
      </w:r>
      <w:r w:rsidR="008B76A8" w:rsidRPr="001C45D7">
        <w:t xml:space="preserve">for </w:t>
      </w:r>
      <w:r w:rsidRPr="001C45D7">
        <w:t xml:space="preserve">their economic and social impacts by the Korean National Commission for Corporate Partnership. To find SME suppliers </w:t>
      </w:r>
      <w:r w:rsidR="00CF68D1" w:rsidRPr="001C45D7">
        <w:t xml:space="preserve">that </w:t>
      </w:r>
      <w:r w:rsidRPr="001C45D7">
        <w:t xml:space="preserve">have a business </w:t>
      </w:r>
      <w:r w:rsidR="00161A5E" w:rsidRPr="001C45D7">
        <w:t xml:space="preserve">relationship </w:t>
      </w:r>
      <w:r w:rsidRPr="001C45D7">
        <w:t xml:space="preserve">with these large firms, we merged three databases </w:t>
      </w:r>
      <w:r w:rsidRPr="001C45D7">
        <w:lastRenderedPageBreak/>
        <w:t>(the Korean Enterprise Information</w:t>
      </w:r>
      <w:r w:rsidR="00976AF1" w:rsidRPr="001C45D7">
        <w:t>,</w:t>
      </w:r>
      <w:r w:rsidR="00BB7FB7" w:rsidRPr="001C45D7">
        <w:rPr>
          <w:rStyle w:val="FootnoteReference"/>
        </w:rPr>
        <w:footnoteReference w:id="3"/>
      </w:r>
      <w:r w:rsidRPr="001C45D7">
        <w:t xml:space="preserve"> the Korea Enterprise Data and KISLINE</w:t>
      </w:r>
      <w:r w:rsidR="00BB7FB7" w:rsidRPr="001C45D7">
        <w:rPr>
          <w:rStyle w:val="FootnoteReference"/>
        </w:rPr>
        <w:footnoteReference w:id="4"/>
      </w:r>
      <w:r w:rsidRPr="001C45D7">
        <w:t xml:space="preserve">), and searched </w:t>
      </w:r>
      <w:r w:rsidR="00D26587" w:rsidRPr="001C45D7">
        <w:t xml:space="preserve">for </w:t>
      </w:r>
      <w:r w:rsidRPr="001C45D7">
        <w:t xml:space="preserve">SMEs </w:t>
      </w:r>
      <w:r w:rsidR="00D26587" w:rsidRPr="001C45D7">
        <w:t xml:space="preserve">that </w:t>
      </w:r>
      <w:r w:rsidRPr="001C45D7">
        <w:t>declare</w:t>
      </w:r>
      <w:r w:rsidR="00D26587" w:rsidRPr="001C45D7">
        <w:t>d</w:t>
      </w:r>
      <w:r w:rsidRPr="001C45D7">
        <w:t xml:space="preserve"> at least one of the 205 large firms as their major customer(s). We initially identified 2,054 </w:t>
      </w:r>
      <w:r w:rsidR="00F8284A" w:rsidRPr="001C45D7">
        <w:t>SME</w:t>
      </w:r>
      <w:r w:rsidRPr="001C45D7">
        <w:t xml:space="preserve"> firms</w:t>
      </w:r>
      <w:r w:rsidR="00345EEB" w:rsidRPr="001C45D7">
        <w:t>,</w:t>
      </w:r>
      <w:r w:rsidRPr="001C45D7">
        <w:t xml:space="preserve"> and eliminated th</w:t>
      </w:r>
      <w:r w:rsidR="00345EEB" w:rsidRPr="001C45D7">
        <w:t>os</w:t>
      </w:r>
      <w:r w:rsidRPr="001C45D7">
        <w:t>e with incorrect contact information</w:t>
      </w:r>
      <w:r w:rsidR="00B72800" w:rsidRPr="001C45D7">
        <w:t>,</w:t>
      </w:r>
      <w:r w:rsidRPr="001C45D7">
        <w:t xml:space="preserve"> insolvency</w:t>
      </w:r>
      <w:r w:rsidR="00B72800" w:rsidRPr="001C45D7">
        <w:t xml:space="preserve"> or both</w:t>
      </w:r>
      <w:r w:rsidR="00E0177B" w:rsidRPr="001C45D7">
        <w:t>;</w:t>
      </w:r>
      <w:r w:rsidRPr="001C45D7">
        <w:t xml:space="preserve"> the final sampling pool </w:t>
      </w:r>
      <w:r w:rsidR="00BF4FD3" w:rsidRPr="001C45D7">
        <w:t>contained</w:t>
      </w:r>
      <w:r w:rsidRPr="001C45D7">
        <w:t xml:space="preserve"> 1,875 firms</w:t>
      </w:r>
      <w:r w:rsidR="00124FBE" w:rsidRPr="001C45D7">
        <w:t>.</w:t>
      </w:r>
      <w:r w:rsidR="006257C3" w:rsidRPr="006257C3">
        <w:t xml:space="preserve"> </w:t>
      </w:r>
    </w:p>
    <w:p w14:paraId="0B431C0E" w14:textId="181AC167" w:rsidR="00C95788" w:rsidRDefault="003D744B" w:rsidP="00566B02">
      <w:pPr>
        <w:pStyle w:val="BodyText"/>
      </w:pPr>
      <w:bookmarkStart w:id="20" w:name="_Hlk69893917"/>
      <w:r w:rsidRPr="0087169B">
        <w:t>As the data for this research was collected from the supplier-side only, there is a possibility of exception fallacy, which refers to "an erroneous finding where researchers draw biased aggregate or group conclusion among stakeholders on the basis of a single rater" (</w:t>
      </w:r>
      <w:proofErr w:type="spellStart"/>
      <w:r w:rsidRPr="0087169B">
        <w:t>Roh</w:t>
      </w:r>
      <w:proofErr w:type="spellEnd"/>
      <w:r w:rsidRPr="0087169B">
        <w:t xml:space="preserve"> </w:t>
      </w:r>
      <w:r w:rsidRPr="00523A08">
        <w:rPr>
          <w:i/>
          <w:iCs/>
        </w:rPr>
        <w:t>et al</w:t>
      </w:r>
      <w:r w:rsidRPr="0087169B">
        <w:t>., 201</w:t>
      </w:r>
      <w:r w:rsidR="009D14A7">
        <w:t>3</w:t>
      </w:r>
      <w:r w:rsidRPr="0087169B">
        <w:t xml:space="preserve">, p 712). Indeed, </w:t>
      </w:r>
      <w:r>
        <w:t xml:space="preserve">the past papers </w:t>
      </w:r>
      <w:r w:rsidRPr="0087169B">
        <w:t xml:space="preserve">reported such differences between a buyer and a supplier on a certain aspect of </w:t>
      </w:r>
      <w:r>
        <w:t>a buyer-supplier</w:t>
      </w:r>
      <w:r w:rsidRPr="0087169B">
        <w:t xml:space="preserve"> relationship (</w:t>
      </w:r>
      <w:proofErr w:type="spellStart"/>
      <w:r w:rsidRPr="0087169B">
        <w:t>Ellarm</w:t>
      </w:r>
      <w:proofErr w:type="spellEnd"/>
      <w:r w:rsidRPr="0087169B">
        <w:t xml:space="preserve"> and Hendrick, 1995; </w:t>
      </w:r>
      <w:proofErr w:type="spellStart"/>
      <w:r w:rsidRPr="0087169B">
        <w:t>Spekman</w:t>
      </w:r>
      <w:proofErr w:type="spellEnd"/>
      <w:r w:rsidRPr="0087169B">
        <w:t xml:space="preserve"> </w:t>
      </w:r>
      <w:r w:rsidRPr="00C71D23">
        <w:rPr>
          <w:i/>
          <w:iCs/>
        </w:rPr>
        <w:t>et al.,</w:t>
      </w:r>
      <w:r w:rsidRPr="0087169B">
        <w:t xml:space="preserve"> 1997;</w:t>
      </w:r>
      <w:r w:rsidRPr="00820494">
        <w:t xml:space="preserve"> </w:t>
      </w:r>
      <w:proofErr w:type="spellStart"/>
      <w:r w:rsidRPr="00820494">
        <w:t>Corsten</w:t>
      </w:r>
      <w:proofErr w:type="spellEnd"/>
      <w:r w:rsidRPr="00820494">
        <w:t xml:space="preserve"> and Kumar, 2005</w:t>
      </w:r>
      <w:r>
        <w:t>;</w:t>
      </w:r>
      <w:r w:rsidRPr="0087169B">
        <w:t xml:space="preserve"> Son </w:t>
      </w:r>
      <w:r w:rsidRPr="00E67A8F">
        <w:rPr>
          <w:i/>
          <w:iCs/>
        </w:rPr>
        <w:t>et al.,</w:t>
      </w:r>
      <w:r w:rsidRPr="0087169B">
        <w:t xml:space="preserve"> 2016). </w:t>
      </w:r>
      <w:proofErr w:type="spellStart"/>
      <w:r w:rsidRPr="0087169B">
        <w:t>Roh</w:t>
      </w:r>
      <w:proofErr w:type="spellEnd"/>
      <w:r w:rsidRPr="0087169B">
        <w:t xml:space="preserve"> </w:t>
      </w:r>
      <w:r w:rsidRPr="00E67A8F">
        <w:rPr>
          <w:i/>
          <w:iCs/>
        </w:rPr>
        <w:t>et al.,</w:t>
      </w:r>
      <w:r w:rsidRPr="0087169B">
        <w:t xml:space="preserve"> (201</w:t>
      </w:r>
      <w:r w:rsidR="009D14A7">
        <w:t>3</w:t>
      </w:r>
      <w:r w:rsidRPr="0087169B">
        <w:t xml:space="preserve">) suggested that clearly positioning a study for one side of a relationship </w:t>
      </w:r>
      <w:r>
        <w:t xml:space="preserve">only </w:t>
      </w:r>
      <w:r w:rsidRPr="0087169B">
        <w:t xml:space="preserve">would reduce the possibility of exception fallacy. </w:t>
      </w:r>
      <w:bookmarkStart w:id="21" w:name="_Hlk71552369"/>
      <w:r>
        <w:t>We followed this suggestion to reduce the exception fallacy in our results.</w:t>
      </w:r>
      <w:bookmarkEnd w:id="20"/>
      <w:bookmarkEnd w:id="21"/>
    </w:p>
    <w:p w14:paraId="65E6761B" w14:textId="77777777" w:rsidR="003D744B" w:rsidRDefault="003D744B" w:rsidP="00566B02">
      <w:pPr>
        <w:pStyle w:val="BodyText"/>
      </w:pPr>
    </w:p>
    <w:p w14:paraId="4F4DCD89" w14:textId="1F5A0817" w:rsidR="0058066F" w:rsidRDefault="00C67365" w:rsidP="003D744B">
      <w:pPr>
        <w:pStyle w:val="Heading2"/>
      </w:pPr>
      <w:bookmarkStart w:id="22" w:name="_Hlk51309200"/>
      <w:r w:rsidRPr="001C45D7">
        <w:t>Survey</w:t>
      </w:r>
      <w:r w:rsidR="00FA6558" w:rsidRPr="001C45D7">
        <w:t xml:space="preserve"> </w:t>
      </w:r>
      <w:r w:rsidRPr="001C45D7">
        <w:t>administration</w:t>
      </w:r>
      <w:bookmarkEnd w:id="22"/>
    </w:p>
    <w:p w14:paraId="59D8EC71" w14:textId="5234D149" w:rsidR="00A20C57" w:rsidRPr="001C45D7" w:rsidRDefault="00B6512E" w:rsidP="00566B02">
      <w:pPr>
        <w:pStyle w:val="BodyText"/>
      </w:pPr>
      <w:r w:rsidRPr="001C45D7">
        <w:t>The</w:t>
      </w:r>
      <w:r w:rsidR="00FA6558" w:rsidRPr="001C45D7">
        <w:t xml:space="preserve"> </w:t>
      </w:r>
      <w:r w:rsidRPr="001C45D7">
        <w:t>survey</w:t>
      </w:r>
      <w:r w:rsidR="00FA6558" w:rsidRPr="001C45D7">
        <w:t xml:space="preserve"> </w:t>
      </w:r>
      <w:r w:rsidRPr="001C45D7">
        <w:t>instrument</w:t>
      </w:r>
      <w:r w:rsidR="00FA6558" w:rsidRPr="001C45D7">
        <w:t xml:space="preserve"> </w:t>
      </w:r>
      <w:r w:rsidRPr="001C45D7">
        <w:t>was</w:t>
      </w:r>
      <w:r w:rsidR="00FA6558" w:rsidRPr="001C45D7">
        <w:t xml:space="preserve"> </w:t>
      </w:r>
      <w:r w:rsidRPr="001C45D7">
        <w:t>reviewed</w:t>
      </w:r>
      <w:r w:rsidR="00FA6558" w:rsidRPr="001C45D7">
        <w:t xml:space="preserve"> </w:t>
      </w:r>
      <w:r w:rsidRPr="001C45D7">
        <w:t>by</w:t>
      </w:r>
      <w:r w:rsidR="00FA6558" w:rsidRPr="001C45D7">
        <w:t xml:space="preserve"> </w:t>
      </w:r>
      <w:r w:rsidRPr="001C45D7">
        <w:t>two</w:t>
      </w:r>
      <w:r w:rsidR="00FA6558" w:rsidRPr="001C45D7">
        <w:t xml:space="preserve"> </w:t>
      </w:r>
      <w:r w:rsidR="009B02C1" w:rsidRPr="001C45D7">
        <w:t>supply chain management (</w:t>
      </w:r>
      <w:r w:rsidRPr="001C45D7">
        <w:t>SCM</w:t>
      </w:r>
      <w:r w:rsidR="009B02C1" w:rsidRPr="001C45D7">
        <w:t>)</w:t>
      </w:r>
      <w:r w:rsidR="00FA6558" w:rsidRPr="001C45D7">
        <w:t xml:space="preserve"> </w:t>
      </w:r>
      <w:r w:rsidRPr="001C45D7">
        <w:t>academics</w:t>
      </w:r>
      <w:r w:rsidR="00FA6558" w:rsidRPr="001C45D7">
        <w:t xml:space="preserve"> </w:t>
      </w:r>
      <w:r w:rsidRPr="001C45D7">
        <w:t>and</w:t>
      </w:r>
      <w:r w:rsidR="00FA6558" w:rsidRPr="001C45D7">
        <w:t xml:space="preserve"> </w:t>
      </w:r>
      <w:r w:rsidRPr="001C45D7">
        <w:t>a</w:t>
      </w:r>
      <w:r w:rsidR="00FA6558" w:rsidRPr="001C45D7">
        <w:t xml:space="preserve"> </w:t>
      </w:r>
      <w:r w:rsidRPr="001C45D7">
        <w:t>practicing</w:t>
      </w:r>
      <w:r w:rsidR="00FA6558" w:rsidRPr="001C45D7">
        <w:t xml:space="preserve"> </w:t>
      </w:r>
      <w:r w:rsidRPr="001C45D7">
        <w:t>purchasing</w:t>
      </w:r>
      <w:r w:rsidR="00FA6558" w:rsidRPr="001C45D7">
        <w:t xml:space="preserve"> </w:t>
      </w:r>
      <w:r w:rsidRPr="001C45D7">
        <w:t>manager</w:t>
      </w:r>
      <w:r w:rsidR="00FA6558" w:rsidRPr="001C45D7">
        <w:t xml:space="preserve"> </w:t>
      </w:r>
      <w:r w:rsidRPr="001C45D7">
        <w:t>to</w:t>
      </w:r>
      <w:r w:rsidR="00FA6558" w:rsidRPr="001C45D7">
        <w:t xml:space="preserve"> </w:t>
      </w:r>
      <w:r w:rsidRPr="001C45D7">
        <w:t>improve</w:t>
      </w:r>
      <w:r w:rsidR="00FA6558" w:rsidRPr="001C45D7">
        <w:t xml:space="preserve"> </w:t>
      </w:r>
      <w:r w:rsidRPr="001C45D7">
        <w:t>clarity</w:t>
      </w:r>
      <w:r w:rsidR="00FA6558" w:rsidRPr="001C45D7">
        <w:t xml:space="preserve"> </w:t>
      </w:r>
      <w:r w:rsidRPr="001C45D7">
        <w:t>and</w:t>
      </w:r>
      <w:r w:rsidR="00FA6558" w:rsidRPr="001C45D7">
        <w:t xml:space="preserve"> </w:t>
      </w:r>
      <w:r w:rsidRPr="001C45D7">
        <w:t>readability.</w:t>
      </w:r>
      <w:r w:rsidR="00FA6558" w:rsidRPr="001C45D7">
        <w:t xml:space="preserve"> </w:t>
      </w:r>
      <w:r w:rsidR="008E7A8E" w:rsidRPr="001C45D7">
        <w:t xml:space="preserve">All 1,875 SME suppliers were contacted by phone and asked to participate in the study. As a result, 429 out of </w:t>
      </w:r>
      <w:r w:rsidR="00300034" w:rsidRPr="001C45D7">
        <w:t xml:space="preserve">the </w:t>
      </w:r>
      <w:r w:rsidR="008E7A8E" w:rsidRPr="001C45D7">
        <w:t>1,875 firms agreed to join th</w:t>
      </w:r>
      <w:r w:rsidR="00DC1515" w:rsidRPr="001C45D7">
        <w:t>e</w:t>
      </w:r>
      <w:r w:rsidR="008E7A8E" w:rsidRPr="001C45D7">
        <w:t xml:space="preserve"> study. </w:t>
      </w:r>
      <w:r w:rsidR="00A72EC3" w:rsidRPr="001C45D7">
        <w:t>T</w:t>
      </w:r>
      <w:r w:rsidRPr="001C45D7">
        <w:t>he</w:t>
      </w:r>
      <w:r w:rsidR="00FA6558" w:rsidRPr="001C45D7">
        <w:t xml:space="preserve"> </w:t>
      </w:r>
      <w:r w:rsidRPr="001C45D7">
        <w:t>online</w:t>
      </w:r>
      <w:r w:rsidR="00FA6558" w:rsidRPr="001C45D7">
        <w:t xml:space="preserve"> </w:t>
      </w:r>
      <w:r w:rsidRPr="001C45D7">
        <w:t>survey</w:t>
      </w:r>
      <w:r w:rsidR="00FA6558" w:rsidRPr="001C45D7">
        <w:t xml:space="preserve"> </w:t>
      </w:r>
      <w:r w:rsidR="000E03BE">
        <w:t xml:space="preserve">link </w:t>
      </w:r>
      <w:r w:rsidRPr="001C45D7">
        <w:t>was</w:t>
      </w:r>
      <w:r w:rsidR="00FA6558" w:rsidRPr="001C45D7">
        <w:t xml:space="preserve"> </w:t>
      </w:r>
      <w:r w:rsidR="00A72EC3" w:rsidRPr="001C45D7">
        <w:t xml:space="preserve">then </w:t>
      </w:r>
      <w:r w:rsidRPr="001C45D7">
        <w:t>sent</w:t>
      </w:r>
      <w:r w:rsidR="00FA6558" w:rsidRPr="001C45D7">
        <w:t xml:space="preserve"> </w:t>
      </w:r>
      <w:r w:rsidRPr="001C45D7">
        <w:t>to</w:t>
      </w:r>
      <w:r w:rsidR="00FA6558" w:rsidRPr="001C45D7">
        <w:t xml:space="preserve"> </w:t>
      </w:r>
      <w:r w:rsidRPr="001C45D7">
        <w:t>the</w:t>
      </w:r>
      <w:r w:rsidR="00FA6558" w:rsidRPr="001C45D7">
        <w:t xml:space="preserve"> </w:t>
      </w:r>
      <w:r w:rsidR="00A72EC3" w:rsidRPr="001C45D7">
        <w:t xml:space="preserve">firms </w:t>
      </w:r>
      <w:r w:rsidRPr="001C45D7">
        <w:t>via</w:t>
      </w:r>
      <w:r w:rsidR="00FA6558" w:rsidRPr="001C45D7">
        <w:t xml:space="preserve"> </w:t>
      </w:r>
      <w:r w:rsidRPr="001C45D7">
        <w:t>email</w:t>
      </w:r>
      <w:r w:rsidR="00AF2996" w:rsidRPr="001C45D7">
        <w:t>,</w:t>
      </w:r>
      <w:r w:rsidR="00FA6558" w:rsidRPr="001C45D7">
        <w:t xml:space="preserve"> </w:t>
      </w:r>
      <w:r w:rsidR="004B55C1">
        <w:t>text message</w:t>
      </w:r>
      <w:r w:rsidR="000E03BE">
        <w:t xml:space="preserve"> </w:t>
      </w:r>
      <w:r w:rsidR="00AF2996" w:rsidRPr="001C45D7">
        <w:t>or both</w:t>
      </w:r>
      <w:r w:rsidRPr="001C45D7">
        <w:t>.</w:t>
      </w:r>
      <w:r w:rsidR="00FA6558" w:rsidRPr="001C45D7">
        <w:t xml:space="preserve"> </w:t>
      </w:r>
      <w:r w:rsidRPr="001C45D7">
        <w:t>We</w:t>
      </w:r>
      <w:r w:rsidR="00FA6558" w:rsidRPr="001C45D7">
        <w:t xml:space="preserve"> </w:t>
      </w:r>
      <w:r w:rsidRPr="001C45D7">
        <w:t>also</w:t>
      </w:r>
      <w:r w:rsidR="00FA6558" w:rsidRPr="001C45D7">
        <w:t xml:space="preserve"> </w:t>
      </w:r>
      <w:r w:rsidRPr="001C45D7">
        <w:t>followed</w:t>
      </w:r>
      <w:r w:rsidR="00FA6558" w:rsidRPr="001C45D7">
        <w:t xml:space="preserve"> </w:t>
      </w:r>
      <w:r w:rsidRPr="001C45D7">
        <w:t>up</w:t>
      </w:r>
      <w:r w:rsidR="00FA6558" w:rsidRPr="001C45D7">
        <w:t xml:space="preserve"> </w:t>
      </w:r>
      <w:r w:rsidRPr="001C45D7">
        <w:t>with</w:t>
      </w:r>
      <w:r w:rsidR="00FA6558" w:rsidRPr="001C45D7">
        <w:t xml:space="preserve"> </w:t>
      </w:r>
      <w:r w:rsidRPr="001C45D7">
        <w:t>the</w:t>
      </w:r>
      <w:r w:rsidR="00FA6558" w:rsidRPr="001C45D7">
        <w:t xml:space="preserve"> </w:t>
      </w:r>
      <w:r w:rsidRPr="001C45D7">
        <w:t>429</w:t>
      </w:r>
      <w:r w:rsidR="00FA6558" w:rsidRPr="001C45D7">
        <w:t xml:space="preserve"> </w:t>
      </w:r>
      <w:r w:rsidRPr="001C45D7">
        <w:t>firms</w:t>
      </w:r>
      <w:r w:rsidR="00FA6558" w:rsidRPr="001C45D7">
        <w:t xml:space="preserve"> </w:t>
      </w:r>
      <w:r w:rsidRPr="001C45D7">
        <w:t>by</w:t>
      </w:r>
      <w:r w:rsidR="00FA6558" w:rsidRPr="001C45D7">
        <w:t xml:space="preserve"> </w:t>
      </w:r>
      <w:r w:rsidRPr="001C45D7">
        <w:t>phone</w:t>
      </w:r>
      <w:r w:rsidR="00FA6558" w:rsidRPr="001C45D7">
        <w:t xml:space="preserve"> </w:t>
      </w:r>
      <w:r w:rsidRPr="001C45D7">
        <w:t>at</w:t>
      </w:r>
      <w:r w:rsidR="00FA6558" w:rsidRPr="001C45D7">
        <w:t xml:space="preserve"> </w:t>
      </w:r>
      <w:r w:rsidRPr="001C45D7">
        <w:t>least</w:t>
      </w:r>
      <w:r w:rsidR="00FA6558" w:rsidRPr="001C45D7">
        <w:t xml:space="preserve"> </w:t>
      </w:r>
      <w:r w:rsidRPr="001C45D7">
        <w:t>twice</w:t>
      </w:r>
      <w:r w:rsidR="00FA6558" w:rsidRPr="001C45D7">
        <w:t xml:space="preserve"> </w:t>
      </w:r>
      <w:r w:rsidRPr="001C45D7">
        <w:t>to</w:t>
      </w:r>
      <w:r w:rsidR="00FA6558" w:rsidRPr="001C45D7">
        <w:t xml:space="preserve"> </w:t>
      </w:r>
      <w:r w:rsidRPr="001C45D7">
        <w:t>remind</w:t>
      </w:r>
      <w:r w:rsidR="00FA6558" w:rsidRPr="001C45D7">
        <w:t xml:space="preserve"> </w:t>
      </w:r>
      <w:r w:rsidRPr="001C45D7">
        <w:t>and</w:t>
      </w:r>
      <w:r w:rsidR="00FA6558" w:rsidRPr="001C45D7">
        <w:t xml:space="preserve"> </w:t>
      </w:r>
      <w:r w:rsidRPr="001C45D7">
        <w:t>encourage</w:t>
      </w:r>
      <w:r w:rsidR="00FA6558" w:rsidRPr="001C45D7">
        <w:t xml:space="preserve"> </w:t>
      </w:r>
      <w:r w:rsidRPr="001C45D7">
        <w:t>them</w:t>
      </w:r>
      <w:r w:rsidR="00FA6558" w:rsidRPr="001C45D7">
        <w:t xml:space="preserve"> </w:t>
      </w:r>
      <w:r w:rsidRPr="001C45D7">
        <w:t>to</w:t>
      </w:r>
      <w:r w:rsidR="00FA6558" w:rsidRPr="001C45D7">
        <w:t xml:space="preserve"> </w:t>
      </w:r>
      <w:r w:rsidRPr="001C45D7">
        <w:t>complete</w:t>
      </w:r>
      <w:r w:rsidR="00FA6558" w:rsidRPr="001C45D7">
        <w:t xml:space="preserve"> </w:t>
      </w:r>
      <w:r w:rsidRPr="001C45D7">
        <w:t>the</w:t>
      </w:r>
      <w:r w:rsidR="00FA6558" w:rsidRPr="001C45D7">
        <w:t xml:space="preserve"> </w:t>
      </w:r>
      <w:r w:rsidRPr="001C45D7">
        <w:t>survey.</w:t>
      </w:r>
      <w:r w:rsidR="00FA6558" w:rsidRPr="001C45D7">
        <w:t xml:space="preserve"> </w:t>
      </w:r>
      <w:r w:rsidRPr="001C45D7">
        <w:t>In</w:t>
      </w:r>
      <w:r w:rsidR="00FA6558" w:rsidRPr="001C45D7">
        <w:t xml:space="preserve"> </w:t>
      </w:r>
      <w:r w:rsidRPr="001C45D7">
        <w:t>order</w:t>
      </w:r>
      <w:r w:rsidR="00FA6558" w:rsidRPr="001C45D7">
        <w:t xml:space="preserve"> </w:t>
      </w:r>
      <w:r w:rsidRPr="001C45D7">
        <w:t>to</w:t>
      </w:r>
      <w:r w:rsidR="00FA6558" w:rsidRPr="001C45D7">
        <w:t xml:space="preserve"> </w:t>
      </w:r>
      <w:r w:rsidRPr="001C45D7">
        <w:t>ensure</w:t>
      </w:r>
      <w:r w:rsidR="00FA6558" w:rsidRPr="001C45D7">
        <w:t xml:space="preserve"> </w:t>
      </w:r>
      <w:r w:rsidRPr="001C45D7">
        <w:t>that</w:t>
      </w:r>
      <w:r w:rsidR="00FA6558" w:rsidRPr="001C45D7">
        <w:t xml:space="preserve"> </w:t>
      </w:r>
      <w:r w:rsidRPr="001C45D7">
        <w:t>respondents</w:t>
      </w:r>
      <w:r w:rsidR="00FA6558" w:rsidRPr="001C45D7">
        <w:t xml:space="preserve"> </w:t>
      </w:r>
      <w:r w:rsidRPr="001C45D7">
        <w:t>had</w:t>
      </w:r>
      <w:r w:rsidR="00FA6558" w:rsidRPr="001C45D7">
        <w:t xml:space="preserve"> </w:t>
      </w:r>
      <w:r w:rsidRPr="001C45D7">
        <w:t>sufficient</w:t>
      </w:r>
      <w:r w:rsidR="00FA6558" w:rsidRPr="001C45D7">
        <w:t xml:space="preserve"> </w:t>
      </w:r>
      <w:r w:rsidRPr="001C45D7">
        <w:t>knowledge</w:t>
      </w:r>
      <w:r w:rsidR="00FA6558" w:rsidRPr="001C45D7">
        <w:t xml:space="preserve"> </w:t>
      </w:r>
      <w:r w:rsidRPr="001C45D7">
        <w:t>about</w:t>
      </w:r>
      <w:r w:rsidR="00FA6558" w:rsidRPr="001C45D7">
        <w:t xml:space="preserve"> </w:t>
      </w:r>
      <w:r w:rsidRPr="001C45D7">
        <w:t>SCM</w:t>
      </w:r>
      <w:r w:rsidR="00FA6558" w:rsidRPr="001C45D7">
        <w:t xml:space="preserve"> </w:t>
      </w:r>
      <w:r w:rsidRPr="001C45D7">
        <w:t>and</w:t>
      </w:r>
      <w:r w:rsidR="00FA6558" w:rsidRPr="001C45D7">
        <w:t xml:space="preserve"> </w:t>
      </w:r>
      <w:r w:rsidRPr="001C45D7">
        <w:t>digitalisation,</w:t>
      </w:r>
      <w:r w:rsidR="00FA6558" w:rsidRPr="001C45D7">
        <w:t xml:space="preserve"> </w:t>
      </w:r>
      <w:r w:rsidRPr="001C45D7">
        <w:t>we</w:t>
      </w:r>
      <w:r w:rsidR="00FA6558" w:rsidRPr="001C45D7">
        <w:t xml:space="preserve"> </w:t>
      </w:r>
      <w:r w:rsidRPr="001C45D7">
        <w:t>explained</w:t>
      </w:r>
      <w:r w:rsidR="00FA6558" w:rsidRPr="001C45D7">
        <w:t xml:space="preserve"> </w:t>
      </w:r>
      <w:r w:rsidRPr="001C45D7">
        <w:t>the</w:t>
      </w:r>
      <w:r w:rsidR="00FA6558" w:rsidRPr="001C45D7">
        <w:t xml:space="preserve"> </w:t>
      </w:r>
      <w:r w:rsidRPr="001C45D7">
        <w:t>purpose</w:t>
      </w:r>
      <w:r w:rsidR="00FA6558" w:rsidRPr="001C45D7">
        <w:t xml:space="preserve"> </w:t>
      </w:r>
      <w:r w:rsidRPr="001C45D7">
        <w:t>of</w:t>
      </w:r>
      <w:r w:rsidR="00FA6558" w:rsidRPr="001C45D7">
        <w:t xml:space="preserve"> </w:t>
      </w:r>
      <w:r w:rsidRPr="001C45D7">
        <w:t>the</w:t>
      </w:r>
      <w:r w:rsidR="00FA6558" w:rsidRPr="001C45D7">
        <w:t xml:space="preserve"> </w:t>
      </w:r>
      <w:r w:rsidRPr="001C45D7">
        <w:t>study</w:t>
      </w:r>
      <w:r w:rsidR="00FA6558" w:rsidRPr="001C45D7">
        <w:t xml:space="preserve"> </w:t>
      </w:r>
      <w:r w:rsidR="000867E1" w:rsidRPr="001C45D7">
        <w:t xml:space="preserve">to the participants </w:t>
      </w:r>
      <w:r w:rsidRPr="001C45D7">
        <w:t>and</w:t>
      </w:r>
      <w:r w:rsidR="00FA6558" w:rsidRPr="001C45D7">
        <w:t xml:space="preserve"> </w:t>
      </w:r>
      <w:r w:rsidRPr="001C45D7">
        <w:t>informed</w:t>
      </w:r>
      <w:r w:rsidR="00FA6558" w:rsidRPr="001C45D7">
        <w:t xml:space="preserve"> </w:t>
      </w:r>
      <w:r w:rsidR="000867E1" w:rsidRPr="001C45D7">
        <w:t xml:space="preserve">them </w:t>
      </w:r>
      <w:r w:rsidRPr="001C45D7">
        <w:t>that</w:t>
      </w:r>
      <w:r w:rsidR="00FA6558" w:rsidRPr="001C45D7">
        <w:t xml:space="preserve"> </w:t>
      </w:r>
      <w:r w:rsidRPr="001C45D7">
        <w:t>the</w:t>
      </w:r>
      <w:r w:rsidR="00FA6558" w:rsidRPr="001C45D7">
        <w:t xml:space="preserve"> </w:t>
      </w:r>
      <w:r w:rsidRPr="001C45D7">
        <w:t>questionnaire</w:t>
      </w:r>
      <w:r w:rsidR="00FA6558" w:rsidRPr="001C45D7">
        <w:t xml:space="preserve"> </w:t>
      </w:r>
      <w:r w:rsidRPr="001C45D7">
        <w:t>should</w:t>
      </w:r>
      <w:r w:rsidR="00FA6558" w:rsidRPr="001C45D7">
        <w:t xml:space="preserve"> </w:t>
      </w:r>
      <w:r w:rsidRPr="001C45D7">
        <w:t>be</w:t>
      </w:r>
      <w:r w:rsidR="00FA6558" w:rsidRPr="001C45D7">
        <w:t xml:space="preserve"> </w:t>
      </w:r>
      <w:r w:rsidRPr="001C45D7">
        <w:t>completed</w:t>
      </w:r>
      <w:r w:rsidR="00FA6558" w:rsidRPr="001C45D7">
        <w:t xml:space="preserve"> </w:t>
      </w:r>
      <w:r w:rsidRPr="001C45D7">
        <w:t>by</w:t>
      </w:r>
      <w:r w:rsidR="00FA6558" w:rsidRPr="001C45D7">
        <w:t xml:space="preserve"> </w:t>
      </w:r>
      <w:r w:rsidRPr="001C45D7">
        <w:t>either</w:t>
      </w:r>
      <w:r w:rsidR="00FA6558" w:rsidRPr="001C45D7">
        <w:t xml:space="preserve"> </w:t>
      </w:r>
      <w:r w:rsidRPr="001C45D7">
        <w:t>chief</w:t>
      </w:r>
      <w:r w:rsidR="00FA6558" w:rsidRPr="001C45D7">
        <w:t xml:space="preserve"> </w:t>
      </w:r>
      <w:r w:rsidRPr="001C45D7">
        <w:t>executive</w:t>
      </w:r>
      <w:r w:rsidR="00FA6558" w:rsidRPr="001C45D7">
        <w:t xml:space="preserve"> </w:t>
      </w:r>
      <w:r w:rsidRPr="001C45D7">
        <w:t>officers,</w:t>
      </w:r>
      <w:r w:rsidR="00FA6558" w:rsidRPr="001C45D7">
        <w:t xml:space="preserve"> </w:t>
      </w:r>
      <w:r w:rsidRPr="001C45D7">
        <w:t>executives</w:t>
      </w:r>
      <w:r w:rsidR="00FA6558" w:rsidRPr="001C45D7">
        <w:t xml:space="preserve"> </w:t>
      </w:r>
      <w:r w:rsidR="000867E1" w:rsidRPr="001C45D7">
        <w:t xml:space="preserve">or </w:t>
      </w:r>
      <w:r w:rsidRPr="001C45D7">
        <w:t>senior</w:t>
      </w:r>
      <w:r w:rsidR="00FA6558" w:rsidRPr="001C45D7">
        <w:t xml:space="preserve"> </w:t>
      </w:r>
      <w:r w:rsidRPr="001C45D7">
        <w:t>managers,</w:t>
      </w:r>
      <w:r w:rsidR="00FA6558" w:rsidRPr="001C45D7">
        <w:t xml:space="preserve"> </w:t>
      </w:r>
      <w:r w:rsidRPr="001C45D7">
        <w:t>if</w:t>
      </w:r>
      <w:r w:rsidR="00FA6558" w:rsidRPr="001C45D7">
        <w:t xml:space="preserve"> </w:t>
      </w:r>
      <w:r w:rsidRPr="001C45D7">
        <w:t>possible</w:t>
      </w:r>
      <w:r w:rsidR="006F4E24" w:rsidRPr="001C45D7">
        <w:t xml:space="preserve"> (Kumar </w:t>
      </w:r>
      <w:r w:rsidR="006F4E24" w:rsidRPr="001C45D7">
        <w:rPr>
          <w:i/>
          <w:iCs/>
        </w:rPr>
        <w:t>et al</w:t>
      </w:r>
      <w:r w:rsidR="006F4E24" w:rsidRPr="001C45D7">
        <w:t>., 1993)</w:t>
      </w:r>
      <w:r w:rsidRPr="001C45D7">
        <w:t>.</w:t>
      </w:r>
      <w:r w:rsidR="00FA6558" w:rsidRPr="001C45D7">
        <w:t xml:space="preserve"> </w:t>
      </w:r>
    </w:p>
    <w:p w14:paraId="6901F5EC" w14:textId="1367901F" w:rsidR="00DC019F" w:rsidRDefault="00B6512E" w:rsidP="00566B02">
      <w:pPr>
        <w:pStyle w:val="BodyText"/>
      </w:pPr>
      <w:r w:rsidRPr="001C45D7">
        <w:lastRenderedPageBreak/>
        <w:t>A</w:t>
      </w:r>
      <w:r w:rsidR="00FA6558" w:rsidRPr="001C45D7">
        <w:t xml:space="preserve"> </w:t>
      </w:r>
      <w:r w:rsidRPr="001C45D7">
        <w:t>total</w:t>
      </w:r>
      <w:r w:rsidR="00FA6558" w:rsidRPr="001C45D7">
        <w:t xml:space="preserve"> </w:t>
      </w:r>
      <w:r w:rsidRPr="001C45D7">
        <w:t>of</w:t>
      </w:r>
      <w:r w:rsidR="00FA6558" w:rsidRPr="001C45D7">
        <w:t xml:space="preserve"> </w:t>
      </w:r>
      <w:r w:rsidRPr="001C45D7">
        <w:t>137</w:t>
      </w:r>
      <w:r w:rsidR="00FA6558" w:rsidRPr="001C45D7">
        <w:t xml:space="preserve"> </w:t>
      </w:r>
      <w:r w:rsidRPr="001C45D7">
        <w:t>SME</w:t>
      </w:r>
      <w:r w:rsidR="00FA6558" w:rsidRPr="001C45D7">
        <w:t xml:space="preserve"> </w:t>
      </w:r>
      <w:r w:rsidRPr="001C45D7">
        <w:t>suppliers</w:t>
      </w:r>
      <w:r w:rsidR="00FA6558" w:rsidRPr="001C45D7">
        <w:t xml:space="preserve"> </w:t>
      </w:r>
      <w:r w:rsidRPr="001C45D7">
        <w:t>completed</w:t>
      </w:r>
      <w:r w:rsidR="00FA6558" w:rsidRPr="001C45D7">
        <w:t xml:space="preserve"> </w:t>
      </w:r>
      <w:r w:rsidRPr="001C45D7">
        <w:t>the</w:t>
      </w:r>
      <w:r w:rsidR="00FA6558" w:rsidRPr="001C45D7">
        <w:t xml:space="preserve"> </w:t>
      </w:r>
      <w:r w:rsidRPr="001C45D7">
        <w:t>survey,</w:t>
      </w:r>
      <w:r w:rsidR="00FA6558" w:rsidRPr="001C45D7">
        <w:t xml:space="preserve"> </w:t>
      </w:r>
      <w:r w:rsidR="00566426" w:rsidRPr="001C45D7">
        <w:t xml:space="preserve">giving </w:t>
      </w:r>
      <w:r w:rsidRPr="001C45D7">
        <w:t>a</w:t>
      </w:r>
      <w:r w:rsidR="00FA6558" w:rsidRPr="001C45D7">
        <w:t xml:space="preserve"> </w:t>
      </w:r>
      <w:r w:rsidRPr="001C45D7">
        <w:t>response</w:t>
      </w:r>
      <w:r w:rsidR="00FA6558" w:rsidRPr="001C45D7">
        <w:t xml:space="preserve"> </w:t>
      </w:r>
      <w:r w:rsidRPr="001C45D7">
        <w:t>rate</w:t>
      </w:r>
      <w:r w:rsidR="00FA6558" w:rsidRPr="001C45D7">
        <w:t xml:space="preserve"> </w:t>
      </w:r>
      <w:r w:rsidRPr="001C45D7">
        <w:t>of</w:t>
      </w:r>
      <w:r w:rsidR="00FA6558" w:rsidRPr="001C45D7">
        <w:t xml:space="preserve"> </w:t>
      </w:r>
      <w:r w:rsidR="00C267C7" w:rsidRPr="001C45D7">
        <w:t>7.31</w:t>
      </w:r>
      <w:r w:rsidRPr="001C45D7">
        <w:t>%</w:t>
      </w:r>
      <w:r w:rsidR="00FA6558" w:rsidRPr="001C45D7">
        <w:t xml:space="preserve"> </w:t>
      </w:r>
      <w:r w:rsidRPr="001C45D7">
        <w:t>(137/</w:t>
      </w:r>
      <w:r w:rsidR="00C267C7" w:rsidRPr="001C45D7">
        <w:t>1,875</w:t>
      </w:r>
      <w:r w:rsidRPr="001C45D7">
        <w:t>).</w:t>
      </w:r>
      <w:r w:rsidR="00FA6558" w:rsidRPr="001C45D7">
        <w:t xml:space="preserve"> </w:t>
      </w:r>
      <w:r w:rsidRPr="001C45D7">
        <w:t>To</w:t>
      </w:r>
      <w:r w:rsidR="00FA6558" w:rsidRPr="001C45D7">
        <w:t xml:space="preserve"> </w:t>
      </w:r>
      <w:r w:rsidRPr="001C45D7">
        <w:t>confirm</w:t>
      </w:r>
      <w:r w:rsidR="00FA6558" w:rsidRPr="001C45D7">
        <w:t xml:space="preserve"> </w:t>
      </w:r>
      <w:r w:rsidRPr="001C45D7">
        <w:t>the</w:t>
      </w:r>
      <w:r w:rsidR="00FA6558" w:rsidRPr="001C45D7">
        <w:t xml:space="preserve"> </w:t>
      </w:r>
      <w:r w:rsidRPr="001C45D7">
        <w:t>eligibility</w:t>
      </w:r>
      <w:r w:rsidR="00FA6558" w:rsidRPr="001C45D7">
        <w:t xml:space="preserve"> </w:t>
      </w:r>
      <w:r w:rsidRPr="001C45D7">
        <w:t>of</w:t>
      </w:r>
      <w:r w:rsidR="00FA6558" w:rsidRPr="001C45D7">
        <w:t xml:space="preserve"> </w:t>
      </w:r>
      <w:r w:rsidRPr="001C45D7">
        <w:t>the</w:t>
      </w:r>
      <w:r w:rsidR="00FA6558" w:rsidRPr="001C45D7">
        <w:t xml:space="preserve"> </w:t>
      </w:r>
      <w:r w:rsidRPr="001C45D7">
        <w:t>respondents,</w:t>
      </w:r>
      <w:r w:rsidR="00FA6558" w:rsidRPr="001C45D7">
        <w:t xml:space="preserve"> </w:t>
      </w:r>
      <w:r w:rsidRPr="001C45D7">
        <w:t>we</w:t>
      </w:r>
      <w:r w:rsidR="00FA6558" w:rsidRPr="001C45D7">
        <w:t xml:space="preserve"> </w:t>
      </w:r>
      <w:r w:rsidRPr="001C45D7">
        <w:t>asked</w:t>
      </w:r>
      <w:r w:rsidR="00FA6558" w:rsidRPr="001C45D7">
        <w:t xml:space="preserve"> </w:t>
      </w:r>
      <w:r w:rsidRPr="001C45D7">
        <w:t>questions</w:t>
      </w:r>
      <w:r w:rsidR="00FA6558" w:rsidRPr="001C45D7">
        <w:t xml:space="preserve"> </w:t>
      </w:r>
      <w:r w:rsidRPr="001C45D7">
        <w:t>about</w:t>
      </w:r>
      <w:r w:rsidR="00FA6558" w:rsidRPr="001C45D7">
        <w:t xml:space="preserve"> </w:t>
      </w:r>
      <w:r w:rsidRPr="001C45D7">
        <w:t>how</w:t>
      </w:r>
      <w:r w:rsidR="00FA6558" w:rsidRPr="001C45D7">
        <w:t xml:space="preserve"> </w:t>
      </w:r>
      <w:r w:rsidRPr="001C45D7">
        <w:t>well</w:t>
      </w:r>
      <w:r w:rsidR="00FA6558" w:rsidRPr="001C45D7">
        <w:t xml:space="preserve"> </w:t>
      </w:r>
      <w:r w:rsidRPr="001C45D7">
        <w:t>the</w:t>
      </w:r>
      <w:r w:rsidR="00782BF1" w:rsidRPr="001C45D7">
        <w:t>y</w:t>
      </w:r>
      <w:r w:rsidR="00FA6558" w:rsidRPr="001C45D7">
        <w:t xml:space="preserve"> </w:t>
      </w:r>
      <w:r w:rsidRPr="001C45D7">
        <w:t>knew</w:t>
      </w:r>
      <w:r w:rsidR="00FA6558" w:rsidRPr="001C45D7">
        <w:t xml:space="preserve"> </w:t>
      </w:r>
      <w:r w:rsidRPr="001C45D7">
        <w:t>their</w:t>
      </w:r>
      <w:r w:rsidR="00FA6558" w:rsidRPr="001C45D7">
        <w:t xml:space="preserve"> </w:t>
      </w:r>
      <w:r w:rsidRPr="001C45D7">
        <w:t>firms</w:t>
      </w:r>
      <w:r w:rsidR="00C235A3" w:rsidRPr="001C45D7">
        <w:t>’</w:t>
      </w:r>
      <w:r w:rsidR="00FA6558" w:rsidRPr="001C45D7">
        <w:t xml:space="preserve"> </w:t>
      </w:r>
      <w:r w:rsidRPr="001C45D7">
        <w:t>digital</w:t>
      </w:r>
      <w:r w:rsidR="00FA6558" w:rsidRPr="001C45D7">
        <w:t xml:space="preserve"> </w:t>
      </w:r>
      <w:r w:rsidRPr="001C45D7">
        <w:t>transformation</w:t>
      </w:r>
      <w:r w:rsidR="00FA6558" w:rsidRPr="001C45D7">
        <w:t xml:space="preserve"> </w:t>
      </w:r>
      <w:r w:rsidRPr="001C45D7">
        <w:t>and</w:t>
      </w:r>
      <w:r w:rsidR="00FA6558" w:rsidRPr="001C45D7">
        <w:t xml:space="preserve"> </w:t>
      </w:r>
      <w:r w:rsidRPr="001C45D7">
        <w:t>the</w:t>
      </w:r>
      <w:r w:rsidR="00682777" w:rsidRPr="001C45D7">
        <w:t>ir</w:t>
      </w:r>
      <w:r w:rsidR="00FA6558" w:rsidRPr="001C45D7">
        <w:t xml:space="preserve"> </w:t>
      </w:r>
      <w:r w:rsidRPr="001C45D7">
        <w:t>business</w:t>
      </w:r>
      <w:r w:rsidR="00FA6558" w:rsidRPr="001C45D7">
        <w:t xml:space="preserve"> </w:t>
      </w:r>
      <w:r w:rsidRPr="001C45D7">
        <w:t>relationship</w:t>
      </w:r>
      <w:r w:rsidR="00682777" w:rsidRPr="001C45D7">
        <w:t>s</w:t>
      </w:r>
      <w:r w:rsidR="00FA6558" w:rsidRPr="001C45D7">
        <w:t xml:space="preserve"> </w:t>
      </w:r>
      <w:r w:rsidRPr="001C45D7">
        <w:t>with</w:t>
      </w:r>
      <w:r w:rsidR="00FA6558" w:rsidRPr="001C45D7">
        <w:t xml:space="preserve"> </w:t>
      </w:r>
      <w:r w:rsidRPr="001C45D7">
        <w:t>the</w:t>
      </w:r>
      <w:r w:rsidR="00FA6558" w:rsidRPr="001C45D7">
        <w:t xml:space="preserve"> </w:t>
      </w:r>
      <w:r w:rsidRPr="001C45D7">
        <w:t>major</w:t>
      </w:r>
      <w:r w:rsidR="00FA6558" w:rsidRPr="001C45D7">
        <w:t xml:space="preserve"> </w:t>
      </w:r>
      <w:r w:rsidRPr="001C45D7">
        <w:t>buyer</w:t>
      </w:r>
      <w:r w:rsidR="00FA6558" w:rsidRPr="001C45D7">
        <w:t xml:space="preserve"> </w:t>
      </w:r>
      <w:r w:rsidRPr="001C45D7">
        <w:t>firm</w:t>
      </w:r>
      <w:r w:rsidR="00682777" w:rsidRPr="001C45D7">
        <w:t>s</w:t>
      </w:r>
      <w:r w:rsidR="00FA6558" w:rsidRPr="001C45D7">
        <w:t xml:space="preserve"> </w:t>
      </w:r>
      <w:r w:rsidRPr="001C45D7">
        <w:t>(1</w:t>
      </w:r>
      <w:r w:rsidR="00FA6558" w:rsidRPr="001C45D7">
        <w:t xml:space="preserve"> </w:t>
      </w:r>
      <w:r w:rsidRPr="001C45D7">
        <w:t>=</w:t>
      </w:r>
      <w:r w:rsidR="00FA6558" w:rsidRPr="001C45D7">
        <w:t xml:space="preserve"> </w:t>
      </w:r>
      <w:r w:rsidRPr="001C45D7">
        <w:t>‘don’t</w:t>
      </w:r>
      <w:r w:rsidR="00FA6558" w:rsidRPr="001C45D7">
        <w:t xml:space="preserve"> </w:t>
      </w:r>
      <w:r w:rsidRPr="001C45D7">
        <w:t>know’</w:t>
      </w:r>
      <w:r w:rsidR="00231715" w:rsidRPr="001C45D7">
        <w:t>,</w:t>
      </w:r>
      <w:r w:rsidR="00FA6558" w:rsidRPr="001C45D7">
        <w:t xml:space="preserve"> </w:t>
      </w:r>
      <w:r w:rsidRPr="001C45D7">
        <w:t>3</w:t>
      </w:r>
      <w:r w:rsidR="00FA6558" w:rsidRPr="001C45D7">
        <w:t xml:space="preserve"> </w:t>
      </w:r>
      <w:r w:rsidRPr="001C45D7">
        <w:t>=</w:t>
      </w:r>
      <w:r w:rsidR="00FA6558" w:rsidRPr="001C45D7">
        <w:t xml:space="preserve"> </w:t>
      </w:r>
      <w:r w:rsidRPr="001C45D7">
        <w:t>‘moderate’</w:t>
      </w:r>
      <w:r w:rsidR="00FA6558" w:rsidRPr="001C45D7">
        <w:t xml:space="preserve"> </w:t>
      </w:r>
      <w:r w:rsidRPr="001C45D7">
        <w:t>and</w:t>
      </w:r>
      <w:r w:rsidR="00FA6558" w:rsidRPr="001C45D7">
        <w:t xml:space="preserve"> </w:t>
      </w:r>
      <w:r w:rsidRPr="001C45D7">
        <w:t>5</w:t>
      </w:r>
      <w:r w:rsidR="00FA6558" w:rsidRPr="001C45D7">
        <w:t xml:space="preserve"> </w:t>
      </w:r>
      <w:r w:rsidRPr="001C45D7">
        <w:t>=</w:t>
      </w:r>
      <w:r w:rsidR="00FA6558" w:rsidRPr="001C45D7">
        <w:t xml:space="preserve"> </w:t>
      </w:r>
      <w:r w:rsidRPr="001C45D7">
        <w:t>‘very</w:t>
      </w:r>
      <w:r w:rsidR="00FA6558" w:rsidRPr="001C45D7">
        <w:t xml:space="preserve"> </w:t>
      </w:r>
      <w:r w:rsidRPr="001C45D7">
        <w:t>knowledgeable’).</w:t>
      </w:r>
      <w:r w:rsidR="00FA6558" w:rsidRPr="001C45D7">
        <w:t xml:space="preserve"> </w:t>
      </w:r>
      <w:r w:rsidRPr="001C45D7">
        <w:t>Of</w:t>
      </w:r>
      <w:r w:rsidR="00FA6558" w:rsidRPr="001C45D7">
        <w:t xml:space="preserve"> </w:t>
      </w:r>
      <w:r w:rsidRPr="001C45D7">
        <w:t>13</w:t>
      </w:r>
      <w:r w:rsidR="000867E1" w:rsidRPr="001C45D7">
        <w:t>7</w:t>
      </w:r>
      <w:r w:rsidR="00FA6558" w:rsidRPr="001C45D7">
        <w:t xml:space="preserve"> </w:t>
      </w:r>
      <w:r w:rsidRPr="001C45D7">
        <w:t>responses,</w:t>
      </w:r>
      <w:r w:rsidR="00FA6558" w:rsidRPr="001C45D7">
        <w:t xml:space="preserve"> </w:t>
      </w:r>
      <w:r w:rsidRPr="001C45D7">
        <w:t>12</w:t>
      </w:r>
      <w:r w:rsidR="00FA6558" w:rsidRPr="001C45D7">
        <w:t xml:space="preserve"> </w:t>
      </w:r>
      <w:r w:rsidRPr="001C45D7">
        <w:t>were</w:t>
      </w:r>
      <w:r w:rsidR="00FA6558" w:rsidRPr="001C45D7">
        <w:t xml:space="preserve"> </w:t>
      </w:r>
      <w:r w:rsidRPr="001C45D7">
        <w:t>removed</w:t>
      </w:r>
      <w:r w:rsidR="00FA6558" w:rsidRPr="001C45D7">
        <w:t xml:space="preserve"> </w:t>
      </w:r>
      <w:r w:rsidRPr="001C45D7">
        <w:t>because</w:t>
      </w:r>
      <w:r w:rsidR="00FA6558" w:rsidRPr="001C45D7">
        <w:t xml:space="preserve"> </w:t>
      </w:r>
      <w:r w:rsidRPr="001C45D7">
        <w:t>of</w:t>
      </w:r>
      <w:r w:rsidR="00FA6558" w:rsidRPr="001C45D7">
        <w:t xml:space="preserve"> </w:t>
      </w:r>
      <w:r w:rsidRPr="001C45D7">
        <w:t>the</w:t>
      </w:r>
      <w:r w:rsidR="00FA6558" w:rsidRPr="001C45D7">
        <w:t xml:space="preserve"> </w:t>
      </w:r>
      <w:r w:rsidRPr="001C45D7">
        <w:t>respondents’</w:t>
      </w:r>
      <w:r w:rsidR="00FA6558" w:rsidRPr="001C45D7">
        <w:t xml:space="preserve"> </w:t>
      </w:r>
      <w:r w:rsidRPr="001C45D7">
        <w:t>insufficient</w:t>
      </w:r>
      <w:r w:rsidR="00FA6558" w:rsidRPr="001C45D7">
        <w:t xml:space="preserve"> </w:t>
      </w:r>
      <w:r w:rsidRPr="001C45D7">
        <w:t>knowledge</w:t>
      </w:r>
      <w:r w:rsidR="00FA6558" w:rsidRPr="001C45D7">
        <w:t xml:space="preserve"> </w:t>
      </w:r>
      <w:r w:rsidRPr="001C45D7">
        <w:t>(score</w:t>
      </w:r>
      <w:r w:rsidR="00FA6558" w:rsidRPr="001C45D7">
        <w:t xml:space="preserve"> </w:t>
      </w:r>
      <w:r w:rsidRPr="001C45D7">
        <w:t>=</w:t>
      </w:r>
      <w:r w:rsidR="00FA6558" w:rsidRPr="001C45D7">
        <w:t xml:space="preserve"> </w:t>
      </w:r>
      <w:r w:rsidRPr="001C45D7">
        <w:t>1</w:t>
      </w:r>
      <w:r w:rsidR="00FA6558" w:rsidRPr="001C45D7">
        <w:t xml:space="preserve"> </w:t>
      </w:r>
      <w:r w:rsidRPr="001C45D7">
        <w:t>or</w:t>
      </w:r>
      <w:r w:rsidR="00FA6558" w:rsidRPr="001C45D7">
        <w:t xml:space="preserve"> </w:t>
      </w:r>
      <w:r w:rsidRPr="001C45D7">
        <w:t>2),</w:t>
      </w:r>
      <w:r w:rsidR="00FA6558" w:rsidRPr="001C45D7">
        <w:t xml:space="preserve"> </w:t>
      </w:r>
      <w:r w:rsidRPr="001C45D7">
        <w:t>resulting</w:t>
      </w:r>
      <w:r w:rsidR="00FA6558" w:rsidRPr="001C45D7">
        <w:t xml:space="preserve"> </w:t>
      </w:r>
      <w:r w:rsidRPr="001C45D7">
        <w:t>in</w:t>
      </w:r>
      <w:r w:rsidR="00FA6558" w:rsidRPr="001C45D7">
        <w:t xml:space="preserve"> </w:t>
      </w:r>
      <w:r w:rsidRPr="001C45D7">
        <w:t>12</w:t>
      </w:r>
      <w:r w:rsidR="000867E1" w:rsidRPr="001C45D7">
        <w:t>5</w:t>
      </w:r>
      <w:r w:rsidR="00FA6558" w:rsidRPr="001C45D7">
        <w:t xml:space="preserve"> </w:t>
      </w:r>
      <w:r w:rsidRPr="001C45D7">
        <w:t>usable</w:t>
      </w:r>
      <w:r w:rsidR="00FA6558" w:rsidRPr="001C45D7">
        <w:t xml:space="preserve"> </w:t>
      </w:r>
      <w:r w:rsidRPr="001C45D7">
        <w:t>responses.</w:t>
      </w:r>
      <w:r w:rsidR="00FA6558" w:rsidRPr="001C45D7">
        <w:t xml:space="preserve"> </w:t>
      </w:r>
      <w:r w:rsidRPr="001C45D7">
        <w:t>The</w:t>
      </w:r>
      <w:r w:rsidR="00FA6558" w:rsidRPr="001C45D7">
        <w:t xml:space="preserve"> </w:t>
      </w:r>
      <w:r w:rsidRPr="001C45D7">
        <w:t>respondents’</w:t>
      </w:r>
      <w:r w:rsidR="00FA6558" w:rsidRPr="001C45D7">
        <w:t xml:space="preserve"> </w:t>
      </w:r>
      <w:r w:rsidR="00C80414" w:rsidRPr="001C45D7">
        <w:t xml:space="preserve">average </w:t>
      </w:r>
      <w:r w:rsidRPr="001C45D7">
        <w:t>self-evaluation</w:t>
      </w:r>
      <w:r w:rsidR="00FA6558" w:rsidRPr="001C45D7">
        <w:t xml:space="preserve"> </w:t>
      </w:r>
      <w:r w:rsidRPr="001C45D7">
        <w:t>scores</w:t>
      </w:r>
      <w:r w:rsidR="00FA6558" w:rsidRPr="001C45D7">
        <w:t xml:space="preserve"> </w:t>
      </w:r>
      <w:r w:rsidRPr="001C45D7">
        <w:t>(the</w:t>
      </w:r>
      <w:r w:rsidR="00FA6558" w:rsidRPr="001C45D7">
        <w:t xml:space="preserve"> </w:t>
      </w:r>
      <w:r w:rsidRPr="001C45D7">
        <w:t>relationship</w:t>
      </w:r>
      <w:r w:rsidR="00FA6558" w:rsidRPr="001C45D7">
        <w:t xml:space="preserve"> </w:t>
      </w:r>
      <w:r w:rsidRPr="001C45D7">
        <w:t>with</w:t>
      </w:r>
      <w:r w:rsidR="00FA6558" w:rsidRPr="001C45D7">
        <w:t xml:space="preserve"> </w:t>
      </w:r>
      <w:r w:rsidRPr="001C45D7">
        <w:t>the</w:t>
      </w:r>
      <w:r w:rsidR="00FA6558" w:rsidRPr="001C45D7">
        <w:t xml:space="preserve"> </w:t>
      </w:r>
      <w:r w:rsidRPr="001C45D7">
        <w:t>large</w:t>
      </w:r>
      <w:r w:rsidR="00FA6558" w:rsidRPr="001C45D7">
        <w:t xml:space="preserve"> </w:t>
      </w:r>
      <w:r w:rsidRPr="001C45D7">
        <w:t>buyer</w:t>
      </w:r>
      <w:r w:rsidR="00FA6558" w:rsidRPr="001C45D7">
        <w:t xml:space="preserve"> </w:t>
      </w:r>
      <w:r w:rsidRPr="001C45D7">
        <w:t>=</w:t>
      </w:r>
      <w:r w:rsidR="00FA6558" w:rsidRPr="001C45D7">
        <w:t xml:space="preserve"> </w:t>
      </w:r>
      <w:r w:rsidRPr="001C45D7">
        <w:t>3.65,</w:t>
      </w:r>
      <w:r w:rsidR="00FA6558" w:rsidRPr="001C45D7">
        <w:t xml:space="preserve"> </w:t>
      </w:r>
      <w:r w:rsidRPr="001C45D7">
        <w:t>digital</w:t>
      </w:r>
      <w:r w:rsidR="00FA6558" w:rsidRPr="001C45D7">
        <w:t xml:space="preserve"> </w:t>
      </w:r>
      <w:r w:rsidRPr="001C45D7">
        <w:t>transformation</w:t>
      </w:r>
      <w:r w:rsidR="00FA6558" w:rsidRPr="001C45D7">
        <w:t xml:space="preserve"> </w:t>
      </w:r>
      <w:r w:rsidRPr="001C45D7">
        <w:t>=</w:t>
      </w:r>
      <w:r w:rsidR="00FA6558" w:rsidRPr="001C45D7">
        <w:t xml:space="preserve"> </w:t>
      </w:r>
      <w:r w:rsidRPr="001C45D7">
        <w:t>3.32)</w:t>
      </w:r>
      <w:r w:rsidR="00FA6558" w:rsidRPr="001C45D7">
        <w:t xml:space="preserve"> </w:t>
      </w:r>
      <w:r w:rsidRPr="001C45D7">
        <w:t>and</w:t>
      </w:r>
      <w:r w:rsidR="00FA6558" w:rsidRPr="001C45D7">
        <w:t xml:space="preserve"> </w:t>
      </w:r>
      <w:r w:rsidRPr="001C45D7">
        <w:t>work</w:t>
      </w:r>
      <w:r w:rsidR="00FA6558" w:rsidRPr="001C45D7">
        <w:t xml:space="preserve"> </w:t>
      </w:r>
      <w:r w:rsidRPr="001C45D7">
        <w:t>experience</w:t>
      </w:r>
      <w:r w:rsidR="00FA6558" w:rsidRPr="001C45D7">
        <w:t xml:space="preserve"> </w:t>
      </w:r>
      <w:r w:rsidR="000E58E6">
        <w:t xml:space="preserve">in SCM departments of each responding firm </w:t>
      </w:r>
      <w:r w:rsidRPr="001C45D7">
        <w:t>(eight</w:t>
      </w:r>
      <w:r w:rsidR="00FA6558" w:rsidRPr="001C45D7">
        <w:t xml:space="preserve"> </w:t>
      </w:r>
      <w:r w:rsidRPr="001C45D7">
        <w:t>years)</w:t>
      </w:r>
      <w:r w:rsidR="00FA6558" w:rsidRPr="001C45D7">
        <w:t xml:space="preserve"> </w:t>
      </w:r>
      <w:r w:rsidRPr="001C45D7">
        <w:t>are</w:t>
      </w:r>
      <w:r w:rsidR="00FA6558" w:rsidRPr="001C45D7">
        <w:t xml:space="preserve"> </w:t>
      </w:r>
      <w:r w:rsidRPr="001C45D7">
        <w:t>comparable</w:t>
      </w:r>
      <w:r w:rsidR="00FA6558" w:rsidRPr="001C45D7">
        <w:t xml:space="preserve"> </w:t>
      </w:r>
      <w:r w:rsidRPr="001C45D7">
        <w:t>to</w:t>
      </w:r>
      <w:r w:rsidR="00FA6558" w:rsidRPr="001C45D7">
        <w:t xml:space="preserve"> </w:t>
      </w:r>
      <w:r w:rsidRPr="001C45D7">
        <w:t>those</w:t>
      </w:r>
      <w:r w:rsidR="00FA6558" w:rsidRPr="001C45D7">
        <w:t xml:space="preserve"> </w:t>
      </w:r>
      <w:r w:rsidRPr="001C45D7">
        <w:t>of</w:t>
      </w:r>
      <w:r w:rsidR="00FA6558" w:rsidRPr="001C45D7">
        <w:t xml:space="preserve"> </w:t>
      </w:r>
      <w:r w:rsidRPr="001C45D7">
        <w:t>extant</w:t>
      </w:r>
      <w:r w:rsidR="00FA6558" w:rsidRPr="001C45D7">
        <w:t xml:space="preserve"> </w:t>
      </w:r>
      <w:r w:rsidRPr="001C45D7">
        <w:t>research</w:t>
      </w:r>
      <w:r w:rsidR="00FA6558" w:rsidRPr="001C45D7">
        <w:t xml:space="preserve"> </w:t>
      </w:r>
      <w:r w:rsidRPr="001C45D7">
        <w:fldChar w:fldCharType="begin" w:fldLock="1"/>
      </w:r>
      <w:r w:rsidR="004A2B48" w:rsidRPr="001C45D7">
        <w:instrText>ADDIN CSL_CITATION {"citationItems":[{"id":"ITEM-1","itemData":{"DOI":"10.1016/j.jom.2010.08.003","ISSN":"02726963","abstract":"Academics have increasingly recognized the benefits derived from social networks embedded within companies' buyer-supplier relationships. However, prior research has only examined the influence of social capital elements on performance, either individually or in part. We propose an integrative model examining the relationships among relational, structural and cognitive dimensions of social capital, and between these dimensions and the cost and innovation performance of the firm. A sample of 163 buyer-supplier relationships is used to test the model. Regression results indicate that the relational dimension of social capital fully or partially mediates the effect of the cognitive dimension on performance, and partially mediates the link between the structural dimension, operationalized as social interaction ties, and innovation performance. Further, high levels of legal bonds were found to moderate the relationship between the relational dimension of social capital and performance outcomes. Implications for theory and managers are discussed. © 2010 Elsevier B.V. All rights reserved.","author":[{"dropping-particle":"","family":"Carey","given":"Sinéad","non-dropping-particle":"","parse-names":false,"suffix":""},{"dropping-particle":"","family":"Lawson","given":"Benn","non-dropping-particle":"","parse-names":false,"suffix":""},{"dropping-particle":"","family":"Krause","given":"Daniel R.","non-dropping-particle":"","parse-names":false,"suffix":""}],"container-title":"Journal of Operations Management","id":"ITEM-1","issue":"4","issued":{"date-parts":[["2011","5"]]},"page":"277-288","title":"Social capital configuration, legal bonds and performance in buyer-supplier relationships","type":"article-journal","volume":"29"},"uris":["http://www.mendeley.com/documents/?uuid=698acfc4-ae71-3f25-8472-48db9af700e9"]}],"mendeley":{"formattedCitation":"(Carey &lt;i&gt;et al.&lt;/i&gt;, 2011)","manualFormatting":"(Carey et al., 2011)","plainTextFormattedCitation":"(Carey et al., 2011)","previouslyFormattedCitation":"(Carey &lt;i&gt;et al.&lt;/i&gt;, 2011)"},"properties":{"noteIndex":0},"schema":"https://github.com/citation-style-language/schema/raw/master/csl-citation.json"}</w:instrText>
      </w:r>
      <w:r w:rsidRPr="001C45D7">
        <w:fldChar w:fldCharType="separate"/>
      </w:r>
      <w:r w:rsidR="00881C19" w:rsidRPr="001C45D7">
        <w:rPr>
          <w:noProof/>
        </w:rPr>
        <w:t>(Carey</w:t>
      </w:r>
      <w:r w:rsidR="000867E1" w:rsidRPr="001C45D7">
        <w:rPr>
          <w:noProof/>
        </w:rPr>
        <w:t xml:space="preserve"> </w:t>
      </w:r>
      <w:r w:rsidR="000867E1" w:rsidRPr="001C45D7">
        <w:rPr>
          <w:i/>
          <w:noProof/>
        </w:rPr>
        <w:t>et al</w:t>
      </w:r>
      <w:r w:rsidR="000867E1" w:rsidRPr="001C45D7">
        <w:rPr>
          <w:noProof/>
        </w:rPr>
        <w:t>.</w:t>
      </w:r>
      <w:r w:rsidR="00881C19" w:rsidRPr="001C45D7">
        <w:rPr>
          <w:noProof/>
        </w:rPr>
        <w:t>,</w:t>
      </w:r>
      <w:r w:rsidR="00FA6558" w:rsidRPr="001C45D7">
        <w:rPr>
          <w:noProof/>
        </w:rPr>
        <w:t xml:space="preserve"> </w:t>
      </w:r>
      <w:r w:rsidR="00881C19" w:rsidRPr="001C45D7">
        <w:rPr>
          <w:noProof/>
        </w:rPr>
        <w:t>2011)</w:t>
      </w:r>
      <w:r w:rsidRPr="001C45D7">
        <w:fldChar w:fldCharType="end"/>
      </w:r>
      <w:r w:rsidR="002C4F3F">
        <w:t xml:space="preserve">. Furthermore, more </w:t>
      </w:r>
      <w:r w:rsidR="00975C78">
        <w:t xml:space="preserve">than 70% </w:t>
      </w:r>
      <w:r w:rsidR="003E04F6">
        <w:t>of respondents are senior managers who worked for more than 10 year. These</w:t>
      </w:r>
      <w:r w:rsidR="00FA6558" w:rsidRPr="001C45D7">
        <w:t xml:space="preserve"> </w:t>
      </w:r>
      <w:r w:rsidRPr="001C45D7">
        <w:t>confirm</w:t>
      </w:r>
      <w:r w:rsidR="00FA6558" w:rsidRPr="001C45D7">
        <w:t xml:space="preserve"> </w:t>
      </w:r>
      <w:r w:rsidRPr="001C45D7">
        <w:t>that</w:t>
      </w:r>
      <w:r w:rsidR="00FA6558" w:rsidRPr="001C45D7">
        <w:t xml:space="preserve"> </w:t>
      </w:r>
      <w:r w:rsidRPr="001C45D7">
        <w:t>the</w:t>
      </w:r>
      <w:r w:rsidR="00FA6558" w:rsidRPr="001C45D7">
        <w:t xml:space="preserve"> </w:t>
      </w:r>
      <w:r w:rsidRPr="001C45D7">
        <w:t>respondents</w:t>
      </w:r>
      <w:r w:rsidR="00FA6558" w:rsidRPr="001C45D7">
        <w:t xml:space="preserve"> </w:t>
      </w:r>
      <w:r w:rsidRPr="001C45D7">
        <w:t>were</w:t>
      </w:r>
      <w:r w:rsidR="00FA6558" w:rsidRPr="001C45D7">
        <w:t xml:space="preserve"> </w:t>
      </w:r>
      <w:r w:rsidRPr="001C45D7">
        <w:t>sufficiently</w:t>
      </w:r>
      <w:r w:rsidR="00FA6558" w:rsidRPr="001C45D7">
        <w:t xml:space="preserve"> </w:t>
      </w:r>
      <w:r w:rsidRPr="001C45D7">
        <w:t>knowledgeable.</w:t>
      </w:r>
      <w:r w:rsidR="00FA6558" w:rsidRPr="001C45D7">
        <w:t xml:space="preserve"> </w:t>
      </w:r>
      <w:r w:rsidR="000867E1" w:rsidRPr="001C45D7">
        <w:t>Therefore</w:t>
      </w:r>
      <w:r w:rsidRPr="001C45D7">
        <w:t>,</w:t>
      </w:r>
      <w:r w:rsidR="00FA6558" w:rsidRPr="001C45D7">
        <w:t xml:space="preserve"> </w:t>
      </w:r>
      <w:r w:rsidR="000867E1" w:rsidRPr="001C45D7">
        <w:t xml:space="preserve">there were 125 firms in </w:t>
      </w:r>
      <w:r w:rsidRPr="001C45D7">
        <w:t>the</w:t>
      </w:r>
      <w:r w:rsidR="00FA6558" w:rsidRPr="001C45D7">
        <w:t xml:space="preserve"> </w:t>
      </w:r>
      <w:r w:rsidRPr="001C45D7">
        <w:t>final</w:t>
      </w:r>
      <w:r w:rsidR="00FA6558" w:rsidRPr="001C45D7">
        <w:t xml:space="preserve"> </w:t>
      </w:r>
      <w:r w:rsidRPr="001C45D7">
        <w:t>response</w:t>
      </w:r>
      <w:r w:rsidR="00FE1F31" w:rsidRPr="001C45D7">
        <w:t>.</w:t>
      </w:r>
      <w:r w:rsidR="00FA6558" w:rsidRPr="001C45D7">
        <w:t xml:space="preserve"> </w:t>
      </w:r>
    </w:p>
    <w:p w14:paraId="0DDDFBB5" w14:textId="2897ECA6" w:rsidR="009C344A" w:rsidRDefault="00761ACE" w:rsidP="00566B02">
      <w:pPr>
        <w:pStyle w:val="BodyText"/>
        <w:rPr>
          <w:lang w:val="en-US"/>
        </w:rPr>
      </w:pPr>
      <w:r w:rsidRPr="001C45D7">
        <w:rPr>
          <w:lang w:val="en-US"/>
        </w:rPr>
        <w:t xml:space="preserve">As in </w:t>
      </w:r>
      <w:proofErr w:type="spellStart"/>
      <w:r w:rsidRPr="001C45D7">
        <w:rPr>
          <w:lang w:val="en-US"/>
        </w:rPr>
        <w:t>Durach</w:t>
      </w:r>
      <w:proofErr w:type="spellEnd"/>
      <w:r w:rsidRPr="001C45D7">
        <w:rPr>
          <w:lang w:val="en-US"/>
        </w:rPr>
        <w:t xml:space="preserve"> </w:t>
      </w:r>
      <w:r w:rsidRPr="001C45D7">
        <w:rPr>
          <w:i/>
          <w:iCs/>
          <w:lang w:val="en-US"/>
        </w:rPr>
        <w:t>et al.</w:t>
      </w:r>
      <w:r w:rsidRPr="001C45D7">
        <w:rPr>
          <w:lang w:val="en-US"/>
        </w:rPr>
        <w:t xml:space="preserve"> (2020), t</w:t>
      </w:r>
      <w:r w:rsidR="000126C8" w:rsidRPr="001C45D7">
        <w:rPr>
          <w:lang w:val="en-US"/>
        </w:rPr>
        <w:t xml:space="preserve">o examine non-response bias we compared key firm attributes (firm age, sales revenue and the number of employees) across (1) responding firms versus non-responding firms </w:t>
      </w:r>
      <w:r w:rsidR="00B45391" w:rsidRPr="001C45D7">
        <w:rPr>
          <w:lang w:val="en-US"/>
        </w:rPr>
        <w:t xml:space="preserve">and </w:t>
      </w:r>
      <w:r w:rsidR="000126C8" w:rsidRPr="001C45D7">
        <w:rPr>
          <w:lang w:val="en-US"/>
        </w:rPr>
        <w:t xml:space="preserve">(2) firms </w:t>
      </w:r>
      <w:r w:rsidR="005F34E8" w:rsidRPr="001C45D7">
        <w:rPr>
          <w:lang w:val="en-US"/>
        </w:rPr>
        <w:t xml:space="preserve">that </w:t>
      </w:r>
      <w:r w:rsidR="000126C8" w:rsidRPr="001C45D7">
        <w:rPr>
          <w:lang w:val="en-US"/>
        </w:rPr>
        <w:t>accept</w:t>
      </w:r>
      <w:r w:rsidR="00CD0D7C" w:rsidRPr="001C45D7">
        <w:rPr>
          <w:lang w:val="en-US"/>
        </w:rPr>
        <w:t>ed</w:t>
      </w:r>
      <w:r w:rsidR="000126C8" w:rsidRPr="001C45D7">
        <w:rPr>
          <w:lang w:val="en-US"/>
        </w:rPr>
        <w:t xml:space="preserve"> to participate versus those </w:t>
      </w:r>
      <w:r w:rsidR="00F403F3" w:rsidRPr="001C45D7">
        <w:rPr>
          <w:lang w:val="en-US"/>
        </w:rPr>
        <w:t xml:space="preserve">that </w:t>
      </w:r>
      <w:r w:rsidR="000126C8" w:rsidRPr="001C45D7">
        <w:rPr>
          <w:lang w:val="en-US"/>
        </w:rPr>
        <w:t>decline</w:t>
      </w:r>
      <w:r w:rsidR="00CD0D7C" w:rsidRPr="001C45D7">
        <w:rPr>
          <w:lang w:val="en-US"/>
        </w:rPr>
        <w:t>d</w:t>
      </w:r>
      <w:r w:rsidR="000126C8" w:rsidRPr="001C45D7">
        <w:rPr>
          <w:lang w:val="en-US"/>
        </w:rPr>
        <w:t xml:space="preserve"> to partake. No significant difference was found across the </w:t>
      </w:r>
      <w:r w:rsidR="00C54A10" w:rsidRPr="001C45D7">
        <w:rPr>
          <w:lang w:val="en-US"/>
        </w:rPr>
        <w:t xml:space="preserve">respective </w:t>
      </w:r>
      <w:r w:rsidR="000126C8" w:rsidRPr="001C45D7">
        <w:rPr>
          <w:lang w:val="en-US"/>
        </w:rPr>
        <w:t>two groups, indicating that non-response bias is not a serious concern in this study.</w:t>
      </w:r>
    </w:p>
    <w:p w14:paraId="675E728C" w14:textId="77777777" w:rsidR="00C95788" w:rsidRPr="00182DE2" w:rsidRDefault="00C95788" w:rsidP="00566B02">
      <w:pPr>
        <w:pStyle w:val="BodyText"/>
        <w:rPr>
          <w:rFonts w:eastAsiaTheme="minorEastAsia"/>
          <w:lang w:val="en-US" w:eastAsia="ko-KR"/>
        </w:rPr>
      </w:pPr>
    </w:p>
    <w:p w14:paraId="3D04BE32" w14:textId="0856F5E2" w:rsidR="00567585" w:rsidRPr="001C45D7" w:rsidRDefault="00EE7A68" w:rsidP="00157836">
      <w:pPr>
        <w:pStyle w:val="Heading2"/>
      </w:pPr>
      <w:bookmarkStart w:id="23" w:name="_Hlk51309221"/>
      <w:r w:rsidRPr="001C45D7">
        <w:t>Measurement</w:t>
      </w:r>
      <w:r w:rsidR="00FA6558" w:rsidRPr="001C45D7">
        <w:t xml:space="preserve"> </w:t>
      </w:r>
      <w:r w:rsidRPr="001C45D7">
        <w:t>development</w:t>
      </w:r>
    </w:p>
    <w:bookmarkEnd w:id="23"/>
    <w:p w14:paraId="2D34DC2A" w14:textId="44EFDBA1" w:rsidR="000D2BA4" w:rsidRPr="001C45D7" w:rsidRDefault="00EF1497" w:rsidP="00566B02">
      <w:pPr>
        <w:pStyle w:val="BodyText"/>
      </w:pPr>
      <w:r w:rsidRPr="001C45D7">
        <w:t>To</w:t>
      </w:r>
      <w:r w:rsidR="00FA6558" w:rsidRPr="001C45D7">
        <w:t xml:space="preserve"> </w:t>
      </w:r>
      <w:r w:rsidRPr="001C45D7">
        <w:t>ensure</w:t>
      </w:r>
      <w:r w:rsidR="00FA6558" w:rsidRPr="001C45D7">
        <w:t xml:space="preserve"> </w:t>
      </w:r>
      <w:r w:rsidRPr="001C45D7">
        <w:t>the</w:t>
      </w:r>
      <w:r w:rsidR="00FA6558" w:rsidRPr="001C45D7">
        <w:t xml:space="preserve"> </w:t>
      </w:r>
      <w:r w:rsidRPr="001C45D7">
        <w:t>quality</w:t>
      </w:r>
      <w:r w:rsidR="00FA6558" w:rsidRPr="001C45D7">
        <w:t xml:space="preserve"> </w:t>
      </w:r>
      <w:r w:rsidRPr="001C45D7">
        <w:t>of</w:t>
      </w:r>
      <w:r w:rsidR="00FA6558" w:rsidRPr="001C45D7">
        <w:t xml:space="preserve"> </w:t>
      </w:r>
      <w:r w:rsidRPr="001C45D7">
        <w:t>the</w:t>
      </w:r>
      <w:r w:rsidR="00FA6558" w:rsidRPr="001C45D7">
        <w:t xml:space="preserve"> </w:t>
      </w:r>
      <w:r w:rsidRPr="001C45D7">
        <w:t>measures</w:t>
      </w:r>
      <w:r w:rsidR="00FA6558" w:rsidRPr="001C45D7">
        <w:t xml:space="preserve"> </w:t>
      </w:r>
      <w:r w:rsidRPr="001C45D7">
        <w:t>for</w:t>
      </w:r>
      <w:r w:rsidR="00FA6558" w:rsidRPr="001C45D7">
        <w:t xml:space="preserve"> </w:t>
      </w:r>
      <w:r w:rsidRPr="001C45D7">
        <w:t>this</w:t>
      </w:r>
      <w:r w:rsidR="00FA6558" w:rsidRPr="001C45D7">
        <w:t xml:space="preserve"> </w:t>
      </w:r>
      <w:r w:rsidRPr="001C45D7">
        <w:t>research,</w:t>
      </w:r>
      <w:r w:rsidR="00FA6558" w:rsidRPr="001C45D7">
        <w:t xml:space="preserve"> </w:t>
      </w:r>
      <w:r w:rsidRPr="001C45D7">
        <w:t>we</w:t>
      </w:r>
      <w:r w:rsidR="00FA6558" w:rsidRPr="001C45D7">
        <w:t xml:space="preserve"> </w:t>
      </w:r>
      <w:r w:rsidRPr="001C45D7">
        <w:t>endeavoured</w:t>
      </w:r>
      <w:r w:rsidR="00FA6558" w:rsidRPr="001C45D7">
        <w:t xml:space="preserve"> </w:t>
      </w:r>
      <w:r w:rsidRPr="001C45D7">
        <w:t>where</w:t>
      </w:r>
      <w:r w:rsidR="00FA6558" w:rsidRPr="001C45D7">
        <w:t xml:space="preserve"> </w:t>
      </w:r>
      <w:r w:rsidRPr="001C45D7">
        <w:t>possible</w:t>
      </w:r>
      <w:r w:rsidR="00FA6558" w:rsidRPr="001C45D7">
        <w:t xml:space="preserve"> </w:t>
      </w:r>
      <w:r w:rsidRPr="001C45D7">
        <w:t>to</w:t>
      </w:r>
      <w:r w:rsidR="00FA6558" w:rsidRPr="001C45D7">
        <w:t xml:space="preserve"> </w:t>
      </w:r>
      <w:r w:rsidRPr="001C45D7">
        <w:t>use</w:t>
      </w:r>
      <w:r w:rsidR="00FA6558" w:rsidRPr="001C45D7">
        <w:t xml:space="preserve"> </w:t>
      </w:r>
      <w:r w:rsidRPr="001C45D7">
        <w:t>either</w:t>
      </w:r>
      <w:r w:rsidR="00FA6558" w:rsidRPr="001C45D7">
        <w:t xml:space="preserve"> </w:t>
      </w:r>
      <w:r w:rsidRPr="001C45D7">
        <w:t>established</w:t>
      </w:r>
      <w:r w:rsidR="00FA6558" w:rsidRPr="001C45D7">
        <w:t xml:space="preserve"> </w:t>
      </w:r>
      <w:r w:rsidRPr="001C45D7">
        <w:t>measures</w:t>
      </w:r>
      <w:r w:rsidR="00FA6558" w:rsidRPr="001C45D7">
        <w:t xml:space="preserve"> </w:t>
      </w:r>
      <w:r w:rsidRPr="001C45D7">
        <w:t>or</w:t>
      </w:r>
      <w:r w:rsidR="00FA6558" w:rsidRPr="001C45D7">
        <w:t xml:space="preserve"> </w:t>
      </w:r>
      <w:r w:rsidRPr="001C45D7">
        <w:t>those</w:t>
      </w:r>
      <w:r w:rsidR="00FA6558" w:rsidRPr="001C45D7">
        <w:t xml:space="preserve"> </w:t>
      </w:r>
      <w:r w:rsidRPr="001C45D7">
        <w:t>adapted</w:t>
      </w:r>
      <w:r w:rsidR="00FA6558" w:rsidRPr="001C45D7">
        <w:t xml:space="preserve"> </w:t>
      </w:r>
      <w:r w:rsidRPr="001C45D7">
        <w:t>from</w:t>
      </w:r>
      <w:r w:rsidR="00FA6558" w:rsidRPr="001C45D7">
        <w:t xml:space="preserve"> </w:t>
      </w:r>
      <w:r w:rsidRPr="001C45D7">
        <w:t>the</w:t>
      </w:r>
      <w:r w:rsidR="00FA6558" w:rsidRPr="001C45D7">
        <w:t xml:space="preserve"> </w:t>
      </w:r>
      <w:r w:rsidRPr="001C45D7">
        <w:t>extant</w:t>
      </w:r>
      <w:r w:rsidR="00FA6558" w:rsidRPr="001C45D7">
        <w:t xml:space="preserve"> </w:t>
      </w:r>
      <w:r w:rsidRPr="001C45D7">
        <w:t>literature.</w:t>
      </w:r>
      <w:r w:rsidR="00FA6558" w:rsidRPr="001C45D7">
        <w:t xml:space="preserve"> </w:t>
      </w:r>
      <w:r w:rsidR="000F3767" w:rsidRPr="001C45D7">
        <w:t>A</w:t>
      </w:r>
      <w:r w:rsidR="00BF3EE9" w:rsidRPr="001C45D7">
        <w:t>ll</w:t>
      </w:r>
      <w:r w:rsidR="00FA6558" w:rsidRPr="001C45D7">
        <w:t xml:space="preserve"> </w:t>
      </w:r>
      <w:r w:rsidR="000F3767" w:rsidRPr="001C45D7">
        <w:t>measurement</w:t>
      </w:r>
      <w:r w:rsidR="00FA6558" w:rsidRPr="001C45D7">
        <w:t xml:space="preserve"> </w:t>
      </w:r>
      <w:r w:rsidRPr="001C45D7">
        <w:t>items</w:t>
      </w:r>
      <w:r w:rsidR="00FA6558" w:rsidRPr="001C45D7">
        <w:t xml:space="preserve"> </w:t>
      </w:r>
      <w:r w:rsidRPr="001C45D7">
        <w:t>used</w:t>
      </w:r>
      <w:r w:rsidR="00FA6558" w:rsidRPr="001C45D7">
        <w:t xml:space="preserve"> </w:t>
      </w:r>
      <w:r w:rsidR="00BF3EE9" w:rsidRPr="001C45D7">
        <w:t>in</w:t>
      </w:r>
      <w:r w:rsidR="00FA6558" w:rsidRPr="001C45D7">
        <w:t xml:space="preserve"> </w:t>
      </w:r>
      <w:r w:rsidR="00BF3EE9" w:rsidRPr="001C45D7">
        <w:t>this</w:t>
      </w:r>
      <w:r w:rsidR="00FA6558" w:rsidRPr="001C45D7">
        <w:t xml:space="preserve"> </w:t>
      </w:r>
      <w:r w:rsidR="00BF3EE9" w:rsidRPr="001C45D7">
        <w:t>study</w:t>
      </w:r>
      <w:r w:rsidR="00FA6558" w:rsidRPr="001C45D7">
        <w:t xml:space="preserve"> </w:t>
      </w:r>
      <w:r w:rsidRPr="001C45D7">
        <w:t>were</w:t>
      </w:r>
      <w:r w:rsidR="00FA6558" w:rsidRPr="001C45D7">
        <w:t xml:space="preserve"> </w:t>
      </w:r>
      <w:r w:rsidRPr="001C45D7">
        <w:t>measured</w:t>
      </w:r>
      <w:r w:rsidR="00FA6558" w:rsidRPr="001C45D7">
        <w:t xml:space="preserve"> </w:t>
      </w:r>
      <w:r w:rsidRPr="001C45D7">
        <w:t>on</w:t>
      </w:r>
      <w:r w:rsidR="00FA6558" w:rsidRPr="001C45D7">
        <w:t xml:space="preserve"> </w:t>
      </w:r>
      <w:r w:rsidRPr="001C45D7">
        <w:t>a</w:t>
      </w:r>
      <w:r w:rsidR="00FA6558" w:rsidRPr="001C45D7">
        <w:t xml:space="preserve"> </w:t>
      </w:r>
      <w:r w:rsidR="00BA5F3B" w:rsidRPr="001C45D7">
        <w:t>5</w:t>
      </w:r>
      <w:r w:rsidRPr="001C45D7">
        <w:t>-point</w:t>
      </w:r>
      <w:r w:rsidR="00FA6558" w:rsidRPr="001C45D7">
        <w:t xml:space="preserve"> </w:t>
      </w:r>
      <w:r w:rsidRPr="001C45D7">
        <w:t>Likert</w:t>
      </w:r>
      <w:r w:rsidR="00FA6558" w:rsidRPr="001C45D7">
        <w:t xml:space="preserve"> </w:t>
      </w:r>
      <w:r w:rsidRPr="001C45D7">
        <w:t>scale</w:t>
      </w:r>
      <w:r w:rsidR="006400FF" w:rsidRPr="001C45D7">
        <w:t>,</w:t>
      </w:r>
      <w:r w:rsidR="00FA6558" w:rsidRPr="001C45D7">
        <w:t xml:space="preserve"> </w:t>
      </w:r>
      <w:r w:rsidR="00BA5F3B" w:rsidRPr="001C45D7">
        <w:t>from</w:t>
      </w:r>
      <w:r w:rsidR="00FA6558" w:rsidRPr="001C45D7">
        <w:t xml:space="preserve"> </w:t>
      </w:r>
      <w:r w:rsidR="00202F74" w:rsidRPr="001C45D7">
        <w:t>‘</w:t>
      </w:r>
      <w:r w:rsidR="00BA5F3B" w:rsidRPr="001C45D7">
        <w:t>Not</w:t>
      </w:r>
      <w:r w:rsidR="00FA6558" w:rsidRPr="001C45D7">
        <w:t xml:space="preserve"> </w:t>
      </w:r>
      <w:r w:rsidR="00BA5F3B" w:rsidRPr="001C45D7">
        <w:t>at</w:t>
      </w:r>
      <w:r w:rsidR="00FA6558" w:rsidRPr="001C45D7">
        <w:t xml:space="preserve"> </w:t>
      </w:r>
      <w:r w:rsidR="00BA5F3B" w:rsidRPr="001C45D7">
        <w:t>all</w:t>
      </w:r>
      <w:r w:rsidR="00202F74" w:rsidRPr="001C45D7">
        <w:t xml:space="preserve">’ </w:t>
      </w:r>
      <w:r w:rsidR="00BA5F3B" w:rsidRPr="001C45D7">
        <w:t>to</w:t>
      </w:r>
      <w:r w:rsidR="00FA6558" w:rsidRPr="001C45D7">
        <w:t xml:space="preserve"> </w:t>
      </w:r>
      <w:r w:rsidR="00742C98" w:rsidRPr="001C45D7">
        <w:t>‘</w:t>
      </w:r>
      <w:r w:rsidR="00BA5F3B" w:rsidRPr="001C45D7">
        <w:t>A</w:t>
      </w:r>
      <w:r w:rsidR="00FA6558" w:rsidRPr="001C45D7">
        <w:t xml:space="preserve"> </w:t>
      </w:r>
      <w:r w:rsidR="00BA5F3B" w:rsidRPr="001C45D7">
        <w:t>very</w:t>
      </w:r>
      <w:r w:rsidR="00FA6558" w:rsidRPr="001C45D7">
        <w:t xml:space="preserve"> </w:t>
      </w:r>
      <w:r w:rsidR="00BA5F3B" w:rsidRPr="001C45D7">
        <w:t>great</w:t>
      </w:r>
      <w:r w:rsidR="00FA6558" w:rsidRPr="001C45D7">
        <w:t xml:space="preserve"> </w:t>
      </w:r>
      <w:r w:rsidR="00BA5F3B" w:rsidRPr="001C45D7">
        <w:t>extent</w:t>
      </w:r>
      <w:r w:rsidR="00742C98" w:rsidRPr="001C45D7">
        <w:t xml:space="preserve">’ </w:t>
      </w:r>
      <w:r w:rsidR="00DC019F" w:rsidRPr="001C45D7">
        <w:t>(see</w:t>
      </w:r>
      <w:r w:rsidR="00FA6558" w:rsidRPr="001C45D7">
        <w:t xml:space="preserve"> </w:t>
      </w:r>
      <w:r w:rsidR="00DC019F" w:rsidRPr="001C45D7">
        <w:t>Appendix</w:t>
      </w:r>
      <w:r w:rsidR="00FA6558" w:rsidRPr="001C45D7">
        <w:t xml:space="preserve"> </w:t>
      </w:r>
      <w:r w:rsidR="009A6274" w:rsidRPr="001C45D7">
        <w:rPr>
          <w:rFonts w:eastAsiaTheme="minorEastAsia" w:hint="eastAsia"/>
          <w:lang w:eastAsia="ko-KR"/>
        </w:rPr>
        <w:t>2</w:t>
      </w:r>
      <w:r w:rsidR="00DC019F" w:rsidRPr="001C45D7">
        <w:t>)</w:t>
      </w:r>
      <w:r w:rsidR="00BA5F3B" w:rsidRPr="001C45D7">
        <w:t>.</w:t>
      </w:r>
      <w:r w:rsidR="00FA6558" w:rsidRPr="001C45D7">
        <w:t xml:space="preserve"> </w:t>
      </w:r>
      <w:r w:rsidR="0027292C" w:rsidRPr="001C45D7">
        <w:t>In</w:t>
      </w:r>
      <w:r w:rsidR="00FA6558" w:rsidRPr="001C45D7">
        <w:t xml:space="preserve"> </w:t>
      </w:r>
      <w:r w:rsidR="0027292C" w:rsidRPr="001C45D7">
        <w:t>terms</w:t>
      </w:r>
      <w:r w:rsidR="00FA6558" w:rsidRPr="001C45D7">
        <w:t xml:space="preserve"> </w:t>
      </w:r>
      <w:r w:rsidR="0027292C" w:rsidRPr="001C45D7">
        <w:t>of</w:t>
      </w:r>
      <w:r w:rsidR="00FA6558" w:rsidRPr="001C45D7">
        <w:t xml:space="preserve"> </w:t>
      </w:r>
      <w:r w:rsidR="0062268E" w:rsidRPr="001C45D7">
        <w:t xml:space="preserve">the </w:t>
      </w:r>
      <w:r w:rsidR="00DD1CB1">
        <w:t>supplier</w:t>
      </w:r>
      <w:r w:rsidR="001149B9">
        <w:t>-</w:t>
      </w:r>
      <w:r w:rsidR="00DD1CB1">
        <w:t>perceived</w:t>
      </w:r>
      <w:r w:rsidR="00FA6558" w:rsidRPr="001C45D7">
        <w:t xml:space="preserve"> </w:t>
      </w:r>
      <w:r w:rsidR="00DC019F" w:rsidRPr="001C45D7">
        <w:t>digital</w:t>
      </w:r>
      <w:r w:rsidR="00FA6558" w:rsidRPr="001C45D7">
        <w:t xml:space="preserve"> </w:t>
      </w:r>
      <w:r w:rsidR="00DC019F" w:rsidRPr="001C45D7">
        <w:t>capability</w:t>
      </w:r>
      <w:r w:rsidR="00DD1CB1">
        <w:t xml:space="preserve"> asymmetry</w:t>
      </w:r>
      <w:r w:rsidR="00202F74" w:rsidRPr="001C45D7">
        <w:t xml:space="preserve"> </w:t>
      </w:r>
      <w:r w:rsidR="0027292C" w:rsidRPr="001C45D7">
        <w:t>construct,</w:t>
      </w:r>
      <w:r w:rsidR="00FA6558" w:rsidRPr="001C45D7">
        <w:t xml:space="preserve"> </w:t>
      </w:r>
      <w:r w:rsidR="0027292C" w:rsidRPr="001C45D7">
        <w:t>due</w:t>
      </w:r>
      <w:r w:rsidR="00FA6558" w:rsidRPr="001C45D7">
        <w:t xml:space="preserve"> </w:t>
      </w:r>
      <w:r w:rsidR="0027292C" w:rsidRPr="001C45D7">
        <w:t>to</w:t>
      </w:r>
      <w:r w:rsidR="00FA6558" w:rsidRPr="001C45D7">
        <w:t xml:space="preserve"> </w:t>
      </w:r>
      <w:r w:rsidR="0027292C" w:rsidRPr="001C45D7">
        <w:t>the</w:t>
      </w:r>
      <w:r w:rsidR="00FA6558" w:rsidRPr="001C45D7">
        <w:t xml:space="preserve"> </w:t>
      </w:r>
      <w:r w:rsidR="0027292C" w:rsidRPr="001C45D7">
        <w:t>lack</w:t>
      </w:r>
      <w:r w:rsidR="00FA6558" w:rsidRPr="001C45D7">
        <w:t xml:space="preserve"> </w:t>
      </w:r>
      <w:r w:rsidR="0027292C" w:rsidRPr="001C45D7">
        <w:t>of</w:t>
      </w:r>
      <w:r w:rsidR="00FA6558" w:rsidRPr="001C45D7">
        <w:t xml:space="preserve"> </w:t>
      </w:r>
      <w:r w:rsidR="0027292C" w:rsidRPr="001C45D7">
        <w:t>existing</w:t>
      </w:r>
      <w:r w:rsidR="00FA6558" w:rsidRPr="001C45D7">
        <w:t xml:space="preserve"> </w:t>
      </w:r>
      <w:r w:rsidR="0027292C" w:rsidRPr="001C45D7">
        <w:t>measures</w:t>
      </w:r>
      <w:r w:rsidR="004708B5">
        <w:t>,</w:t>
      </w:r>
      <w:r w:rsidR="00FA6558" w:rsidRPr="001C45D7">
        <w:t xml:space="preserve"> </w:t>
      </w:r>
      <w:r w:rsidR="0027292C" w:rsidRPr="001C45D7">
        <w:t>a</w:t>
      </w:r>
      <w:r w:rsidR="00FA6558" w:rsidRPr="001C45D7">
        <w:t xml:space="preserve"> </w:t>
      </w:r>
      <w:r w:rsidR="0027292C" w:rsidRPr="001C45D7">
        <w:t>new</w:t>
      </w:r>
      <w:r w:rsidR="00FA6558" w:rsidRPr="001C45D7">
        <w:t xml:space="preserve"> </w:t>
      </w:r>
      <w:r w:rsidR="00E71A00" w:rsidRPr="001C45D7">
        <w:t>5</w:t>
      </w:r>
      <w:r w:rsidR="001D3AB1" w:rsidRPr="001C45D7">
        <w:t>-</w:t>
      </w:r>
      <w:r w:rsidR="0027292C" w:rsidRPr="001C45D7">
        <w:t>item</w:t>
      </w:r>
      <w:r w:rsidR="00FA6558" w:rsidRPr="001C45D7">
        <w:t xml:space="preserve"> </w:t>
      </w:r>
      <w:r w:rsidR="0027292C" w:rsidRPr="001C45D7">
        <w:t>scale</w:t>
      </w:r>
      <w:r w:rsidR="00FA6558" w:rsidRPr="001C45D7">
        <w:t xml:space="preserve"> </w:t>
      </w:r>
      <w:r w:rsidR="0027292C" w:rsidRPr="001C45D7">
        <w:t>was</w:t>
      </w:r>
      <w:r w:rsidR="00FA6558" w:rsidRPr="001C45D7">
        <w:t xml:space="preserve"> </w:t>
      </w:r>
      <w:r w:rsidR="0027292C" w:rsidRPr="001C45D7">
        <w:t>developed</w:t>
      </w:r>
      <w:r w:rsidR="001D3AB1" w:rsidRPr="001C45D7">
        <w:t>,</w:t>
      </w:r>
      <w:r w:rsidR="00FA6558" w:rsidRPr="001C45D7">
        <w:t xml:space="preserve"> </w:t>
      </w:r>
      <w:r w:rsidR="0027292C" w:rsidRPr="001C45D7">
        <w:t>based</w:t>
      </w:r>
      <w:r w:rsidR="00FA6558" w:rsidRPr="001C45D7">
        <w:t xml:space="preserve"> </w:t>
      </w:r>
      <w:r w:rsidR="0027292C" w:rsidRPr="001C45D7">
        <w:t>on</w:t>
      </w:r>
      <w:r w:rsidR="00FA6558" w:rsidRPr="001C45D7">
        <w:t xml:space="preserve"> </w:t>
      </w:r>
      <w:r w:rsidR="0027292C" w:rsidRPr="001C45D7">
        <w:t>existing</w:t>
      </w:r>
      <w:r w:rsidR="00FA6558" w:rsidRPr="001C45D7">
        <w:t xml:space="preserve"> </w:t>
      </w:r>
      <w:r w:rsidR="0027292C" w:rsidRPr="001C45D7">
        <w:t>digitalisation</w:t>
      </w:r>
      <w:r w:rsidR="00FA6558" w:rsidRPr="001C45D7">
        <w:t xml:space="preserve"> </w:t>
      </w:r>
      <w:r w:rsidR="0027292C" w:rsidRPr="001C45D7">
        <w:t>studies</w:t>
      </w:r>
      <w:r w:rsidR="00FA6558" w:rsidRPr="001C45D7">
        <w:t xml:space="preserve"> </w:t>
      </w:r>
      <w:r w:rsidR="00000FE0" w:rsidRPr="001C45D7">
        <w:fldChar w:fldCharType="begin" w:fldLock="1"/>
      </w:r>
      <w:r w:rsidR="004A2B48" w:rsidRPr="001C45D7">
        <w:instrText>ADDIN CSL_CITATION {"citationItems":[{"id":"ITEM-1","itemData":{"DOI":"10.1007/978-3-319-57870-5_4","abstract":"From both strategic and technologic perspectives, the Industry 4.0 Industry 4.0 roadmap visualizes every further step on the route towards an entirely digital enterprise. In order to achieve success in the digital transformation process, it is necessary to prepare the technology roadmap in the most accurate way. The intent of this chapter is to present a technology roadmap for Industry 4.0 transformation to facilitate the planning and implementation process.","author":[{"dropping-particle":"","family":"Akdil","given":"Kartal Yagiz","non-dropping-particle":"","parse-names":false,"suffix":""},{"dropping-particle":"","family":"Ustundag","given":"Alp","non-dropping-particle":"","parse-names":false,"suffix":""},{"dropping-particle":"","family":"Cevikcan","given":"Emre","non-dropping-particle":"","parse-names":false,"suffix":""}],"container-title":"The Digital Transformation. Springer Series in Advanced Manufacturing","id":"ITEM-1","issued":{"date-parts":[["2018"]]},"page":"61-94","publisher":"Springer, Cham","title":"Maturity and Readiness Model for Industry 4.0 Strategy","type":"chapter"},"uris":["http://www.mendeley.com/documents/?uuid=1a2fcae1-e2b1-39a7-ab45-eed709aa2c14"]},{"id":"ITEM-2","itemData":{"DOI":"10.1016/j.bushor.2019.07.006","ISSN":"00076813","abstract":"With the rapid development of digital technologies, many supply chain professionals are wondering how to move forward. Three technologies are poised to change supply chain business processes: robotic process automation (RPA), artificial intelligence (AI)/machine learning (ML) and blockchain. Based on interviews with supply chain professionals in 14 large, mature manufacturing and service organizations, we outline the promise of each technology and forecast their broad-scale adoption potential. Organizations should take the following measures to ensure their readiness to adopt and effectively use one or more of these technologies: (1) identify a supply chain technology visionary who can lead through the maze of technologies and the changing digital landscape, (2) develop a digital technology roadmap for their supply chain processes, and (3) update foundational information systems.","author":[{"dropping-particle":"","family":"Hartley","given":"Janet L.","non-dropping-particle":"","parse-names":false,"suffix":""},{"dropping-particle":"","family":"Sawaya","given":"William J.","non-dropping-particle":"","parse-names":false,"suffix":""}],"container-title":"Business Horizons","id":"ITEM-2","issue":"6","issued":{"date-parts":[["2019"]]},"page":"707-715","title":"Tortoise, not the hare: Digital transformation of supply chain business processes","type":"article-journal","volume":"62"},"uris":["http://www.mendeley.com/documents/?uuid=eb68081d-f586-3a3f-8452-a5f13e497b42"]},{"id":"ITEM-3","itemData":{"DOI":"10.1016/j.ijpe.2020.107617","ISSN":"09255273","abstract":"The many scholars approaching Industry 4.0 today need to confront the lack of an agreed-upon definition, posing serious limitations to theory building and research comparability. Since its initial German conceptualization in 2011, both the technological landscape and the understanding of the Industry 4.0 have evolved significantly leading to several ambiguities. In parallel, similar concepts often used as synonyms − such as “smart manufacturing”, “digital transformation”, and “fourth industrial revolution” − have increased the sense of confusion around the scope and characteristics of the phenomenon. This study approaches the issue through an analysis of almost 100 definitions of Industry 4.0 and related concepts. The review of academic publications has been complemented by a selection of the most influential non-academic sources, including governmental bodies and consulting companies. Each definition has been broken down into its underlying technological and non-technological definitional elements. This categorization will serve as a basis for future research to approach the phenomenon in its multiple facets.","author":[{"dropping-particle":"","family":"Culot","given":"Giovanna","non-dropping-particle":"","parse-names":false,"suffix":""},{"dropping-particle":"","family":"Nassimbeni","given":"Guido","non-dropping-particle":"","parse-names":false,"suffix":""},{"dropping-particle":"","family":"Orzes","given":"Guido","non-dropping-particle":"","parse-names":false,"suffix":""},{"dropping-particle":"","family":"Sartor","given":"Marco","non-dropping-particle":"","parse-names":false,"suffix":""}],"container-title":"International Journal of Production Economics","id":"ITEM-3","issued":{"date-parts":[["2020"]]},"title":"Behind the definition of Industry 4.0: Analysis and open questions","type":"article-journal"},"uris":["http://www.mendeley.com/documents/?uuid=9df0778a-f3b7-4546-ab95-e23343f1e786"]},{"id":"ITEM-4","itemData":{"DOI":"10.2307/41409967","ISSN":"21629730","abstract":"Information technology is generally considered an enabler of a firm's agility. A typical premise is that greater IT investment enables a firm to be more agile. However, it is not uncommon that IT can also hinder and sometimes even impede organizational agility. We propose and theorize this frequently observed but understudied IT-agility contradiction by which IT may enable or impede agility. We develop the premise that organizations need to develop superior firm-wide IT capability to successfully manage their IT resources to realize agility. We refine the conceptualization and measurement of IT capability as a latent construct reflected in its three dimensions: IT infrastructure capability, IT business spanning capability, and IT proactive stance. We also conceptualize two types of organizational agility: market capitalizing agility and operational adjustment agility. We then conduct a matched-pair field survey of business and information systems executives in 128 organizations to empirically examine the link between a firm's IT capability and agility. Business executives responded to measurement scales of the two types of agility and organizational context variables, and IS executives responded to measurement scales of IT capabilities and IS context variables. The results show a significant positive relationship between IT capability and the two types of organizational agility. We also find a significant positive joint effect of IT capability and IT spending on operational adjustment agility but not on market capitalizing agility. The findings suggest a possible resolution to the contradictory effect of IT on agility: while more IT spending does not lead to greater agility, spending it in such a way as to enhance and foster IT capabilities does. Our study provides initial empirical evidence to better understand essential IT capabilities and their relationship with organizational agility. Our findings provide a number of useful implications for research and managerial practices.","author":[{"dropping-particle":"","family":"Lu","given":"Ying","non-dropping-particle":"","parse-names":false,"suffix":""},{"dropping-particle":"","family":"Ramamurthy","given":"K.","non-dropping-particle":"","parse-names":false,"suffix":""}],"container-title":"MIS Quarterly: Management Information Systems","id":"ITEM-4","issue":"4","issued":{"date-parts":[["2011"]]},"page":"931-954","title":"Understanding the link between information technology capability and organizational agility: An empirical examination","type":"article-journal","volume":"35"},"uris":["http://www.mendeley.com/documents/?uuid=e3274d4f-e58a-4fb7-a188-adc04452e19d"]}],"mendeley":{"formattedCitation":"(Akdil &lt;i&gt;et al.&lt;/i&gt;, 2018; Culot &lt;i&gt;et al.&lt;/i&gt;, 2020; Hartley and Sawaya, 2019; Lu and Ramamurthy, 2011)","manualFormatting":"(Lu and Ramamurthy, 2011; Akdil et al., 2018; Hartley and Sawaya, 2019; Culot et al., 2020)","plainTextFormattedCitation":"(Akdil et al., 2018; Culot et al., 2020; Hartley and Sawaya, 2019; Lu and Ramamurthy, 2011)","previouslyFormattedCitation":"(Akdil &lt;i&gt;et al.&lt;/i&gt;, 2018; Culot &lt;i&gt;et al.&lt;/i&gt;, 2020; Hartley and Sawaya, 2019; Lu and Ramamurthy, 2011)"},"properties":{"noteIndex":0},"schema":"https://github.com/citation-style-language/schema/raw/master/csl-citation.json"}</w:instrText>
      </w:r>
      <w:r w:rsidR="00000FE0" w:rsidRPr="001C45D7">
        <w:fldChar w:fldCharType="separate"/>
      </w:r>
      <w:r w:rsidR="00881C19" w:rsidRPr="001C45D7">
        <w:rPr>
          <w:noProof/>
        </w:rPr>
        <w:t>(Lu</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Ramamurthy,</w:t>
      </w:r>
      <w:r w:rsidR="00FA6558" w:rsidRPr="001C45D7">
        <w:rPr>
          <w:noProof/>
        </w:rPr>
        <w:t xml:space="preserve"> </w:t>
      </w:r>
      <w:r w:rsidR="00881C19" w:rsidRPr="001C45D7">
        <w:rPr>
          <w:noProof/>
        </w:rPr>
        <w:t>2011;</w:t>
      </w:r>
      <w:r w:rsidR="00FA6558" w:rsidRPr="001C45D7">
        <w:rPr>
          <w:noProof/>
        </w:rPr>
        <w:t xml:space="preserve"> </w:t>
      </w:r>
      <w:r w:rsidR="00881C19" w:rsidRPr="001C45D7">
        <w:rPr>
          <w:noProof/>
        </w:rPr>
        <w:t>Akdil</w:t>
      </w:r>
      <w:r w:rsidR="00662F37" w:rsidRPr="001C45D7">
        <w:rPr>
          <w:noProof/>
        </w:rPr>
        <w:t xml:space="preserve"> </w:t>
      </w:r>
      <w:r w:rsidR="00662F37" w:rsidRPr="001C45D7">
        <w:rPr>
          <w:i/>
          <w:noProof/>
        </w:rPr>
        <w:t>et al</w:t>
      </w:r>
      <w:r w:rsidR="00662F37" w:rsidRPr="001C45D7">
        <w:rPr>
          <w:noProof/>
        </w:rPr>
        <w:t>.</w:t>
      </w:r>
      <w:r w:rsidR="00881C19" w:rsidRPr="001C45D7">
        <w:rPr>
          <w:noProof/>
        </w:rPr>
        <w:t>,</w:t>
      </w:r>
      <w:r w:rsidR="00FA6558" w:rsidRPr="001C45D7">
        <w:rPr>
          <w:noProof/>
        </w:rPr>
        <w:t xml:space="preserve"> </w:t>
      </w:r>
      <w:r w:rsidR="00881C19" w:rsidRPr="001C45D7">
        <w:rPr>
          <w:noProof/>
        </w:rPr>
        <w:t>2018;</w:t>
      </w:r>
      <w:r w:rsidR="00FA6558" w:rsidRPr="001C45D7">
        <w:rPr>
          <w:noProof/>
        </w:rPr>
        <w:t xml:space="preserve"> </w:t>
      </w:r>
      <w:r w:rsidR="00881C19" w:rsidRPr="001C45D7">
        <w:rPr>
          <w:noProof/>
        </w:rPr>
        <w:t>Hartley</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Sawaya,</w:t>
      </w:r>
      <w:r w:rsidR="00FA6558" w:rsidRPr="001C45D7">
        <w:rPr>
          <w:noProof/>
        </w:rPr>
        <w:t xml:space="preserve"> </w:t>
      </w:r>
      <w:r w:rsidR="00881C19" w:rsidRPr="001C45D7">
        <w:rPr>
          <w:noProof/>
        </w:rPr>
        <w:t>2019;</w:t>
      </w:r>
      <w:r w:rsidR="00FA6558" w:rsidRPr="001C45D7">
        <w:rPr>
          <w:noProof/>
        </w:rPr>
        <w:t xml:space="preserve"> </w:t>
      </w:r>
      <w:r w:rsidR="00881C19" w:rsidRPr="001C45D7">
        <w:rPr>
          <w:noProof/>
        </w:rPr>
        <w:t>Culot</w:t>
      </w:r>
      <w:r w:rsidR="00FA6558" w:rsidRPr="001C45D7">
        <w:rPr>
          <w:noProof/>
        </w:rPr>
        <w:t xml:space="preserve"> </w:t>
      </w:r>
      <w:r w:rsidR="00881C19" w:rsidRPr="001C45D7">
        <w:rPr>
          <w:i/>
          <w:noProof/>
        </w:rPr>
        <w:t>et</w:t>
      </w:r>
      <w:r w:rsidR="00FA6558" w:rsidRPr="001C45D7">
        <w:rPr>
          <w:i/>
          <w:noProof/>
        </w:rPr>
        <w:t xml:space="preserve"> </w:t>
      </w:r>
      <w:r w:rsidR="00881C19" w:rsidRPr="001C45D7">
        <w:rPr>
          <w:i/>
          <w:noProof/>
        </w:rPr>
        <w:t>al.</w:t>
      </w:r>
      <w:r w:rsidR="00881C19" w:rsidRPr="001C45D7">
        <w:rPr>
          <w:noProof/>
        </w:rPr>
        <w:t>,</w:t>
      </w:r>
      <w:r w:rsidR="00FA6558" w:rsidRPr="001C45D7">
        <w:rPr>
          <w:noProof/>
        </w:rPr>
        <w:t xml:space="preserve"> </w:t>
      </w:r>
      <w:r w:rsidR="00881C19" w:rsidRPr="001C45D7">
        <w:rPr>
          <w:noProof/>
        </w:rPr>
        <w:t>2020)</w:t>
      </w:r>
      <w:r w:rsidR="00000FE0" w:rsidRPr="001C45D7">
        <w:fldChar w:fldCharType="end"/>
      </w:r>
      <w:r w:rsidR="000515AB" w:rsidRPr="001C45D7">
        <w:t>. The scale</w:t>
      </w:r>
      <w:r w:rsidR="00662F37" w:rsidRPr="001C45D7">
        <w:t xml:space="preserve"> </w:t>
      </w:r>
      <w:r w:rsidR="0027292C" w:rsidRPr="001C45D7">
        <w:t>examine</w:t>
      </w:r>
      <w:r w:rsidR="000515AB" w:rsidRPr="001C45D7">
        <w:t>s</w:t>
      </w:r>
      <w:r w:rsidR="00FA6558" w:rsidRPr="001C45D7">
        <w:t xml:space="preserve"> </w:t>
      </w:r>
      <w:r w:rsidR="0027292C" w:rsidRPr="001C45D7">
        <w:t>the</w:t>
      </w:r>
      <w:r w:rsidR="00FA6558" w:rsidRPr="001C45D7">
        <w:t xml:space="preserve"> </w:t>
      </w:r>
      <w:r w:rsidR="0027292C" w:rsidRPr="001C45D7">
        <w:t>extent</w:t>
      </w:r>
      <w:r w:rsidR="00FA6558" w:rsidRPr="001C45D7">
        <w:t xml:space="preserve"> </w:t>
      </w:r>
      <w:r w:rsidR="0027292C" w:rsidRPr="001C45D7">
        <w:t>of</w:t>
      </w:r>
      <w:r w:rsidR="00FA6558" w:rsidRPr="001C45D7">
        <w:t xml:space="preserve"> </w:t>
      </w:r>
      <w:r w:rsidR="0027292C" w:rsidRPr="001C45D7">
        <w:t>the</w:t>
      </w:r>
      <w:r w:rsidR="00FA6558" w:rsidRPr="001C45D7">
        <w:t xml:space="preserve"> </w:t>
      </w:r>
      <w:r w:rsidR="0027292C" w:rsidRPr="001C45D7">
        <w:t>supplier-perceived</w:t>
      </w:r>
      <w:r w:rsidR="00FA6558" w:rsidRPr="001C45D7">
        <w:t xml:space="preserve"> </w:t>
      </w:r>
      <w:r w:rsidR="0027292C" w:rsidRPr="001C45D7">
        <w:t>differences</w:t>
      </w:r>
      <w:r w:rsidR="00FA6558" w:rsidRPr="001C45D7">
        <w:t xml:space="preserve"> </w:t>
      </w:r>
      <w:r w:rsidR="0027292C" w:rsidRPr="001C45D7">
        <w:t>in</w:t>
      </w:r>
      <w:r w:rsidR="00FA6558" w:rsidRPr="001C45D7">
        <w:t xml:space="preserve"> </w:t>
      </w:r>
      <w:r w:rsidR="00B30B8C" w:rsidRPr="001C45D7">
        <w:t xml:space="preserve">the supplier’s </w:t>
      </w:r>
      <w:r w:rsidR="00B5176D" w:rsidRPr="001C45D7">
        <w:t xml:space="preserve">digital </w:t>
      </w:r>
      <w:r w:rsidR="001149B9" w:rsidRPr="001C45D7">
        <w:t>capabilit</w:t>
      </w:r>
      <w:r w:rsidR="001149B9">
        <w:t>y</w:t>
      </w:r>
      <w:r w:rsidR="001149B9" w:rsidRPr="001C45D7">
        <w:t xml:space="preserve"> </w:t>
      </w:r>
      <w:r w:rsidR="0027292C" w:rsidRPr="001C45D7">
        <w:t>relative</w:t>
      </w:r>
      <w:r w:rsidR="00FA6558" w:rsidRPr="001C45D7">
        <w:t xml:space="preserve"> </w:t>
      </w:r>
      <w:r w:rsidR="0027292C" w:rsidRPr="001C45D7">
        <w:t>to</w:t>
      </w:r>
      <w:r w:rsidR="00FA6558" w:rsidRPr="001C45D7">
        <w:t xml:space="preserve"> </w:t>
      </w:r>
      <w:r w:rsidR="0027292C" w:rsidRPr="001C45D7">
        <w:t>the</w:t>
      </w:r>
      <w:r w:rsidR="00FA6558" w:rsidRPr="001C45D7">
        <w:t xml:space="preserve"> </w:t>
      </w:r>
      <w:r w:rsidR="00000FE0" w:rsidRPr="001C45D7">
        <w:t>large</w:t>
      </w:r>
      <w:r w:rsidR="00FA6558" w:rsidRPr="001C45D7">
        <w:t xml:space="preserve"> </w:t>
      </w:r>
      <w:r w:rsidR="0027292C" w:rsidRPr="001C45D7">
        <w:t>buyer</w:t>
      </w:r>
      <w:r w:rsidR="00FA6558" w:rsidRPr="001C45D7">
        <w:t xml:space="preserve"> </w:t>
      </w:r>
      <w:r w:rsidR="0027292C" w:rsidRPr="001C45D7">
        <w:t>firm</w:t>
      </w:r>
      <w:r w:rsidR="004076BD">
        <w:t>, as well as the supplier’s orientation towards embracing new digital technologies</w:t>
      </w:r>
      <w:r w:rsidR="00B27FB9" w:rsidRPr="001C45D7">
        <w:t>.</w:t>
      </w:r>
      <w:r w:rsidR="00134843">
        <w:t xml:space="preserve"> </w:t>
      </w:r>
      <w:r w:rsidR="00F06688" w:rsidRPr="00F06688">
        <w:t xml:space="preserve"> </w:t>
      </w:r>
      <w:r w:rsidR="00F06688">
        <w:t>O</w:t>
      </w:r>
      <w:r w:rsidR="00F06688" w:rsidRPr="00F06688">
        <w:t xml:space="preserve">ur approach of providing respondents with a reference point, which is its own digital capability, would make their responses reliable </w:t>
      </w:r>
      <w:r w:rsidR="001149B9">
        <w:t xml:space="preserve">and it is </w:t>
      </w:r>
      <w:r w:rsidR="00F06688" w:rsidRPr="00F06688">
        <w:t xml:space="preserve">a common approach in measuring capabilities and performances </w:t>
      </w:r>
      <w:r w:rsidR="00F06688" w:rsidRPr="00F06688">
        <w:lastRenderedPageBreak/>
        <w:t>using a survey instrument</w:t>
      </w:r>
      <w:r w:rsidR="00F06688">
        <w:t xml:space="preserve"> (</w:t>
      </w:r>
      <w:r w:rsidR="001149B9">
        <w:t xml:space="preserve">e.g., </w:t>
      </w:r>
      <w:r w:rsidR="00F06688">
        <w:t>Lu and Ram</w:t>
      </w:r>
      <w:r w:rsidR="00E672CA">
        <w:t xml:space="preserve">amurthy, </w:t>
      </w:r>
      <w:r w:rsidR="00324E1D">
        <w:t>2011)</w:t>
      </w:r>
      <w:r w:rsidR="00F06688" w:rsidRPr="00F06688">
        <w:t>.</w:t>
      </w:r>
      <w:r w:rsidR="00F06688">
        <w:t xml:space="preserve"> </w:t>
      </w:r>
      <w:r w:rsidR="00086F2A" w:rsidRPr="001C45D7">
        <w:t>In</w:t>
      </w:r>
      <w:r w:rsidR="00FA6558" w:rsidRPr="001C45D7">
        <w:t xml:space="preserve"> </w:t>
      </w:r>
      <w:r w:rsidR="00086F2A" w:rsidRPr="001C45D7">
        <w:t>order</w:t>
      </w:r>
      <w:r w:rsidR="00FA6558" w:rsidRPr="001C45D7">
        <w:t xml:space="preserve"> </w:t>
      </w:r>
      <w:r w:rsidR="00086F2A" w:rsidRPr="001C45D7">
        <w:t>to</w:t>
      </w:r>
      <w:r w:rsidR="00FA6558" w:rsidRPr="001C45D7">
        <w:t xml:space="preserve"> </w:t>
      </w:r>
      <w:r w:rsidR="00086F2A" w:rsidRPr="001C45D7">
        <w:t>measure</w:t>
      </w:r>
      <w:r w:rsidR="00FA6558" w:rsidRPr="001C45D7">
        <w:t xml:space="preserve"> </w:t>
      </w:r>
      <w:r w:rsidR="00662F37" w:rsidRPr="001C45D7">
        <w:t xml:space="preserve">an </w:t>
      </w:r>
      <w:r w:rsidR="00086F2A" w:rsidRPr="001C45D7">
        <w:t>SME</w:t>
      </w:r>
      <w:r w:rsidR="00FA6558" w:rsidRPr="001C45D7">
        <w:t xml:space="preserve"> </w:t>
      </w:r>
      <w:r w:rsidR="00086F2A" w:rsidRPr="001C45D7">
        <w:t>supplier’s</w:t>
      </w:r>
      <w:r w:rsidR="00FA6558" w:rsidRPr="001C45D7">
        <w:t xml:space="preserve"> </w:t>
      </w:r>
      <w:r w:rsidR="00086F2A" w:rsidRPr="001C45D7">
        <w:t>dependence</w:t>
      </w:r>
      <w:r w:rsidR="00FA6558" w:rsidRPr="001C45D7">
        <w:t xml:space="preserve"> </w:t>
      </w:r>
      <w:r w:rsidR="00086F2A" w:rsidRPr="001C45D7">
        <w:t>on</w:t>
      </w:r>
      <w:r w:rsidR="00FA6558" w:rsidRPr="001C45D7">
        <w:t xml:space="preserve"> </w:t>
      </w:r>
      <w:r w:rsidR="00086F2A" w:rsidRPr="001C45D7">
        <w:t>its</w:t>
      </w:r>
      <w:r w:rsidR="00FA6558" w:rsidRPr="001C45D7">
        <w:t xml:space="preserve"> </w:t>
      </w:r>
      <w:r w:rsidR="00A13795" w:rsidRPr="001C45D7">
        <w:t>large</w:t>
      </w:r>
      <w:r w:rsidR="00FA6558" w:rsidRPr="001C45D7">
        <w:t xml:space="preserve"> </w:t>
      </w:r>
      <w:r w:rsidR="00086F2A" w:rsidRPr="001C45D7">
        <w:t>buyer,</w:t>
      </w:r>
      <w:r w:rsidR="00FA6558" w:rsidRPr="001C45D7">
        <w:t xml:space="preserve"> </w:t>
      </w:r>
      <w:r w:rsidR="0095703A" w:rsidRPr="001C45D7">
        <w:t>a</w:t>
      </w:r>
      <w:r w:rsidR="00FA6558" w:rsidRPr="001C45D7">
        <w:t xml:space="preserve"> </w:t>
      </w:r>
      <w:r w:rsidR="00E71A00" w:rsidRPr="001C45D7">
        <w:t>5</w:t>
      </w:r>
      <w:r w:rsidR="00BB7FB7" w:rsidRPr="001C45D7">
        <w:t>-</w:t>
      </w:r>
      <w:r w:rsidR="00086F2A" w:rsidRPr="001C45D7">
        <w:t>item</w:t>
      </w:r>
      <w:r w:rsidR="00FA6558" w:rsidRPr="001C45D7">
        <w:t xml:space="preserve"> </w:t>
      </w:r>
      <w:r w:rsidR="00086F2A" w:rsidRPr="001C45D7">
        <w:t>scale</w:t>
      </w:r>
      <w:r w:rsidR="00FA6558" w:rsidRPr="001C45D7">
        <w:t xml:space="preserve"> </w:t>
      </w:r>
      <w:r w:rsidR="00086F2A" w:rsidRPr="001C45D7">
        <w:t>was</w:t>
      </w:r>
      <w:r w:rsidR="00FA6558" w:rsidRPr="001C45D7">
        <w:t xml:space="preserve"> </w:t>
      </w:r>
      <w:r w:rsidR="00086F2A" w:rsidRPr="001C45D7">
        <w:t>used.</w:t>
      </w:r>
      <w:r w:rsidR="00FA6558" w:rsidRPr="001C45D7">
        <w:t xml:space="preserve"> </w:t>
      </w:r>
      <w:r w:rsidR="000D6065" w:rsidRPr="001C45D7">
        <w:t>In</w:t>
      </w:r>
      <w:r w:rsidR="00FA6558" w:rsidRPr="001C45D7">
        <w:t xml:space="preserve"> </w:t>
      </w:r>
      <w:r w:rsidR="000D6065" w:rsidRPr="001C45D7">
        <w:t>a</w:t>
      </w:r>
      <w:r w:rsidR="00FA6558" w:rsidRPr="001C45D7">
        <w:t xml:space="preserve"> </w:t>
      </w:r>
      <w:r w:rsidR="000D6065" w:rsidRPr="001C45D7">
        <w:t>buyer</w:t>
      </w:r>
      <w:r w:rsidR="00161EA5" w:rsidRPr="001C45D7">
        <w:t>–</w:t>
      </w:r>
      <w:r w:rsidR="000D6065" w:rsidRPr="001C45D7">
        <w:t>supplier</w:t>
      </w:r>
      <w:r w:rsidR="00FA6558" w:rsidRPr="001C45D7">
        <w:t xml:space="preserve"> </w:t>
      </w:r>
      <w:r w:rsidR="000D6065" w:rsidRPr="001C45D7">
        <w:t>relationship,</w:t>
      </w:r>
      <w:r w:rsidR="00FA6558" w:rsidRPr="001C45D7">
        <w:t xml:space="preserve"> </w:t>
      </w:r>
      <w:r w:rsidR="00446068" w:rsidRPr="001C45D7">
        <w:t>the</w:t>
      </w:r>
      <w:r w:rsidR="00FA6558" w:rsidRPr="001C45D7">
        <w:t xml:space="preserve"> </w:t>
      </w:r>
      <w:r w:rsidR="00446068" w:rsidRPr="001C45D7">
        <w:t>supplier’s</w:t>
      </w:r>
      <w:r w:rsidR="00FA6558" w:rsidRPr="001C45D7">
        <w:t xml:space="preserve"> </w:t>
      </w:r>
      <w:r w:rsidR="00446068" w:rsidRPr="001C45D7">
        <w:t>dependence</w:t>
      </w:r>
      <w:r w:rsidR="00FA6558" w:rsidRPr="001C45D7">
        <w:t xml:space="preserve"> </w:t>
      </w:r>
      <w:r w:rsidR="00446068" w:rsidRPr="001C45D7">
        <w:t>on</w:t>
      </w:r>
      <w:r w:rsidR="00FA6558" w:rsidRPr="001C45D7">
        <w:t xml:space="preserve"> </w:t>
      </w:r>
      <w:r w:rsidR="00446068" w:rsidRPr="001C45D7">
        <w:t>its</w:t>
      </w:r>
      <w:r w:rsidR="00FA6558" w:rsidRPr="001C45D7">
        <w:t xml:space="preserve"> </w:t>
      </w:r>
      <w:r w:rsidR="00446068" w:rsidRPr="001C45D7">
        <w:t>buyer</w:t>
      </w:r>
      <w:r w:rsidR="00FA6558" w:rsidRPr="001C45D7">
        <w:t xml:space="preserve"> </w:t>
      </w:r>
      <w:r w:rsidR="00446068" w:rsidRPr="001C45D7">
        <w:t>is</w:t>
      </w:r>
      <w:r w:rsidR="00FA6558" w:rsidRPr="001C45D7">
        <w:t xml:space="preserve"> </w:t>
      </w:r>
      <w:r w:rsidR="00446068" w:rsidRPr="001C45D7">
        <w:t>often</w:t>
      </w:r>
      <w:r w:rsidR="00FA6558" w:rsidRPr="001C45D7">
        <w:t xml:space="preserve"> </w:t>
      </w:r>
      <w:r w:rsidR="00446068" w:rsidRPr="001C45D7">
        <w:t>measured</w:t>
      </w:r>
      <w:r w:rsidR="00FA6558" w:rsidRPr="001C45D7">
        <w:t xml:space="preserve"> </w:t>
      </w:r>
      <w:r w:rsidR="00446068" w:rsidRPr="001C45D7">
        <w:t>as</w:t>
      </w:r>
      <w:r w:rsidR="00FA6558" w:rsidRPr="001C45D7">
        <w:t xml:space="preserve"> </w:t>
      </w:r>
      <w:r w:rsidR="00446068" w:rsidRPr="001C45D7">
        <w:t>the</w:t>
      </w:r>
      <w:r w:rsidR="00FA6558" w:rsidRPr="001C45D7">
        <w:t xml:space="preserve"> </w:t>
      </w:r>
      <w:r w:rsidR="00446068" w:rsidRPr="001C45D7">
        <w:t>extent</w:t>
      </w:r>
      <w:r w:rsidR="00FA6558" w:rsidRPr="001C45D7">
        <w:t xml:space="preserve"> </w:t>
      </w:r>
      <w:r w:rsidR="00446068" w:rsidRPr="001C45D7">
        <w:t>of</w:t>
      </w:r>
      <w:r w:rsidR="00FA6558" w:rsidRPr="001C45D7">
        <w:t xml:space="preserve"> </w:t>
      </w:r>
      <w:r w:rsidR="00446068" w:rsidRPr="001C45D7">
        <w:t>the</w:t>
      </w:r>
      <w:r w:rsidR="00FA6558" w:rsidRPr="001C45D7">
        <w:t xml:space="preserve"> </w:t>
      </w:r>
      <w:r w:rsidR="00446068" w:rsidRPr="001C45D7">
        <w:t>supplier’s</w:t>
      </w:r>
      <w:r w:rsidR="00FA6558" w:rsidRPr="001C45D7">
        <w:t xml:space="preserve"> </w:t>
      </w:r>
      <w:r w:rsidR="00446068" w:rsidRPr="001C45D7">
        <w:t>products</w:t>
      </w:r>
      <w:r w:rsidR="00FA6558" w:rsidRPr="001C45D7">
        <w:t xml:space="preserve"> </w:t>
      </w:r>
      <w:r w:rsidR="00446068" w:rsidRPr="001C45D7">
        <w:t>purchased</w:t>
      </w:r>
      <w:r w:rsidR="00FA6558" w:rsidRPr="001C45D7">
        <w:t xml:space="preserve"> </w:t>
      </w:r>
      <w:r w:rsidR="00446068" w:rsidRPr="001C45D7">
        <w:t>by</w:t>
      </w:r>
      <w:r w:rsidR="00FA6558" w:rsidRPr="001C45D7">
        <w:t xml:space="preserve"> </w:t>
      </w:r>
      <w:r w:rsidR="00446068" w:rsidRPr="001C45D7">
        <w:t>the</w:t>
      </w:r>
      <w:r w:rsidR="00FA6558" w:rsidRPr="001C45D7">
        <w:t xml:space="preserve"> </w:t>
      </w:r>
      <w:r w:rsidR="00446068" w:rsidRPr="001C45D7">
        <w:t>buyer</w:t>
      </w:r>
      <w:r w:rsidR="00FA6558" w:rsidRPr="001C45D7">
        <w:t xml:space="preserve"> </w:t>
      </w:r>
      <w:r w:rsidR="00446068" w:rsidRPr="001C45D7">
        <w:fldChar w:fldCharType="begin" w:fldLock="1"/>
      </w:r>
      <w:r w:rsidR="00446068" w:rsidRPr="001C45D7">
        <w:instrText>ADDIN CSL_CITATION {"citationItems":[{"id":"ITEM-1","itemData":{"DOI":"10.1177/014920639301900406","ISSN":"15571211","abstract":"Despite the value of Williamson's (1975; 1985) transaction cost economics perspective to organization theorists for offering new ways of thinking about relations between organizations, its focus on supplier-buyer dyads operating on a continuum ranging from markets to hierarchies de-emphasizes the importance of cooperative network relations. In this paper; theory and hypotheses are developed explaining constraints on the emergence of opportunism when supplier-buyer relations are considered in a network context. The general thesis is that the opportunistic behavior of individual network suppliers relative to the dominant buyer; or hub firm, will decline at increasing levels of embeddedness in an interdependent supplier-buyer network, despite conditions of high asset specificity and small numbers bargaining. © 1993, Sage Publications. All rights reserved.","author":[{"dropping-particle":"","family":"Provan","given":"Keith G.","non-dropping-particle":"","parse-names":false,"suffix":""}],"container-title":"Journal of Management","id":"ITEM-1","issue":"4","issued":{"date-parts":[["1993"]]},"page":"841-856","title":"Embeddedness, Interdependence, and Opportunism in Organizational Supplier-Buyer Networks","type":"article-journal","volume":"19"},"uris":["http://www.mendeley.com/documents/?uuid=75e19ea4-4d77-4bc0-84ce-bc6032be38cf"]}],"mendeley":{"formattedCitation":"(Provan, 1993)","plainTextFormattedCitation":"(Provan, 1993)","previouslyFormattedCitation":"(Provan, 1993)"},"properties":{"noteIndex":0},"schema":"https://github.com/citation-style-language/schema/raw/master/csl-citation.json"}</w:instrText>
      </w:r>
      <w:r w:rsidR="00446068" w:rsidRPr="001C45D7">
        <w:fldChar w:fldCharType="separate"/>
      </w:r>
      <w:r w:rsidR="00446068" w:rsidRPr="001C45D7">
        <w:rPr>
          <w:noProof/>
        </w:rPr>
        <w:t>(Provan,</w:t>
      </w:r>
      <w:r w:rsidR="00FA6558" w:rsidRPr="001C45D7">
        <w:rPr>
          <w:noProof/>
        </w:rPr>
        <w:t xml:space="preserve"> </w:t>
      </w:r>
      <w:r w:rsidR="00446068" w:rsidRPr="001C45D7">
        <w:rPr>
          <w:noProof/>
        </w:rPr>
        <w:t>1993)</w:t>
      </w:r>
      <w:r w:rsidR="00446068" w:rsidRPr="001C45D7">
        <w:fldChar w:fldCharType="end"/>
      </w:r>
      <w:r w:rsidR="00FA6558" w:rsidRPr="001C45D7">
        <w:t xml:space="preserve"> </w:t>
      </w:r>
      <w:r w:rsidR="00446068" w:rsidRPr="001C45D7">
        <w:t>and</w:t>
      </w:r>
      <w:r w:rsidR="00FA6558" w:rsidRPr="001C45D7">
        <w:t xml:space="preserve"> </w:t>
      </w:r>
      <w:r w:rsidR="00446068" w:rsidRPr="001C45D7">
        <w:t>the</w:t>
      </w:r>
      <w:r w:rsidR="00FA6558" w:rsidRPr="001C45D7">
        <w:t xml:space="preserve"> </w:t>
      </w:r>
      <w:r w:rsidR="00446068" w:rsidRPr="001C45D7">
        <w:t>switch</w:t>
      </w:r>
      <w:r w:rsidR="00FA6558" w:rsidRPr="001C45D7">
        <w:t xml:space="preserve"> </w:t>
      </w:r>
      <w:r w:rsidR="00446068" w:rsidRPr="001C45D7">
        <w:t>cost</w:t>
      </w:r>
      <w:r w:rsidR="00FA6558" w:rsidRPr="001C45D7">
        <w:t xml:space="preserve"> </w:t>
      </w:r>
      <w:r w:rsidR="00446068" w:rsidRPr="001C45D7">
        <w:fldChar w:fldCharType="begin" w:fldLock="1"/>
      </w:r>
      <w:r w:rsidR="00446068" w:rsidRPr="001C45D7">
        <w:instrText>ADDIN CSL_CITATION {"citationItems":[{"id":"ITEM-1","itemData":{"DOI":"10.2189/asqu.52.1.32","ISSN":"00018392","abstract":"This study of the procurement relationships of two major U.S. auto manufacturers examines the effects of two dimensions of organizational interdependence on the performance of those relationships for the manufacturer: dependence asymmetry, the difference in actors' dependencies on each other in a dyadic exchange relationship, and joint dependence, the sum of dependence between actors in the relationship. Rather than focusing solely on dependence advantage and the concomitant logic of power, we focus on joint dependence, which operates through a logic of embeddedness. We examine how the effect of joint dependence on performance is mediated by specific elements of embeddedness: joint action, trust, and the quality and scope of information exchange. Results show that joint dependence enhances the performance of procurement relationships for manufacturers and that this effect is partially mediated by the level of joint action and the quality of information exchange between the partners. Decomposing dependence asymmetry into the conditions of a manufacturer's and a supplier's dependence advantage, we also find that while the manufacturer's dependence advantage diminishes its performance, the supplier's dependence advantage has a null effect. We discuss the implications of these findings for studies of interorganizational interdependence. © 2007 by Johnson Graduate School, Cornell University.","author":[{"dropping-particle":"","family":"Gulati","given":"Ranjay","non-dropping-particle":"","parse-names":false,"suffix":""},{"dropping-particle":"","family":"Sytch","given":"Maxim","non-dropping-particle":"","parse-names":false,"suffix":""}],"container-title":"Administrative Science Quarterly","id":"ITEM-1","issue":"1","issued":{"date-parts":[["2007"]]},"page":"32-69","title":"Dependence asymmetry and joint dependence in interorganizational relationships: Effects of embeddedness on a manufacturer's performance in procurement relationships","type":"article-journal","volume":"52"},"uris":["http://www.mendeley.com/documents/?uuid=5be6c1ee-c4c0-4184-a65c-5061bff5dcb8"]}],"mendeley":{"formattedCitation":"(Gulati and Sytch, 2007)","plainTextFormattedCitation":"(Gulati and Sytch, 2007)","previouslyFormattedCitation":"(Gulati and Sytch, 2007)"},"properties":{"noteIndex":0},"schema":"https://github.com/citation-style-language/schema/raw/master/csl-citation.json"}</w:instrText>
      </w:r>
      <w:r w:rsidR="00446068" w:rsidRPr="001C45D7">
        <w:fldChar w:fldCharType="separate"/>
      </w:r>
      <w:r w:rsidR="00446068" w:rsidRPr="001C45D7">
        <w:rPr>
          <w:noProof/>
        </w:rPr>
        <w:t>(Gulati</w:t>
      </w:r>
      <w:r w:rsidR="00FA6558" w:rsidRPr="001C45D7">
        <w:rPr>
          <w:noProof/>
        </w:rPr>
        <w:t xml:space="preserve"> </w:t>
      </w:r>
      <w:r w:rsidR="00446068" w:rsidRPr="001C45D7">
        <w:rPr>
          <w:noProof/>
        </w:rPr>
        <w:t>and</w:t>
      </w:r>
      <w:r w:rsidR="00FA6558" w:rsidRPr="001C45D7">
        <w:rPr>
          <w:noProof/>
        </w:rPr>
        <w:t xml:space="preserve"> </w:t>
      </w:r>
      <w:r w:rsidR="00446068" w:rsidRPr="001C45D7">
        <w:rPr>
          <w:noProof/>
        </w:rPr>
        <w:t>Sytch,</w:t>
      </w:r>
      <w:r w:rsidR="00FA6558" w:rsidRPr="001C45D7">
        <w:rPr>
          <w:noProof/>
        </w:rPr>
        <w:t xml:space="preserve"> </w:t>
      </w:r>
      <w:r w:rsidR="00446068" w:rsidRPr="001C45D7">
        <w:rPr>
          <w:noProof/>
        </w:rPr>
        <w:t>2007)</w:t>
      </w:r>
      <w:r w:rsidR="00446068" w:rsidRPr="001C45D7">
        <w:fldChar w:fldCharType="end"/>
      </w:r>
      <w:r w:rsidR="00446068" w:rsidRPr="001C45D7">
        <w:t>.</w:t>
      </w:r>
      <w:r w:rsidR="00FA6558" w:rsidRPr="001C45D7">
        <w:t xml:space="preserve"> </w:t>
      </w:r>
      <w:r w:rsidR="00446068" w:rsidRPr="001C45D7">
        <w:t>Based</w:t>
      </w:r>
      <w:r w:rsidR="00FA6558" w:rsidRPr="001C45D7">
        <w:t xml:space="preserve"> </w:t>
      </w:r>
      <w:r w:rsidR="00446068" w:rsidRPr="001C45D7">
        <w:t>on</w:t>
      </w:r>
      <w:r w:rsidR="00FA6558" w:rsidRPr="001C45D7">
        <w:t xml:space="preserve"> </w:t>
      </w:r>
      <w:r w:rsidR="00446068" w:rsidRPr="001C45D7">
        <w:t>this,</w:t>
      </w:r>
      <w:r w:rsidR="00FA6558" w:rsidRPr="001C45D7">
        <w:t xml:space="preserve"> </w:t>
      </w:r>
      <w:r w:rsidR="00DC7130">
        <w:t>t</w:t>
      </w:r>
      <w:r w:rsidR="00EF431F" w:rsidRPr="001C45D7">
        <w:t>he</w:t>
      </w:r>
      <w:r w:rsidR="00FA6558" w:rsidRPr="001C45D7">
        <w:t xml:space="preserve"> </w:t>
      </w:r>
      <w:r w:rsidR="00D67023">
        <w:t>first</w:t>
      </w:r>
      <w:r w:rsidR="00FA6558" w:rsidRPr="001C45D7">
        <w:t xml:space="preserve"> </w:t>
      </w:r>
      <w:r w:rsidR="006B50A6" w:rsidRPr="001C45D7">
        <w:rPr>
          <w:rFonts w:eastAsiaTheme="minorEastAsia"/>
          <w:lang w:eastAsia="ko-KR"/>
        </w:rPr>
        <w:t>two</w:t>
      </w:r>
      <w:r w:rsidR="00FA6558" w:rsidRPr="001C45D7">
        <w:t xml:space="preserve"> </w:t>
      </w:r>
      <w:r w:rsidR="00EF431F" w:rsidRPr="001C45D7">
        <w:t>questions</w:t>
      </w:r>
      <w:r w:rsidR="00FA6558" w:rsidRPr="001C45D7">
        <w:t xml:space="preserve"> </w:t>
      </w:r>
      <w:r w:rsidR="00EF431F" w:rsidRPr="001C45D7">
        <w:t>were</w:t>
      </w:r>
      <w:r w:rsidR="00FA6558" w:rsidRPr="001C45D7">
        <w:t xml:space="preserve"> </w:t>
      </w:r>
      <w:r w:rsidR="00EF431F" w:rsidRPr="001C45D7">
        <w:t>intended</w:t>
      </w:r>
      <w:r w:rsidR="00FA6558" w:rsidRPr="001C45D7">
        <w:t xml:space="preserve"> </w:t>
      </w:r>
      <w:r w:rsidR="00EF431F" w:rsidRPr="001C45D7">
        <w:t>to</w:t>
      </w:r>
      <w:r w:rsidR="00FA6558" w:rsidRPr="001C45D7">
        <w:t xml:space="preserve"> </w:t>
      </w:r>
      <w:r w:rsidR="00EF431F" w:rsidRPr="001C45D7">
        <w:t>measure</w:t>
      </w:r>
      <w:r w:rsidR="00FA6558" w:rsidRPr="001C45D7">
        <w:t xml:space="preserve"> </w:t>
      </w:r>
      <w:r w:rsidR="00751300" w:rsidRPr="001C45D7">
        <w:t xml:space="preserve">the </w:t>
      </w:r>
      <w:r w:rsidR="00EF431F" w:rsidRPr="001C45D7">
        <w:t>new</w:t>
      </w:r>
      <w:r w:rsidR="00FA6558" w:rsidRPr="001C45D7">
        <w:t xml:space="preserve"> </w:t>
      </w:r>
      <w:r w:rsidR="00EF431F" w:rsidRPr="001C45D7">
        <w:t>type</w:t>
      </w:r>
      <w:r w:rsidR="00FA6558" w:rsidRPr="001C45D7">
        <w:t xml:space="preserve"> </w:t>
      </w:r>
      <w:r w:rsidR="00EF431F" w:rsidRPr="001C45D7">
        <w:t>of</w:t>
      </w:r>
      <w:r w:rsidR="00FA6558" w:rsidRPr="001C45D7">
        <w:t xml:space="preserve"> </w:t>
      </w:r>
      <w:r w:rsidR="00EF431F" w:rsidRPr="001C45D7">
        <w:t>dependenc</w:t>
      </w:r>
      <w:r w:rsidR="00086F2A" w:rsidRPr="001C45D7">
        <w:t>e</w:t>
      </w:r>
      <w:r w:rsidR="00FA6558" w:rsidRPr="001C45D7">
        <w:t xml:space="preserve"> </w:t>
      </w:r>
      <w:r w:rsidR="00EF431F" w:rsidRPr="001C45D7">
        <w:t>created</w:t>
      </w:r>
      <w:r w:rsidR="00FA6558" w:rsidRPr="001C45D7">
        <w:t xml:space="preserve"> </w:t>
      </w:r>
      <w:r w:rsidR="00EF431F" w:rsidRPr="001C45D7">
        <w:t>by</w:t>
      </w:r>
      <w:r w:rsidR="00FA6558" w:rsidRPr="001C45D7">
        <w:t xml:space="preserve"> </w:t>
      </w:r>
      <w:r w:rsidR="00EF431F" w:rsidRPr="001C45D7">
        <w:t>the</w:t>
      </w:r>
      <w:r w:rsidR="00FA6558" w:rsidRPr="001C45D7">
        <w:t xml:space="preserve"> </w:t>
      </w:r>
      <w:r w:rsidR="00AA5331" w:rsidRPr="001C45D7">
        <w:t>digital</w:t>
      </w:r>
      <w:r w:rsidR="00B5176D" w:rsidRPr="001C45D7">
        <w:t xml:space="preserve"> </w:t>
      </w:r>
      <w:r w:rsidR="00BE17CB" w:rsidRPr="001C45D7">
        <w:t>capability</w:t>
      </w:r>
      <w:r w:rsidR="00FA6558" w:rsidRPr="001C45D7">
        <w:t xml:space="preserve"> </w:t>
      </w:r>
      <w:r w:rsidR="00937FB8" w:rsidRPr="001C45D7">
        <w:t>asymmetry</w:t>
      </w:r>
      <w:r w:rsidR="00662F37" w:rsidRPr="001C45D7">
        <w:t>,</w:t>
      </w:r>
      <w:r w:rsidR="00FA6558" w:rsidRPr="001C45D7">
        <w:t xml:space="preserve"> </w:t>
      </w:r>
      <w:r w:rsidR="001A764B" w:rsidRPr="001C45D7">
        <w:t>in which</w:t>
      </w:r>
      <w:r w:rsidR="00FA6558" w:rsidRPr="001C45D7">
        <w:t xml:space="preserve"> </w:t>
      </w:r>
      <w:r w:rsidR="00937FB8" w:rsidRPr="001C45D7">
        <w:t>the</w:t>
      </w:r>
      <w:r w:rsidR="00FA6558" w:rsidRPr="001C45D7">
        <w:t xml:space="preserve"> </w:t>
      </w:r>
      <w:r w:rsidR="00937FB8" w:rsidRPr="001C45D7">
        <w:t>SME</w:t>
      </w:r>
      <w:r w:rsidR="00FA6558" w:rsidRPr="001C45D7">
        <w:t xml:space="preserve"> </w:t>
      </w:r>
      <w:r w:rsidR="00937FB8" w:rsidRPr="001C45D7">
        <w:t>supplier</w:t>
      </w:r>
      <w:r w:rsidR="00FA6558" w:rsidRPr="001C45D7">
        <w:t xml:space="preserve"> </w:t>
      </w:r>
      <w:r w:rsidR="00937FB8" w:rsidRPr="001C45D7">
        <w:t>becomes</w:t>
      </w:r>
      <w:r w:rsidR="00FA6558" w:rsidRPr="001C45D7">
        <w:t xml:space="preserve"> </w:t>
      </w:r>
      <w:r w:rsidR="00937FB8" w:rsidRPr="001C45D7">
        <w:t>dependent</w:t>
      </w:r>
      <w:r w:rsidR="00FA6558" w:rsidRPr="001C45D7">
        <w:t xml:space="preserve"> </w:t>
      </w:r>
      <w:r w:rsidR="00937FB8" w:rsidRPr="001C45D7">
        <w:t>on</w:t>
      </w:r>
      <w:r w:rsidR="00FA6558" w:rsidRPr="001C45D7">
        <w:t xml:space="preserve"> </w:t>
      </w:r>
      <w:r w:rsidR="00937FB8" w:rsidRPr="001C45D7">
        <w:t>information</w:t>
      </w:r>
      <w:r w:rsidR="002F3A6B" w:rsidRPr="001C45D7">
        <w:t xml:space="preserve"> or </w:t>
      </w:r>
      <w:r w:rsidR="00937FB8" w:rsidRPr="001C45D7">
        <w:t>knowledge</w:t>
      </w:r>
      <w:r w:rsidR="00FA6558" w:rsidRPr="001C45D7">
        <w:t xml:space="preserve"> </w:t>
      </w:r>
      <w:r w:rsidR="00662F37" w:rsidRPr="001C45D7">
        <w:t xml:space="preserve">that </w:t>
      </w:r>
      <w:r w:rsidR="00937FB8" w:rsidRPr="001C45D7">
        <w:t>the</w:t>
      </w:r>
      <w:r w:rsidR="00FA6558" w:rsidRPr="001C45D7">
        <w:t xml:space="preserve"> </w:t>
      </w:r>
      <w:r w:rsidR="00937FB8" w:rsidRPr="001C45D7">
        <w:t>buyer</w:t>
      </w:r>
      <w:r w:rsidR="00FA6558" w:rsidRPr="001C45D7">
        <w:t xml:space="preserve"> </w:t>
      </w:r>
      <w:r w:rsidR="002F3A6B" w:rsidRPr="001C45D7">
        <w:t xml:space="preserve">has </w:t>
      </w:r>
      <w:r w:rsidR="00937FB8" w:rsidRPr="001C45D7">
        <w:t>acquired</w:t>
      </w:r>
      <w:r w:rsidR="00FA6558" w:rsidRPr="001C45D7">
        <w:t xml:space="preserve"> </w:t>
      </w:r>
      <w:r w:rsidR="00937FB8" w:rsidRPr="001C45D7">
        <w:t>through</w:t>
      </w:r>
      <w:r w:rsidR="00FA6558" w:rsidRPr="001C45D7">
        <w:t xml:space="preserve"> </w:t>
      </w:r>
      <w:r w:rsidR="00937FB8" w:rsidRPr="001C45D7">
        <w:t>supply</w:t>
      </w:r>
      <w:r w:rsidR="00FA6558" w:rsidRPr="001C45D7">
        <w:t xml:space="preserve"> </w:t>
      </w:r>
      <w:r w:rsidR="00937FB8" w:rsidRPr="001C45D7">
        <w:t>chain</w:t>
      </w:r>
      <w:r w:rsidR="00FA6558" w:rsidRPr="001C45D7">
        <w:t xml:space="preserve"> </w:t>
      </w:r>
      <w:r w:rsidR="00937FB8" w:rsidRPr="001C45D7">
        <w:t>digitalisation.</w:t>
      </w:r>
      <w:r w:rsidR="00FA6558" w:rsidRPr="001C45D7">
        <w:t xml:space="preserve"> </w:t>
      </w:r>
      <w:proofErr w:type="spellStart"/>
      <w:r w:rsidR="00E055A7" w:rsidRPr="001C45D7">
        <w:rPr>
          <w:rFonts w:eastAsiaTheme="minorEastAsia" w:hint="eastAsia"/>
          <w:lang w:eastAsia="ko-KR"/>
        </w:rPr>
        <w:t>Provan</w:t>
      </w:r>
      <w:proofErr w:type="spellEnd"/>
      <w:r w:rsidR="00E055A7" w:rsidRPr="001C45D7">
        <w:rPr>
          <w:rFonts w:eastAsiaTheme="minorEastAsia" w:hint="eastAsia"/>
          <w:lang w:eastAsia="ko-KR"/>
        </w:rPr>
        <w:t xml:space="preserve"> and Skinner</w:t>
      </w:r>
      <w:r w:rsidR="00E055A7" w:rsidRPr="001C45D7">
        <w:rPr>
          <w:rFonts w:eastAsiaTheme="minorEastAsia"/>
          <w:lang w:eastAsia="ko-KR"/>
        </w:rPr>
        <w:t>’</w:t>
      </w:r>
      <w:r w:rsidR="00E055A7" w:rsidRPr="001C45D7">
        <w:rPr>
          <w:rFonts w:eastAsiaTheme="minorEastAsia" w:hint="eastAsia"/>
          <w:lang w:eastAsia="ko-KR"/>
        </w:rPr>
        <w:t>s (1989)</w:t>
      </w:r>
      <w:r w:rsidR="00FA6558" w:rsidRPr="001C45D7">
        <w:t xml:space="preserve"> </w:t>
      </w:r>
      <w:r w:rsidR="00AB7EBA" w:rsidRPr="001C45D7">
        <w:t>functional</w:t>
      </w:r>
      <w:r w:rsidR="00FA6558" w:rsidRPr="001C45D7">
        <w:t xml:space="preserve"> </w:t>
      </w:r>
      <w:r w:rsidR="00937FB8" w:rsidRPr="001C45D7">
        <w:t>dependence</w:t>
      </w:r>
      <w:r w:rsidR="00FA6558" w:rsidRPr="001C45D7">
        <w:t xml:space="preserve"> </w:t>
      </w:r>
      <w:r w:rsidR="00B27FB9" w:rsidRPr="001C45D7">
        <w:t>measure</w:t>
      </w:r>
      <w:r w:rsidR="00FA6558" w:rsidRPr="001C45D7">
        <w:t xml:space="preserve"> </w:t>
      </w:r>
      <w:r w:rsidR="00937FB8" w:rsidRPr="001C45D7">
        <w:t>w</w:t>
      </w:r>
      <w:r w:rsidR="00662F37" w:rsidRPr="001C45D7">
        <w:t>as</w:t>
      </w:r>
      <w:r w:rsidR="00FA6558" w:rsidRPr="001C45D7">
        <w:t xml:space="preserve"> </w:t>
      </w:r>
      <w:r w:rsidR="00937FB8" w:rsidRPr="001C45D7">
        <w:t>adopted</w:t>
      </w:r>
      <w:r w:rsidR="00FA6558" w:rsidRPr="001C45D7">
        <w:t xml:space="preserve"> </w:t>
      </w:r>
      <w:r w:rsidR="00937FB8" w:rsidRPr="001C45D7">
        <w:t>to</w:t>
      </w:r>
      <w:r w:rsidR="00FA6558" w:rsidRPr="001C45D7">
        <w:t xml:space="preserve"> </w:t>
      </w:r>
      <w:r w:rsidR="00937FB8" w:rsidRPr="001C45D7">
        <w:t>measure</w:t>
      </w:r>
      <w:r w:rsidR="00FA6558" w:rsidRPr="001C45D7">
        <w:t xml:space="preserve"> </w:t>
      </w:r>
      <w:r w:rsidR="00937FB8" w:rsidRPr="001C45D7">
        <w:t>the</w:t>
      </w:r>
      <w:r w:rsidR="00FA6558" w:rsidRPr="001C45D7">
        <w:t xml:space="preserve"> </w:t>
      </w:r>
      <w:r w:rsidR="00937FB8" w:rsidRPr="001C45D7">
        <w:t>extent</w:t>
      </w:r>
      <w:r w:rsidR="00FA6558" w:rsidRPr="001C45D7">
        <w:t xml:space="preserve"> </w:t>
      </w:r>
      <w:r w:rsidR="00937FB8" w:rsidRPr="001C45D7">
        <w:t>of</w:t>
      </w:r>
      <w:r w:rsidR="00FA6558" w:rsidRPr="001C45D7">
        <w:t xml:space="preserve"> </w:t>
      </w:r>
      <w:r w:rsidR="00937FB8" w:rsidRPr="001C45D7">
        <w:t>supplier</w:t>
      </w:r>
      <w:r w:rsidR="00992336" w:rsidRPr="001C45D7">
        <w:t>s’</w:t>
      </w:r>
      <w:r w:rsidR="00FA6558" w:rsidRPr="001C45D7">
        <w:t xml:space="preserve"> </w:t>
      </w:r>
      <w:r w:rsidR="00937FB8" w:rsidRPr="001C45D7">
        <w:t>dependence</w:t>
      </w:r>
      <w:r w:rsidR="00FA6558" w:rsidRPr="001C45D7">
        <w:t xml:space="preserve"> </w:t>
      </w:r>
      <w:r w:rsidR="00937FB8" w:rsidRPr="001C45D7">
        <w:t>on</w:t>
      </w:r>
      <w:r w:rsidR="00FA6558" w:rsidRPr="001C45D7">
        <w:t xml:space="preserve"> </w:t>
      </w:r>
      <w:r w:rsidR="00937FB8" w:rsidRPr="001C45D7">
        <w:t>demand</w:t>
      </w:r>
      <w:r w:rsidR="00FA6558" w:rsidRPr="001C45D7">
        <w:t xml:space="preserve"> </w:t>
      </w:r>
      <w:r w:rsidR="00937FB8" w:rsidRPr="001C45D7">
        <w:t>information,</w:t>
      </w:r>
      <w:r w:rsidR="00FA6558" w:rsidRPr="001C45D7">
        <w:t xml:space="preserve"> </w:t>
      </w:r>
      <w:r w:rsidR="00937FB8" w:rsidRPr="001C45D7">
        <w:t>market</w:t>
      </w:r>
      <w:r w:rsidR="00DE22BA" w:rsidRPr="001C45D7">
        <w:t xml:space="preserve"> and </w:t>
      </w:r>
      <w:r w:rsidR="00937FB8" w:rsidRPr="001C45D7">
        <w:t>technology</w:t>
      </w:r>
      <w:r w:rsidR="00FA6558" w:rsidRPr="001C45D7">
        <w:t xml:space="preserve"> </w:t>
      </w:r>
      <w:r w:rsidR="00937FB8" w:rsidRPr="001C45D7">
        <w:t>intelligence</w:t>
      </w:r>
      <w:r w:rsidR="005E11BE" w:rsidRPr="001C45D7">
        <w:t>.</w:t>
      </w:r>
      <w:r w:rsidR="00DC7130" w:rsidRPr="00DC7130">
        <w:t xml:space="preserve"> </w:t>
      </w:r>
      <w:r w:rsidR="00DC7130">
        <w:t>T</w:t>
      </w:r>
      <w:r w:rsidR="00DC7130" w:rsidRPr="001C45D7">
        <w:t xml:space="preserve">he </w:t>
      </w:r>
      <w:r w:rsidR="00DC7130">
        <w:t>remaining</w:t>
      </w:r>
      <w:r w:rsidR="00DC7130" w:rsidRPr="001C45D7">
        <w:t xml:space="preserve"> </w:t>
      </w:r>
      <w:r w:rsidR="00DC7130" w:rsidRPr="001C45D7">
        <w:rPr>
          <w:rFonts w:eastAsiaTheme="minorEastAsia"/>
          <w:lang w:eastAsia="ko-KR"/>
        </w:rPr>
        <w:t xml:space="preserve">three </w:t>
      </w:r>
      <w:r w:rsidR="00DC7130" w:rsidRPr="001C45D7">
        <w:t xml:space="preserve">items in the scale, drawn from the existing studies </w:t>
      </w:r>
      <w:r w:rsidR="00DC7130" w:rsidRPr="001C45D7">
        <w:fldChar w:fldCharType="begin" w:fldLock="1"/>
      </w:r>
      <w:r w:rsidR="00DC7130" w:rsidRPr="001C45D7">
        <w:instrText>ADDIN CSL_CITATION {"citationItems":[{"id":"ITEM-1","itemData":{"DOI":"10.1177/002224299405800106","ISSN":"0022-2429","abstract":"Relationship management rapidly is becoming a central research paradigm in the marketing channels literature. A growing body of conceptual and empirical literature addresses different aspects of in...","author":[{"dropping-particle":"","family":"Heide","given":"Jan B.","non-dropping-particle":"","parse-names":false,"suffix":""}],"container-title":"Journal of Marketing","id":"ITEM-1","issue":"1","issued":{"date-parts":[["1994","1"]]},"page":"71-85","publisher":"SAGE Publications","title":"Interorganizational Governance in Marketing Channels","type":"article-journal","volume":"58"},"uris":["http://www.mendeley.com/documents/?uuid=9803c237-a8b2-3842-b719-91ccb74dc104"]},{"id":"ITEM-2","itemData":{"DOI":"10.1177/002224379503200309","ISSN":"0022-2437","abstract":"Channels research has consistently argued that asymmetric channel relationships are more dysfunctional than those characterized by symmetric interdependence. The authors propose that the degree of ...","author":[{"dropping-particle":"","family":"Kumar","given":"Nirmalya","non-dropping-particle":"","parse-names":false,"suffix":""},{"dropping-particle":"","family":"Scheer","given":"Lisa K.","non-dropping-particle":"","parse-names":false,"suffix":""},{"dropping-particle":"","family":"Steenkamp","given":"Jan-Benedict E. M.","non-dropping-particle":"","parse-names":false,"suffix":""}],"container-title":"Journal of Marketing Research","id":"ITEM-2","issue":"3","issued":{"date-parts":[["1995","8"]]},"page":"348-356","publisher":"SAGE Publications","title":"The Effects of Perceived Interdependence on Dealer Attitudes","type":"article-journal","volume":"32"},"uris":["http://www.mendeley.com/documents/?uuid=f091783d-7d90-3eaf-bd14-335656e6d5d7"]},{"id":"ITEM-3","itemData":{"author":[{"dropping-particle":"","family":"Cousins","given":"Paul D","non-dropping-particle":"","parse-names":false,"suffix":""},{"dropping-particle":"","family":"Lawson","given":"Benn","non-dropping-particle":"","parse-names":false,"suffix":""},{"dropping-particle":"","family":"Petersen","given":"Kenneth J","non-dropping-particle":"","parse-names":false,"suffix":""},{"dropping-particle":"","family":"Handfield","given":"Robert B","non-dropping-particle":"","parse-names":false,"suffix":""}],"container-title":"Journal of Product Innovation Management","id":"ITEM-3","issue":"6","issued":{"date-parts":[["2011"]]},"page":"930-942","title":"Breakthrough scanning, supplier knowledge exchange, and new product development performance","type":"article-journal","volume":"28"},"uris":["http://www.mendeley.com/documents/?uuid=f2139f47-1ff6-4191-a66f-34aa4fee2faa"]},{"id":"ITEM-4","itemData":{"DOI":"10.1177/014920639301900406","ISSN":"15571211","abstract":"Despite the value of Williamson's (1975; 1985) transaction cost economics perspective to organization theorists for offering new ways of thinking about relations between organizations, its focus on supplier-buyer dyads operating on a continuum ranging from markets to hierarchies de-emphasizes the importance of cooperative network relations. In this paper; theory and hypotheses are developed explaining constraints on the emergence of opportunism when supplier-buyer relations are considered in a network context. The general thesis is that the opportunistic behavior of individual network suppliers relative to the dominant buyer; or hub firm, will decline at increasing levels of embeddedness in an interdependent supplier-buyer network, despite conditions of high asset specificity and small numbers bargaining. © 1993, Sage Publications. All rights reserved.","author":[{"dropping-particle":"","family":"Provan","given":"Keith G.","non-dropping-particle":"","parse-names":false,"suffix":""}],"container-title":"Journal of Management","id":"ITEM-4","issue":"4","issued":{"date-parts":[["1993"]]},"page":"841-856","title":"Embeddedness, Interdependence, and Opportunism in Organizational Supplier-Buyer Networks","type":"article-journal","volume":"19"},"uris":["http://www.mendeley.com/documents/?uuid=75e19ea4-4d77-4bc0-84ce-bc6032be38cf"]},{"id":"ITEM-5","itemData":{"DOI":"10.2189/asqu.52.1.32","ISSN":"00018392","abstract":"This study of the procurement relationships of two major U.S. auto manufacturers examines the effects of two dimensions of organizational interdependence on the performance of those relationships for the manufacturer: dependence asymmetry, the difference in actors' dependencies on each other in a dyadic exchange relationship, and joint dependence, the sum of dependence between actors in the relationship. Rather than focusing solely on dependence advantage and the concomitant logic of power, we focus on joint dependence, which operates through a logic of embeddedness. We examine how the effect of joint dependence on performance is mediated by specific elements of embeddedness: joint action, trust, and the quality and scope of information exchange. Results show that joint dependence enhances the performance of procurement relationships for manufacturers and that this effect is partially mediated by the level of joint action and the quality of information exchange between the partners. Decomposing dependence asymmetry into the conditions of a manufacturer's and a supplier's dependence advantage, we also find that while the manufacturer's dependence advantage diminishes its performance, the supplier's dependence advantage has a null effect. We discuss the implications of these findings for studies of interorganizational interdependence. © 2007 by Johnson Graduate School, Cornell University.","author":[{"dropping-particle":"","family":"Gulati","given":"Ranjay","non-dropping-particle":"","parse-names":false,"suffix":""},{"dropping-particle":"","family":"Sytch","given":"Maxim","non-dropping-particle":"","parse-names":false,"suffix":""}],"container-title":"Administrative Science Quarterly","id":"ITEM-5","issue":"1","issued":{"date-parts":[["2007"]]},"page":"32-69","title":"Dependence asymmetry and joint dependence in interorganizational relationships: Effects of embeddedness on a manufacturer's performance in procurement relationships","type":"article-journal","volume":"52"},"uris":["http://www.mendeley.com/documents/?uuid=5be6c1ee-c4c0-4184-a65c-5061bff5dcb8"]}],"mendeley":{"formattedCitation":"(Cousins &lt;i&gt;et al.&lt;/i&gt;, 2011; Gulati and Sytch, 2007; Heide, 1994; Kumar &lt;i&gt;et al.&lt;/i&gt;, 1995; Provan, 1993)","manualFormatting":"(Provan, 1993; Heide, 1994; Kumar et al., 1995; Gulati and Sytch, 2007)","plainTextFormattedCitation":"(Cousins et al., 2011; Gulati and Sytch, 2007; Heide, 1994; Kumar et al., 1995; Provan, 1993)","previouslyFormattedCitation":"(Cousins &lt;i&gt;et al.&lt;/i&gt;, 2011; Gulati and Sytch, 2007; Heide, 1994; Kumar &lt;i&gt;et al.&lt;/i&gt;, 1995; Provan, 1993)"},"properties":{"noteIndex":0},"schema":"https://github.com/citation-style-language/schema/raw/master/csl-citation.json"}</w:instrText>
      </w:r>
      <w:r w:rsidR="00DC7130" w:rsidRPr="001C45D7">
        <w:fldChar w:fldCharType="separate"/>
      </w:r>
      <w:r w:rsidR="00DC7130" w:rsidRPr="001C45D7">
        <w:rPr>
          <w:noProof/>
        </w:rPr>
        <w:t xml:space="preserve">(Provan, 1993; Heide, 1994; Kumar </w:t>
      </w:r>
      <w:r w:rsidR="00DC7130" w:rsidRPr="001C45D7">
        <w:rPr>
          <w:i/>
          <w:noProof/>
        </w:rPr>
        <w:t>et al</w:t>
      </w:r>
      <w:r w:rsidR="00DC7130" w:rsidRPr="001C45D7">
        <w:rPr>
          <w:noProof/>
        </w:rPr>
        <w:t>., 1995; Gulati and Sytch, 2007)</w:t>
      </w:r>
      <w:r w:rsidR="00DC7130" w:rsidRPr="001C45D7">
        <w:fldChar w:fldCharType="end"/>
      </w:r>
      <w:r w:rsidR="00DC7130" w:rsidRPr="001C45D7">
        <w:t>, captured the extent of a supplier’s dependence in terms of its revenue creation, and its switching-related efforts in terms of the difficulty of finding an alternative buyer, the cost of replacing the existing buyer and the difficulty in replacing sales and profit from the buyer.</w:t>
      </w:r>
    </w:p>
    <w:p w14:paraId="05A5A06B" w14:textId="2B910228" w:rsidR="00C0350D" w:rsidRDefault="00356907" w:rsidP="00566B02">
      <w:pPr>
        <w:pStyle w:val="BodyText"/>
        <w:rPr>
          <w:color w:val="7030A0"/>
          <w:lang w:val="en-US"/>
        </w:rPr>
      </w:pPr>
      <w:r w:rsidRPr="001C45D7">
        <w:t>A</w:t>
      </w:r>
      <w:r w:rsidR="00FA6558" w:rsidRPr="001C45D7">
        <w:t xml:space="preserve"> </w:t>
      </w:r>
      <w:r w:rsidR="00E71A00" w:rsidRPr="001C45D7">
        <w:t>3</w:t>
      </w:r>
      <w:r w:rsidR="006F7814" w:rsidRPr="001C45D7">
        <w:t>-item</w:t>
      </w:r>
      <w:r w:rsidR="000F3767" w:rsidRPr="001C45D7">
        <w:t xml:space="preserve"> </w:t>
      </w:r>
      <w:r w:rsidR="000D6065" w:rsidRPr="001C45D7">
        <w:t>scale,</w:t>
      </w:r>
      <w:r w:rsidR="00FA6558" w:rsidRPr="001C45D7">
        <w:t xml:space="preserve"> </w:t>
      </w:r>
      <w:r w:rsidR="000D6065" w:rsidRPr="001C45D7">
        <w:t>selected</w:t>
      </w:r>
      <w:r w:rsidR="00FA6558" w:rsidRPr="001C45D7">
        <w:t xml:space="preserve"> </w:t>
      </w:r>
      <w:r w:rsidR="000D6065" w:rsidRPr="001C45D7">
        <w:t>from</w:t>
      </w:r>
      <w:r w:rsidR="00FA6558" w:rsidRPr="001C45D7">
        <w:t xml:space="preserve"> </w:t>
      </w:r>
      <w:r w:rsidR="000D6065" w:rsidRPr="001C45D7">
        <w:t>the</w:t>
      </w:r>
      <w:r w:rsidR="00FA6558" w:rsidRPr="001C45D7">
        <w:t xml:space="preserve"> </w:t>
      </w:r>
      <w:r w:rsidR="000D6065" w:rsidRPr="001C45D7">
        <w:t>literature,</w:t>
      </w:r>
      <w:r w:rsidR="00FA6558" w:rsidRPr="001C45D7">
        <w:t xml:space="preserve"> </w:t>
      </w:r>
      <w:r w:rsidR="000D6065" w:rsidRPr="001C45D7">
        <w:t>was</w:t>
      </w:r>
      <w:r w:rsidR="00FA6558" w:rsidRPr="001C45D7">
        <w:t xml:space="preserve"> </w:t>
      </w:r>
      <w:r w:rsidR="000D6065" w:rsidRPr="001C45D7">
        <w:t>used</w:t>
      </w:r>
      <w:r w:rsidR="00FA6558" w:rsidRPr="001C45D7">
        <w:t xml:space="preserve"> </w:t>
      </w:r>
      <w:r w:rsidR="000D6065" w:rsidRPr="001C45D7">
        <w:t>to</w:t>
      </w:r>
      <w:r w:rsidR="00FA6558" w:rsidRPr="001C45D7">
        <w:t xml:space="preserve"> </w:t>
      </w:r>
      <w:r w:rsidR="000D6065" w:rsidRPr="001C45D7">
        <w:t>measure</w:t>
      </w:r>
      <w:r w:rsidR="00FA6558" w:rsidRPr="001C45D7">
        <w:t xml:space="preserve"> </w:t>
      </w:r>
      <w:r w:rsidR="000D6065" w:rsidRPr="001C45D7">
        <w:t>the</w:t>
      </w:r>
      <w:r w:rsidR="00FA6558" w:rsidRPr="001C45D7">
        <w:t xml:space="preserve"> </w:t>
      </w:r>
      <w:r w:rsidR="000D6065" w:rsidRPr="001C45D7">
        <w:t>extent</w:t>
      </w:r>
      <w:r w:rsidR="00FA6558" w:rsidRPr="001C45D7">
        <w:t xml:space="preserve"> </w:t>
      </w:r>
      <w:r w:rsidR="000D6065" w:rsidRPr="001C45D7">
        <w:t>of</w:t>
      </w:r>
      <w:r w:rsidR="00FA6558" w:rsidRPr="001C45D7">
        <w:t xml:space="preserve"> </w:t>
      </w:r>
      <w:r w:rsidR="000D6065" w:rsidRPr="001C45D7">
        <w:t>SME</w:t>
      </w:r>
      <w:r w:rsidR="00662F37" w:rsidRPr="001C45D7">
        <w:t>s’</w:t>
      </w:r>
      <w:r w:rsidR="00FA6558" w:rsidRPr="001C45D7">
        <w:t xml:space="preserve"> </w:t>
      </w:r>
      <w:r w:rsidR="000D6065" w:rsidRPr="001C45D7">
        <w:t>perceived</w:t>
      </w:r>
      <w:r w:rsidR="00FA6558" w:rsidRPr="001C45D7">
        <w:t xml:space="preserve"> </w:t>
      </w:r>
      <w:r w:rsidR="000D6065" w:rsidRPr="001C45D7">
        <w:t>level</w:t>
      </w:r>
      <w:r w:rsidR="00FA6558" w:rsidRPr="001C45D7">
        <w:t xml:space="preserve"> </w:t>
      </w:r>
      <w:r w:rsidR="000D6065" w:rsidRPr="001C45D7">
        <w:t>of</w:t>
      </w:r>
      <w:r w:rsidR="00FA6558" w:rsidRPr="001C45D7">
        <w:t xml:space="preserve"> </w:t>
      </w:r>
      <w:r w:rsidR="000D6065" w:rsidRPr="001C45D7">
        <w:t>buyer</w:t>
      </w:r>
      <w:r w:rsidR="00FA6558" w:rsidRPr="001C45D7">
        <w:t xml:space="preserve"> </w:t>
      </w:r>
      <w:r w:rsidR="000D6065" w:rsidRPr="001C45D7">
        <w:t>opportunism</w:t>
      </w:r>
      <w:r w:rsidR="00FA6558" w:rsidRPr="001C45D7">
        <w:t xml:space="preserve"> </w:t>
      </w:r>
      <w:r w:rsidR="000D6065" w:rsidRPr="001C45D7">
        <w:fldChar w:fldCharType="begin" w:fldLock="1"/>
      </w:r>
      <w:r w:rsidR="00433778" w:rsidRPr="001C45D7">
        <w:instrText>ADDIN CSL_CITATION {"citationItems":[{"id":"ITEM-1","itemData":{"DOI":"10.1016/S0883-9026(97)00069-4","ISSN":"08839026","abstract":"Like a photographer trying to take a perfect picture, an entrepreneur trying to increase the odds of survival must learn very quickly that focus is everything. And what demands an entrepreneur's immediate focus is the development of new products. Entrepreneurial ventures depend on the rapid creation of new products to gain access to early cash flows, create legitimacy, grab early market share, and increase their odds of survival (Schoonhoven, Eisenhardt, and Lymman 1990). However, the increasing costs and complexity of new product development are making it difficult for entrepreneurial ventures to contain the assets needed for successful R&amp;D within their boundaries, forcing them to reach beyond their borders to access resources. Barley et al. (1992) document the use of more than 900 contractual research agreements within the biotechnology industry alone. Recent research has also found a positive relationship between the use of alliances in the R&amp;D process and the rate of new product development (Deeds and Hill 1996; Shan, Walker, and Kogut 1994). This particular study focuses on the use of relational contracts in the R&amp;D process and extends the prior work on relational contracts to create an explanatory model of the deterrents to opportunism within a relational contract. The article begins with a discussion of the traditional modes of deterring opportunism and of modes of deterring opportunism based on the development of a strong cross-boundary relationship. From this discussion, hypotheses are derived that relate certain characteristics of the alliance (frequency of communication, strength of contractual deterrents, hostage investments, age of the relationship, etc.) to the level of opportunism within the relationship. These hypotheses are then tested on a sample of 109 research alliances in the biotechnology industry. We found significant evidence that a strong relationship between the partners serves as a much more effective deterrent to opportunistic action than the creation of hostage investments or contingent claims contracts. In particular, the results for frequency of communication and the background of the firm highlight the importance of the top management team's understanding and involvement in the management of research alliances. The strong results for background congruence indicates the importance of shared expectations and understandings between the partners. The strong empirical results for the hypothesized U-shaped relationship between …","author":[{"dropping-particle":"","family":"Deeds","given":"David L.","non-dropping-particle":"","parse-names":false,"suffix":""},{"dropping-particle":"","family":"Hill","given":"Charles W.L.","non-dropping-particle":"","parse-names":false,"suffix":""}],"container-title":"Journal of Business Venturing","id":"ITEM-1","issue":"2","issued":{"date-parts":[["1999"]]},"page":"141-163","title":"An examination of opportunistic action within research alliances: Evidence from the biotechnology industry","type":"article-journal","volume":"14"},"uris":["http://www.mendeley.com/documents/?uuid=ba020f76-0596-4fc5-aba0-08186f6c1042"]},{"id":"ITEM-2","itemData":{"DOI":"10.5465/AMJ.2006.22798187","ISSN":"00014273","abstract":"Comparing the effectiveness of contractual and relational governance in constraining opportunism under conditions of volatility and ambiguity, we hypothesize that relational contracts will be robust to volatility but not to ambiguity, whereas formal contracts will be robust to ambiguity but not to volatility. Data from 125 interorganizational relationships involving R&amp;D for new-product development support these hypotheses. Our findings suggest that formal and relational contracts each have advantages and disadvantages in specific situations and are not simply substitutes. Our results challenge the view that relational contracts are resistant to opportunism. A revised comparative governance schema is theorized for future research. © Academy of Management Journal.","author":[{"dropping-particle":"","family":"Carson","given":"Stephen J.","non-dropping-particle":"","parse-names":false,"suffix":""},{"dropping-particle":"","family":"Madhok","given":"Anoop","non-dropping-particle":"","parse-names":false,"suffix":""},{"dropping-particle":"","family":"Tao","given":"Wu","non-dropping-particle":"","parse-names":false,"suffix":""}],"container-title":"Academy of Management Journal","id":"ITEM-2","issue":"5","issued":{"date-parts":[["2006"]]},"page":"1058-1077","publisher":"Academy of Management","title":"Uncertainty, opportunism, and governance: The effects of volatility and ambiguity on formal and relational contracting","type":"article-journal","volume":"49"},"uris":["http://www.mendeley.com/documents/?uuid=203ee1ac-6b66-34b1-9bed-5efa539a6006"]},{"id":"ITEM-3","itemData":{"DOI":"10.1016/j.jbusres.2008.08.003","ISSN":"01482963","abstract":"Extant research offers two alternative mechanisms for relating the asset specificity of a cooperative relationship to partnership performance. Transaction cost economics argues that the specific assets invested in a partnership increase the hazards of opportunism. As firms select appropriate governance structures to reduce opportunistic behavior, performance increases. On the other hand, relational exchange theory suggests that asset specificity enhances the trust between partners, which in turn leads to more cooperative behavior and higher partnership performance. This paper tests both mechanisms simultaneously on a sample of procurement relationships between Hong Kong trading firms and their Chinese suppliers using SEM methods. Our results support the predictions of relational exchange theory more than those of transaction cost economics. The paper also discusses the role of the Chinese context on theory application. © 2008 Elsevier Inc. All rights reserved.","author":[{"dropping-particle":"","family":"Lui","given":"Steven S.","non-dropping-particle":"","parse-names":false,"suffix":""},{"dropping-particle":"","family":"Wong","given":"Yin yee","non-dropping-particle":"","parse-names":false,"suffix":""},{"dropping-particle":"","family":"Liu","given":"Weiping","non-dropping-particle":"","parse-names":false,"suffix":""}],"container-title":"Journal of Business Research","id":"ITEM-3","issue":"11","issued":{"date-parts":[["2009","11","1"]]},"page":"1214-1219","publisher":"Elsevier","title":"Asset specificity roles in interfirm cooperation: Reducing opportunistic behavior or increasing cooperative behavior?","type":"article-journal","volume":"62"},"uris":["http://www.mendeley.com/documents/?uuid=ba2923b3-60bb-386d-83fb-030f283748ee"]},{"id":"ITEM-4","itemData":{"DOI":"10.1016/j.ijpe.2016.04.006","ISSN":"09255273","abstract":"Based on transaction cost economics and social exchange theory, this study investigates how supplier justice influences buyers' specific investments and communication, which in turn influence the opportunistic behavior of both parties in the supply chain. Data from 240 firms in China are used to test the proposed relationships, and the results suggest that supplier distributive and procedural justice can increase the buyer's specific investment. However, supplier interactional justice only improves the buyer's communication with the supplier. Moreover, supplier opportunism is curbed by buyer communication but increased by the buyer's specific investment. Buyer opportunism is restrained by buyer communication and supplier procedural justice. This study contributes to the literature by investigating the relationships between justice, collaboration, and opportunism in the upstream supply chain. The findings can help managers to maintain their supply chain relationships more effectively.","author":[{"dropping-particle":"","family":"Huo","given":"Baofeng","non-dropping-particle":"","parse-names":false,"suffix":""},{"dropping-particle":"","family":"Wang","given":"Zhiqiang","non-dropping-particle":"","parse-names":false,"suffix":""},{"dropping-particle":"","family":"Tian","given":"Yu","non-dropping-particle":"","parse-names":false,"suffix":""}],"container-title":"International Journal of Production Economics","id":"ITEM-4","issued":{"date-parts":[["2016"]]},"page":"12-23","title":"The impact of justice on collaborative and opportunistic behaviors in supply chain relationships","type":"article-journal","volume":"177"},"uris":["http://www.mendeley.com/documents/?uuid=ab0f2ea1-26b6-4537-8c32-65feafd759e0"]},{"id":"ITEM-5","itemData":{"DOI":"10.1007/s11747-012-0310-9","ISSN":"00920703","abstract":"Fostering and maintaining buyer-supplier relationships is a fundamental premise of many channel initiatives. Indeed, these relationships may culminate in significant performance enhancements and competitive advantage. Yet these relationships may also result in competitively harmful events such as partner opportunism. Despite this potential competitive erosion, there is a lack of studies examining the interplay between the drivers and deterrents of opportunism. By building on transaction cost economics and social capital theory, we examine, via a sample of 400 manufacturing firms in China, how the interplay between drivers (relationship-specific investments and behavioral uncertainty) and deterrents (inter-firm social capital) of opportunism affect partner opportunism in buyer-supplier exchanges. The significance of this interplay between the drivers and deterrents sheds new light on how a firm can leverage social capital to curb the harmful effects of opportunism. © 2012 Academy of Marketing Science.","author":[{"dropping-particle":"","</w:instrText>
      </w:r>
      <w:r w:rsidR="00433778" w:rsidRPr="00892C4F">
        <w:instrText>family":"Wang","given":"Qiong","non-dropping-particle":"","parse-names":false,"suffix":""},{"dropping-particle":"","family":"Li","given":"Julie Juan","non-dropping-particle":"","parse-names":false,"suffix":""},{"dropping-particle":"","family":"Ross","given":"William T.","non-dropping-particle":"","parse-names":false,"suffix":""},{"dropping-particle":"","family":"Craighead","given":"Christopher W.","non-dropping-particle":"","parse-names":false,"suffix":""}],"container-title":"Journal of the Academy of Marketing Science","id":"ITEM-5","issue":"1","issued":{"date-parts":[["2013"]]},"page":"111-131","title":"The interplay of drivers and deterrents of opportunism in buyer-supplier relationships","type":"article-journal","volume":"41"},"uris":["http://www.mendeley.com/documents/?uuid=4a632b45-1846-4325-bf80-391a12d5c98a"]}],"mendeley":{"formattedCitation":"(Carson &lt;i&gt;et al.&lt;/i&gt;, 2006; Deeds and Hill, 1999; Huo &lt;i&gt;et al.&lt;/i&gt;, 2016; Lui &lt;i&gt;et al.&lt;/i&gt;, 2009; Wang &lt;i&gt;et al.&lt;/i&gt;, 2013)","manualFormatting":"(Carson et al., 2006; Lui et al., 2009; Wang et al., 2013; Huo et al., 2016)","plainTextFormattedCitation":"(Carson et al., 2006; Deeds and Hill, 1999; Huo et al., 2016; Lui et al., 2009; Wang et al., 2013)","previouslyFormattedCitation":"(Carson &lt;i&gt;et al.&lt;/i&gt;, 2006; Deeds and Hill, 1999; Huo &lt;i&gt;et al.&lt;/i&gt;, 2016; Lui &lt;i&gt;et al.&lt;/i&gt;, 2009; Wang &lt;i&gt;et al.&lt;/i&gt;, 2013)"},"properties":{"noteIndex":0},"schema":"https://github.com/citation-style-language/schema/raw/master/csl-citation.json"}</w:instrText>
      </w:r>
      <w:r w:rsidR="000D6065" w:rsidRPr="001C45D7">
        <w:fldChar w:fldCharType="separate"/>
      </w:r>
      <w:r w:rsidR="00881C19" w:rsidRPr="00892C4F">
        <w:rPr>
          <w:noProof/>
        </w:rPr>
        <w:t>(</w:t>
      </w:r>
      <w:r w:rsidR="00876B75" w:rsidRPr="00892C4F">
        <w:rPr>
          <w:rFonts w:eastAsiaTheme="minorEastAsia" w:hint="eastAsia"/>
          <w:noProof/>
          <w:lang w:eastAsia="ko-KR"/>
        </w:rPr>
        <w:t xml:space="preserve">Lui </w:t>
      </w:r>
      <w:r w:rsidR="00876B75" w:rsidRPr="00892C4F">
        <w:rPr>
          <w:rFonts w:eastAsiaTheme="minorEastAsia" w:hint="eastAsia"/>
          <w:i/>
          <w:noProof/>
          <w:lang w:eastAsia="ko-KR"/>
        </w:rPr>
        <w:t>et al.</w:t>
      </w:r>
      <w:r w:rsidR="00876B75" w:rsidRPr="00892C4F">
        <w:rPr>
          <w:rFonts w:eastAsiaTheme="minorEastAsia" w:hint="eastAsia"/>
          <w:noProof/>
          <w:lang w:eastAsia="ko-KR"/>
        </w:rPr>
        <w:t xml:space="preserve">, 2009; </w:t>
      </w:r>
      <w:r w:rsidR="001D5D2A" w:rsidRPr="001D5D2A">
        <w:rPr>
          <w:rFonts w:eastAsiaTheme="minorEastAsia"/>
          <w:noProof/>
          <w:lang w:eastAsia="ko-KR"/>
        </w:rPr>
        <w:t xml:space="preserve">Rokkane </w:t>
      </w:r>
      <w:r w:rsidR="001D5D2A" w:rsidRPr="001D5D2A">
        <w:rPr>
          <w:rFonts w:eastAsiaTheme="minorEastAsia"/>
          <w:i/>
          <w:iCs/>
          <w:noProof/>
          <w:lang w:eastAsia="ko-KR"/>
        </w:rPr>
        <w:t>et al.</w:t>
      </w:r>
      <w:r w:rsidR="001D5D2A">
        <w:rPr>
          <w:rFonts w:eastAsiaTheme="minorEastAsia"/>
          <w:i/>
          <w:iCs/>
          <w:noProof/>
          <w:lang w:eastAsia="ko-KR"/>
        </w:rPr>
        <w:t xml:space="preserve"> </w:t>
      </w:r>
      <w:r w:rsidR="001D5D2A" w:rsidRPr="001D5D2A">
        <w:rPr>
          <w:rFonts w:eastAsiaTheme="minorEastAsia"/>
          <w:noProof/>
          <w:lang w:eastAsia="ko-KR"/>
        </w:rPr>
        <w:t>(2003</w:t>
      </w:r>
      <w:r w:rsidR="00881C19" w:rsidRPr="00892C4F">
        <w:rPr>
          <w:noProof/>
        </w:rPr>
        <w:t>)</w:t>
      </w:r>
      <w:r w:rsidR="000D6065" w:rsidRPr="001C45D7">
        <w:fldChar w:fldCharType="end"/>
      </w:r>
      <w:r w:rsidR="000D6065" w:rsidRPr="00892C4F">
        <w:t>.</w:t>
      </w:r>
      <w:r w:rsidR="00FA6558" w:rsidRPr="00892C4F">
        <w:t xml:space="preserve"> </w:t>
      </w:r>
      <w:r w:rsidR="001D5D2A">
        <w:t>Various forms</w:t>
      </w:r>
      <w:r w:rsidR="00FA6558" w:rsidRPr="001C45D7">
        <w:t xml:space="preserve"> </w:t>
      </w:r>
      <w:r w:rsidR="00277C37" w:rsidRPr="001C45D7">
        <w:t>of</w:t>
      </w:r>
      <w:r w:rsidR="00FA6558" w:rsidRPr="001C45D7">
        <w:t xml:space="preserve"> </w:t>
      </w:r>
      <w:r w:rsidR="00277C37" w:rsidRPr="001C45D7">
        <w:t>partner</w:t>
      </w:r>
      <w:r w:rsidR="00FA6558" w:rsidRPr="001C45D7">
        <w:t xml:space="preserve"> </w:t>
      </w:r>
      <w:r w:rsidR="00277C37" w:rsidRPr="001C45D7">
        <w:t>opportunism</w:t>
      </w:r>
      <w:r w:rsidR="006869DD" w:rsidRPr="001C45D7">
        <w:rPr>
          <w:rFonts w:eastAsiaTheme="minorEastAsia"/>
          <w:lang w:eastAsia="ko-KR"/>
        </w:rPr>
        <w:t xml:space="preserve"> </w:t>
      </w:r>
      <w:r w:rsidR="001D5D2A">
        <w:rPr>
          <w:rFonts w:eastAsiaTheme="minorEastAsia"/>
          <w:lang w:eastAsia="ko-KR"/>
        </w:rPr>
        <w:t>such as</w:t>
      </w:r>
      <w:r w:rsidR="001D5D2A" w:rsidRPr="001C45D7">
        <w:rPr>
          <w:rFonts w:eastAsiaTheme="minorEastAsia"/>
          <w:lang w:eastAsia="ko-KR"/>
        </w:rPr>
        <w:t xml:space="preserve"> </w:t>
      </w:r>
      <w:r w:rsidR="001D5D2A">
        <w:rPr>
          <w:rFonts w:eastAsiaTheme="minorEastAsia"/>
          <w:lang w:eastAsia="ko-KR"/>
        </w:rPr>
        <w:t>lying about certain things to protect their interests</w:t>
      </w:r>
      <w:r w:rsidR="001842C8">
        <w:rPr>
          <w:rFonts w:eastAsiaTheme="minorEastAsia"/>
          <w:lang w:eastAsia="ko-KR"/>
        </w:rPr>
        <w:t xml:space="preserve"> and</w:t>
      </w:r>
      <w:r w:rsidR="00FA6558" w:rsidRPr="001C45D7">
        <w:rPr>
          <w:rFonts w:eastAsiaTheme="minorEastAsia"/>
          <w:lang w:eastAsia="ko-KR"/>
        </w:rPr>
        <w:t xml:space="preserve"> </w:t>
      </w:r>
      <w:r w:rsidR="001D5D2A">
        <w:rPr>
          <w:rFonts w:eastAsiaTheme="minorEastAsia"/>
          <w:lang w:eastAsia="ko-KR"/>
        </w:rPr>
        <w:t>breaching informal agreements</w:t>
      </w:r>
      <w:r w:rsidR="00FA6558" w:rsidRPr="001C45D7">
        <w:rPr>
          <w:rFonts w:eastAsiaTheme="minorEastAsia"/>
          <w:lang w:eastAsia="ko-KR"/>
        </w:rPr>
        <w:t xml:space="preserve"> </w:t>
      </w:r>
      <w:r w:rsidR="00822EF8" w:rsidRPr="001C45D7">
        <w:rPr>
          <w:rFonts w:eastAsiaTheme="minorEastAsia"/>
          <w:lang w:eastAsia="ko-KR"/>
        </w:rPr>
        <w:t>were</w:t>
      </w:r>
      <w:r w:rsidR="00FA6558" w:rsidRPr="001C45D7">
        <w:rPr>
          <w:rFonts w:eastAsiaTheme="minorEastAsia"/>
          <w:lang w:eastAsia="ko-KR"/>
        </w:rPr>
        <w:t xml:space="preserve"> </w:t>
      </w:r>
      <w:r w:rsidR="00822EF8" w:rsidRPr="001C45D7">
        <w:rPr>
          <w:rFonts w:eastAsiaTheme="minorEastAsia"/>
          <w:lang w:eastAsia="ko-KR"/>
        </w:rPr>
        <w:t>measured.</w:t>
      </w:r>
      <w:r w:rsidR="00B27FB9" w:rsidRPr="001C45D7">
        <w:rPr>
          <w:rFonts w:eastAsiaTheme="minorEastAsia"/>
          <w:lang w:eastAsia="ko-KR"/>
        </w:rPr>
        <w:t xml:space="preserve"> </w:t>
      </w:r>
    </w:p>
    <w:p w14:paraId="50243D18" w14:textId="0B0531CA" w:rsidR="0094294D" w:rsidRPr="00F34A35" w:rsidRDefault="003030BC" w:rsidP="00566B02">
      <w:pPr>
        <w:pStyle w:val="BodyText"/>
        <w:rPr>
          <w:lang w:val="en-US"/>
        </w:rPr>
      </w:pPr>
      <w:r w:rsidRPr="001C45D7">
        <w:t>T</w:t>
      </w:r>
      <w:r w:rsidR="002E00D8" w:rsidRPr="001C45D7">
        <w:t>wo</w:t>
      </w:r>
      <w:r w:rsidR="00FA6558" w:rsidRPr="001C45D7">
        <w:t xml:space="preserve"> </w:t>
      </w:r>
      <w:r w:rsidR="002E00D8" w:rsidRPr="001C45D7">
        <w:t>different</w:t>
      </w:r>
      <w:r w:rsidR="00FA6558" w:rsidRPr="001C45D7">
        <w:t xml:space="preserve"> </w:t>
      </w:r>
      <w:r w:rsidR="002E00D8" w:rsidRPr="001C45D7">
        <w:t>types</w:t>
      </w:r>
      <w:r w:rsidR="00FA6558" w:rsidRPr="001C45D7">
        <w:t xml:space="preserve"> </w:t>
      </w:r>
      <w:r w:rsidR="002E00D8" w:rsidRPr="001C45D7">
        <w:t>of</w:t>
      </w:r>
      <w:r w:rsidR="00FA6558" w:rsidRPr="001C45D7">
        <w:t xml:space="preserve"> </w:t>
      </w:r>
      <w:r w:rsidR="00C0350D">
        <w:t xml:space="preserve">governance-based </w:t>
      </w:r>
      <w:r w:rsidR="002E00D8" w:rsidRPr="001C45D7">
        <w:t>partner</w:t>
      </w:r>
      <w:r w:rsidR="00FA6558" w:rsidRPr="001C45D7">
        <w:t xml:space="preserve"> </w:t>
      </w:r>
      <w:r w:rsidR="002E00D8" w:rsidRPr="001C45D7">
        <w:t>opportunism</w:t>
      </w:r>
      <w:r w:rsidR="00FA6558" w:rsidRPr="001C45D7">
        <w:t xml:space="preserve"> </w:t>
      </w:r>
      <w:r w:rsidR="002E00D8" w:rsidRPr="001C45D7">
        <w:t>mitigation</w:t>
      </w:r>
      <w:r w:rsidR="00FA6558" w:rsidRPr="001C45D7">
        <w:t xml:space="preserve"> </w:t>
      </w:r>
      <w:r w:rsidR="002E00D8" w:rsidRPr="001C45D7">
        <w:t>mechanism</w:t>
      </w:r>
      <w:r w:rsidR="00FA6558" w:rsidRPr="001C45D7">
        <w:t xml:space="preserve"> </w:t>
      </w:r>
      <w:r w:rsidR="00822EF8" w:rsidRPr="001C45D7">
        <w:t>were</w:t>
      </w:r>
      <w:r w:rsidR="00FA6558" w:rsidRPr="001C45D7">
        <w:t xml:space="preserve"> </w:t>
      </w:r>
      <w:r w:rsidR="00822EF8" w:rsidRPr="001C45D7">
        <w:t>measured</w:t>
      </w:r>
      <w:r w:rsidR="002E00D8" w:rsidRPr="001C45D7">
        <w:t>.</w:t>
      </w:r>
      <w:r w:rsidR="00FA6558" w:rsidRPr="001C45D7">
        <w:t xml:space="preserve"> </w:t>
      </w:r>
      <w:r w:rsidR="002E00D8" w:rsidRPr="001C45D7">
        <w:t>First,</w:t>
      </w:r>
      <w:r w:rsidR="00FA6558" w:rsidRPr="001C45D7">
        <w:t xml:space="preserve"> </w:t>
      </w:r>
      <w:r w:rsidR="002E00D8" w:rsidRPr="001C45D7">
        <w:t>t</w:t>
      </w:r>
      <w:r w:rsidR="0094294D" w:rsidRPr="001C45D7">
        <w:t>he</w:t>
      </w:r>
      <w:r w:rsidR="00FA6558" w:rsidRPr="001C45D7">
        <w:t xml:space="preserve"> </w:t>
      </w:r>
      <w:r w:rsidR="005C1E1B" w:rsidRPr="001C45D7">
        <w:t xml:space="preserve">supplier-perceived </w:t>
      </w:r>
      <w:r w:rsidR="0094294D" w:rsidRPr="001C45D7">
        <w:t>level</w:t>
      </w:r>
      <w:r w:rsidR="00FA6558" w:rsidRPr="001C45D7">
        <w:t xml:space="preserve"> </w:t>
      </w:r>
      <w:r w:rsidR="0094294D" w:rsidRPr="001C45D7">
        <w:t>of</w:t>
      </w:r>
      <w:r w:rsidR="00FA6558" w:rsidRPr="001C45D7">
        <w:t xml:space="preserve"> </w:t>
      </w:r>
      <w:r w:rsidR="0094294D" w:rsidRPr="001C45D7">
        <w:t>contractual</w:t>
      </w:r>
      <w:r w:rsidR="00FA6558" w:rsidRPr="001C45D7">
        <w:t xml:space="preserve"> </w:t>
      </w:r>
      <w:r w:rsidR="0094294D" w:rsidRPr="001C45D7">
        <w:t>governance</w:t>
      </w:r>
      <w:r w:rsidR="00FA6558" w:rsidRPr="001C45D7">
        <w:t xml:space="preserve"> </w:t>
      </w:r>
      <w:r w:rsidR="0094294D" w:rsidRPr="001C45D7">
        <w:t>in</w:t>
      </w:r>
      <w:r w:rsidR="00FA6558" w:rsidRPr="001C45D7">
        <w:t xml:space="preserve"> </w:t>
      </w:r>
      <w:r w:rsidR="0094294D" w:rsidRPr="001C45D7">
        <w:t>a</w:t>
      </w:r>
      <w:r w:rsidR="00FA6558" w:rsidRPr="001C45D7">
        <w:t xml:space="preserve"> </w:t>
      </w:r>
      <w:r w:rsidR="0094294D" w:rsidRPr="001C45D7">
        <w:t>relationship</w:t>
      </w:r>
      <w:r w:rsidR="00FA6558" w:rsidRPr="001C45D7">
        <w:t xml:space="preserve"> </w:t>
      </w:r>
      <w:r w:rsidR="0094294D" w:rsidRPr="001C45D7">
        <w:t>was</w:t>
      </w:r>
      <w:r w:rsidR="00FA6558" w:rsidRPr="001C45D7">
        <w:t xml:space="preserve"> </w:t>
      </w:r>
      <w:r w:rsidR="0094294D" w:rsidRPr="001C45D7">
        <w:t>measured</w:t>
      </w:r>
      <w:r w:rsidR="00FA6558" w:rsidRPr="001C45D7">
        <w:t xml:space="preserve"> </w:t>
      </w:r>
      <w:r w:rsidR="0094294D" w:rsidRPr="001C45D7">
        <w:t>using</w:t>
      </w:r>
      <w:r w:rsidR="00FA6558" w:rsidRPr="001C45D7">
        <w:t xml:space="preserve"> </w:t>
      </w:r>
      <w:r w:rsidR="0094294D" w:rsidRPr="001C45D7">
        <w:t>a</w:t>
      </w:r>
      <w:r w:rsidR="00FA6558" w:rsidRPr="001C45D7">
        <w:t xml:space="preserve"> </w:t>
      </w:r>
      <w:r w:rsidR="00662F37" w:rsidRPr="001C45D7">
        <w:t>3</w:t>
      </w:r>
      <w:r w:rsidR="0094294D" w:rsidRPr="001C45D7">
        <w:t>-item</w:t>
      </w:r>
      <w:r w:rsidR="00FA6558" w:rsidRPr="001C45D7">
        <w:t xml:space="preserve"> </w:t>
      </w:r>
      <w:r w:rsidR="0094294D" w:rsidRPr="001C45D7">
        <w:t>scale.</w:t>
      </w:r>
      <w:r w:rsidR="00FA6558" w:rsidRPr="001C45D7">
        <w:t xml:space="preserve"> </w:t>
      </w:r>
      <w:r w:rsidR="0094294D" w:rsidRPr="001C45D7">
        <w:t>Building</w:t>
      </w:r>
      <w:r w:rsidR="00FA6558" w:rsidRPr="001C45D7">
        <w:t xml:space="preserve"> </w:t>
      </w:r>
      <w:r w:rsidR="0094294D" w:rsidRPr="001C45D7">
        <w:t>on</w:t>
      </w:r>
      <w:r w:rsidR="00FA6558" w:rsidRPr="001C45D7">
        <w:t xml:space="preserve"> </w:t>
      </w:r>
      <w:r w:rsidR="0094294D" w:rsidRPr="001C45D7">
        <w:t>previous</w:t>
      </w:r>
      <w:r w:rsidR="00FA6558" w:rsidRPr="001C45D7">
        <w:t xml:space="preserve"> </w:t>
      </w:r>
      <w:r w:rsidR="0094294D" w:rsidRPr="001C45D7">
        <w:t>studies</w:t>
      </w:r>
      <w:r w:rsidR="00FA6558" w:rsidRPr="001C45D7">
        <w:t xml:space="preserve"> </w:t>
      </w:r>
      <w:r w:rsidR="0094294D" w:rsidRPr="001C45D7">
        <w:fldChar w:fldCharType="begin" w:fldLock="1"/>
      </w:r>
      <w:r w:rsidR="00433778" w:rsidRPr="001C45D7">
        <w:instrText>ADDIN CSL_CITATION {"citationItems":[{"id":"ITEM-1","itemData":{"DOI":"10.1016/j.jom.2014.09.009","ISSN":"02726963","abstract":"Although extant literature has shown that formal contracts and relational governance play a key role in interorganizational relationships, the nature of their interplay still remains equivocal. To better understand the relationships between contractual and relational governance, we conducted a qualitative review and meta-analysis of the existing literature. Meta-analytic results from 33,051 interorganizational relationships across 149 empirical studies have indicated that contractual governance is positively related to both sides of relational governance - trust and relational norms. Our results have also indicated that contracts, trust, and relational norms jointly improve satisfaction and relationship performance and jointly reduce opportunism. These findings provide strong evidence for the complementarity arguments of the contractual-relational governance relationships and their joint impacts on performance. We also found that the mutual relationships between contractual and relational governance are moderated by the institutional environments, the interorganizational relationship type and length, and the construct measurement of contracts. Overall, this study provides new insights on when contractual and relational governance complement or substitute each other. We discuss the implications of our study for theory and practice and propose a research agenda for future research on governance in interorganizational relationships.","author":[{"dropping-particle":"","family":"Cao","given":"Zhi","non-dropping-particle":"","parse-names":false,"suffix":""},{"dropping-particle":"","family":"Lumineau","given":"Fabrice","non-dropping-particle":"","parse-names":false,"suffix":""}],"container-title":"Journal of Operations Management","id":"ITEM-1","issued":{"date-parts":[["2015"]]},"page":"15-42","publisher":"Elsevier B.V.","title":"Revisiting the interplay between contractual and relational governance: A qualitative and meta-analytic investigation","type":"article-journal","volume":"33-34"},"uris":["http://www.mendeley.com/documents/?uuid=b80252ca-f41a-3c85-8e78-68501588758f"]},{"id":"ITEM-2","itemData":{"DOI":"10.1002/smj.2175","ISSN":"10970266","abstract":"Despite the centrality of fairness in the moral and social fabric of governance, few studies relate fairness to contracting research. This paper assesses whether fairness accounts for the effects of contractual complexity and contractual recurrence on exchange performance. Based on a sample of 283 buyer-supplier dyads, we find that procedural fairness partially mediates the effect of contractual complexity, whereas distributive fairness partially mediates the effect of contractual recurrence in fostering exchange performance. Moreover, monitoring better supports the use of contractual complexity, whereas socializing better supports the use of contractual recurrence in enhancing fairness perceptions. These results suggest that contractual design must go beyond its safeguarding function to establish a fair frame of reference, and managers should complement contracts with appropriate practices (e.g., monitoring or socializing). Copyright © 2013 John Wiley &amp; Sons, Ltd. Copyright © 2013 John Wiley &amp; Sons, Ltd.","author":[{"dropping-particle":"","family":"Poppo","given":"Laura","non-dropping-particle":"","parse-names":false,"suffix":""},{"dropping-particle":"","family":"Zhou","given":"Kevin Zheng","non-dropping-particle":"","parse-names":false,"suffix":""}],"container-title":"Strategic Management Journal","id":"ITEM-2","issue":"10","issued":{"date-parts":[["2014"]]},"page":"1508-1527","publisher":"John Wiley and Sons Ltd","title":"Managing contracts for fairness in buyer-supplier exchanges","type":"article-journal","volume":"35"},"uris":["http://www.mendeley.com/documents/?uuid=0957df17-a206-331b-808a-1537b618a255"]},{"id":"ITEM-3","itemData":{"DOI":"10.1057/jibs.2010.7","ISSN":"00472506","abstract":"Building on institutional and transaction cost economics, this article proposes that legal enforceability increases the use of contract over relational reliability (e.g., beliefs that the other party acts in a non-opportunistic manner) to safeguard market exchanges characterized by non-trivial hazards. The results of 399 buyer-supplier exchanges in China show that: (1) when managers perceive that the legal system can protect their firm's interests, they tend to use explicit contracts rather than relational reliability to safeguard transactions involving risks (i.e., asset specificity, environmental uncertainty, and behavioral uncertainty); and (2) when managers do not perceive the legal system as credible, they are less likely to use contracts, and instead rely on relational reliability to safeguard transactions associated with specialized assets and environmental uncertainty, but not those involving behavioral uncertainty. We further find that legal enforceability does not moderate the effect of relational reliability on contracts, but does weaken the effect of contracts on relational reliability. These results endorse the importance of prior experience (e.g., relational reliability) in supporting the use of explicit contracts, and alternatively suggest that, under conditions of greater legal enforceability, the contract signals less regarding one's intention to be trustworthy but more about the efficacy of sanctions. © 2010 Academy of International Business All rights reserved.","author":[{"dropping-particle":"","family":"Zhou","given":"Kevin Zheng","non-dropping-particle":"","parse-names":false,"suffix":""},{"dropping-particle":"","family":"Poppo","given":"Laura","non-dropping-particle":"","parse-names":false,"suffix":""}],"container-title":"Journal of International Business Studies","id":"ITEM-3","issue":"5","issued":{"date-parts":[["2010","6"]]},"page":"861-881","title":"Exchange hazards, relational reliability, and contracts in China: The contingent role of legal enforceability","type":"article-journal","volume":"41"},"uris":["http://www.mendeley.com/documents/?uuid=a1e86f7c-9dec-316a-a14b-4490c2a8f2eb"]},{"id":"ITEM-4","itemData":{"DOI":"10.1057/jibs.2012.11","ISSN":"00472506","abstract":"Interfirm relationships among partners from institutionally distant environments are subject to governance difficulties, owing to the paucity of shared cognitive and regulatory frameworks. We examine the potential of formal contracting and relational governance developed at the partnership level to overcome the formal and informal institutional gap at the country level. Empirical results from a sample of 184 international partnerships of large US firms support an overall substitutive relationship between informal institutional frameworks and interorganizational relational arrangements whereby the performance benefits of relational governance are reinforced at higher degrees of informal institutional distance. Contrastingly, formal institutional frameworks and contractual governance are found to have a complementary relationship, with performance gains from formal contracting undermined at higher degrees of formal distance. © 2012 Academy of International Business All rights reserved.","author":[{"dropping-particle":"","family":"Abdi","given":"Majid","non-dropping-particle":"","parse-names":false,"suffix":""},{"dropping-particle":"","family":"Aulakh","given":"Preet S.","non-dropping-particle":"","parse-names":false,"suffix":""}],"container-title":"Journal of International Business Studies","id":"ITEM-4","issue":"5","issued":{"date-parts":[["2012","6"]]},"page":"477-497","title":"Do country-level institutional frameworks and interfirm governance arrangements substitute or complement in international business relationships","type":"article-journal","volume":"43"},"uris":["http://www.mendeley.com/documents/?uuid=16985b16-b9c3-4503-af6a-09037547b237"]},{"id":"ITEM-5","itemData":{"DOI":"10.1057/jibs.2012.7","ISSN":"00472506","abstract":"An ongoing debate in the interfirm exchange literature concerns whether economic and social governance mechanisms function as substitutes or complements. We advance a more nuanced approach to examining how detailed contracts and centralized control interact with relational governance differentially in curbing local supplier opportunism in emerging markets. We suggest that where legal institutions are weak, detailed contracts are ineffective in containing partner opportunism in contractually specified areas. Under such circumstances, relational governance provides a proxy for legal institutions to ensure contract execution. Meanwhile, relational governance serves as an alternative mechanism to centralized control for ensuring contingency adaptations. Based on a sample of 168 foreign buyer-local supplier exchanges in China, we find that relational governance complements detailed contracts but substitutes for centralized control in curtailing opportunism. Therefore foreign firms must be cautious in their combinative use of social and economic mechanisms in governing exchanges with local suppliers in emerging markets. © 2012 Academy of International Business All rights reserved.","author":[{"dropping-particle":"","family":"Zhou","given":"Kevin Zheng","non-dropping-particle":"","parse-names":false,"suffix":""},{"dropping-particle":"","family":"Xu","given":"Dean","non-dropping-particle":"","parse-names":false,"suffix":""}],"container-title":"Journal of International Business Studies","id":"ITEM-5","issue":"7","issued":{"date-parts":[["2012","9"]]},"page":"677-692","title":"How foreign firms curtail local supplier opportunism in China: Detailed contracts, centralized control, and relational governance","type":"article-journal","volume":"43"},"uris":["http://www.mendeley.com/documents/?uuid=cbd4d5ef-7bd5-3a3c-87f2-d89f6a9785ca"]},{"id":"ITEM-6","itemData":{"DOI":"10.1016/j.jom.2010.08.003","ISSN":"02726963","abstract":"Academics have increasingly recognized the benefits derived from social networks embedded within companies' buyer-supplier relationships. However, prior research has only examined the influence of social capital elements on performance, either individually or in part. We propose an integrative model examining the relationships among relational, structural and cognitive dimensions of social capital, and between these dimensions and the cost and innovation performance of the firm. A sample of 163 buyer-supplier relationships is used to test the model. Regression results indicate that the relational dimension of social capital fully or partially mediates the effect of the cognitive dimension on performance, and partially mediates the link between the structural dimension, operationalized as social interaction ties, and innovation performance. Further, high levels of legal bonds were found to moderate the relationship between the relational dimension of social capital and performance outcomes. Implications for theory and managers are discussed. © 2010 Elsevier B.V. All rights reserved.","author":[{"dropping-particle":"","family":"Carey","given":"Sinéad","non-dropping-particle":"","parse-names":false,"suffix":""},{"dropping-particle":"","family":"Lawson","given":"Benn","non-dropping-particle":"","parse-names":false,"suffix":""},{"dropping-particle":"","family":"Krause","given":"Daniel R.","non-dropping-particle":"","parse-names":false,"suffix":""}],"container-title":"Journal of Operations Management","id":"ITEM-6","issue":"4","issued":{"date-parts":[["2011","5"]]},"page":"277-288","title":"Social capital configuration, legal bonds and performance in buyer-supplier relationships","type":"article-journal","volume":"29"},"uris":["http://www.mendeley.com/documents/?uuid=698acfc4-ae71-3f25-8472-48db9af700e9"]},{"id":"ITEM-7","itemData":{"DOI":"10.1016/j.jbusres.2008.08.003","ISSN":"01482963","abstract":"Extant research offers two alternative mechanisms for relating the asset specificity of a cooperative relationship to partnership performance. Transaction cost economics argues that the specific assets invested in a partnership increase the hazards of opportunism. As firms select appropriate governance structures to reduce opportunistic behavior, performance increases. On the other hand, relational exchange theory suggests that asset specificity enhances the trust between partners, which in turn leads to more cooperative behavior and higher partnership performance. This paper tests both mechanisms simultaneously on a sample of procurement relationships between Hong Kong trading firms and their Chinese suppliers using SEM methods. Our results support the predictions of relational exchange theory more than those of transaction cost economics. The paper also discusses the role of the Chinese context on theory application. © 2008 Elsevier Inc. All rights reserved.","author":[{"dropping-particle":"","family":"Lui","given":"Steven S.","non-dropping-particle":"","parse-names":false,"suffix":""},{"dropping-particle":"","family":"Wong","given":"Yin yee","non-dropping-particle":"","parse-names":false,"suffix":""},{"dropping-particle":"","family":"Liu","given":"Weiping","non-dropping-particle":"","parse-names":false,"suffix":""}],"container-title":"Journal of Business Research","id":"ITEM-7","issue":"11","issued":{"date-parts":[["2009","11","1"]]},"page":"1214-1219","publisher":"Elsevier","title":"Asset specificity roles in interfirm cooperation: Reducing opportunistic behavior or increasing cooperative behavior?","type":"article-journal","volume":"62"},"uris":["http://www.mendeley.com/documents/?uuid=ba2923b3-60bb-386d-83fb-030f283748ee"]}],"mendeley":{"formattedCitation":"(Abdi and Aulakh, 2012; Cao and Lumineau, 2015; Carey &lt;i&gt;et al.&lt;/i&gt;, 2011; Lui &lt;i&gt;et al.&lt;/i&gt;, 2009; Poppo and Zhou, 2014; Zhou and Poppo, 2010; Zhou and Xu, 2012)","manualFormatting":"(Lui et al., 2009; Zhou and Poppo, 2010; Carey et al., 2011; Zhou and Xu, 2012; Poppo and Zhou, 2014; Cao and Lumineau, 2015)","plainTextFormattedCitation":"(Abdi and Aulakh, 2012; Cao and Lumineau, 2015; Carey et al., 2011; Lui et al., 2009; Poppo and Zhou, 2014; Zhou and Poppo, 2010; Zhou and Xu, 2012)","previouslyFormattedCitation":"(Abdi and Aulakh, 2012; Cao and Lumineau, 2015; Carey &lt;i&gt;et al.&lt;/i&gt;, 2011; Lui &lt;i&gt;et al.&lt;/i&gt;, 2009; Poppo and Zhou, 2014; Zhou and Poppo, 2010; Zhou and Xu, 2012)"},"properties":{"noteIndex":0},"schema":"https://github.com/citation-style-language/schema/raw/master/csl-citation.json"}</w:instrText>
      </w:r>
      <w:r w:rsidR="0094294D" w:rsidRPr="001C45D7">
        <w:fldChar w:fldCharType="separate"/>
      </w:r>
      <w:r w:rsidR="00881C19" w:rsidRPr="001C45D7">
        <w:rPr>
          <w:noProof/>
        </w:rPr>
        <w:t>(</w:t>
      </w:r>
      <w:r w:rsidR="00876B75" w:rsidRPr="001C45D7">
        <w:rPr>
          <w:rFonts w:eastAsiaTheme="minorEastAsia" w:hint="eastAsia"/>
          <w:noProof/>
          <w:lang w:eastAsia="ko-KR"/>
        </w:rPr>
        <w:t xml:space="preserve">Lui </w:t>
      </w:r>
      <w:r w:rsidR="00876B75" w:rsidRPr="001C45D7">
        <w:rPr>
          <w:rFonts w:eastAsiaTheme="minorEastAsia" w:hint="eastAsia"/>
          <w:i/>
          <w:noProof/>
          <w:lang w:eastAsia="ko-KR"/>
        </w:rPr>
        <w:t>et al.</w:t>
      </w:r>
      <w:r w:rsidR="00876B75" w:rsidRPr="001C45D7">
        <w:rPr>
          <w:rFonts w:eastAsiaTheme="minorEastAsia" w:hint="eastAsia"/>
          <w:noProof/>
          <w:lang w:eastAsia="ko-KR"/>
        </w:rPr>
        <w:t xml:space="preserve">, 2009; </w:t>
      </w:r>
      <w:r w:rsidR="00881C19" w:rsidRPr="001C45D7">
        <w:rPr>
          <w:noProof/>
        </w:rPr>
        <w:t>Zhou</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Poppo,</w:t>
      </w:r>
      <w:r w:rsidR="00FA6558" w:rsidRPr="001C45D7">
        <w:rPr>
          <w:noProof/>
        </w:rPr>
        <w:t xml:space="preserve"> </w:t>
      </w:r>
      <w:r w:rsidR="00881C19" w:rsidRPr="001C45D7">
        <w:rPr>
          <w:noProof/>
        </w:rPr>
        <w:t>2010;</w:t>
      </w:r>
      <w:r w:rsidR="00FA6558" w:rsidRPr="001C45D7">
        <w:rPr>
          <w:noProof/>
        </w:rPr>
        <w:t xml:space="preserve"> </w:t>
      </w:r>
      <w:r w:rsidR="00881C19" w:rsidRPr="001C45D7">
        <w:rPr>
          <w:noProof/>
        </w:rPr>
        <w:t>Carey</w:t>
      </w:r>
      <w:r w:rsidR="00662F37" w:rsidRPr="001C45D7">
        <w:rPr>
          <w:noProof/>
        </w:rPr>
        <w:t xml:space="preserve"> </w:t>
      </w:r>
      <w:r w:rsidR="00662F37" w:rsidRPr="001C45D7">
        <w:rPr>
          <w:i/>
          <w:noProof/>
        </w:rPr>
        <w:t>et al</w:t>
      </w:r>
      <w:r w:rsidR="00662F37" w:rsidRPr="001C45D7">
        <w:rPr>
          <w:noProof/>
        </w:rPr>
        <w:t>.</w:t>
      </w:r>
      <w:r w:rsidR="00881C19" w:rsidRPr="001C45D7">
        <w:rPr>
          <w:noProof/>
        </w:rPr>
        <w:t>,</w:t>
      </w:r>
      <w:r w:rsidR="00FA6558" w:rsidRPr="001C45D7">
        <w:rPr>
          <w:noProof/>
        </w:rPr>
        <w:t xml:space="preserve"> </w:t>
      </w:r>
      <w:r w:rsidR="00881C19" w:rsidRPr="001C45D7">
        <w:rPr>
          <w:noProof/>
        </w:rPr>
        <w:t>2011;</w:t>
      </w:r>
      <w:r w:rsidR="00FA6558" w:rsidRPr="001C45D7">
        <w:rPr>
          <w:noProof/>
        </w:rPr>
        <w:t xml:space="preserve"> </w:t>
      </w:r>
      <w:r w:rsidR="00881C19" w:rsidRPr="001C45D7">
        <w:rPr>
          <w:noProof/>
        </w:rPr>
        <w:t>Zhou</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Xu,</w:t>
      </w:r>
      <w:r w:rsidR="00FA6558" w:rsidRPr="001C45D7">
        <w:rPr>
          <w:noProof/>
        </w:rPr>
        <w:t xml:space="preserve"> </w:t>
      </w:r>
      <w:r w:rsidR="00881C19" w:rsidRPr="001C45D7">
        <w:rPr>
          <w:noProof/>
        </w:rPr>
        <w:t>2012;</w:t>
      </w:r>
      <w:r w:rsidR="00FA6558" w:rsidRPr="001C45D7">
        <w:rPr>
          <w:noProof/>
        </w:rPr>
        <w:t xml:space="preserve">  </w:t>
      </w:r>
      <w:r w:rsidR="00881C19" w:rsidRPr="001C45D7">
        <w:rPr>
          <w:noProof/>
        </w:rPr>
        <w:t>Cao</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Lumineau,</w:t>
      </w:r>
      <w:r w:rsidR="00FA6558" w:rsidRPr="001C45D7">
        <w:rPr>
          <w:noProof/>
        </w:rPr>
        <w:t xml:space="preserve"> </w:t>
      </w:r>
      <w:r w:rsidR="00881C19" w:rsidRPr="001C45D7">
        <w:rPr>
          <w:noProof/>
        </w:rPr>
        <w:t>2015)</w:t>
      </w:r>
      <w:r w:rsidR="0094294D" w:rsidRPr="001C45D7">
        <w:fldChar w:fldCharType="end"/>
      </w:r>
      <w:r w:rsidR="0094294D" w:rsidRPr="001C45D7">
        <w:t>,</w:t>
      </w:r>
      <w:r w:rsidR="00FA6558" w:rsidRPr="001C45D7">
        <w:t xml:space="preserve"> </w:t>
      </w:r>
      <w:r w:rsidR="0094294D" w:rsidRPr="001C45D7">
        <w:t>the</w:t>
      </w:r>
      <w:r w:rsidR="00FA6558" w:rsidRPr="001C45D7">
        <w:t xml:space="preserve"> </w:t>
      </w:r>
      <w:r w:rsidR="00DF551D" w:rsidRPr="001C45D7">
        <w:t>scale</w:t>
      </w:r>
      <w:r w:rsidR="00FA6558" w:rsidRPr="001C45D7">
        <w:t xml:space="preserve"> </w:t>
      </w:r>
      <w:r w:rsidR="0094294D" w:rsidRPr="001C45D7">
        <w:t>captured</w:t>
      </w:r>
      <w:r w:rsidR="00FA6558" w:rsidRPr="001C45D7">
        <w:t xml:space="preserve"> </w:t>
      </w:r>
      <w:r w:rsidR="0094294D" w:rsidRPr="001C45D7">
        <w:t>the</w:t>
      </w:r>
      <w:r w:rsidR="00FA6558" w:rsidRPr="001C45D7">
        <w:t xml:space="preserve"> </w:t>
      </w:r>
      <w:r w:rsidR="0094294D" w:rsidRPr="001C45D7">
        <w:t>extent</w:t>
      </w:r>
      <w:r w:rsidR="00FA6558" w:rsidRPr="001C45D7">
        <w:t xml:space="preserve"> </w:t>
      </w:r>
      <w:r w:rsidR="0094294D" w:rsidRPr="001C45D7">
        <w:t>of</w:t>
      </w:r>
      <w:r w:rsidR="00FA6558" w:rsidRPr="001C45D7">
        <w:t xml:space="preserve"> </w:t>
      </w:r>
      <w:r w:rsidR="0094294D" w:rsidRPr="001C45D7">
        <w:t>formal</w:t>
      </w:r>
      <w:r w:rsidR="00FA6558" w:rsidRPr="001C45D7">
        <w:t xml:space="preserve"> </w:t>
      </w:r>
      <w:r w:rsidR="0094294D" w:rsidRPr="001C45D7">
        <w:t>contract</w:t>
      </w:r>
      <w:r w:rsidR="00FA6558" w:rsidRPr="001C45D7">
        <w:t xml:space="preserve"> </w:t>
      </w:r>
      <w:r w:rsidR="0094294D" w:rsidRPr="001C45D7">
        <w:t>with</w:t>
      </w:r>
      <w:r w:rsidR="00FA6558" w:rsidRPr="001C45D7">
        <w:t xml:space="preserve"> </w:t>
      </w:r>
      <w:r w:rsidR="0094294D" w:rsidRPr="001C45D7">
        <w:t>a</w:t>
      </w:r>
      <w:r w:rsidR="00FA6558" w:rsidRPr="001C45D7">
        <w:t xml:space="preserve"> </w:t>
      </w:r>
      <w:r w:rsidR="0094294D" w:rsidRPr="001C45D7">
        <w:t>specific</w:t>
      </w:r>
      <w:r w:rsidR="00FA6558" w:rsidRPr="001C45D7">
        <w:t xml:space="preserve"> </w:t>
      </w:r>
      <w:r w:rsidR="0094294D" w:rsidRPr="001C45D7">
        <w:t>buyer</w:t>
      </w:r>
      <w:r w:rsidR="00FA6558" w:rsidRPr="001C45D7">
        <w:t xml:space="preserve"> </w:t>
      </w:r>
      <w:r w:rsidR="005C1E1B" w:rsidRPr="001C45D7">
        <w:t xml:space="preserve">perceived </w:t>
      </w:r>
      <w:r w:rsidR="0094294D" w:rsidRPr="001C45D7">
        <w:t>by</w:t>
      </w:r>
      <w:r w:rsidR="00FA6558" w:rsidRPr="001C45D7">
        <w:t xml:space="preserve"> </w:t>
      </w:r>
      <w:r w:rsidR="0094294D" w:rsidRPr="001C45D7">
        <w:t>the</w:t>
      </w:r>
      <w:r w:rsidR="00FA6558" w:rsidRPr="001C45D7">
        <w:t xml:space="preserve"> </w:t>
      </w:r>
      <w:r w:rsidR="0094294D" w:rsidRPr="001C45D7">
        <w:t>SME</w:t>
      </w:r>
      <w:r w:rsidR="00FA6558" w:rsidRPr="001C45D7">
        <w:t xml:space="preserve"> </w:t>
      </w:r>
      <w:r w:rsidR="0094294D" w:rsidRPr="001C45D7">
        <w:t>supplier</w:t>
      </w:r>
      <w:r w:rsidR="00FA6558" w:rsidRPr="001C45D7">
        <w:t xml:space="preserve"> </w:t>
      </w:r>
      <w:r w:rsidR="0094294D" w:rsidRPr="001C45D7">
        <w:t>in</w:t>
      </w:r>
      <w:r w:rsidR="00FA6558" w:rsidRPr="001C45D7">
        <w:t xml:space="preserve"> </w:t>
      </w:r>
      <w:r w:rsidR="0094294D" w:rsidRPr="001C45D7">
        <w:t>terms</w:t>
      </w:r>
      <w:r w:rsidR="00FA6558" w:rsidRPr="001C45D7">
        <w:t xml:space="preserve"> </w:t>
      </w:r>
      <w:r w:rsidR="0094294D" w:rsidRPr="001C45D7">
        <w:t>of</w:t>
      </w:r>
      <w:r w:rsidR="00FA6558" w:rsidRPr="001C45D7">
        <w:t xml:space="preserve"> </w:t>
      </w:r>
      <w:r w:rsidR="0094294D" w:rsidRPr="001C45D7">
        <w:t>details</w:t>
      </w:r>
      <w:r w:rsidR="00FA6558" w:rsidRPr="001C45D7">
        <w:t xml:space="preserve"> </w:t>
      </w:r>
      <w:r w:rsidR="0094294D" w:rsidRPr="001C45D7">
        <w:t>and</w:t>
      </w:r>
      <w:r w:rsidR="00FA6558" w:rsidRPr="001C45D7">
        <w:t xml:space="preserve"> </w:t>
      </w:r>
      <w:r w:rsidR="0094294D" w:rsidRPr="001C45D7">
        <w:t>specificity,</w:t>
      </w:r>
      <w:r w:rsidR="00FA6558" w:rsidRPr="001C45D7">
        <w:t xml:space="preserve"> </w:t>
      </w:r>
      <w:r w:rsidR="0094294D" w:rsidRPr="001C45D7">
        <w:t>roles,</w:t>
      </w:r>
      <w:r w:rsidR="00FA6558" w:rsidRPr="001C45D7">
        <w:t xml:space="preserve"> </w:t>
      </w:r>
      <w:r w:rsidR="007F40D7" w:rsidRPr="001C45D7">
        <w:rPr>
          <w:rFonts w:eastAsiaTheme="minorEastAsia"/>
          <w:lang w:eastAsia="ko-KR"/>
        </w:rPr>
        <w:t>and</w:t>
      </w:r>
      <w:r w:rsidR="00FA6558" w:rsidRPr="001C45D7">
        <w:rPr>
          <w:rFonts w:eastAsiaTheme="minorEastAsia"/>
          <w:lang w:eastAsia="ko-KR"/>
        </w:rPr>
        <w:t xml:space="preserve"> </w:t>
      </w:r>
      <w:r w:rsidR="0094294D" w:rsidRPr="001C45D7">
        <w:t>responsibilities</w:t>
      </w:r>
      <w:r w:rsidR="006E5079" w:rsidRPr="001C45D7">
        <w:t>.</w:t>
      </w:r>
      <w:r w:rsidR="00FA6558" w:rsidRPr="001C45D7">
        <w:t xml:space="preserve"> </w:t>
      </w:r>
      <w:r w:rsidR="00D86706" w:rsidRPr="001C45D7">
        <w:t>Second</w:t>
      </w:r>
      <w:r w:rsidR="002E00D8" w:rsidRPr="001C45D7">
        <w:t>,</w:t>
      </w:r>
      <w:r w:rsidR="00FA6558" w:rsidRPr="001C45D7">
        <w:t xml:space="preserve"> </w:t>
      </w:r>
      <w:r w:rsidR="0094294D" w:rsidRPr="004877E9">
        <w:t>the</w:t>
      </w:r>
      <w:r w:rsidR="00FA6558" w:rsidRPr="004877E9">
        <w:t xml:space="preserve"> </w:t>
      </w:r>
      <w:r w:rsidR="005C1E1B" w:rsidRPr="004877E9">
        <w:t xml:space="preserve">supplier-perceived level </w:t>
      </w:r>
      <w:r w:rsidR="0094294D" w:rsidRPr="004877E9">
        <w:t>of</w:t>
      </w:r>
      <w:r w:rsidR="00FA6558" w:rsidRPr="004877E9">
        <w:t xml:space="preserve"> </w:t>
      </w:r>
      <w:r w:rsidR="0094294D" w:rsidRPr="004877E9">
        <w:t>relational</w:t>
      </w:r>
      <w:r w:rsidR="00FA6558" w:rsidRPr="004877E9">
        <w:t xml:space="preserve"> </w:t>
      </w:r>
      <w:r w:rsidR="0094294D" w:rsidRPr="004877E9">
        <w:t>governance</w:t>
      </w:r>
      <w:r w:rsidR="00FA6558" w:rsidRPr="001C45D7">
        <w:t xml:space="preserve"> </w:t>
      </w:r>
      <w:r w:rsidR="002E00D8" w:rsidRPr="001C45D7">
        <w:t>was</w:t>
      </w:r>
      <w:r w:rsidR="00FA6558" w:rsidRPr="001C45D7">
        <w:t xml:space="preserve"> </w:t>
      </w:r>
      <w:r w:rsidR="002E00D8" w:rsidRPr="001C45D7">
        <w:t>measured</w:t>
      </w:r>
      <w:r w:rsidR="00FA6558" w:rsidRPr="001C45D7">
        <w:t xml:space="preserve"> </w:t>
      </w:r>
      <w:r w:rsidR="0094294D" w:rsidRPr="001C45D7">
        <w:t>using</w:t>
      </w:r>
      <w:r w:rsidR="00662F37" w:rsidRPr="001C45D7">
        <w:t xml:space="preserve"> a</w:t>
      </w:r>
      <w:r w:rsidR="00FA6558" w:rsidRPr="001C45D7">
        <w:t xml:space="preserve"> </w:t>
      </w:r>
      <w:r w:rsidR="00C17F6F" w:rsidRPr="001C45D7">
        <w:t>3-</w:t>
      </w:r>
      <w:r w:rsidR="0094294D" w:rsidRPr="001C45D7">
        <w:t>item</w:t>
      </w:r>
      <w:r w:rsidR="00FA6558" w:rsidRPr="001C45D7">
        <w:t xml:space="preserve"> </w:t>
      </w:r>
      <w:r w:rsidR="0094294D" w:rsidRPr="001C45D7">
        <w:t>scale</w:t>
      </w:r>
      <w:r w:rsidR="00FA6558" w:rsidRPr="001C45D7">
        <w:t xml:space="preserve"> </w:t>
      </w:r>
      <w:r w:rsidR="004E1AC7" w:rsidRPr="001C45D7">
        <w:t xml:space="preserve">taken </w:t>
      </w:r>
      <w:r w:rsidR="0094294D" w:rsidRPr="001C45D7">
        <w:t>from</w:t>
      </w:r>
      <w:r w:rsidR="00FA6558" w:rsidRPr="001C45D7">
        <w:t xml:space="preserve"> </w:t>
      </w:r>
      <w:r w:rsidR="0094294D" w:rsidRPr="001C45D7">
        <w:t>the</w:t>
      </w:r>
      <w:r w:rsidR="00FA6558" w:rsidRPr="001C45D7">
        <w:t xml:space="preserve"> </w:t>
      </w:r>
      <w:r w:rsidR="0094294D" w:rsidRPr="001C45D7">
        <w:t>existing</w:t>
      </w:r>
      <w:r w:rsidR="00FA6558" w:rsidRPr="001C45D7">
        <w:t xml:space="preserve"> </w:t>
      </w:r>
      <w:r w:rsidR="0094294D" w:rsidRPr="001C45D7">
        <w:t>literature</w:t>
      </w:r>
      <w:r w:rsidR="00FA6558" w:rsidRPr="001C45D7">
        <w:t xml:space="preserve"> </w:t>
      </w:r>
      <w:r w:rsidR="002E00D8" w:rsidRPr="001C45D7">
        <w:fldChar w:fldCharType="begin" w:fldLock="1"/>
      </w:r>
      <w:r w:rsidR="004A2B48" w:rsidRPr="001C45D7">
        <w:instrText>ADDIN CSL_CITATION {"citationItems":[{"id":"ITEM-1","itemData":{"DOI":"10.1002/smj.249","ISSN":"01432095","abstract":"Relational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Journal","id":"ITEM-1","issue":"8","issued":{"date-parts":[["2002","8"]]},"page":"707-725","title":"Do formal contracts and relational governance function as substitutes or complements?","type":"article-journal","volume":"23"},"uris":["http://www.mendeley.com/documents/?uuid=0f5b4bc5-de16-3976-800b-d5afcee477cc"]},{"id":"ITEM-2","itemData":{"DOI":"10.1177/0092070300282001","ISSN":"00920703","abstract":"The organization of interfirm exchanges has become of critical importance in today's business environment. Many scholars have criticized the inadequacies of legal contracts as mechanisms for governing exchange, especially in the face of uncertainty and dependence. Other scholars argue that it is not the contracts per se but the social contexts in which they are embedded that determine their effectiveness. This study investigates the performance implications of governance structures involving contractual agreements and relational social norms, individually and in combination (plural form) under varying conditions and forms of transactional uncertainty and relationship-specific adaptation. Hypotheses are developed and tested on a sample of 396 buyer-seller relationships. The results provide support for the plural form thesis - increasing the relational content of a governance structure containing contractual agreements enhances performance when transactional uncertainty is high, but not when it is low. Implications for theory and future research are discussed. Copyright © 2000 by Academy of Marketing Science.","author":[{"dropping-particle":"","family":"Cannon","given":"Joseph P.","non-dropping-particle":"","parse-names":false,"suffix":""},{"dropping-particle":"","family":"Achrol","given":"Ravi S.","non-dropping-particle":"","parse-names":false,"suffix":""},{"dropping-particle":"","family":"Gundlach","given":"Gregory T.","non-dropping-particle":"","parse-names":false,"suffix":""}],"container-title":"Journal of the Academy of Marketing Science","id":"ITEM-2","issue":"2","issued":{"date-parts":[["2000"]]},"page":"180-194","publisher":"Springer New York LLC","title":"Contracts, norms, and plural form governance","type":"article-journal","volume":"28"},"uris":["http://www.mendeley.com/documents/?uuid=1898179a-560e-3a04-a005-593c6a32fb8c"]},{"id":"ITEM-3","itemData":{"DOI":"10.1057/jibs.2012.7","ISSN":"00472506","abstract":"An ongoing debate in the interfirm exchange literature concerns whether economic and social governance mechanisms function as substitutes or complements. We advance a more nuanced approach to examining how detailed contracts and centralized control interact with relational governance differentially in curbing local supplier opportunism in emerging markets. We suggest that where legal institutions are weak, detailed contracts are ineffective in containing partner opportunism in contractually specified areas. Under such circumstances, relational governance provides a proxy for legal institutions to ensure contract execution. Meanwhile, relational governance serves as an alternative mechanism to centralized control for ensuring contingency adaptations. Based on a sample of 168 foreign buyer-local supplier exchanges in China, we find that relational governance complements detailed contracts but substitutes for centralized control in curtailing opportunism. Therefore foreign firms must be cautious in their combinative use of social and economic mechanisms in governing exchanges with local suppliers in emerging markets. © 2012 Academy of International Business All rights reserved.","author":[{"dropping-particle":"","family":"Zhou","given":"Kevin Zheng","non-dropping-particle":"","parse-names":false,"suffix":""},{"dropping-particle":"","family":"Xu","given":"Dean","non-dropping-particle":"","parse-names":false,"suffix":""}],"container-title":"Journal of International Business Studies","id":"ITEM-3","issue":"7","issued":{"date-parts":[["2012","9"]]},"page":"677-692","title":"How foreign firms curtail local supplier opportunism in China: Detailed contracts, centralized control, and relational governance","type":"article-journal","volume":"43"},"uris":["http://www.mendeley.com/documents/?uuid=cbd4d5ef-7bd5-3a3c-87f2-d89f6a9785ca"]}],"mendeley":{"formattedCitation":"(Cannon &lt;i&gt;et al.&lt;/i&gt;, 2000; Poppo and Zenger, 2002; Zhou and Xu, 2012)","manualFormatting":"(Cannon et al., 2000; Poppo and Zenger, 2002; Zhou and Xu, 2012)","plainTextFormattedCitation":"(Cannon et al., 2000; Poppo and Zenger, 2002; Zhou and Xu, 2012)","previouslyFormattedCitation":"(Cannon &lt;i&gt;et al.&lt;/i&gt;, 2000; Poppo and Zenger, 2002; Zhou and Xu, 2012)"},"properties":{"noteIndex":0},"schema":"https://github.com/citation-style-language/schema/raw/master/csl-citation.json"}</w:instrText>
      </w:r>
      <w:r w:rsidR="002E00D8" w:rsidRPr="001C45D7">
        <w:fldChar w:fldCharType="separate"/>
      </w:r>
      <w:r w:rsidR="00881C19" w:rsidRPr="001C45D7">
        <w:rPr>
          <w:noProof/>
        </w:rPr>
        <w:t>(Poppo</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Zenger,</w:t>
      </w:r>
      <w:r w:rsidR="00FA6558" w:rsidRPr="001C45D7">
        <w:rPr>
          <w:noProof/>
        </w:rPr>
        <w:t xml:space="preserve"> </w:t>
      </w:r>
      <w:r w:rsidR="00881C19" w:rsidRPr="001C45D7">
        <w:rPr>
          <w:noProof/>
        </w:rPr>
        <w:t>2002;</w:t>
      </w:r>
      <w:r w:rsidR="00FA6558" w:rsidRPr="001C45D7">
        <w:rPr>
          <w:noProof/>
        </w:rPr>
        <w:t xml:space="preserve"> </w:t>
      </w:r>
      <w:r w:rsidR="00881C19" w:rsidRPr="001C45D7">
        <w:rPr>
          <w:noProof/>
        </w:rPr>
        <w:t>Zhou</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Xu,</w:t>
      </w:r>
      <w:r w:rsidR="00FA6558" w:rsidRPr="001C45D7">
        <w:rPr>
          <w:noProof/>
        </w:rPr>
        <w:t xml:space="preserve"> </w:t>
      </w:r>
      <w:r w:rsidR="00881C19" w:rsidRPr="001C45D7">
        <w:rPr>
          <w:noProof/>
        </w:rPr>
        <w:t>2012)</w:t>
      </w:r>
      <w:r w:rsidR="002E00D8" w:rsidRPr="001C45D7">
        <w:fldChar w:fldCharType="end"/>
      </w:r>
      <w:r w:rsidR="0094294D" w:rsidRPr="001C45D7">
        <w:t>,</w:t>
      </w:r>
      <w:r w:rsidR="00FA6558" w:rsidRPr="001C45D7">
        <w:t xml:space="preserve"> </w:t>
      </w:r>
      <w:r w:rsidR="0094294D" w:rsidRPr="001C45D7">
        <w:t>focusing</w:t>
      </w:r>
      <w:r w:rsidR="00FA6558" w:rsidRPr="001C45D7">
        <w:t xml:space="preserve"> </w:t>
      </w:r>
      <w:r w:rsidR="0094294D" w:rsidRPr="001C45D7">
        <w:t>on</w:t>
      </w:r>
      <w:r w:rsidR="00FA6558" w:rsidRPr="001C45D7">
        <w:t xml:space="preserve"> </w:t>
      </w:r>
      <w:r w:rsidR="002E00D8" w:rsidRPr="001C45D7">
        <w:t>the</w:t>
      </w:r>
      <w:r w:rsidR="00FA6558" w:rsidRPr="001C45D7">
        <w:t xml:space="preserve"> </w:t>
      </w:r>
      <w:r w:rsidR="002E00D8" w:rsidRPr="001C45D7">
        <w:t>various</w:t>
      </w:r>
      <w:r w:rsidR="00FA6558" w:rsidRPr="001C45D7">
        <w:t xml:space="preserve"> </w:t>
      </w:r>
      <w:r w:rsidR="002E00D8" w:rsidRPr="001C45D7">
        <w:t>relational</w:t>
      </w:r>
      <w:r w:rsidR="00FA6558" w:rsidRPr="001C45D7">
        <w:t xml:space="preserve"> </w:t>
      </w:r>
      <w:r w:rsidR="002E00D8" w:rsidRPr="001C45D7">
        <w:t>output</w:t>
      </w:r>
      <w:r w:rsidR="00662F37" w:rsidRPr="001C45D7">
        <w:t>-</w:t>
      </w:r>
      <w:r w:rsidR="002E00D8" w:rsidRPr="001C45D7">
        <w:t>based</w:t>
      </w:r>
      <w:r w:rsidR="00FA6558" w:rsidRPr="001C45D7">
        <w:t xml:space="preserve"> </w:t>
      </w:r>
      <w:r w:rsidR="006741FA" w:rsidRPr="001C45D7">
        <w:t>mechanism</w:t>
      </w:r>
      <w:r w:rsidR="00662F37" w:rsidRPr="001C45D7">
        <w:t>s,</w:t>
      </w:r>
      <w:r w:rsidR="00FA6558" w:rsidRPr="001C45D7">
        <w:t xml:space="preserve"> </w:t>
      </w:r>
      <w:r w:rsidR="002E00D8" w:rsidRPr="001C45D7">
        <w:t>such</w:t>
      </w:r>
      <w:r w:rsidR="00FA6558" w:rsidRPr="001C45D7">
        <w:t xml:space="preserve"> </w:t>
      </w:r>
      <w:r w:rsidR="002E00D8" w:rsidRPr="001C45D7">
        <w:t>as</w:t>
      </w:r>
      <w:r w:rsidR="00FA6558" w:rsidRPr="001C45D7">
        <w:t xml:space="preserve"> </w:t>
      </w:r>
      <w:r w:rsidR="002E00D8" w:rsidRPr="001C45D7">
        <w:t>trust,</w:t>
      </w:r>
      <w:r w:rsidR="00FA6558" w:rsidRPr="001C45D7">
        <w:t xml:space="preserve"> </w:t>
      </w:r>
      <w:r w:rsidR="002E00D8" w:rsidRPr="001C45D7">
        <w:t>joint</w:t>
      </w:r>
      <w:r w:rsidR="00FA6558" w:rsidRPr="001C45D7">
        <w:t xml:space="preserve"> </w:t>
      </w:r>
      <w:r w:rsidR="002E00D8" w:rsidRPr="001C45D7">
        <w:t>decision</w:t>
      </w:r>
      <w:r w:rsidR="00101931" w:rsidRPr="001C45D7">
        <w:t>-</w:t>
      </w:r>
      <w:r w:rsidR="002E00D8" w:rsidRPr="001C45D7">
        <w:t>making</w:t>
      </w:r>
      <w:r w:rsidR="002E41C5">
        <w:t>,</w:t>
      </w:r>
      <w:r w:rsidR="00FA6558" w:rsidRPr="001C45D7">
        <w:t xml:space="preserve"> </w:t>
      </w:r>
      <w:r w:rsidR="002E00D8" w:rsidRPr="001C45D7">
        <w:t>and</w:t>
      </w:r>
      <w:r w:rsidR="00FA6558" w:rsidRPr="001C45D7">
        <w:t xml:space="preserve"> </w:t>
      </w:r>
      <w:r w:rsidR="002E00D8" w:rsidRPr="001C45D7">
        <w:t>conflict</w:t>
      </w:r>
      <w:r w:rsidR="00FA6558" w:rsidRPr="001C45D7">
        <w:t xml:space="preserve"> </w:t>
      </w:r>
      <w:r w:rsidR="006741FA" w:rsidRPr="001C45D7">
        <w:t>resolution</w:t>
      </w:r>
      <w:r w:rsidR="00FA6558" w:rsidRPr="001C45D7">
        <w:t xml:space="preserve"> </w:t>
      </w:r>
      <w:r w:rsidR="006741FA" w:rsidRPr="001C45D7">
        <w:t>routine</w:t>
      </w:r>
      <w:r w:rsidR="002E00D8" w:rsidRPr="001C45D7">
        <w:t>.</w:t>
      </w:r>
    </w:p>
    <w:p w14:paraId="6648397A" w14:textId="1088F8C3" w:rsidR="00F90BD0" w:rsidRPr="002E41C5" w:rsidRDefault="00F90BD0" w:rsidP="00D61D5C">
      <w:pPr>
        <w:widowControl/>
        <w:spacing w:line="360" w:lineRule="auto"/>
        <w:rPr>
          <w:color w:val="000000"/>
          <w:lang w:val="en-US" w:eastAsia="en-IE"/>
        </w:rPr>
      </w:pPr>
      <w:bookmarkStart w:id="24" w:name="_Hlk51309315"/>
    </w:p>
    <w:p w14:paraId="71BC1625" w14:textId="24818F9A" w:rsidR="00F90BD0" w:rsidRPr="001C45D7" w:rsidRDefault="00F90BD0" w:rsidP="00157836">
      <w:pPr>
        <w:pStyle w:val="Heading2"/>
      </w:pPr>
      <w:r w:rsidRPr="001C45D7">
        <w:lastRenderedPageBreak/>
        <w:t>Control</w:t>
      </w:r>
      <w:r w:rsidR="00FA6558" w:rsidRPr="001C45D7">
        <w:t xml:space="preserve"> </w:t>
      </w:r>
      <w:r w:rsidRPr="001C45D7">
        <w:t>variables</w:t>
      </w:r>
    </w:p>
    <w:p w14:paraId="4B1938CE" w14:textId="3B76F3FE" w:rsidR="0028314E" w:rsidRDefault="00F90BD0" w:rsidP="00566B02">
      <w:pPr>
        <w:pStyle w:val="BodyText"/>
        <w:rPr>
          <w:rFonts w:eastAsiaTheme="minorEastAsia"/>
          <w:lang w:eastAsia="ko-KR"/>
        </w:rPr>
      </w:pPr>
      <w:r w:rsidRPr="001C45D7">
        <w:t>Since</w:t>
      </w:r>
      <w:r w:rsidR="00FA6558" w:rsidRPr="001C45D7">
        <w:t xml:space="preserve"> </w:t>
      </w:r>
      <w:r w:rsidRPr="001C45D7">
        <w:t>other</w:t>
      </w:r>
      <w:r w:rsidR="00FA6558" w:rsidRPr="001C45D7">
        <w:t xml:space="preserve"> </w:t>
      </w:r>
      <w:r w:rsidRPr="001C45D7">
        <w:t>factors</w:t>
      </w:r>
      <w:r w:rsidR="00FA6558" w:rsidRPr="001C45D7">
        <w:t xml:space="preserve"> </w:t>
      </w:r>
      <w:r w:rsidRPr="001C45D7">
        <w:t>outside</w:t>
      </w:r>
      <w:r w:rsidR="00FA6558" w:rsidRPr="001C45D7">
        <w:t xml:space="preserve"> </w:t>
      </w:r>
      <w:r w:rsidRPr="001C45D7">
        <w:t>the</w:t>
      </w:r>
      <w:r w:rsidR="00FA6558" w:rsidRPr="001C45D7">
        <w:t xml:space="preserve"> </w:t>
      </w:r>
      <w:r w:rsidRPr="001C45D7">
        <w:t>research</w:t>
      </w:r>
      <w:r w:rsidR="00FA6558" w:rsidRPr="001C45D7">
        <w:t xml:space="preserve"> </w:t>
      </w:r>
      <w:r w:rsidRPr="001C45D7">
        <w:t>model</w:t>
      </w:r>
      <w:r w:rsidR="00FA6558" w:rsidRPr="001C45D7">
        <w:t xml:space="preserve"> </w:t>
      </w:r>
      <w:r w:rsidRPr="001C45D7">
        <w:t>of</w:t>
      </w:r>
      <w:r w:rsidR="00FA6558" w:rsidRPr="001C45D7">
        <w:t xml:space="preserve"> </w:t>
      </w:r>
      <w:r w:rsidRPr="001C45D7">
        <w:t>this</w:t>
      </w:r>
      <w:r w:rsidR="00FA6558" w:rsidRPr="001C45D7">
        <w:t xml:space="preserve"> </w:t>
      </w:r>
      <w:r w:rsidRPr="001C45D7">
        <w:t>study</w:t>
      </w:r>
      <w:r w:rsidR="00FA6558" w:rsidRPr="001C45D7">
        <w:t xml:space="preserve"> </w:t>
      </w:r>
      <w:r w:rsidRPr="001C45D7">
        <w:t>may</w:t>
      </w:r>
      <w:r w:rsidR="00FA6558" w:rsidRPr="001C45D7">
        <w:t xml:space="preserve"> </w:t>
      </w:r>
      <w:r w:rsidR="009844A0" w:rsidRPr="001C45D7">
        <w:t xml:space="preserve">have </w:t>
      </w:r>
      <w:r w:rsidRPr="001C45D7">
        <w:t>influence</w:t>
      </w:r>
      <w:r w:rsidR="009844A0" w:rsidRPr="001C45D7">
        <w:t>d</w:t>
      </w:r>
      <w:r w:rsidR="00FA6558" w:rsidRPr="001C45D7">
        <w:t xml:space="preserve"> </w:t>
      </w:r>
      <w:r w:rsidRPr="001C45D7">
        <w:t>dependent</w:t>
      </w:r>
      <w:r w:rsidR="00FA6558" w:rsidRPr="001C45D7">
        <w:t xml:space="preserve"> </w:t>
      </w:r>
      <w:r w:rsidRPr="001C45D7">
        <w:t>variables,</w:t>
      </w:r>
      <w:r w:rsidR="00FA6558" w:rsidRPr="001C45D7">
        <w:t xml:space="preserve"> </w:t>
      </w:r>
      <w:r w:rsidRPr="001C45D7">
        <w:t>several</w:t>
      </w:r>
      <w:r w:rsidR="00FA6558" w:rsidRPr="001C45D7">
        <w:t xml:space="preserve"> </w:t>
      </w:r>
      <w:r w:rsidRPr="001C45D7">
        <w:t>control</w:t>
      </w:r>
      <w:r w:rsidR="00FA6558" w:rsidRPr="001C45D7">
        <w:t xml:space="preserve"> </w:t>
      </w:r>
      <w:r w:rsidRPr="001C45D7">
        <w:t>variables</w:t>
      </w:r>
      <w:r w:rsidR="00FA6558" w:rsidRPr="001C45D7">
        <w:t xml:space="preserve"> </w:t>
      </w:r>
      <w:r w:rsidRPr="001C45D7">
        <w:t>were</w:t>
      </w:r>
      <w:r w:rsidR="00FA6558" w:rsidRPr="001C45D7">
        <w:t xml:space="preserve"> </w:t>
      </w:r>
      <w:r w:rsidRPr="001C45D7">
        <w:t>considered.</w:t>
      </w:r>
      <w:r w:rsidR="00FA6558" w:rsidRPr="001C45D7">
        <w:t xml:space="preserve"> </w:t>
      </w:r>
      <w:r w:rsidRPr="001C45D7">
        <w:t>First,</w:t>
      </w:r>
      <w:r w:rsidR="00FA6558" w:rsidRPr="001C45D7">
        <w:t xml:space="preserve"> </w:t>
      </w:r>
      <w:r w:rsidRPr="001C45D7">
        <w:t>industry</w:t>
      </w:r>
      <w:r w:rsidR="00FA6558" w:rsidRPr="001C45D7">
        <w:t xml:space="preserve"> </w:t>
      </w:r>
      <w:r w:rsidRPr="001C45D7">
        <w:t>dummy</w:t>
      </w:r>
      <w:r w:rsidR="00FA6558" w:rsidRPr="001C45D7">
        <w:t xml:space="preserve"> </w:t>
      </w:r>
      <w:r w:rsidRPr="001C45D7">
        <w:t>variables</w:t>
      </w:r>
      <w:r w:rsidR="00FA6558" w:rsidRPr="001C45D7">
        <w:t xml:space="preserve"> </w:t>
      </w:r>
      <w:r w:rsidR="0097524F" w:rsidRPr="001C45D7">
        <w:t>we</w:t>
      </w:r>
      <w:r w:rsidRPr="001C45D7">
        <w:t>re</w:t>
      </w:r>
      <w:r w:rsidR="00FA6558" w:rsidRPr="001C45D7">
        <w:t xml:space="preserve"> </w:t>
      </w:r>
      <w:r w:rsidRPr="001C45D7">
        <w:t>included</w:t>
      </w:r>
      <w:r w:rsidR="00FA6558" w:rsidRPr="001C45D7">
        <w:t xml:space="preserve"> </w:t>
      </w:r>
      <w:r w:rsidRPr="001C45D7">
        <w:t>to</w:t>
      </w:r>
      <w:r w:rsidR="00FA6558" w:rsidRPr="001C45D7">
        <w:t xml:space="preserve"> </w:t>
      </w:r>
      <w:r w:rsidRPr="001C45D7">
        <w:t>control</w:t>
      </w:r>
      <w:r w:rsidR="00FA6558" w:rsidRPr="001C45D7">
        <w:t xml:space="preserve"> </w:t>
      </w:r>
      <w:r w:rsidRPr="001C45D7">
        <w:t>for</w:t>
      </w:r>
      <w:r w:rsidR="00FA6558" w:rsidRPr="001C45D7">
        <w:t xml:space="preserve"> </w:t>
      </w:r>
      <w:r w:rsidRPr="001C45D7">
        <w:t>industry</w:t>
      </w:r>
      <w:r w:rsidR="00FA6558" w:rsidRPr="001C45D7">
        <w:t xml:space="preserve"> </w:t>
      </w:r>
      <w:r w:rsidRPr="001C45D7">
        <w:t>differences</w:t>
      </w:r>
      <w:r w:rsidR="008A3C73" w:rsidRPr="001C45D7">
        <w:t>,</w:t>
      </w:r>
      <w:r w:rsidR="00FA6558" w:rsidRPr="001C45D7">
        <w:t xml:space="preserve"> </w:t>
      </w:r>
      <w:r w:rsidR="008A3C73" w:rsidRPr="001C45D7">
        <w:t>since</w:t>
      </w:r>
      <w:r w:rsidR="00FA6558" w:rsidRPr="001C45D7">
        <w:t xml:space="preserve"> </w:t>
      </w:r>
      <w:r w:rsidR="008A3C73" w:rsidRPr="001C45D7">
        <w:t>significant</w:t>
      </w:r>
      <w:r w:rsidR="00FA6558" w:rsidRPr="001C45D7">
        <w:t xml:space="preserve"> </w:t>
      </w:r>
      <w:r w:rsidR="008A3C73" w:rsidRPr="001C45D7">
        <w:t>industry</w:t>
      </w:r>
      <w:r w:rsidR="00FA6558" w:rsidRPr="001C45D7">
        <w:t xml:space="preserve"> </w:t>
      </w:r>
      <w:r w:rsidR="008A3C73" w:rsidRPr="001C45D7">
        <w:t>variation</w:t>
      </w:r>
      <w:r w:rsidR="00FA6558" w:rsidRPr="001C45D7">
        <w:t xml:space="preserve"> </w:t>
      </w:r>
      <w:r w:rsidR="00632EC3" w:rsidRPr="001C45D7">
        <w:t xml:space="preserve">in </w:t>
      </w:r>
      <w:r w:rsidR="008A3C73" w:rsidRPr="001C45D7">
        <w:t>supply</w:t>
      </w:r>
      <w:r w:rsidR="00FA6558" w:rsidRPr="001C45D7">
        <w:t xml:space="preserve"> </w:t>
      </w:r>
      <w:r w:rsidR="008A3C73" w:rsidRPr="001C45D7">
        <w:t>chain</w:t>
      </w:r>
      <w:r w:rsidR="00FA6558" w:rsidRPr="001C45D7">
        <w:t xml:space="preserve"> </w:t>
      </w:r>
      <w:r w:rsidR="008A3C73" w:rsidRPr="001C45D7">
        <w:t>digitalisation</w:t>
      </w:r>
      <w:r w:rsidR="00FA6558" w:rsidRPr="001C45D7">
        <w:t xml:space="preserve"> </w:t>
      </w:r>
      <w:r w:rsidR="008A3C73" w:rsidRPr="001C45D7">
        <w:t>has</w:t>
      </w:r>
      <w:r w:rsidR="00FA6558" w:rsidRPr="001C45D7">
        <w:t xml:space="preserve"> </w:t>
      </w:r>
      <w:r w:rsidR="008A3C73" w:rsidRPr="001C45D7">
        <w:t>been</w:t>
      </w:r>
      <w:r w:rsidR="00FA6558" w:rsidRPr="001C45D7">
        <w:t xml:space="preserve"> </w:t>
      </w:r>
      <w:r w:rsidR="008A3C73" w:rsidRPr="001C45D7">
        <w:t>reported</w:t>
      </w:r>
      <w:r w:rsidR="00FA6558" w:rsidRPr="001C45D7">
        <w:t xml:space="preserve"> </w:t>
      </w:r>
      <w:r w:rsidR="008A3C73" w:rsidRPr="001C45D7">
        <w:fldChar w:fldCharType="begin" w:fldLock="1"/>
      </w:r>
      <w:r w:rsidR="00881C19" w:rsidRPr="001C45D7">
        <w:instrText>ADDIN CSL_CITATION {"citationItems":[{"id":"ITEM-1","itemData":{"DOI":"10.1016/j.ijpe.2018.08.019","ISSN":"09255273","abstract":"Industry 4.0 is considered a new industrial stage in which vertical and horizontal manufacturing processes integration and product connectivity can help companies to achieve higher industrial performance. However, little is known about how industries see the potential contribution of the Industry 4.0 related technologies for industrial performance, especially in emerging countries. Based on the use of secondary data from a large-scale survey of 27 industrial sectors representing 2225 companies of the Brazilian industry, we studied how the adoption of different Industry 4.0 technologies is associated with expected benefits for product, operations and side-effects aspects. Using regression analysis, we show that some of the Industry 4.0 technologies are seen as promising for industrial performance while some of the emerging technologies are not, which contraries the conventional wisdom. We discuss the contextual conditions of the Brazilian industry that may require a partial implementation of the Industry 4.0 concepts created in developed countries. We summarize our findings in a framework, that shows the perception of Brazilian industries of Industry 4.0 technologies and their relations with the expected benefits. Thus, this work contributes by discussing the real expectations on the future performance of the industry when implementing new technologies, providing a background to advance in the research on real benefits of the Industry 4.0.","author":[{"dropping-particle":"","family":"Dalenogare","given":"Lucas Santos","non-dropping-particle":"","parse-names":false,"suffix":""},{"dropping-particle":"","family":"Benitez","given":"Guilherme Brittes","non-dropping-particle":"","parse-names":false,"suffix":""},{"dropping-particle":"","family":"Ayala","given":"Néstor Fabián","non-dropping-particle":"","parse-names":false,"suffix":""},{"dropping-particle":"","family":"Frank","given":"Alejandro Germán","non-dropping-particle":"","parse-names":false,"suffix":""}],"container-title":"International Journal of Production Economics","id":"ITEM-1","issued":{"date-parts":[["2018","10","1"]]},"page":"383-394","publisher":"Elsevier B.V.","title":"The expected contribution of Industry 4.0 technologies for industrial performance","type":"article-journal","volume":"204"},"uris":["http://www.mendeley.com/documents/?uuid=9258f846-1263-32a7-a4ee-f3bff9c28f15"]}],"mendeley":{"formattedCitation":"(Dalenogare &lt;i&gt;et al.&lt;/i&gt;, 2018)","plainTextFormattedCitation":"(Dalenogare et al., 2018)","previouslyFormattedCitation":"(Dalenogare &lt;i&gt;et al.&lt;/i&gt;, 2018)"},"properties":{"noteIndex":0},"schema":"https://github.com/citation-style-language/schema/raw/master/csl-citation.json"}</w:instrText>
      </w:r>
      <w:r w:rsidR="008A3C73" w:rsidRPr="001C45D7">
        <w:fldChar w:fldCharType="separate"/>
      </w:r>
      <w:r w:rsidR="00881C19" w:rsidRPr="001C45D7">
        <w:rPr>
          <w:noProof/>
        </w:rPr>
        <w:t>(Dalenogare</w:t>
      </w:r>
      <w:r w:rsidR="00FA6558" w:rsidRPr="001C45D7">
        <w:rPr>
          <w:noProof/>
        </w:rPr>
        <w:t xml:space="preserve"> </w:t>
      </w:r>
      <w:r w:rsidR="00881C19" w:rsidRPr="001C45D7">
        <w:rPr>
          <w:i/>
          <w:noProof/>
        </w:rPr>
        <w:t>et</w:t>
      </w:r>
      <w:r w:rsidR="00FA6558" w:rsidRPr="001C45D7">
        <w:rPr>
          <w:i/>
          <w:noProof/>
        </w:rPr>
        <w:t xml:space="preserve"> </w:t>
      </w:r>
      <w:r w:rsidR="00881C19" w:rsidRPr="001C45D7">
        <w:rPr>
          <w:i/>
          <w:noProof/>
        </w:rPr>
        <w:t>al.</w:t>
      </w:r>
      <w:r w:rsidR="00881C19" w:rsidRPr="001C45D7">
        <w:rPr>
          <w:noProof/>
        </w:rPr>
        <w:t>,</w:t>
      </w:r>
      <w:r w:rsidR="00FA6558" w:rsidRPr="001C45D7">
        <w:rPr>
          <w:noProof/>
        </w:rPr>
        <w:t xml:space="preserve"> </w:t>
      </w:r>
      <w:r w:rsidR="00881C19" w:rsidRPr="001C45D7">
        <w:rPr>
          <w:noProof/>
        </w:rPr>
        <w:t>2018)</w:t>
      </w:r>
      <w:r w:rsidR="008A3C73" w:rsidRPr="001C45D7">
        <w:fldChar w:fldCharType="end"/>
      </w:r>
      <w:r w:rsidRPr="001C45D7">
        <w:t>.</w:t>
      </w:r>
      <w:r w:rsidR="00FA6558" w:rsidRPr="001C45D7">
        <w:t xml:space="preserve"> </w:t>
      </w:r>
      <w:r w:rsidR="00A27DDE" w:rsidRPr="001C45D7">
        <w:t>E</w:t>
      </w:r>
      <w:r w:rsidRPr="001C45D7">
        <w:t>nvironmental</w:t>
      </w:r>
      <w:r w:rsidR="00FA6558" w:rsidRPr="001C45D7">
        <w:t xml:space="preserve"> </w:t>
      </w:r>
      <w:r w:rsidRPr="001C45D7">
        <w:t>uncertainty</w:t>
      </w:r>
      <w:r w:rsidR="00FA6558" w:rsidRPr="001C45D7">
        <w:t xml:space="preserve"> </w:t>
      </w:r>
      <w:r w:rsidRPr="001C45D7">
        <w:t>often</w:t>
      </w:r>
      <w:r w:rsidR="00FA6558" w:rsidRPr="001C45D7">
        <w:t xml:space="preserve"> </w:t>
      </w:r>
      <w:r w:rsidRPr="001C45D7">
        <w:t>significantly</w:t>
      </w:r>
      <w:r w:rsidR="00FA6558" w:rsidRPr="001C45D7">
        <w:t xml:space="preserve"> </w:t>
      </w:r>
      <w:r w:rsidRPr="001C45D7">
        <w:t>influences</w:t>
      </w:r>
      <w:r w:rsidR="00FA6558" w:rsidRPr="001C45D7">
        <w:t xml:space="preserve"> </w:t>
      </w:r>
      <w:r w:rsidRPr="001C45D7">
        <w:t>transaction</w:t>
      </w:r>
      <w:r w:rsidR="00FA6558" w:rsidRPr="001C45D7">
        <w:t xml:space="preserve"> </w:t>
      </w:r>
      <w:r w:rsidRPr="001C45D7">
        <w:t>relationships</w:t>
      </w:r>
      <w:r w:rsidR="0097524F" w:rsidRPr="001C45D7">
        <w:t>,</w:t>
      </w:r>
      <w:r w:rsidR="00FA6558" w:rsidRPr="001C45D7">
        <w:t xml:space="preserve"> </w:t>
      </w:r>
      <w:r w:rsidR="008A3C73" w:rsidRPr="001C45D7">
        <w:t>including</w:t>
      </w:r>
      <w:r w:rsidR="00FA6558" w:rsidRPr="001C45D7">
        <w:t xml:space="preserve"> </w:t>
      </w:r>
      <w:r w:rsidR="008A3C73" w:rsidRPr="001C45D7">
        <w:t>partner</w:t>
      </w:r>
      <w:r w:rsidR="00FA6558" w:rsidRPr="001C45D7">
        <w:t xml:space="preserve"> </w:t>
      </w:r>
      <w:r w:rsidR="008A3C73" w:rsidRPr="001C45D7">
        <w:t>opportunism</w:t>
      </w:r>
      <w:r w:rsidR="00FA6558" w:rsidRPr="001C45D7">
        <w:t xml:space="preserve"> </w:t>
      </w:r>
      <w:r w:rsidR="008A3C73" w:rsidRPr="001C45D7">
        <w:fldChar w:fldCharType="begin" w:fldLock="1"/>
      </w:r>
      <w:r w:rsidR="00881C19" w:rsidRPr="001C45D7">
        <w:instrText>ADDIN CSL_CITATION {"citationItems":[{"id":"ITEM-1","itemData":{"DOI":"10.1287/orsc.14.1.45.12811","abstract":"Please scroll down for article-it is on subsequent pages With 12,500 members from nearly 90 countries, INFORMS is the largest international association of operations research (O.R.) and analytics professionals and students. INFORMS provides unique networking and learning opportunities for individual professionals, and organizations of all types and sizes, to better understand and use O.R. and analytics tools and methods to transform strategic visions and achieve better outcomes. For more information on INFORMS, its publications, membership, or meetings visit","author":[{"dropping-particle":"","family":"Carson","given":"Stephen J","non-dropping-particle":"","parse-names":false,"suffix":""},{"dropping-particle":"","family":"Madhok","given":"Anoop","non-dropping-particle":"","parse-names":false,"suffix":""},{"dropping-particle":"","family":"Varman","given":"Rohit","non-dropping-particle":"","parse-names":false,"suffix":""},{"dropping-particle":"","family":"John","given":"George","non-dropping-particle":"","parse-names":false,"suffix":""}],"container-title":"Organization Science","id":"ITEM-1","issue":"1","issued":{"date-parts":[["2003"]]},"page":"45-56","publisher":"Institute for Operations Research and Management Sciences","title":"Information Processing Moderators of the Effectiveness of Trust-Based Governance in Interfirm R&amp;D Collaboration","type":"article-journal","volume":"14"},"uris":["http://www.mendeley.com/documents/?uuid=efde160d-84a5-35b4-bc5a-b0f0408808f5"]}],"mendeley":{"formattedCitation":"(Carson &lt;i&gt;et al.&lt;/i&gt;, 2003)","plainTextFormattedCitation":"(Carson et al., 2003)","previouslyFormattedCitation":"(Carson &lt;i&gt;et al.&lt;/i&gt;, 2003)"},"properties":{"noteIndex":0},"schema":"https://github.com/citation-style-language/schema/raw/master/csl-citation.json"}</w:instrText>
      </w:r>
      <w:r w:rsidR="008A3C73" w:rsidRPr="001C45D7">
        <w:fldChar w:fldCharType="separate"/>
      </w:r>
      <w:r w:rsidR="00881C19" w:rsidRPr="001C45D7">
        <w:rPr>
          <w:noProof/>
        </w:rPr>
        <w:t>(Carson</w:t>
      </w:r>
      <w:r w:rsidR="00FA6558" w:rsidRPr="001C45D7">
        <w:rPr>
          <w:noProof/>
        </w:rPr>
        <w:t xml:space="preserve"> </w:t>
      </w:r>
      <w:r w:rsidR="00881C19" w:rsidRPr="001C45D7">
        <w:rPr>
          <w:i/>
          <w:noProof/>
        </w:rPr>
        <w:t>et</w:t>
      </w:r>
      <w:r w:rsidR="00FA6558" w:rsidRPr="001C45D7">
        <w:rPr>
          <w:i/>
          <w:noProof/>
        </w:rPr>
        <w:t xml:space="preserve"> </w:t>
      </w:r>
      <w:r w:rsidR="00881C19" w:rsidRPr="001C45D7">
        <w:rPr>
          <w:i/>
          <w:noProof/>
        </w:rPr>
        <w:t>al.</w:t>
      </w:r>
      <w:r w:rsidR="00881C19" w:rsidRPr="001C45D7">
        <w:rPr>
          <w:noProof/>
        </w:rPr>
        <w:t>,</w:t>
      </w:r>
      <w:r w:rsidR="00FA6558" w:rsidRPr="001C45D7">
        <w:rPr>
          <w:noProof/>
        </w:rPr>
        <w:t xml:space="preserve"> </w:t>
      </w:r>
      <w:r w:rsidR="00881C19" w:rsidRPr="001C45D7">
        <w:rPr>
          <w:noProof/>
        </w:rPr>
        <w:t>2003)</w:t>
      </w:r>
      <w:r w:rsidR="008A3C73" w:rsidRPr="001C45D7">
        <w:fldChar w:fldCharType="end"/>
      </w:r>
      <w:r w:rsidR="00A27DDE" w:rsidRPr="001C45D7">
        <w:t>. Therefore,</w:t>
      </w:r>
      <w:r w:rsidR="00FA6558" w:rsidRPr="001C45D7">
        <w:t xml:space="preserve"> </w:t>
      </w:r>
      <w:r w:rsidRPr="001C45D7">
        <w:t>demand</w:t>
      </w:r>
      <w:r w:rsidR="00FA6558" w:rsidRPr="001C45D7">
        <w:t xml:space="preserve"> </w:t>
      </w:r>
      <w:r w:rsidRPr="001C45D7">
        <w:t>uncertainty</w:t>
      </w:r>
      <w:r w:rsidR="00FA6558" w:rsidRPr="001C45D7">
        <w:t xml:space="preserve"> </w:t>
      </w:r>
      <w:r w:rsidRPr="001C45D7">
        <w:t>and</w:t>
      </w:r>
      <w:r w:rsidR="00FA6558" w:rsidRPr="001C45D7">
        <w:t xml:space="preserve"> </w:t>
      </w:r>
      <w:r w:rsidRPr="001C45D7">
        <w:t>technology</w:t>
      </w:r>
      <w:r w:rsidR="00FA6558" w:rsidRPr="001C45D7">
        <w:t xml:space="preserve"> </w:t>
      </w:r>
      <w:r w:rsidRPr="001C45D7">
        <w:t>uncertainty</w:t>
      </w:r>
      <w:r w:rsidR="00FA6558" w:rsidRPr="001C45D7">
        <w:t xml:space="preserve"> </w:t>
      </w:r>
      <w:r w:rsidR="008A3C73" w:rsidRPr="001C45D7">
        <w:t>were</w:t>
      </w:r>
      <w:r w:rsidR="000515AB" w:rsidRPr="001C45D7">
        <w:t xml:space="preserve"> used</w:t>
      </w:r>
      <w:r w:rsidR="00FA6558" w:rsidRPr="001C45D7">
        <w:t xml:space="preserve"> </w:t>
      </w:r>
      <w:r w:rsidR="008A3C73" w:rsidRPr="001C45D7">
        <w:t>as</w:t>
      </w:r>
      <w:r w:rsidR="00FA6558" w:rsidRPr="001C45D7">
        <w:t xml:space="preserve"> </w:t>
      </w:r>
      <w:r w:rsidR="008A3C73" w:rsidRPr="001C45D7">
        <w:t>control</w:t>
      </w:r>
      <w:r w:rsidR="00FA6558" w:rsidRPr="001C45D7">
        <w:t xml:space="preserve"> </w:t>
      </w:r>
      <w:r w:rsidR="008A3C73" w:rsidRPr="001C45D7">
        <w:t>variables</w:t>
      </w:r>
      <w:r w:rsidRPr="001C45D7">
        <w:t>.</w:t>
      </w:r>
      <w:r w:rsidR="00FA6558" w:rsidRPr="001C45D7">
        <w:t xml:space="preserve"> </w:t>
      </w:r>
      <w:r w:rsidR="00A61E3E">
        <w:t>L</w:t>
      </w:r>
      <w:r w:rsidRPr="001C45D7">
        <w:t>arge</w:t>
      </w:r>
      <w:r w:rsidR="00FA6558" w:rsidRPr="001C45D7">
        <w:t xml:space="preserve"> </w:t>
      </w:r>
      <w:r w:rsidRPr="001C45D7">
        <w:t>suppliers</w:t>
      </w:r>
      <w:r w:rsidR="00FA6558" w:rsidRPr="001C45D7">
        <w:t xml:space="preserve"> </w:t>
      </w:r>
      <w:r w:rsidRPr="001C45D7">
        <w:t>are</w:t>
      </w:r>
      <w:r w:rsidR="00FA6558" w:rsidRPr="001C45D7">
        <w:t xml:space="preserve"> </w:t>
      </w:r>
      <w:r w:rsidRPr="001C45D7">
        <w:t>likely</w:t>
      </w:r>
      <w:r w:rsidR="00FA6558" w:rsidRPr="001C45D7">
        <w:t xml:space="preserve"> </w:t>
      </w:r>
      <w:r w:rsidRPr="001C45D7">
        <w:t>to</w:t>
      </w:r>
      <w:r w:rsidR="00FA6558" w:rsidRPr="001C45D7">
        <w:t xml:space="preserve"> </w:t>
      </w:r>
      <w:r w:rsidRPr="001C45D7">
        <w:t>invest</w:t>
      </w:r>
      <w:r w:rsidR="00FA6558" w:rsidRPr="001C45D7">
        <w:t xml:space="preserve"> </w:t>
      </w:r>
      <w:r w:rsidRPr="001C45D7">
        <w:t>actively</w:t>
      </w:r>
      <w:r w:rsidR="00FA6558" w:rsidRPr="001C45D7">
        <w:t xml:space="preserve"> </w:t>
      </w:r>
      <w:r w:rsidRPr="001C45D7">
        <w:t>in</w:t>
      </w:r>
      <w:r w:rsidR="00FA6558" w:rsidRPr="001C45D7">
        <w:t xml:space="preserve"> </w:t>
      </w:r>
      <w:r w:rsidR="00A27DDE" w:rsidRPr="001C45D7">
        <w:t>supply chain digitalisation</w:t>
      </w:r>
      <w:r w:rsidR="000515AB" w:rsidRPr="001C45D7">
        <w:t>,</w:t>
      </w:r>
      <w:r w:rsidR="00FA6558" w:rsidRPr="001C45D7">
        <w:t xml:space="preserve"> </w:t>
      </w:r>
      <w:r w:rsidRPr="001C45D7">
        <w:t>as</w:t>
      </w:r>
      <w:r w:rsidR="00FA6558" w:rsidRPr="001C45D7">
        <w:t xml:space="preserve"> </w:t>
      </w:r>
      <w:r w:rsidRPr="001C45D7">
        <w:t>they</w:t>
      </w:r>
      <w:r w:rsidR="00FA6558" w:rsidRPr="001C45D7">
        <w:t xml:space="preserve"> </w:t>
      </w:r>
      <w:r w:rsidRPr="001C45D7">
        <w:t>have</w:t>
      </w:r>
      <w:r w:rsidR="00FA6558" w:rsidRPr="001C45D7">
        <w:t xml:space="preserve"> </w:t>
      </w:r>
      <w:r w:rsidRPr="001C45D7">
        <w:t>sufficient</w:t>
      </w:r>
      <w:r w:rsidR="00FA6558" w:rsidRPr="001C45D7">
        <w:t xml:space="preserve"> </w:t>
      </w:r>
      <w:r w:rsidRPr="001C45D7">
        <w:t>resources</w:t>
      </w:r>
      <w:r w:rsidR="00FA6558" w:rsidRPr="001C45D7">
        <w:t xml:space="preserve"> </w:t>
      </w:r>
      <w:r w:rsidRPr="001C45D7">
        <w:t>and</w:t>
      </w:r>
      <w:r w:rsidR="00FA6558" w:rsidRPr="001C45D7">
        <w:t xml:space="preserve"> </w:t>
      </w:r>
      <w:r w:rsidRPr="001C45D7">
        <w:t>capacity,</w:t>
      </w:r>
      <w:r w:rsidR="00FA6558" w:rsidRPr="001C45D7">
        <w:t xml:space="preserve"> </w:t>
      </w:r>
      <w:r w:rsidR="00F80BFA" w:rsidRPr="001C45D7">
        <w:t xml:space="preserve">and this </w:t>
      </w:r>
      <w:r w:rsidR="0097524F" w:rsidRPr="001C45D7">
        <w:t xml:space="preserve">can </w:t>
      </w:r>
      <w:r w:rsidRPr="001C45D7">
        <w:t>in</w:t>
      </w:r>
      <w:r w:rsidR="00FA6558" w:rsidRPr="001C45D7">
        <w:t xml:space="preserve"> </w:t>
      </w:r>
      <w:r w:rsidRPr="001C45D7">
        <w:t>turn</w:t>
      </w:r>
      <w:r w:rsidR="00FA6558" w:rsidRPr="001C45D7">
        <w:t xml:space="preserve"> </w:t>
      </w:r>
      <w:r w:rsidRPr="001C45D7">
        <w:t>lead</w:t>
      </w:r>
      <w:r w:rsidR="00FA6558" w:rsidRPr="001C45D7">
        <w:t xml:space="preserve"> </w:t>
      </w:r>
      <w:r w:rsidRPr="001C45D7">
        <w:t>to</w:t>
      </w:r>
      <w:r w:rsidR="00FA6558" w:rsidRPr="001C45D7">
        <w:t xml:space="preserve"> </w:t>
      </w:r>
      <w:r w:rsidRPr="001C45D7">
        <w:t>superior</w:t>
      </w:r>
      <w:r w:rsidR="00FA6558" w:rsidRPr="001C45D7">
        <w:t xml:space="preserve"> </w:t>
      </w:r>
      <w:r w:rsidRPr="001C45D7">
        <w:t>performance</w:t>
      </w:r>
      <w:r w:rsidR="00FA6558" w:rsidRPr="001C45D7">
        <w:t xml:space="preserve"> </w:t>
      </w:r>
      <w:r w:rsidRPr="001C45D7">
        <w:t>outcomes</w:t>
      </w:r>
      <w:r w:rsidR="00CE6E15" w:rsidRPr="001C45D7">
        <w:rPr>
          <w:rFonts w:eastAsiaTheme="minorEastAsia" w:hint="eastAsia"/>
          <w:lang w:eastAsia="ko-KR"/>
        </w:rPr>
        <w:t xml:space="preserve"> (</w:t>
      </w:r>
      <w:proofErr w:type="spellStart"/>
      <w:r w:rsidR="00CE6E15" w:rsidRPr="001C45D7">
        <w:rPr>
          <w:rFonts w:eastAsiaTheme="minorEastAsia" w:hint="eastAsia"/>
          <w:lang w:eastAsia="ko-KR"/>
        </w:rPr>
        <w:t>Yli-Renko</w:t>
      </w:r>
      <w:proofErr w:type="spellEnd"/>
      <w:r w:rsidR="00CE6E15" w:rsidRPr="001C45D7">
        <w:rPr>
          <w:rFonts w:eastAsiaTheme="minorEastAsia" w:hint="eastAsia"/>
          <w:lang w:eastAsia="ko-KR"/>
        </w:rPr>
        <w:t xml:space="preserve"> </w:t>
      </w:r>
      <w:r w:rsidR="00CE6E15" w:rsidRPr="001C45D7">
        <w:rPr>
          <w:rFonts w:eastAsiaTheme="minorEastAsia" w:hint="eastAsia"/>
          <w:i/>
          <w:lang w:eastAsia="ko-KR"/>
        </w:rPr>
        <w:t>et al.</w:t>
      </w:r>
      <w:r w:rsidR="00CE6E15" w:rsidRPr="001C45D7">
        <w:rPr>
          <w:rFonts w:eastAsiaTheme="minorEastAsia" w:hint="eastAsia"/>
          <w:lang w:eastAsia="ko-KR"/>
        </w:rPr>
        <w:t xml:space="preserve">, 2001; Carey </w:t>
      </w:r>
      <w:r w:rsidR="00CE6E15" w:rsidRPr="001C45D7">
        <w:rPr>
          <w:rFonts w:eastAsiaTheme="minorEastAsia" w:hint="eastAsia"/>
          <w:i/>
          <w:lang w:eastAsia="ko-KR"/>
        </w:rPr>
        <w:t>et al.</w:t>
      </w:r>
      <w:r w:rsidR="00CE6E15" w:rsidRPr="001C45D7">
        <w:rPr>
          <w:rFonts w:eastAsiaTheme="minorEastAsia" w:hint="eastAsia"/>
          <w:lang w:eastAsia="ko-KR"/>
        </w:rPr>
        <w:t>, 2011)</w:t>
      </w:r>
      <w:r w:rsidR="00212BFB" w:rsidRPr="001C45D7">
        <w:t>.</w:t>
      </w:r>
      <w:r w:rsidR="00FA6558" w:rsidRPr="001C45D7">
        <w:t xml:space="preserve"> </w:t>
      </w:r>
      <w:r w:rsidR="00A27DDE" w:rsidRPr="001C45D7">
        <w:t>For this reason, w</w:t>
      </w:r>
      <w:r w:rsidR="0028314E" w:rsidRPr="001C45D7">
        <w:t>e</w:t>
      </w:r>
      <w:r w:rsidR="00FA6558" w:rsidRPr="001C45D7">
        <w:t xml:space="preserve"> </w:t>
      </w:r>
      <w:r w:rsidR="0028314E" w:rsidRPr="001C45D7">
        <w:t>added</w:t>
      </w:r>
      <w:r w:rsidR="00FA6558" w:rsidRPr="001C45D7">
        <w:t xml:space="preserve"> </w:t>
      </w:r>
      <w:r w:rsidR="0028314E" w:rsidRPr="001C45D7">
        <w:t>a</w:t>
      </w:r>
      <w:r w:rsidR="00FA6558" w:rsidRPr="001C45D7">
        <w:t xml:space="preserve"> </w:t>
      </w:r>
      <w:r w:rsidR="0028314E" w:rsidRPr="001C45D7">
        <w:t>control</w:t>
      </w:r>
      <w:r w:rsidR="00FA6558" w:rsidRPr="001C45D7">
        <w:t xml:space="preserve"> </w:t>
      </w:r>
      <w:r w:rsidR="0028314E" w:rsidRPr="001C45D7">
        <w:t>variable</w:t>
      </w:r>
      <w:r w:rsidR="00FA6558" w:rsidRPr="001C45D7">
        <w:t xml:space="preserve"> </w:t>
      </w:r>
      <w:r w:rsidR="0028314E" w:rsidRPr="001C45D7">
        <w:t>of</w:t>
      </w:r>
      <w:r w:rsidR="00FA6558" w:rsidRPr="001C45D7">
        <w:t xml:space="preserve"> </w:t>
      </w:r>
      <w:r w:rsidR="0028314E" w:rsidRPr="001C45D7">
        <w:t>the</w:t>
      </w:r>
      <w:r w:rsidR="00FA6558" w:rsidRPr="001C45D7">
        <w:t xml:space="preserve"> </w:t>
      </w:r>
      <w:r w:rsidR="0028314E" w:rsidRPr="001C45D7">
        <w:t>firm</w:t>
      </w:r>
      <w:r w:rsidR="00FA6558" w:rsidRPr="001C45D7">
        <w:t xml:space="preserve"> </w:t>
      </w:r>
      <w:r w:rsidR="0028314E" w:rsidRPr="001C45D7">
        <w:t>size</w:t>
      </w:r>
      <w:r w:rsidR="00FA6558" w:rsidRPr="001C45D7">
        <w:t xml:space="preserve"> </w:t>
      </w:r>
      <w:r w:rsidR="00A27DDE" w:rsidRPr="001C45D7">
        <w:t>(revenue)</w:t>
      </w:r>
      <w:r w:rsidR="0028314E" w:rsidRPr="001C45D7">
        <w:t>.</w:t>
      </w:r>
      <w:r w:rsidR="00FA6558" w:rsidRPr="001C45D7">
        <w:t xml:space="preserve"> </w:t>
      </w:r>
      <w:r w:rsidR="0028314E" w:rsidRPr="001C45D7">
        <w:t>Moreover,</w:t>
      </w:r>
      <w:r w:rsidR="00FA6558" w:rsidRPr="001C45D7">
        <w:t xml:space="preserve"> </w:t>
      </w:r>
      <w:r w:rsidR="00A82BC3" w:rsidRPr="001C45D7">
        <w:t xml:space="preserve">a </w:t>
      </w:r>
      <w:r w:rsidRPr="001C45D7">
        <w:t>firm’s</w:t>
      </w:r>
      <w:r w:rsidR="00FA6558" w:rsidRPr="001C45D7">
        <w:t xml:space="preserve"> </w:t>
      </w:r>
      <w:r w:rsidRPr="001C45D7">
        <w:t>accumulated</w:t>
      </w:r>
      <w:r w:rsidR="00FA6558" w:rsidRPr="001C45D7">
        <w:t xml:space="preserve"> </w:t>
      </w:r>
      <w:r w:rsidRPr="001C45D7">
        <w:t>knowledge</w:t>
      </w:r>
      <w:r w:rsidR="00FA6558" w:rsidRPr="001C45D7">
        <w:t xml:space="preserve"> </w:t>
      </w:r>
      <w:r w:rsidRPr="001C45D7">
        <w:t>and</w:t>
      </w:r>
      <w:r w:rsidR="00FA6558" w:rsidRPr="001C45D7">
        <w:t xml:space="preserve"> </w:t>
      </w:r>
      <w:r w:rsidRPr="001C45D7">
        <w:t>experience</w:t>
      </w:r>
      <w:r w:rsidR="00FA6558" w:rsidRPr="001C45D7">
        <w:t xml:space="preserve"> </w:t>
      </w:r>
      <w:r w:rsidRPr="001C45D7">
        <w:t>can</w:t>
      </w:r>
      <w:r w:rsidR="00FA6558" w:rsidRPr="001C45D7">
        <w:t xml:space="preserve"> </w:t>
      </w:r>
      <w:r w:rsidRPr="001C45D7">
        <w:t>affect</w:t>
      </w:r>
      <w:r w:rsidR="00FA6558" w:rsidRPr="001C45D7">
        <w:t xml:space="preserve"> </w:t>
      </w:r>
      <w:r w:rsidRPr="001C45D7">
        <w:t>the</w:t>
      </w:r>
      <w:r w:rsidR="00FA6558" w:rsidRPr="001C45D7">
        <w:t xml:space="preserve"> </w:t>
      </w:r>
      <w:r w:rsidRPr="001C45D7">
        <w:t>level</w:t>
      </w:r>
      <w:r w:rsidR="00FA6558" w:rsidRPr="001C45D7">
        <w:t xml:space="preserve"> </w:t>
      </w:r>
      <w:r w:rsidRPr="001C45D7">
        <w:t>of</w:t>
      </w:r>
      <w:r w:rsidR="00FA6558" w:rsidRPr="001C45D7">
        <w:t xml:space="preserve"> </w:t>
      </w:r>
      <w:r w:rsidR="00A27DDE" w:rsidRPr="001C45D7">
        <w:t>supply chain digitalisation</w:t>
      </w:r>
      <w:r w:rsidR="00FA6558" w:rsidRPr="001C45D7">
        <w:t xml:space="preserve"> </w:t>
      </w:r>
      <w:r w:rsidRPr="001C45D7">
        <w:t>and</w:t>
      </w:r>
      <w:r w:rsidR="00FA6558" w:rsidRPr="001C45D7">
        <w:t xml:space="preserve"> </w:t>
      </w:r>
      <w:r w:rsidRPr="001C45D7">
        <w:t>its</w:t>
      </w:r>
      <w:r w:rsidR="00FA6558" w:rsidRPr="001C45D7">
        <w:t xml:space="preserve"> </w:t>
      </w:r>
      <w:r w:rsidRPr="001C45D7">
        <w:t>performance</w:t>
      </w:r>
      <w:r w:rsidR="00FA6558" w:rsidRPr="001C45D7">
        <w:t xml:space="preserve"> </w:t>
      </w:r>
      <w:r w:rsidR="0028314E" w:rsidRPr="001C45D7">
        <w:fldChar w:fldCharType="begin" w:fldLock="1"/>
      </w:r>
      <w:r w:rsidR="00433778" w:rsidRPr="001C45D7">
        <w:instrText>ADDIN CSL_CITATION {"citationItems":[{"id":"ITEM-1","itemData":{"DOI":"10.1002/smj.183","ISSN":"01432095","abstract":"Employing a sample of 180 entrepreneurial high-technology ventures based in the United Kingdom, we examine the effects of social capital in key customer relationships on knowledge acquisition and knowledge exploitation. Building on the relational view and on social capital and knowledge-based theories, we propose that social capital facilitates external knowledge acquisition in key customer relationships and that such knowledge mediates the relationship between social capital and knowledge exploitation for competitive advantage. Our results indicate that the social interaction and network ties dimensions of social capital are indeed associated with greater knowledge acquisition, but that the relationship quality dimension is negatively associated with knowledge acquisition. Knowledge acquisition is, in turn, positively associated with knowledge exploitation for competitive advantage through new product development, technological distinctiveness, and sales cost efficiency. Further, our results provide evidence that knowledge acquisition plays a mediating role between social capital and knowledge exploitation. Copyright © 2001 John Wiley &amp; Sons, Ltd.","author":[{"dropping-particle":"","family":"Yli-Renko","given":"Helena","non-dropping-particle":"","parse-names":false,"suffix":""},{"dropping-particle":"","family":"Autio","given":"Erkko","non-dropping-particle":"","parse-names":false,"suffix":""},{"dropping-particle":"","family":"Sapienza","given":"Harry J.","non-dropping-particle":"","parse-names":false,"suffix":""}],"container-title":"Strategic Management Journal","id":"ITEM-1","issue":"6-7","issued":{"date-parts":[["2001"]]},"page":"587-613","title":"Social capital, knowledge acquisition, and knowledge exploitation in young technology-based firms","type":"article-journal","volume":"22"},"uris":["http://www.mendeley.com/documents/?uuid=0c723e3d-c376-4edd-bcda-9f1d739a0836"]},{"id":"ITEM-2","itemData":{"DOI":"10.1002/smj.482","ISSN":"01432095","abstract":"While strategy scholars primarily focus on internal firm capabilities and network scholars typically examine network structure, we posit that firms with superior network structures may be better able to exploit their internal capabilities and thus enhance their performance. We examine how innovative capabilities - both those of focal firms and those they access through their networks - influence the performance of Canadian mutual fund companies. We find that a firm's innovative capabilities and its network structure both enhance firm performance, while the innovativeness of its contacts does not do so directly. Innovative firms that also bridge structural holes get a further performance boost, suggesting that firms need to develop network-enabled capabilities - capabilities accruing to innovative firms that bridge structural holes. Copyright © 2005 John Wiley &amp; Sons, Ltd.","author":[{"dropping-particle":"","family":"Zaheer","given":"Akbar","non-dropping-particle":"","parse-names":false,"suffix":""},{"dropping-particle":"","family":"Bell","given":"Geoffrey G.","non-dropping-particle":"","parse-names":false,"suffix":""}],"container-title":"Strategic Management Journal","id":"ITEM-2","issue":"9","issued":{"date-parts":[["2005"]]},"page":"809-825","title":"Benefiting from network position: Firm capabilities, structural holes, and performance","type":"article-journal","volume":"26"},"uris":["http://www.mendeley.com/documents/?uuid=21b48f74-cb46-44fa-a9a8-db8af6180ac7"]}],"mendeley":{"formattedCitation":"(Yli-Renko &lt;i&gt;et al.&lt;/i&gt;, 2001; Zaheer and Bell, 2005)","manualFormatting":"(Yli-Renko et al., 2001)","plainTextFormattedCitation":"(Yli-Renko et al., 2001; Zaheer and Bell, 2005)","previouslyFormattedCitation":"(Yli-Renko &lt;i&gt;et al.&lt;/i&gt;, 2001; Zaheer and Bell, 2005)"},"properties":{"noteIndex":0},"schema":"https://github.com/citation-style-language/schema/raw/master/csl-citation.json"}</w:instrText>
      </w:r>
      <w:r w:rsidR="0028314E" w:rsidRPr="001C45D7">
        <w:fldChar w:fldCharType="separate"/>
      </w:r>
      <w:r w:rsidR="00881C19" w:rsidRPr="001C45D7">
        <w:rPr>
          <w:noProof/>
        </w:rPr>
        <w:t>(Yli-Renko</w:t>
      </w:r>
      <w:r w:rsidR="00212BFB" w:rsidRPr="001C45D7">
        <w:rPr>
          <w:noProof/>
        </w:rPr>
        <w:t xml:space="preserve"> </w:t>
      </w:r>
      <w:r w:rsidR="00212BFB" w:rsidRPr="001C45D7">
        <w:rPr>
          <w:i/>
          <w:noProof/>
        </w:rPr>
        <w:t>et al</w:t>
      </w:r>
      <w:r w:rsidR="00212BFB" w:rsidRPr="001C45D7">
        <w:rPr>
          <w:noProof/>
        </w:rPr>
        <w:t>.</w:t>
      </w:r>
      <w:r w:rsidR="00881C19" w:rsidRPr="001C45D7">
        <w:rPr>
          <w:noProof/>
        </w:rPr>
        <w:t>,</w:t>
      </w:r>
      <w:r w:rsidR="00FA6558" w:rsidRPr="001C45D7">
        <w:rPr>
          <w:noProof/>
        </w:rPr>
        <w:t xml:space="preserve"> </w:t>
      </w:r>
      <w:r w:rsidR="00881C19" w:rsidRPr="001C45D7">
        <w:rPr>
          <w:noProof/>
        </w:rPr>
        <w:t>2001</w:t>
      </w:r>
      <w:r w:rsidR="001C45D7" w:rsidRPr="001C45D7">
        <w:rPr>
          <w:rFonts w:eastAsiaTheme="minorEastAsia" w:hint="eastAsia"/>
          <w:noProof/>
          <w:lang w:eastAsia="ko-KR"/>
        </w:rPr>
        <w:t xml:space="preserve">; Kim </w:t>
      </w:r>
      <w:r w:rsidR="001C45D7" w:rsidRPr="00523A08">
        <w:rPr>
          <w:rFonts w:eastAsiaTheme="minorEastAsia" w:hint="eastAsia"/>
          <w:i/>
          <w:iCs/>
          <w:noProof/>
          <w:lang w:eastAsia="ko-KR"/>
        </w:rPr>
        <w:t>et al</w:t>
      </w:r>
      <w:r w:rsidR="001C45D7" w:rsidRPr="001C45D7">
        <w:rPr>
          <w:rFonts w:eastAsiaTheme="minorEastAsia" w:hint="eastAsia"/>
          <w:noProof/>
          <w:lang w:eastAsia="ko-KR"/>
        </w:rPr>
        <w:t>., 2015</w:t>
      </w:r>
      <w:r w:rsidR="00881C19" w:rsidRPr="001C45D7">
        <w:rPr>
          <w:noProof/>
        </w:rPr>
        <w:t>)</w:t>
      </w:r>
      <w:r w:rsidR="0028314E" w:rsidRPr="001C45D7">
        <w:fldChar w:fldCharType="end"/>
      </w:r>
      <w:r w:rsidRPr="001C45D7">
        <w:t>.</w:t>
      </w:r>
      <w:r w:rsidR="00FA6558" w:rsidRPr="001C45D7">
        <w:t xml:space="preserve"> </w:t>
      </w:r>
      <w:r w:rsidRPr="001C45D7">
        <w:t>As</w:t>
      </w:r>
      <w:r w:rsidR="00FA6558" w:rsidRPr="001C45D7">
        <w:t xml:space="preserve"> </w:t>
      </w:r>
      <w:r w:rsidRPr="001C45D7">
        <w:t>a</w:t>
      </w:r>
      <w:r w:rsidR="00FA6558" w:rsidRPr="001C45D7">
        <w:t xml:space="preserve"> </w:t>
      </w:r>
      <w:r w:rsidRPr="001C45D7">
        <w:t>proxy</w:t>
      </w:r>
      <w:r w:rsidR="00FA6558" w:rsidRPr="001C45D7">
        <w:t xml:space="preserve"> </w:t>
      </w:r>
      <w:r w:rsidRPr="001C45D7">
        <w:t>for</w:t>
      </w:r>
      <w:r w:rsidR="00FA6558" w:rsidRPr="001C45D7">
        <w:t xml:space="preserve"> </w:t>
      </w:r>
      <w:r w:rsidR="00FD06D1" w:rsidRPr="001C45D7">
        <w:t xml:space="preserve">a </w:t>
      </w:r>
      <w:r w:rsidRPr="001C45D7">
        <w:t>supplier’s</w:t>
      </w:r>
      <w:r w:rsidR="00FA6558" w:rsidRPr="001C45D7">
        <w:t xml:space="preserve"> </w:t>
      </w:r>
      <w:r w:rsidRPr="001C45D7">
        <w:t>accumulated</w:t>
      </w:r>
      <w:r w:rsidR="00FA6558" w:rsidRPr="001C45D7">
        <w:t xml:space="preserve"> </w:t>
      </w:r>
      <w:r w:rsidRPr="001C45D7">
        <w:t>knowledge</w:t>
      </w:r>
      <w:r w:rsidR="00FA6558" w:rsidRPr="001C45D7">
        <w:t xml:space="preserve"> </w:t>
      </w:r>
      <w:r w:rsidRPr="001C45D7">
        <w:t>and</w:t>
      </w:r>
      <w:r w:rsidR="00FA6558" w:rsidRPr="001C45D7">
        <w:t xml:space="preserve"> </w:t>
      </w:r>
      <w:r w:rsidRPr="001C45D7">
        <w:t>experience,</w:t>
      </w:r>
      <w:r w:rsidR="00FA6558" w:rsidRPr="001C45D7">
        <w:t xml:space="preserve"> </w:t>
      </w:r>
      <w:r w:rsidRPr="001C45D7">
        <w:t>firm</w:t>
      </w:r>
      <w:r w:rsidR="00FA6558" w:rsidRPr="001C45D7">
        <w:t xml:space="preserve"> </w:t>
      </w:r>
      <w:r w:rsidRPr="001C45D7">
        <w:t>age</w:t>
      </w:r>
      <w:r w:rsidR="00FA6558" w:rsidRPr="001C45D7">
        <w:t xml:space="preserve"> </w:t>
      </w:r>
      <w:r w:rsidR="00212BFB" w:rsidRPr="001C45D7">
        <w:t>was</w:t>
      </w:r>
      <w:r w:rsidR="00FA6558" w:rsidRPr="001C45D7">
        <w:t xml:space="preserve"> </w:t>
      </w:r>
      <w:r w:rsidRPr="001C45D7">
        <w:t>used</w:t>
      </w:r>
      <w:r w:rsidR="009D623E" w:rsidRPr="001C45D7">
        <w:t>,</w:t>
      </w:r>
      <w:r w:rsidR="00FA6558" w:rsidRPr="001C45D7">
        <w:t xml:space="preserve"> </w:t>
      </w:r>
      <w:r w:rsidRPr="001C45D7">
        <w:t>as</w:t>
      </w:r>
      <w:r w:rsidR="00FA6558" w:rsidRPr="001C45D7">
        <w:t xml:space="preserve"> </w:t>
      </w:r>
      <w:r w:rsidRPr="001C45D7">
        <w:t>the</w:t>
      </w:r>
      <w:r w:rsidR="00FA6558" w:rsidRPr="001C45D7">
        <w:t xml:space="preserve"> </w:t>
      </w:r>
      <w:r w:rsidRPr="001C45D7">
        <w:t>number</w:t>
      </w:r>
      <w:r w:rsidR="00FA6558" w:rsidRPr="001C45D7">
        <w:t xml:space="preserve"> </w:t>
      </w:r>
      <w:r w:rsidRPr="001C45D7">
        <w:t>of</w:t>
      </w:r>
      <w:r w:rsidR="00FA6558" w:rsidRPr="001C45D7">
        <w:t xml:space="preserve"> </w:t>
      </w:r>
      <w:r w:rsidRPr="001C45D7">
        <w:t>years</w:t>
      </w:r>
      <w:r w:rsidR="00FA6558" w:rsidRPr="001C45D7">
        <w:t xml:space="preserve"> </w:t>
      </w:r>
      <w:r w:rsidRPr="001C45D7">
        <w:t>elapsed</w:t>
      </w:r>
      <w:r w:rsidR="00FA6558" w:rsidRPr="001C45D7">
        <w:t xml:space="preserve"> </w:t>
      </w:r>
      <w:r w:rsidRPr="001C45D7">
        <w:t>since</w:t>
      </w:r>
      <w:r w:rsidR="00FA6558" w:rsidRPr="001C45D7">
        <w:t xml:space="preserve"> </w:t>
      </w:r>
      <w:r w:rsidRPr="001C45D7">
        <w:t>the</w:t>
      </w:r>
      <w:r w:rsidR="00FA6558" w:rsidRPr="001C45D7">
        <w:t xml:space="preserve"> </w:t>
      </w:r>
      <w:r w:rsidRPr="001C45D7">
        <w:t>founding</w:t>
      </w:r>
      <w:r w:rsidR="00FA6558" w:rsidRPr="001C45D7">
        <w:t xml:space="preserve"> </w:t>
      </w:r>
      <w:r w:rsidRPr="001C45D7">
        <w:t>of</w:t>
      </w:r>
      <w:r w:rsidR="00FA6558" w:rsidRPr="001C45D7">
        <w:t xml:space="preserve"> </w:t>
      </w:r>
      <w:r w:rsidRPr="001C45D7">
        <w:t>the</w:t>
      </w:r>
      <w:r w:rsidR="00FA6558" w:rsidRPr="001C45D7">
        <w:t xml:space="preserve"> </w:t>
      </w:r>
      <w:r w:rsidRPr="001C45D7">
        <w:t>firm.</w:t>
      </w:r>
      <w:r w:rsidR="00FA6558" w:rsidRPr="001C45D7">
        <w:t xml:space="preserve"> </w:t>
      </w:r>
      <w:r w:rsidR="00A27DDE" w:rsidRPr="001C45D7">
        <w:t>Relationship characteristics between SME supplier</w:t>
      </w:r>
      <w:r w:rsidR="00547B26" w:rsidRPr="001C45D7">
        <w:t>s</w:t>
      </w:r>
      <w:r w:rsidR="00A27DDE" w:rsidRPr="001C45D7">
        <w:t xml:space="preserve"> and </w:t>
      </w:r>
      <w:r w:rsidR="00547B26" w:rsidRPr="001C45D7">
        <w:t xml:space="preserve">their </w:t>
      </w:r>
      <w:r w:rsidR="00A27DDE" w:rsidRPr="001C45D7">
        <w:t>large buyer firm</w:t>
      </w:r>
      <w:r w:rsidR="00547B26" w:rsidRPr="001C45D7">
        <w:t>s</w:t>
      </w:r>
      <w:r w:rsidR="00A27DDE" w:rsidRPr="001C45D7">
        <w:t xml:space="preserve">, such as </w:t>
      </w:r>
      <w:r w:rsidR="0028314E" w:rsidRPr="001C45D7">
        <w:t>relationship</w:t>
      </w:r>
      <w:r w:rsidR="00FA6558" w:rsidRPr="001C45D7">
        <w:t xml:space="preserve"> </w:t>
      </w:r>
      <w:r w:rsidR="0028314E" w:rsidRPr="001C45D7">
        <w:t>duration</w:t>
      </w:r>
      <w:r w:rsidR="00916D0D" w:rsidRPr="001C45D7">
        <w:t xml:space="preserve"> </w:t>
      </w:r>
      <w:r w:rsidR="00916D0D" w:rsidRPr="001C45D7">
        <w:fldChar w:fldCharType="begin" w:fldLock="1"/>
      </w:r>
      <w:r w:rsidR="00E47D16" w:rsidRPr="001C45D7">
        <w:instrText>ADDIN CSL_CITATION {"citationItems":[{"id":"ITEM-1","itemData":{"DOI":"10.1016/j.jom.2010.08.003","ISSN":"02726963","abstract":"Academics have increasingly recognized the benefits derived from social networks embedded within companies' buyer-supplier relationships. However, prior research has only examined the influence of social capital elements on performance, either individually or in part. We propose an integrative model examining the relationships among relational, structural and cognitive dimensions of social capital, and between these dimensions and the cost and innovation performance of the firm. A sample of 163 buyer-supplier relationships is used to test the model. Regression results indicate that the relational dimension of social capital fully or partially mediates the effect of the cognitive dimension on performance, and partially mediates the link between the structural dimension, operationalized as social interaction ties, and innovation performance. Further, high levels of legal bonds were found to moderate the relationship between the relational dimension of social capital and performance outcomes. Implications for theory and managers are discussed. © 2010 Elsevier B.V. All rights reserved.","author":[{"dropping-particle":"","family":"Carey","given":"Sinéad","non-dropping-particle":"","parse-names":false,"suffix":""},{"dropping-particle":"","family":"Lawson","given":"Benn","non-dropping-particle":"","parse-names":false,"suffix":""},{"dropping-particle":"","family":"Krause","given":"Daniel R.","non-dropping-particle":"","parse-names":false,"suffix":""}],"container-title":"Journal of Operations Management","id":"ITEM-1","issue":"4","issued":{"date-parts":[["2011","5"]]},"page":"277-288","title":"Social capital configuration, legal bonds and performance in buyer-supplier relationships","type":"article-journal","volume":"29"},"uris":["http://www.mendeley.com/documents/?uuid=698acfc4-ae71-3f25-8472-48db9af700e9"]}],"mendeley":{"formattedCitation":"(Carey &lt;i&gt;et al.&lt;/i&gt;, 2011)","plainTextFormattedCitation":"(Carey et al., 2011)","previouslyFormattedCitation":"(Carey &lt;i&gt;et al.&lt;/i&gt;, 2011)"},"properties":{"noteIndex":0},"schema":"https://github.com/citation-style-language/schema/raw/master/csl-citation.json"}</w:instrText>
      </w:r>
      <w:r w:rsidR="00916D0D" w:rsidRPr="001C45D7">
        <w:fldChar w:fldCharType="separate"/>
      </w:r>
      <w:r w:rsidR="00916D0D" w:rsidRPr="001C45D7">
        <w:rPr>
          <w:noProof/>
        </w:rPr>
        <w:t xml:space="preserve">(Carey </w:t>
      </w:r>
      <w:r w:rsidR="00916D0D" w:rsidRPr="001C45D7">
        <w:rPr>
          <w:i/>
          <w:noProof/>
        </w:rPr>
        <w:t>et al.</w:t>
      </w:r>
      <w:r w:rsidR="00916D0D" w:rsidRPr="001C45D7">
        <w:rPr>
          <w:noProof/>
        </w:rPr>
        <w:t>, 2011</w:t>
      </w:r>
      <w:r w:rsidR="001C45D7" w:rsidRPr="001C45D7">
        <w:rPr>
          <w:rFonts w:eastAsiaTheme="minorEastAsia" w:hint="eastAsia"/>
          <w:noProof/>
          <w:lang w:eastAsia="ko-KR"/>
        </w:rPr>
        <w:t xml:space="preserve">; Kim </w:t>
      </w:r>
      <w:r w:rsidR="001C45D7" w:rsidRPr="00523A08">
        <w:rPr>
          <w:rFonts w:eastAsiaTheme="minorEastAsia" w:hint="eastAsia"/>
          <w:i/>
          <w:iCs/>
          <w:noProof/>
          <w:lang w:eastAsia="ko-KR"/>
        </w:rPr>
        <w:t>et al</w:t>
      </w:r>
      <w:r w:rsidR="001C45D7" w:rsidRPr="001C45D7">
        <w:rPr>
          <w:rFonts w:eastAsiaTheme="minorEastAsia" w:hint="eastAsia"/>
          <w:noProof/>
          <w:lang w:eastAsia="ko-KR"/>
        </w:rPr>
        <w:t>., 2015</w:t>
      </w:r>
      <w:r w:rsidR="00916D0D" w:rsidRPr="001C45D7">
        <w:rPr>
          <w:noProof/>
        </w:rPr>
        <w:t>)</w:t>
      </w:r>
      <w:r w:rsidR="00916D0D" w:rsidRPr="001C45D7">
        <w:fldChar w:fldCharType="end"/>
      </w:r>
      <w:r w:rsidR="00FA6558" w:rsidRPr="001C45D7">
        <w:t xml:space="preserve"> </w:t>
      </w:r>
      <w:r w:rsidR="00A27DDE" w:rsidRPr="001C45D7">
        <w:t>and</w:t>
      </w:r>
      <w:r w:rsidR="00FA6558" w:rsidRPr="001C45D7">
        <w:t xml:space="preserve"> </w:t>
      </w:r>
      <w:r w:rsidR="0028314E" w:rsidRPr="001C45D7">
        <w:t>supplier</w:t>
      </w:r>
      <w:r w:rsidR="00DE0492" w:rsidRPr="001C45D7">
        <w:t>-</w:t>
      </w:r>
      <w:r w:rsidR="0028314E" w:rsidRPr="001C45D7">
        <w:t>perceived</w:t>
      </w:r>
      <w:r w:rsidR="00FA6558" w:rsidRPr="001C45D7">
        <w:t xml:space="preserve"> </w:t>
      </w:r>
      <w:r w:rsidR="0028314E" w:rsidRPr="001C45D7">
        <w:t>buyer’s</w:t>
      </w:r>
      <w:r w:rsidR="00FA6558" w:rsidRPr="001C45D7">
        <w:t xml:space="preserve"> </w:t>
      </w:r>
      <w:r w:rsidR="0028314E" w:rsidRPr="001C45D7">
        <w:t>dependence</w:t>
      </w:r>
      <w:r w:rsidR="00FA6558" w:rsidRPr="001C45D7">
        <w:t xml:space="preserve"> </w:t>
      </w:r>
      <w:r w:rsidR="0028314E" w:rsidRPr="001C45D7">
        <w:fldChar w:fldCharType="begin" w:fldLock="1"/>
      </w:r>
      <w:r w:rsidR="004A2B48" w:rsidRPr="001C45D7">
        <w:instrText>ADDIN CSL_CITATION {"citationItems":[{"id":"ITEM-1","itemData":{"DOI":"10.1177/002224299405800106","ISSN":"0022-2429","abstract":"Relationship management rapidly is becoming a central research paradigm in the marketing channels literature. A growing body of conceptual and empirical literature addresses different aspects of in...","author":[{"dropping-particle":"","family":"Heide","given":"Jan B.","non-dropping-particle":"","parse-names":false,"suffix":""}],"container-title":"Journal of Marketing","id":"ITEM-1","issue":"1","issued":{"date-parts":[["1994","1"]]},"page":"71-85","publisher":"SAGE Publications","title":"Interorganizational Governance in Marketing Channels","type":"article-journal","volume":"58"},"uris":["http://www.mendeley.com/documents/?uuid=9803c237-a8b2-3842-b719-91ccb74dc104"]},{"id":"ITEM-2","itemData":{"DOI":"10.1177/002224379503200309","ISSN":"0022-2437","abstract":"Channels research has consistently argued that asymmetric channel relationships are more dysfunctional than those characterized by symmetric interdependence. The authors propose that the degree of ...","author":[{"dropping-particle":"","family":"Kumar","given":"Nirmalya","non-dropping-particle":"","parse-names":false,"suffix":""},{"dropping-particle":"","family":"Scheer","given":"Lisa K.","non-dropping-particle":"","parse-names":false,"suffix":""},{"dropping-particle":"","family":"Steenkamp","given":"Jan-Benedict E. M.","non-dropping-particle":"","parse-names":false,"suffix":""}],"container-title":"Journal of Marketing Research","id":"ITEM-2","issue":"3","issued":{"date-parts":[["1995","8"]]},"page":"348-356","publisher":"SAGE Publications","title":"The Effects of Perceived Interdependence on Dealer Attitudes","type":"article-journal","volume":"32"},"uris":["http://www.mendeley.com/documents/?uuid=f091783d-7d90-3eaf-bd14-335656e6d5d7"]}],"mendeley":{"formattedCitation":"(Heide, 1994; Kumar &lt;i&gt;et al.&lt;/i&gt;, 1995)","manualFormatting":"(Heide, 1994; Kumar et al., 1995)","plainTextFormattedCitation":"(Heide, 1994; Kumar et al., 1995)","previouslyFormattedCitation":"(Heide, 1994; Kumar &lt;i&gt;et al.&lt;/i&gt;, 1995)"},"properties":{"noteIndex":0},"schema":"https://github.com/citation-style-language/schema/raw/master/csl-citation.json"}</w:instrText>
      </w:r>
      <w:r w:rsidR="0028314E" w:rsidRPr="001C45D7">
        <w:fldChar w:fldCharType="separate"/>
      </w:r>
      <w:r w:rsidR="00881C19" w:rsidRPr="001C45D7">
        <w:rPr>
          <w:noProof/>
        </w:rPr>
        <w:t>(</w:t>
      </w:r>
      <w:bookmarkStart w:id="25" w:name="_Hlk63486678"/>
      <w:r w:rsidR="00881C19" w:rsidRPr="001C45D7">
        <w:rPr>
          <w:noProof/>
        </w:rPr>
        <w:t>Heide,</w:t>
      </w:r>
      <w:r w:rsidR="00FA6558" w:rsidRPr="001C45D7">
        <w:rPr>
          <w:noProof/>
        </w:rPr>
        <w:t xml:space="preserve"> </w:t>
      </w:r>
      <w:r w:rsidR="00881C19" w:rsidRPr="001C45D7">
        <w:rPr>
          <w:noProof/>
        </w:rPr>
        <w:t>1994;</w:t>
      </w:r>
      <w:r w:rsidR="00FA6558" w:rsidRPr="001C45D7">
        <w:rPr>
          <w:noProof/>
        </w:rPr>
        <w:t xml:space="preserve"> </w:t>
      </w:r>
      <w:r w:rsidR="00881C19" w:rsidRPr="001C45D7">
        <w:rPr>
          <w:noProof/>
        </w:rPr>
        <w:t>Kumar</w:t>
      </w:r>
      <w:r w:rsidR="00212BFB" w:rsidRPr="001C45D7">
        <w:rPr>
          <w:noProof/>
        </w:rPr>
        <w:t xml:space="preserve"> </w:t>
      </w:r>
      <w:r w:rsidR="00212BFB" w:rsidRPr="001C45D7">
        <w:rPr>
          <w:i/>
          <w:noProof/>
        </w:rPr>
        <w:t>et al</w:t>
      </w:r>
      <w:r w:rsidR="00212BFB" w:rsidRPr="001C45D7">
        <w:rPr>
          <w:noProof/>
        </w:rPr>
        <w:t>.</w:t>
      </w:r>
      <w:r w:rsidR="00881C19" w:rsidRPr="001C45D7">
        <w:rPr>
          <w:noProof/>
        </w:rPr>
        <w:t>,</w:t>
      </w:r>
      <w:r w:rsidR="00FA6558" w:rsidRPr="001C45D7">
        <w:rPr>
          <w:noProof/>
        </w:rPr>
        <w:t xml:space="preserve"> </w:t>
      </w:r>
      <w:r w:rsidR="00881C19" w:rsidRPr="001C45D7">
        <w:rPr>
          <w:noProof/>
        </w:rPr>
        <w:t>1995</w:t>
      </w:r>
      <w:bookmarkEnd w:id="25"/>
      <w:r w:rsidR="00881C19" w:rsidRPr="001C45D7">
        <w:rPr>
          <w:noProof/>
        </w:rPr>
        <w:t>)</w:t>
      </w:r>
      <w:r w:rsidR="0028314E" w:rsidRPr="001C45D7">
        <w:fldChar w:fldCharType="end"/>
      </w:r>
      <w:r w:rsidR="00FA6558" w:rsidRPr="001C45D7">
        <w:t xml:space="preserve"> </w:t>
      </w:r>
      <w:r w:rsidRPr="001C45D7">
        <w:t>were</w:t>
      </w:r>
      <w:r w:rsidR="00FA6558" w:rsidRPr="001C45D7">
        <w:t xml:space="preserve"> </w:t>
      </w:r>
      <w:r w:rsidRPr="001C45D7">
        <w:t>also</w:t>
      </w:r>
      <w:r w:rsidR="00FA6558" w:rsidRPr="001C45D7">
        <w:t xml:space="preserve"> </w:t>
      </w:r>
      <w:r w:rsidRPr="001C45D7">
        <w:t>considered</w:t>
      </w:r>
      <w:r w:rsidR="00FA6558" w:rsidRPr="001C45D7">
        <w:t xml:space="preserve"> </w:t>
      </w:r>
      <w:r w:rsidRPr="001C45D7">
        <w:t>as</w:t>
      </w:r>
      <w:r w:rsidR="00FA6558" w:rsidRPr="001C45D7">
        <w:t xml:space="preserve"> </w:t>
      </w:r>
      <w:r w:rsidRPr="001C45D7">
        <w:t>control</w:t>
      </w:r>
      <w:r w:rsidR="00FA6558" w:rsidRPr="001C45D7">
        <w:t xml:space="preserve"> </w:t>
      </w:r>
      <w:r w:rsidRPr="001C45D7">
        <w:t>variables.</w:t>
      </w:r>
      <w:r w:rsidR="00FA6558" w:rsidRPr="001C45D7">
        <w:t xml:space="preserve"> </w:t>
      </w:r>
      <w:r w:rsidR="00584548" w:rsidRPr="001C45D7">
        <w:t xml:space="preserve">Finally, </w:t>
      </w:r>
      <w:r w:rsidR="00584548" w:rsidRPr="001C45D7">
        <w:rPr>
          <w:rFonts w:eastAsia="Batang"/>
          <w:lang w:val="en-US" w:eastAsia="ko-KR"/>
        </w:rPr>
        <w:t>the more firms have</w:t>
      </w:r>
      <w:r w:rsidR="005C1E1B" w:rsidRPr="001C45D7">
        <w:rPr>
          <w:rFonts w:eastAsia="Batang"/>
          <w:lang w:val="en-US" w:eastAsia="ko-KR"/>
        </w:rPr>
        <w:t xml:space="preserve"> adopted</w:t>
      </w:r>
      <w:r w:rsidR="00584548" w:rsidRPr="001C45D7">
        <w:rPr>
          <w:rFonts w:eastAsia="Batang"/>
          <w:lang w:val="en-US" w:eastAsia="ko-KR"/>
        </w:rPr>
        <w:t xml:space="preserve"> </w:t>
      </w:r>
      <w:r w:rsidR="005C1E1B" w:rsidRPr="001C45D7">
        <w:rPr>
          <w:rFonts w:eastAsia="Batang"/>
          <w:lang w:val="en-US" w:eastAsia="ko-KR"/>
        </w:rPr>
        <w:t xml:space="preserve">digital </w:t>
      </w:r>
      <w:r w:rsidR="00584548" w:rsidRPr="001C45D7">
        <w:rPr>
          <w:rFonts w:eastAsia="Batang"/>
          <w:lang w:val="en-US" w:eastAsia="ko-KR"/>
        </w:rPr>
        <w:t xml:space="preserve">technologies, the more likely they are to have excellent digital capabilities (Frank </w:t>
      </w:r>
      <w:r w:rsidR="00584548" w:rsidRPr="001C45D7">
        <w:rPr>
          <w:rFonts w:eastAsia="Batang"/>
          <w:i/>
          <w:iCs/>
          <w:lang w:val="en-US" w:eastAsia="ko-KR"/>
        </w:rPr>
        <w:t>et al</w:t>
      </w:r>
      <w:r w:rsidR="00584548" w:rsidRPr="001C45D7">
        <w:rPr>
          <w:rFonts w:eastAsia="Batang"/>
          <w:lang w:val="en-US" w:eastAsia="ko-KR"/>
        </w:rPr>
        <w:t xml:space="preserve">. 2019; </w:t>
      </w:r>
      <w:proofErr w:type="spellStart"/>
      <w:r w:rsidR="00584548" w:rsidRPr="001C45D7">
        <w:rPr>
          <w:rFonts w:eastAsia="Batang"/>
          <w:lang w:val="en-US" w:eastAsia="ko-KR"/>
        </w:rPr>
        <w:t>Culot</w:t>
      </w:r>
      <w:proofErr w:type="spellEnd"/>
      <w:r w:rsidR="00584548" w:rsidRPr="001C45D7">
        <w:rPr>
          <w:rFonts w:eastAsia="Batang"/>
          <w:lang w:val="en-US" w:eastAsia="ko-KR"/>
        </w:rPr>
        <w:t xml:space="preserve"> </w:t>
      </w:r>
      <w:r w:rsidR="00584548" w:rsidRPr="001C45D7">
        <w:rPr>
          <w:rFonts w:eastAsia="Batang"/>
          <w:i/>
          <w:iCs/>
          <w:lang w:val="en-US" w:eastAsia="ko-KR"/>
        </w:rPr>
        <w:t>et al</w:t>
      </w:r>
      <w:r w:rsidR="00584548" w:rsidRPr="001C45D7">
        <w:rPr>
          <w:rFonts w:eastAsia="Batang"/>
          <w:lang w:val="en-US" w:eastAsia="ko-KR"/>
        </w:rPr>
        <w:t xml:space="preserve">. 2020). Thus, </w:t>
      </w:r>
      <w:r w:rsidR="00584548" w:rsidRPr="001C45D7">
        <w:t>the extent of SME suppliers</w:t>
      </w:r>
      <w:r w:rsidR="008E765C" w:rsidRPr="001C45D7">
        <w:t>’</w:t>
      </w:r>
      <w:r w:rsidR="00584548" w:rsidRPr="001C45D7">
        <w:t xml:space="preserve"> digi</w:t>
      </w:r>
      <w:r w:rsidR="000A532F" w:rsidRPr="001C45D7">
        <w:t>tal</w:t>
      </w:r>
      <w:r w:rsidR="00584548" w:rsidRPr="001C45D7">
        <w:t xml:space="preserve"> technology adoption (hereafter SDTA) was included as </w:t>
      </w:r>
      <w:r w:rsidR="00DE6D4B" w:rsidRPr="001C45D7">
        <w:t xml:space="preserve">a </w:t>
      </w:r>
      <w:r w:rsidR="00584548" w:rsidRPr="001C45D7">
        <w:t>control variable</w:t>
      </w:r>
      <w:r w:rsidR="005C1E1B" w:rsidRPr="001C45D7">
        <w:t xml:space="preserve"> and measured the sum of adopted digital technologies (1</w:t>
      </w:r>
      <w:r w:rsidR="006964D6" w:rsidRPr="001C45D7">
        <w:t xml:space="preserve"> </w:t>
      </w:r>
      <w:r w:rsidR="005C1E1B" w:rsidRPr="001C45D7">
        <w:t>= adopt, 0</w:t>
      </w:r>
      <w:r w:rsidR="006964D6" w:rsidRPr="001C45D7">
        <w:t xml:space="preserve"> </w:t>
      </w:r>
      <w:r w:rsidR="005C1E1B" w:rsidRPr="001C45D7">
        <w:t>= do not adopt)</w:t>
      </w:r>
      <w:r w:rsidR="00FD1BC8" w:rsidRPr="001C45D7">
        <w:t>.</w:t>
      </w:r>
    </w:p>
    <w:p w14:paraId="158797F9" w14:textId="77777777" w:rsidR="009C344A" w:rsidRPr="009C344A" w:rsidRDefault="009C344A" w:rsidP="00566B02">
      <w:pPr>
        <w:pStyle w:val="BodyText"/>
        <w:rPr>
          <w:rFonts w:eastAsiaTheme="minorEastAsia"/>
        </w:rPr>
      </w:pPr>
    </w:p>
    <w:p w14:paraId="69A49D4A" w14:textId="644710D0" w:rsidR="00C67365" w:rsidRPr="001C45D7" w:rsidRDefault="00C67365" w:rsidP="00157836">
      <w:pPr>
        <w:pStyle w:val="Heading2"/>
      </w:pPr>
      <w:r w:rsidRPr="001C45D7">
        <w:t>Measurement</w:t>
      </w:r>
      <w:r w:rsidR="00FA6558" w:rsidRPr="001C45D7">
        <w:t xml:space="preserve"> </w:t>
      </w:r>
      <w:r w:rsidRPr="001C45D7">
        <w:t>validity</w:t>
      </w:r>
      <w:r w:rsidR="00FA6558" w:rsidRPr="001C45D7">
        <w:t xml:space="preserve"> </w:t>
      </w:r>
      <w:r w:rsidRPr="001C45D7">
        <w:t>and</w:t>
      </w:r>
      <w:r w:rsidR="00FA6558" w:rsidRPr="001C45D7">
        <w:t xml:space="preserve"> </w:t>
      </w:r>
      <w:r w:rsidRPr="001C45D7">
        <w:t>reliability</w:t>
      </w:r>
    </w:p>
    <w:p w14:paraId="2A9C189C" w14:textId="56D81850" w:rsidR="0014535F" w:rsidRPr="001C45D7" w:rsidRDefault="0014535F" w:rsidP="00566B02">
      <w:pPr>
        <w:pStyle w:val="BodyText"/>
      </w:pPr>
      <w:r w:rsidRPr="001C45D7">
        <w:t>This</w:t>
      </w:r>
      <w:r w:rsidR="00FA6558" w:rsidRPr="001C45D7">
        <w:t xml:space="preserve"> </w:t>
      </w:r>
      <w:r w:rsidRPr="001C45D7">
        <w:t>study</w:t>
      </w:r>
      <w:r w:rsidR="00FA6558" w:rsidRPr="001C45D7">
        <w:t xml:space="preserve"> </w:t>
      </w:r>
      <w:r w:rsidRPr="001C45D7">
        <w:t>establishes</w:t>
      </w:r>
      <w:r w:rsidR="00FA6558" w:rsidRPr="001C45D7">
        <w:t xml:space="preserve"> </w:t>
      </w:r>
      <w:r w:rsidRPr="001C45D7">
        <w:t>the</w:t>
      </w:r>
      <w:r w:rsidR="00FA6558" w:rsidRPr="001C45D7">
        <w:t xml:space="preserve"> </w:t>
      </w:r>
      <w:proofErr w:type="spellStart"/>
      <w:r w:rsidRPr="001C45D7">
        <w:t>unidimensionality</w:t>
      </w:r>
      <w:proofErr w:type="spellEnd"/>
      <w:r w:rsidR="00FA6558" w:rsidRPr="001C45D7">
        <w:t xml:space="preserve"> </w:t>
      </w:r>
      <w:r w:rsidRPr="001C45D7">
        <w:t>of</w:t>
      </w:r>
      <w:r w:rsidR="00FA6558" w:rsidRPr="001C45D7">
        <w:t xml:space="preserve"> </w:t>
      </w:r>
      <w:r w:rsidRPr="001C45D7">
        <w:t>the</w:t>
      </w:r>
      <w:r w:rsidR="00FA6558" w:rsidRPr="001C45D7">
        <w:t xml:space="preserve"> </w:t>
      </w:r>
      <w:r w:rsidRPr="001C45D7">
        <w:t>latent</w:t>
      </w:r>
      <w:r w:rsidR="00FA6558" w:rsidRPr="001C45D7">
        <w:t xml:space="preserve"> </w:t>
      </w:r>
      <w:r w:rsidRPr="001C45D7">
        <w:t>constructs</w:t>
      </w:r>
      <w:r w:rsidR="00FA6558" w:rsidRPr="001C45D7">
        <w:t xml:space="preserve"> </w:t>
      </w:r>
      <w:r w:rsidRPr="001C45D7">
        <w:t>by</w:t>
      </w:r>
      <w:r w:rsidR="00FA6558" w:rsidRPr="001C45D7">
        <w:t xml:space="preserve"> </w:t>
      </w:r>
      <w:r w:rsidRPr="001C45D7">
        <w:t>all</w:t>
      </w:r>
      <w:r w:rsidR="00FA6558" w:rsidRPr="001C45D7">
        <w:t xml:space="preserve"> </w:t>
      </w:r>
      <w:r w:rsidRPr="001C45D7">
        <w:t>measurement</w:t>
      </w:r>
      <w:r w:rsidR="00FA6558" w:rsidRPr="001C45D7">
        <w:t xml:space="preserve"> </w:t>
      </w:r>
      <w:r w:rsidRPr="001C45D7">
        <w:t>variable</w:t>
      </w:r>
      <w:r w:rsidR="00D22FE3" w:rsidRPr="001C45D7">
        <w:t>s</w:t>
      </w:r>
      <w:r w:rsidR="00FA6558" w:rsidRPr="001C45D7">
        <w:t xml:space="preserve"> </w:t>
      </w:r>
      <w:r w:rsidRPr="001C45D7">
        <w:t>loading</w:t>
      </w:r>
      <w:r w:rsidR="00FA6558" w:rsidRPr="001C45D7">
        <w:t xml:space="preserve"> </w:t>
      </w:r>
      <w:r w:rsidRPr="001C45D7">
        <w:t>on</w:t>
      </w:r>
      <w:r w:rsidR="00FA6558" w:rsidRPr="001C45D7">
        <w:t xml:space="preserve"> </w:t>
      </w:r>
      <w:r w:rsidRPr="001C45D7">
        <w:t>their</w:t>
      </w:r>
      <w:r w:rsidR="00FA6558" w:rsidRPr="001C45D7">
        <w:t xml:space="preserve"> </w:t>
      </w:r>
      <w:r w:rsidRPr="001C45D7">
        <w:t>intended</w:t>
      </w:r>
      <w:r w:rsidR="00FA6558" w:rsidRPr="001C45D7">
        <w:t xml:space="preserve"> </w:t>
      </w:r>
      <w:r w:rsidRPr="001C45D7">
        <w:t>first-order</w:t>
      </w:r>
      <w:r w:rsidR="00FA6558" w:rsidRPr="001C45D7">
        <w:t xml:space="preserve"> </w:t>
      </w:r>
      <w:r w:rsidRPr="001C45D7">
        <w:t>latent</w:t>
      </w:r>
      <w:r w:rsidR="00FA6558" w:rsidRPr="001C45D7">
        <w:t xml:space="preserve"> </w:t>
      </w:r>
      <w:r w:rsidRPr="001C45D7">
        <w:t>constructs</w:t>
      </w:r>
      <w:r w:rsidR="00FA6558" w:rsidRPr="001C45D7">
        <w:t xml:space="preserve"> </w:t>
      </w:r>
      <w:r w:rsidRPr="001C45D7">
        <w:t>in</w:t>
      </w:r>
      <w:r w:rsidR="00FA6558" w:rsidRPr="001C45D7">
        <w:t xml:space="preserve"> </w:t>
      </w:r>
      <w:r w:rsidRPr="001C45D7">
        <w:t>an</w:t>
      </w:r>
      <w:r w:rsidR="00FA6558" w:rsidRPr="001C45D7">
        <w:t xml:space="preserve"> </w:t>
      </w:r>
      <w:r w:rsidRPr="001C45D7">
        <w:t>exploratory</w:t>
      </w:r>
      <w:r w:rsidR="00FA6558" w:rsidRPr="001C45D7">
        <w:t xml:space="preserve"> </w:t>
      </w:r>
      <w:r w:rsidRPr="001C45D7">
        <w:t>factor</w:t>
      </w:r>
      <w:r w:rsidR="00FA6558" w:rsidRPr="001C45D7">
        <w:t xml:space="preserve"> </w:t>
      </w:r>
      <w:r w:rsidRPr="001C45D7">
        <w:t>analysis</w:t>
      </w:r>
      <w:r w:rsidR="004A2B48" w:rsidRPr="001C45D7">
        <w:t xml:space="preserve"> </w:t>
      </w:r>
      <w:r w:rsidR="004A2B48" w:rsidRPr="001C45D7">
        <w:fldChar w:fldCharType="begin" w:fldLock="1"/>
      </w:r>
      <w:r w:rsidR="004A2B48" w:rsidRPr="001C45D7">
        <w:instrText>ADDIN CSL_CITATION {"citationItems":[{"id":"ITEM-1","itemData":{"DOI":"10.1016/j.jom.2006.10.009","ISSN":"02726963","abstract":"We investigate here antecedents and consequences of supplier integration (black-box and gray-box) in product development activities. Antecedents include embeddedness with suppliers, supply base rationalization, and supplier selection based on product development capabilities. Product innovation and quality are modeled as returns of supplier integration in product development. We also assess the moderating role that firm size may play in the relationships we posit. Our research framework relies primarily on the social network perspective (SNP) and using a sample of 157 firms we found support for many of the posited hypotheses. Specifically, we found that embeddedness with suppliers is positively related to supply base rationalization and supplier selection based on product development capabilities. Supply base rationalization has a significant positive impact on gray-box integration (i.e., suppliers working along side the customer's engineers for product development) but not black-box integration (i.e., suppliers carry out on their own the development of components or parts for the customers). On the other hand, selecting suppliers based on their product development capabilities leads to higher levels of both gray-box and black-box integration. Only gray-box integration manifests statistically significant positive effects towards product innovation. The effects of black-box integration are negligible. Product innovation exhibits strong positive effects on quality. We also found partial support for the moderating impact of firm size. Supply base rationalization practiced by small firms has a statistically significant negative impact on black-box integration but there is no statistically significant effect for large firms. Supply base rationalization is statistically related to gray-box integration only for large firms. Finally, the positive effects of product innovation on quality are more potent for large firms. © 2006 Elsevier B.V. All rights reserved.","author":[{"dropping-particle":"","family":"Koufteros","given":"Xenophon A.","non-dropping-particle":"","parse-names":false,"suffix":""},{"dropping-particle":"","family":"Edwin Cheng","given":"T. C.","non-dropping-particle":"","parse-names":false,"suffix":""},{"dropping-particle":"","family":"Lai","given":"Kee Hung","non-dropping-particle":"","parse-names":false,"suffix":""}],"container-title":"Journal of Operations Management","id":"ITEM-1","issue":"4","issued":{"date-parts":[["2007"]]},"page":"847-870","title":"\"Black-box\" and \"gray-box\" supplier integration in product development: Antecedents, consequences and the moderating role of firm size","type":"article-journal","volume":"25"},"uris":["http://www.mendeley.com/documents/?uuid=6e6f0e19-6084-4d7a-9391-4fa40f3432d5"]}],"mendeley":{"formattedCitation":"(Koufteros &lt;i&gt;et al.&lt;/i&gt;, 2007)","plainTextFormattedCitation":"(Koufteros et al., 2007)","previouslyFormattedCitation":"(Koufteros &lt;i&gt;et al.&lt;/i&gt;, 2007)"},"properties":{"noteIndex":0},"schema":"https://github.com/citation-style-language/schema/raw/master/csl-citation.json"}</w:instrText>
      </w:r>
      <w:r w:rsidR="004A2B48" w:rsidRPr="001C45D7">
        <w:fldChar w:fldCharType="separate"/>
      </w:r>
      <w:r w:rsidR="004A2B48" w:rsidRPr="001C45D7">
        <w:rPr>
          <w:noProof/>
        </w:rPr>
        <w:t xml:space="preserve">(Koufteros </w:t>
      </w:r>
      <w:r w:rsidR="004A2B48" w:rsidRPr="001C45D7">
        <w:rPr>
          <w:i/>
          <w:noProof/>
        </w:rPr>
        <w:t>et al.</w:t>
      </w:r>
      <w:r w:rsidR="004A2B48" w:rsidRPr="001C45D7">
        <w:rPr>
          <w:noProof/>
        </w:rPr>
        <w:t>, 2007)</w:t>
      </w:r>
      <w:r w:rsidR="004A2B48" w:rsidRPr="001C45D7">
        <w:fldChar w:fldCharType="end"/>
      </w:r>
      <w:r w:rsidRPr="001C45D7">
        <w:t>.</w:t>
      </w:r>
      <w:r w:rsidR="00FA6558" w:rsidRPr="001C45D7">
        <w:t xml:space="preserve"> </w:t>
      </w:r>
      <w:r w:rsidRPr="001C45D7">
        <w:t>Reliability</w:t>
      </w:r>
      <w:r w:rsidR="00FA6558" w:rsidRPr="001C45D7">
        <w:t xml:space="preserve"> </w:t>
      </w:r>
      <w:r w:rsidRPr="001C45D7">
        <w:t>was</w:t>
      </w:r>
      <w:r w:rsidR="00FA6558" w:rsidRPr="001C45D7">
        <w:t xml:space="preserve"> </w:t>
      </w:r>
      <w:r w:rsidRPr="001C45D7">
        <w:t>confirmed</w:t>
      </w:r>
      <w:r w:rsidR="00FA6558" w:rsidRPr="001C45D7">
        <w:t xml:space="preserve"> </w:t>
      </w:r>
      <w:r w:rsidRPr="001C45D7">
        <w:t>through</w:t>
      </w:r>
      <w:r w:rsidR="00FA6558" w:rsidRPr="001C45D7">
        <w:t xml:space="preserve"> </w:t>
      </w:r>
      <w:r w:rsidRPr="001C45D7">
        <w:t>Cronbach’s</w:t>
      </w:r>
      <w:r w:rsidR="00FA6558" w:rsidRPr="001C45D7">
        <w:t xml:space="preserve"> </w:t>
      </w:r>
      <w:r w:rsidRPr="001C45D7">
        <w:t>alpha</w:t>
      </w:r>
      <w:r w:rsidR="00FA6558" w:rsidRPr="001C45D7">
        <w:t xml:space="preserve"> </w:t>
      </w:r>
      <w:r w:rsidRPr="001C45D7">
        <w:t>and</w:t>
      </w:r>
      <w:r w:rsidR="00FA6558" w:rsidRPr="001C45D7">
        <w:t xml:space="preserve"> </w:t>
      </w:r>
      <w:r w:rsidRPr="001C45D7">
        <w:t>composite</w:t>
      </w:r>
      <w:r w:rsidR="00FA6558" w:rsidRPr="001C45D7">
        <w:t xml:space="preserve"> </w:t>
      </w:r>
      <w:r w:rsidRPr="001C45D7">
        <w:t>reliability,</w:t>
      </w:r>
      <w:r w:rsidR="00FA6558" w:rsidRPr="001C45D7">
        <w:t xml:space="preserve"> </w:t>
      </w:r>
      <w:r w:rsidRPr="001C45D7">
        <w:t>each</w:t>
      </w:r>
      <w:r w:rsidR="00FA6558" w:rsidRPr="001C45D7">
        <w:t xml:space="preserve"> </w:t>
      </w:r>
      <w:r w:rsidRPr="001C45D7">
        <w:t>of</w:t>
      </w:r>
      <w:r w:rsidR="00FA6558" w:rsidRPr="001C45D7">
        <w:t xml:space="preserve"> </w:t>
      </w:r>
      <w:r w:rsidRPr="001C45D7">
        <w:t>which</w:t>
      </w:r>
      <w:r w:rsidR="00FA6558" w:rsidRPr="001C45D7">
        <w:t xml:space="preserve"> </w:t>
      </w:r>
      <w:r w:rsidRPr="001C45D7">
        <w:t>should</w:t>
      </w:r>
      <w:r w:rsidR="00FA6558" w:rsidRPr="001C45D7">
        <w:t xml:space="preserve"> </w:t>
      </w:r>
      <w:r w:rsidRPr="001C45D7">
        <w:t>exceed</w:t>
      </w:r>
      <w:r w:rsidR="00FA6558" w:rsidRPr="001C45D7">
        <w:t xml:space="preserve"> </w:t>
      </w:r>
      <w:r w:rsidRPr="001C45D7">
        <w:t>the</w:t>
      </w:r>
      <w:r w:rsidR="00FA6558" w:rsidRPr="001C45D7">
        <w:t xml:space="preserve"> </w:t>
      </w:r>
      <w:r w:rsidRPr="001C45D7">
        <w:t>recommended</w:t>
      </w:r>
      <w:r w:rsidR="00FA6558" w:rsidRPr="001C45D7">
        <w:t xml:space="preserve"> </w:t>
      </w:r>
      <w:r w:rsidRPr="001C45D7">
        <w:t>minimum</w:t>
      </w:r>
      <w:r w:rsidR="00FA6558" w:rsidRPr="001C45D7">
        <w:t xml:space="preserve"> </w:t>
      </w:r>
      <w:r w:rsidRPr="001C45D7">
        <w:t>value</w:t>
      </w:r>
      <w:r w:rsidR="00FA6558" w:rsidRPr="001C45D7">
        <w:t xml:space="preserve"> </w:t>
      </w:r>
      <w:r w:rsidRPr="001C45D7">
        <w:t>of</w:t>
      </w:r>
      <w:r w:rsidR="00FA6558" w:rsidRPr="001C45D7">
        <w:t xml:space="preserve"> </w:t>
      </w:r>
      <w:r w:rsidRPr="001C45D7">
        <w:t>0.6</w:t>
      </w:r>
      <w:r w:rsidR="00FA6558" w:rsidRPr="001C45D7">
        <w:t xml:space="preserve"> </w:t>
      </w:r>
      <w:r w:rsidRPr="001C45D7">
        <w:fldChar w:fldCharType="begin" w:fldLock="1"/>
      </w:r>
      <w:r w:rsidR="006E4923" w:rsidRPr="001C45D7">
        <w:instrText>ADDIN CSL_CITATION {"citationItems":[{"id":"ITEM-1","itemData":{"DOI":"10.2307/1161962","ISSN":"00028312","abstract":"(Publisher-supplied data) The classic text is Psychometric Theory. Like the previous edition, this text is designed as a comprehensive text in measurement for researchers and for use in graduate courses in psychology, education and areas of business such as management and marketing. It is intended to consider the broad measurement problems that arise in these areas and is written for a reader who needs only a basic background in statistics to comprehend the material. It also combines classical procedures that explain variance with modern inferential procedures.","author":[{"dropping-particle":"","family":"Hundleby","given":"John D.","non-dropping-particle":"","parse-names":false,"suffix":""},{"dropping-particle":"","family":"Nunnally","given":"Jum","non-dropping-particle":"","parse-names":false,"suffix":""}],"container-title":"American Educational Research Journal","edition":"3rd","id":"ITEM-1","issue":"3","issued":{"date-parts":[["1968"]]},"number-of-pages":"431","publisher":"McGraw-Hill","title":"Psychometric Theory","type":"book","volume":"5"},"uris":["http://www.mendeley.com/documents/?uuid=a0adba20-c757-3ffc-9a42-169d15f1b84a"]}],"mendeley":{"formattedCitation":"(Hundleby and Nunnally, 1968)","manualFormatting":"(Nunnally, 1978)","plainTextFormattedCitation":"(Hundleby and Nunnally, 1968)","previouslyFormattedCitation":"(Hundleby and Nunnally, 1968)"},"properties":{"noteIndex":0},"schema":"https://github.com/citation-style-language/schema/raw/master/csl-citation.json"}</w:instrText>
      </w:r>
      <w:r w:rsidRPr="001C45D7">
        <w:fldChar w:fldCharType="separate"/>
      </w:r>
      <w:r w:rsidRPr="001C45D7">
        <w:rPr>
          <w:noProof/>
        </w:rPr>
        <w:t>(Nunnally,</w:t>
      </w:r>
      <w:r w:rsidR="00FA6558" w:rsidRPr="001C45D7">
        <w:rPr>
          <w:noProof/>
        </w:rPr>
        <w:t xml:space="preserve"> </w:t>
      </w:r>
      <w:r w:rsidR="005E1927" w:rsidRPr="001C45D7">
        <w:rPr>
          <w:rFonts w:eastAsiaTheme="minorEastAsia" w:hint="eastAsia"/>
          <w:noProof/>
          <w:lang w:eastAsia="ko-KR"/>
        </w:rPr>
        <w:t>1978</w:t>
      </w:r>
      <w:r w:rsidRPr="001C45D7">
        <w:rPr>
          <w:noProof/>
        </w:rPr>
        <w:t>)</w:t>
      </w:r>
      <w:r w:rsidRPr="001C45D7">
        <w:fldChar w:fldCharType="end"/>
      </w:r>
      <w:r w:rsidRPr="001C45D7">
        <w:t>.</w:t>
      </w:r>
      <w:r w:rsidR="00FA6558" w:rsidRPr="001C45D7">
        <w:t xml:space="preserve"> </w:t>
      </w:r>
      <w:r w:rsidRPr="001C45D7">
        <w:t>The</w:t>
      </w:r>
      <w:r w:rsidR="00FA6558" w:rsidRPr="001C45D7">
        <w:t xml:space="preserve"> </w:t>
      </w:r>
      <w:r w:rsidRPr="001C45D7">
        <w:t>reliability</w:t>
      </w:r>
      <w:r w:rsidR="00FA6558" w:rsidRPr="001C45D7">
        <w:t xml:space="preserve"> </w:t>
      </w:r>
      <w:r w:rsidRPr="001C45D7">
        <w:t>measures</w:t>
      </w:r>
      <w:r w:rsidR="00FA6558" w:rsidRPr="001C45D7">
        <w:t xml:space="preserve"> </w:t>
      </w:r>
      <w:r w:rsidRPr="001C45D7">
        <w:t>of</w:t>
      </w:r>
      <w:r w:rsidR="00FA6558" w:rsidRPr="001C45D7">
        <w:t xml:space="preserve"> </w:t>
      </w:r>
      <w:r w:rsidRPr="001C45D7">
        <w:t>all</w:t>
      </w:r>
      <w:r w:rsidR="00FA6558" w:rsidRPr="001C45D7">
        <w:t xml:space="preserve"> </w:t>
      </w:r>
      <w:r w:rsidRPr="001C45D7">
        <w:t>constructs</w:t>
      </w:r>
      <w:r w:rsidR="00FA6558" w:rsidRPr="001C45D7">
        <w:t xml:space="preserve"> </w:t>
      </w:r>
      <w:r w:rsidR="00212BFB" w:rsidRPr="001C45D7">
        <w:t xml:space="preserve">also </w:t>
      </w:r>
      <w:r w:rsidRPr="001C45D7">
        <w:t>exceeded</w:t>
      </w:r>
      <w:r w:rsidR="00FA6558" w:rsidRPr="001C45D7">
        <w:t xml:space="preserve"> </w:t>
      </w:r>
      <w:r w:rsidRPr="001C45D7">
        <w:t>the</w:t>
      </w:r>
      <w:r w:rsidR="00FA6558" w:rsidRPr="001C45D7">
        <w:t xml:space="preserve"> </w:t>
      </w:r>
      <w:r w:rsidRPr="001C45D7">
        <w:t>recommended</w:t>
      </w:r>
      <w:r w:rsidR="00FA6558" w:rsidRPr="001C45D7">
        <w:t xml:space="preserve"> </w:t>
      </w:r>
      <w:r w:rsidRPr="001C45D7">
        <w:t>value</w:t>
      </w:r>
      <w:r w:rsidR="00FA6558" w:rsidRPr="001C45D7">
        <w:t xml:space="preserve"> </w:t>
      </w:r>
      <w:r w:rsidRPr="001C45D7">
        <w:t>(see</w:t>
      </w:r>
      <w:r w:rsidR="00FA6558" w:rsidRPr="001C45D7">
        <w:t xml:space="preserve"> </w:t>
      </w:r>
      <w:r w:rsidR="003038F9" w:rsidRPr="001C45D7">
        <w:t>Appendix</w:t>
      </w:r>
      <w:r w:rsidR="00FA6558" w:rsidRPr="001C45D7">
        <w:t xml:space="preserve"> </w:t>
      </w:r>
      <w:r w:rsidR="00A628E9" w:rsidRPr="001C45D7">
        <w:rPr>
          <w:rFonts w:eastAsiaTheme="minorEastAsia" w:hint="eastAsia"/>
          <w:lang w:eastAsia="ko-KR"/>
        </w:rPr>
        <w:t>2</w:t>
      </w:r>
      <w:r w:rsidRPr="001C45D7">
        <w:t>).</w:t>
      </w:r>
      <w:r w:rsidR="00FA6558" w:rsidRPr="001C45D7">
        <w:t xml:space="preserve"> </w:t>
      </w:r>
      <w:r w:rsidRPr="001C45D7">
        <w:t>A</w:t>
      </w:r>
      <w:r w:rsidR="00FA6558" w:rsidRPr="001C45D7">
        <w:t xml:space="preserve"> </w:t>
      </w:r>
      <w:r w:rsidRPr="001C45D7">
        <w:t>confirmatory</w:t>
      </w:r>
      <w:r w:rsidR="00FA6558" w:rsidRPr="001C45D7">
        <w:t xml:space="preserve"> </w:t>
      </w:r>
      <w:r w:rsidRPr="001C45D7">
        <w:lastRenderedPageBreak/>
        <w:t>factor</w:t>
      </w:r>
      <w:r w:rsidR="00FA6558" w:rsidRPr="001C45D7">
        <w:t xml:space="preserve"> </w:t>
      </w:r>
      <w:r w:rsidRPr="001C45D7">
        <w:t>analysis</w:t>
      </w:r>
      <w:r w:rsidR="00FA6558" w:rsidRPr="001C45D7">
        <w:t xml:space="preserve"> </w:t>
      </w:r>
      <w:r w:rsidR="00A16305" w:rsidRPr="001C45D7">
        <w:t xml:space="preserve">(CFA) </w:t>
      </w:r>
      <w:r w:rsidRPr="001C45D7">
        <w:t>was</w:t>
      </w:r>
      <w:r w:rsidR="00FA6558" w:rsidRPr="001C45D7">
        <w:t xml:space="preserve"> </w:t>
      </w:r>
      <w:r w:rsidRPr="001C45D7">
        <w:t>conducted</w:t>
      </w:r>
      <w:r w:rsidR="00FA6558" w:rsidRPr="001C45D7">
        <w:t xml:space="preserve"> </w:t>
      </w:r>
      <w:r w:rsidRPr="001C45D7">
        <w:t>to</w:t>
      </w:r>
      <w:r w:rsidR="00FA6558" w:rsidRPr="001C45D7">
        <w:t xml:space="preserve"> </w:t>
      </w:r>
      <w:r w:rsidRPr="001C45D7">
        <w:t>assess</w:t>
      </w:r>
      <w:r w:rsidR="00FA6558" w:rsidRPr="001C45D7">
        <w:t xml:space="preserve"> </w:t>
      </w:r>
      <w:r w:rsidRPr="001C45D7">
        <w:t>the</w:t>
      </w:r>
      <w:r w:rsidR="00FA6558" w:rsidRPr="001C45D7">
        <w:t xml:space="preserve"> </w:t>
      </w:r>
      <w:r w:rsidRPr="001C45D7">
        <w:t>construct</w:t>
      </w:r>
      <w:r w:rsidR="00365A0E" w:rsidRPr="001C45D7">
        <w:t>s’</w:t>
      </w:r>
      <w:r w:rsidR="00FA6558" w:rsidRPr="001C45D7">
        <w:t xml:space="preserve"> </w:t>
      </w:r>
      <w:r w:rsidRPr="001C45D7">
        <w:t>validity.</w:t>
      </w:r>
      <w:r w:rsidR="00FA6558" w:rsidRPr="001C45D7">
        <w:t xml:space="preserve"> </w:t>
      </w:r>
      <w:r w:rsidRPr="001C45D7">
        <w:t>The</w:t>
      </w:r>
      <w:r w:rsidR="00FA6558" w:rsidRPr="001C45D7">
        <w:t xml:space="preserve"> </w:t>
      </w:r>
      <w:r w:rsidRPr="001C45D7">
        <w:t>CFA</w:t>
      </w:r>
      <w:r w:rsidR="00FA6558" w:rsidRPr="001C45D7">
        <w:t xml:space="preserve"> </w:t>
      </w:r>
      <w:r w:rsidRPr="001C45D7">
        <w:t>results</w:t>
      </w:r>
      <w:r w:rsidR="00FA6558" w:rsidRPr="001C45D7">
        <w:t xml:space="preserve"> </w:t>
      </w:r>
      <w:r w:rsidRPr="001C45D7">
        <w:t>confirmed</w:t>
      </w:r>
      <w:r w:rsidR="00FA6558" w:rsidRPr="001C45D7">
        <w:t xml:space="preserve"> </w:t>
      </w:r>
      <w:r w:rsidRPr="001C45D7">
        <w:t>that</w:t>
      </w:r>
      <w:r w:rsidR="00FA6558" w:rsidRPr="001C45D7">
        <w:t xml:space="preserve"> </w:t>
      </w:r>
      <w:r w:rsidRPr="001C45D7">
        <w:t>our</w:t>
      </w:r>
      <w:r w:rsidR="00FA6558" w:rsidRPr="001C45D7">
        <w:t xml:space="preserve"> </w:t>
      </w:r>
      <w:r w:rsidRPr="001C45D7">
        <w:t>model</w:t>
      </w:r>
      <w:r w:rsidR="00FA6558" w:rsidRPr="001C45D7">
        <w:t xml:space="preserve"> </w:t>
      </w:r>
      <w:r w:rsidRPr="001C45D7">
        <w:t>yielded</w:t>
      </w:r>
      <w:r w:rsidR="00FA6558" w:rsidRPr="001C45D7">
        <w:t xml:space="preserve"> </w:t>
      </w:r>
      <w:r w:rsidRPr="001C45D7">
        <w:t>an</w:t>
      </w:r>
      <w:r w:rsidR="00FA6558" w:rsidRPr="001C45D7">
        <w:t xml:space="preserve"> </w:t>
      </w:r>
      <w:r w:rsidRPr="001C45D7">
        <w:t>acceptable</w:t>
      </w:r>
      <w:r w:rsidR="00FA6558" w:rsidRPr="001C45D7">
        <w:t xml:space="preserve"> </w:t>
      </w:r>
      <w:r w:rsidRPr="001C45D7">
        <w:t>fit</w:t>
      </w:r>
      <w:r w:rsidR="00FA6558" w:rsidRPr="001C45D7">
        <w:t xml:space="preserve"> </w:t>
      </w:r>
      <w:r w:rsidRPr="001C45D7">
        <w:t>for</w:t>
      </w:r>
      <w:r w:rsidR="00FA6558" w:rsidRPr="001C45D7">
        <w:t xml:space="preserve"> </w:t>
      </w:r>
      <w:r w:rsidRPr="001C45D7">
        <w:t>the</w:t>
      </w:r>
      <w:r w:rsidR="00FA6558" w:rsidRPr="001C45D7">
        <w:t xml:space="preserve"> </w:t>
      </w:r>
      <w:r w:rsidRPr="001C45D7">
        <w:t>data</w:t>
      </w:r>
      <w:r w:rsidR="00FA6558" w:rsidRPr="001C45D7">
        <w:t xml:space="preserve"> </w:t>
      </w:r>
      <w:r w:rsidRPr="001C45D7">
        <w:t>(normed</w:t>
      </w:r>
      <w:r w:rsidR="00FA6558" w:rsidRPr="001C45D7">
        <w:t xml:space="preserve"> </w:t>
      </w:r>
      <w:r w:rsidRPr="001C45D7">
        <w:t>χ</w:t>
      </w:r>
      <w:r w:rsidRPr="001C45D7">
        <w:rPr>
          <w:vertAlign w:val="superscript"/>
        </w:rPr>
        <w:t>2</w:t>
      </w:r>
      <w:r w:rsidR="00FA6558" w:rsidRPr="001C45D7">
        <w:t xml:space="preserve"> </w:t>
      </w:r>
      <w:r w:rsidRPr="001C45D7">
        <w:t>=</w:t>
      </w:r>
      <w:r w:rsidR="00ED62F3" w:rsidRPr="001C45D7">
        <w:t xml:space="preserve"> </w:t>
      </w:r>
      <w:r w:rsidRPr="001C45D7">
        <w:t>1.456,</w:t>
      </w:r>
      <w:r w:rsidR="00FA6558" w:rsidRPr="001C45D7">
        <w:t xml:space="preserve"> </w:t>
      </w:r>
      <w:r w:rsidRPr="001C45D7">
        <w:t>comparative</w:t>
      </w:r>
      <w:r w:rsidR="00FA6558" w:rsidRPr="001C45D7">
        <w:t xml:space="preserve"> </w:t>
      </w:r>
      <w:r w:rsidRPr="001C45D7">
        <w:t>fit</w:t>
      </w:r>
      <w:r w:rsidR="00FA6558" w:rsidRPr="001C45D7">
        <w:t xml:space="preserve"> </w:t>
      </w:r>
      <w:r w:rsidRPr="001C45D7">
        <w:t>index</w:t>
      </w:r>
      <w:r w:rsidR="00FA6558" w:rsidRPr="001C45D7">
        <w:t xml:space="preserve"> </w:t>
      </w:r>
      <w:r w:rsidRPr="001C45D7">
        <w:t>=</w:t>
      </w:r>
      <w:r w:rsidR="00FA6558" w:rsidRPr="001C45D7">
        <w:t xml:space="preserve"> </w:t>
      </w:r>
      <w:r w:rsidRPr="001C45D7">
        <w:t>0.908,</w:t>
      </w:r>
      <w:r w:rsidR="00FA6558" w:rsidRPr="001C45D7">
        <w:t xml:space="preserve"> </w:t>
      </w:r>
      <w:r w:rsidRPr="001C45D7">
        <w:t>incremental</w:t>
      </w:r>
      <w:r w:rsidR="00FA6558" w:rsidRPr="001C45D7">
        <w:t xml:space="preserve"> </w:t>
      </w:r>
      <w:r w:rsidRPr="001C45D7">
        <w:t>fit</w:t>
      </w:r>
      <w:r w:rsidR="00FA6558" w:rsidRPr="001C45D7">
        <w:t xml:space="preserve"> </w:t>
      </w:r>
      <w:r w:rsidRPr="001C45D7">
        <w:t>index</w:t>
      </w:r>
      <w:r w:rsidR="00FA6558" w:rsidRPr="001C45D7">
        <w:t xml:space="preserve"> </w:t>
      </w:r>
      <w:r w:rsidRPr="001C45D7">
        <w:t>=</w:t>
      </w:r>
      <w:r w:rsidR="00FA6558" w:rsidRPr="001C45D7">
        <w:t xml:space="preserve"> </w:t>
      </w:r>
      <w:r w:rsidRPr="001C45D7">
        <w:t>0.912,</w:t>
      </w:r>
      <w:r w:rsidR="00FA6558" w:rsidRPr="001C45D7">
        <w:t xml:space="preserve"> </w:t>
      </w:r>
      <w:r w:rsidRPr="001C45D7">
        <w:t>root</w:t>
      </w:r>
      <w:r w:rsidR="00FA6558" w:rsidRPr="001C45D7">
        <w:t xml:space="preserve"> </w:t>
      </w:r>
      <w:r w:rsidRPr="001C45D7">
        <w:t>mean</w:t>
      </w:r>
      <w:r w:rsidR="00FA6558" w:rsidRPr="001C45D7">
        <w:t xml:space="preserve"> </w:t>
      </w:r>
      <w:r w:rsidRPr="001C45D7">
        <w:t>square</w:t>
      </w:r>
      <w:r w:rsidR="00FA6558" w:rsidRPr="001C45D7">
        <w:t xml:space="preserve"> </w:t>
      </w:r>
      <w:r w:rsidRPr="001C45D7">
        <w:t>error</w:t>
      </w:r>
      <w:r w:rsidR="00FA6558" w:rsidRPr="001C45D7">
        <w:t xml:space="preserve"> </w:t>
      </w:r>
      <w:r w:rsidRPr="001C45D7">
        <w:t>of</w:t>
      </w:r>
      <w:r w:rsidR="00FA6558" w:rsidRPr="001C45D7">
        <w:t xml:space="preserve"> </w:t>
      </w:r>
      <w:r w:rsidRPr="001C45D7">
        <w:t>approximation</w:t>
      </w:r>
      <w:r w:rsidR="00FA6558" w:rsidRPr="001C45D7">
        <w:t xml:space="preserve"> </w:t>
      </w:r>
      <w:r w:rsidRPr="001C45D7">
        <w:t>=</w:t>
      </w:r>
      <w:r w:rsidR="00FA6558" w:rsidRPr="001C45D7">
        <w:t xml:space="preserve"> </w:t>
      </w:r>
      <w:r w:rsidRPr="001C45D7">
        <w:t>0.061).</w:t>
      </w:r>
      <w:r w:rsidR="00FA6558" w:rsidRPr="001C45D7">
        <w:t xml:space="preserve"> </w:t>
      </w:r>
      <w:r w:rsidRPr="001C45D7">
        <w:t>As</w:t>
      </w:r>
      <w:r w:rsidR="00FA6558" w:rsidRPr="001C45D7">
        <w:t xml:space="preserve"> </w:t>
      </w:r>
      <w:r w:rsidRPr="001C45D7">
        <w:t>shown</w:t>
      </w:r>
      <w:r w:rsidR="00FA6558" w:rsidRPr="001C45D7">
        <w:t xml:space="preserve"> </w:t>
      </w:r>
      <w:r w:rsidRPr="001C45D7">
        <w:t>in</w:t>
      </w:r>
      <w:r w:rsidR="00FA6558" w:rsidRPr="001C45D7">
        <w:t xml:space="preserve"> </w:t>
      </w:r>
      <w:r w:rsidR="00B865EB" w:rsidRPr="001C45D7">
        <w:rPr>
          <w:rFonts w:eastAsiaTheme="minorEastAsia" w:hint="eastAsia"/>
          <w:lang w:eastAsia="ko-KR"/>
        </w:rPr>
        <w:t>Appendix 2</w:t>
      </w:r>
      <w:r w:rsidRPr="001C45D7">
        <w:t>,</w:t>
      </w:r>
      <w:r w:rsidR="00FA6558" w:rsidRPr="001C45D7">
        <w:t xml:space="preserve"> </w:t>
      </w:r>
      <w:r w:rsidRPr="001C45D7">
        <w:t>all</w:t>
      </w:r>
      <w:r w:rsidR="00FA6558" w:rsidRPr="001C45D7">
        <w:t xml:space="preserve"> </w:t>
      </w:r>
      <w:r w:rsidRPr="001C45D7">
        <w:t>measurement</w:t>
      </w:r>
      <w:r w:rsidR="00FA6558" w:rsidRPr="001C45D7">
        <w:t xml:space="preserve"> </w:t>
      </w:r>
      <w:r w:rsidRPr="001C45D7">
        <w:t>items</w:t>
      </w:r>
      <w:r w:rsidR="00FA6558" w:rsidRPr="001C45D7">
        <w:t xml:space="preserve"> </w:t>
      </w:r>
      <w:r w:rsidRPr="001C45D7">
        <w:t>loaded</w:t>
      </w:r>
      <w:r w:rsidR="00FA6558" w:rsidRPr="001C45D7">
        <w:t xml:space="preserve"> </w:t>
      </w:r>
      <w:r w:rsidRPr="001C45D7">
        <w:t>significantly</w:t>
      </w:r>
      <w:r w:rsidR="00FA6558" w:rsidRPr="001C45D7">
        <w:t xml:space="preserve"> </w:t>
      </w:r>
      <w:r w:rsidRPr="001C45D7">
        <w:t>on</w:t>
      </w:r>
      <w:r w:rsidR="00FA6558" w:rsidRPr="001C45D7">
        <w:t xml:space="preserve"> </w:t>
      </w:r>
      <w:r w:rsidRPr="001C45D7">
        <w:t>their</w:t>
      </w:r>
      <w:r w:rsidR="00FA6558" w:rsidRPr="001C45D7">
        <w:t xml:space="preserve"> </w:t>
      </w:r>
      <w:r w:rsidRPr="001C45D7">
        <w:t>intended</w:t>
      </w:r>
      <w:r w:rsidR="00FA6558" w:rsidRPr="001C45D7">
        <w:t xml:space="preserve"> </w:t>
      </w:r>
      <w:r w:rsidRPr="001C45D7">
        <w:t>constructs,</w:t>
      </w:r>
      <w:r w:rsidR="00FA6558" w:rsidRPr="001C45D7">
        <w:t xml:space="preserve"> </w:t>
      </w:r>
      <w:r w:rsidR="00D81C27" w:rsidRPr="001C45D7">
        <w:t xml:space="preserve">and </w:t>
      </w:r>
      <w:r w:rsidRPr="001C45D7">
        <w:t>their</w:t>
      </w:r>
      <w:r w:rsidR="00FA6558" w:rsidRPr="001C45D7">
        <w:t xml:space="preserve"> </w:t>
      </w:r>
      <w:r w:rsidRPr="001C45D7">
        <w:t>loadings</w:t>
      </w:r>
      <w:r w:rsidR="00FA6558" w:rsidRPr="001C45D7">
        <w:t xml:space="preserve"> </w:t>
      </w:r>
      <w:r w:rsidR="00D81C27" w:rsidRPr="001C45D7">
        <w:t xml:space="preserve">were </w:t>
      </w:r>
      <w:r w:rsidRPr="001C45D7">
        <w:t>highly</w:t>
      </w:r>
      <w:r w:rsidR="00FA6558" w:rsidRPr="001C45D7">
        <w:t xml:space="preserve"> </w:t>
      </w:r>
      <w:r w:rsidRPr="001C45D7">
        <w:t>significant</w:t>
      </w:r>
      <w:r w:rsidR="00FA6558" w:rsidRPr="001C45D7">
        <w:t xml:space="preserve"> </w:t>
      </w:r>
      <w:r w:rsidRPr="001C45D7">
        <w:t>(p</w:t>
      </w:r>
      <w:r w:rsidR="00BB295C" w:rsidRPr="001C45D7">
        <w:t xml:space="preserve"> </w:t>
      </w:r>
      <w:r w:rsidRPr="001C45D7">
        <w:t>&lt;</w:t>
      </w:r>
      <w:r w:rsidR="00BB295C" w:rsidRPr="001C45D7">
        <w:t xml:space="preserve"> </w:t>
      </w:r>
      <w:r w:rsidRPr="001C45D7">
        <w:t>.001),</w:t>
      </w:r>
      <w:r w:rsidR="00FA6558" w:rsidRPr="001C45D7">
        <w:t xml:space="preserve"> </w:t>
      </w:r>
      <w:r w:rsidRPr="001C45D7">
        <w:t>confirming</w:t>
      </w:r>
      <w:r w:rsidR="00FA6558" w:rsidRPr="001C45D7">
        <w:t xml:space="preserve"> </w:t>
      </w:r>
      <w:r w:rsidRPr="001C45D7">
        <w:t>convergent</w:t>
      </w:r>
      <w:r w:rsidR="00FA6558" w:rsidRPr="001C45D7">
        <w:t xml:space="preserve"> </w:t>
      </w:r>
      <w:r w:rsidRPr="001C45D7">
        <w:t>validity</w:t>
      </w:r>
      <w:r w:rsidR="00FA6558" w:rsidRPr="001C45D7">
        <w:t xml:space="preserve"> </w:t>
      </w:r>
      <w:r w:rsidR="008E12F2" w:rsidRPr="001C45D7">
        <w:fldChar w:fldCharType="begin" w:fldLock="1"/>
      </w:r>
      <w:r w:rsidR="006E4923" w:rsidRPr="001C45D7">
        <w:instrText>ADDIN CSL_CITATION {"citationItems":[{"id":"ITEM-1","itemData":{"DOI":"10.1037/0033-2909.103.3.411","ISSN":"00332909","abstract":"In this article, we provide guidance for substantive researchers on the use of structural equation modeling in practice for theory testing and development. We present a comprehensive, two-step modeling approach that employs a series of nested models and sequential chi-square difference tests. We discuss the comparative advantages of this approach over a one-step approach. Considerations in specification, assessment of fit, and respecification of measurement models using confirmatory factor analysis are reviewed. As background to the two-step approach, the distinction between exploratory and confirmatory analysis, the distinction between complementary approaches for theory testing versus predictive application, and some developments in estimation methods also are discussed.","author":[{"dropping-particle":"","family":"Anderson","given":"James C.","non-dropping-particle":"","parse-names":false,"suffix":""},{"dropping-particle":"","family":"Gerbing","given":"David W.","non-dropping-particle":"","parse-names":false,"suffix":""}],"container-title":"Psychological Bulletin","id":"ITEM-1","issue":"3","issued":{"date-parts":[["1988"]]},"number-of-pages":"411-423","title":"Structural Equation Modeling in Practice: A Review and Recommended Two-Step Approach","type":"report","volume":"103"},"uris":["http://www.mendeley.com/documents/?uuid=7798cecc-f917-3529-aeb3-8b69ecf2a6b7"]}],"mendeley":{"formattedCitation":"(Anderson and Gerbing, 1988)","manualFormatting":"(Anderson and Gerbing, 1988)","plainTextFormattedCitation":"(Anderson and Gerbing, 1988)","previouslyFormattedCitation":"(Anderson and Gerbing, 1988)"},"properties":{"noteIndex":0},"schema":"https://github.com/citation-style-language/schema/raw/master/csl-citation.json"}</w:instrText>
      </w:r>
      <w:r w:rsidR="008E12F2" w:rsidRPr="001C45D7">
        <w:fldChar w:fldCharType="separate"/>
      </w:r>
      <w:r w:rsidR="00881C19" w:rsidRPr="001C45D7">
        <w:rPr>
          <w:noProof/>
        </w:rPr>
        <w:t>(</w:t>
      </w:r>
      <w:r w:rsidR="0060477C" w:rsidRPr="001C45D7">
        <w:rPr>
          <w:rFonts w:eastAsiaTheme="minorEastAsia" w:hint="eastAsia"/>
          <w:noProof/>
          <w:lang w:eastAsia="ko-KR"/>
        </w:rPr>
        <w:t>Anderson and Gerbing, 1988</w:t>
      </w:r>
      <w:r w:rsidR="00881C19" w:rsidRPr="001C45D7">
        <w:rPr>
          <w:noProof/>
        </w:rPr>
        <w:t>)</w:t>
      </w:r>
      <w:r w:rsidR="008E12F2" w:rsidRPr="001C45D7">
        <w:fldChar w:fldCharType="end"/>
      </w:r>
      <w:r w:rsidRPr="001C45D7">
        <w:t>.</w:t>
      </w:r>
      <w:r w:rsidR="00FA6558" w:rsidRPr="001C45D7">
        <w:t xml:space="preserve"> </w:t>
      </w:r>
      <w:r w:rsidRPr="001C45D7">
        <w:t>Finally,</w:t>
      </w:r>
      <w:r w:rsidR="00FA6558" w:rsidRPr="001C45D7">
        <w:t xml:space="preserve"> </w:t>
      </w:r>
      <w:r w:rsidRPr="001C45D7">
        <w:t>as</w:t>
      </w:r>
      <w:r w:rsidR="00FA6558" w:rsidRPr="001C45D7">
        <w:t xml:space="preserve"> </w:t>
      </w:r>
      <w:r w:rsidRPr="001C45D7">
        <w:t>shown</w:t>
      </w:r>
      <w:r w:rsidR="00FA6558" w:rsidRPr="001C45D7">
        <w:t xml:space="preserve"> </w:t>
      </w:r>
      <w:r w:rsidRPr="001C45D7">
        <w:t>in</w:t>
      </w:r>
      <w:r w:rsidR="00FA6558" w:rsidRPr="001C45D7">
        <w:t xml:space="preserve"> </w:t>
      </w:r>
      <w:r w:rsidR="003038F9" w:rsidRPr="001C45D7">
        <w:t>Table</w:t>
      </w:r>
      <w:r w:rsidR="00FA6558" w:rsidRPr="001C45D7">
        <w:t xml:space="preserve"> </w:t>
      </w:r>
      <w:r w:rsidR="003038F9" w:rsidRPr="001C45D7">
        <w:t>3</w:t>
      </w:r>
      <w:r w:rsidRPr="001C45D7">
        <w:t>,</w:t>
      </w:r>
      <w:r w:rsidR="00FA6558" w:rsidRPr="001C45D7">
        <w:t xml:space="preserve"> </w:t>
      </w:r>
      <w:r w:rsidRPr="001C45D7">
        <w:t>none</w:t>
      </w:r>
      <w:r w:rsidR="00FA6558" w:rsidRPr="001C45D7">
        <w:t xml:space="preserve"> </w:t>
      </w:r>
      <w:r w:rsidRPr="001C45D7">
        <w:t>of</w:t>
      </w:r>
      <w:r w:rsidR="00FA6558" w:rsidRPr="001C45D7">
        <w:t xml:space="preserve"> </w:t>
      </w:r>
      <w:r w:rsidRPr="001C45D7">
        <w:t>the</w:t>
      </w:r>
      <w:r w:rsidR="00FA6558" w:rsidRPr="001C45D7">
        <w:t xml:space="preserve"> </w:t>
      </w:r>
      <w:r w:rsidRPr="001C45D7">
        <w:t>average</w:t>
      </w:r>
      <w:r w:rsidR="00FA6558" w:rsidRPr="001C45D7">
        <w:t xml:space="preserve"> </w:t>
      </w:r>
      <w:r w:rsidRPr="001C45D7">
        <w:t>shared</w:t>
      </w:r>
      <w:r w:rsidR="00FA6558" w:rsidRPr="001C45D7">
        <w:t xml:space="preserve"> </w:t>
      </w:r>
      <w:r w:rsidRPr="001C45D7">
        <w:t>variances</w:t>
      </w:r>
      <w:r w:rsidR="00FA6558" w:rsidRPr="001C45D7">
        <w:t xml:space="preserve"> </w:t>
      </w:r>
      <w:r w:rsidRPr="001C45D7">
        <w:t>(AVEs)</w:t>
      </w:r>
      <w:r w:rsidR="00FA6558" w:rsidRPr="001C45D7">
        <w:t xml:space="preserve"> </w:t>
      </w:r>
      <w:r w:rsidR="007D2292" w:rsidRPr="001C45D7">
        <w:t>wa</w:t>
      </w:r>
      <w:r w:rsidRPr="001C45D7">
        <w:t>s</w:t>
      </w:r>
      <w:r w:rsidR="00FA6558" w:rsidRPr="001C45D7">
        <w:t xml:space="preserve"> </w:t>
      </w:r>
      <w:r w:rsidRPr="001C45D7">
        <w:t>below</w:t>
      </w:r>
      <w:r w:rsidR="00FA6558" w:rsidRPr="001C45D7">
        <w:t xml:space="preserve"> </w:t>
      </w:r>
      <w:r w:rsidRPr="001C45D7">
        <w:t>the</w:t>
      </w:r>
      <w:r w:rsidR="00FA6558" w:rsidRPr="001C45D7">
        <w:t xml:space="preserve"> </w:t>
      </w:r>
      <w:r w:rsidRPr="001C45D7">
        <w:t>squared</w:t>
      </w:r>
      <w:r w:rsidR="00FA6558" w:rsidRPr="001C45D7">
        <w:t xml:space="preserve"> </w:t>
      </w:r>
      <w:r w:rsidRPr="001C45D7">
        <w:t>correlation</w:t>
      </w:r>
      <w:r w:rsidR="00FA6558" w:rsidRPr="001C45D7">
        <w:t xml:space="preserve"> </w:t>
      </w:r>
      <w:r w:rsidRPr="001C45D7">
        <w:t>between</w:t>
      </w:r>
      <w:r w:rsidR="00FA6558" w:rsidRPr="001C45D7">
        <w:t xml:space="preserve"> </w:t>
      </w:r>
      <w:r w:rsidRPr="001C45D7">
        <w:t>corresponding</w:t>
      </w:r>
      <w:r w:rsidR="00FA6558" w:rsidRPr="001C45D7">
        <w:t xml:space="preserve"> </w:t>
      </w:r>
      <w:r w:rsidRPr="001C45D7">
        <w:t>construct</w:t>
      </w:r>
      <w:r w:rsidR="00FA6558" w:rsidRPr="001C45D7">
        <w:t xml:space="preserve"> </w:t>
      </w:r>
      <w:r w:rsidRPr="001C45D7">
        <w:t>pairs,</w:t>
      </w:r>
      <w:r w:rsidR="00FA6558" w:rsidRPr="001C45D7">
        <w:t xml:space="preserve"> </w:t>
      </w:r>
      <w:r w:rsidRPr="001C45D7">
        <w:t>providing</w:t>
      </w:r>
      <w:r w:rsidR="00FA6558" w:rsidRPr="001C45D7">
        <w:t xml:space="preserve"> </w:t>
      </w:r>
      <w:r w:rsidRPr="001C45D7">
        <w:t>evidence</w:t>
      </w:r>
      <w:r w:rsidR="00FA6558" w:rsidRPr="001C45D7">
        <w:t xml:space="preserve"> </w:t>
      </w:r>
      <w:r w:rsidRPr="001C45D7">
        <w:t>for</w:t>
      </w:r>
      <w:r w:rsidR="00FA6558" w:rsidRPr="001C45D7">
        <w:t xml:space="preserve"> </w:t>
      </w:r>
      <w:r w:rsidRPr="001C45D7">
        <w:t>discriminant</w:t>
      </w:r>
      <w:r w:rsidR="00FA6558" w:rsidRPr="001C45D7">
        <w:t xml:space="preserve"> </w:t>
      </w:r>
      <w:r w:rsidRPr="001C45D7">
        <w:t>validity</w:t>
      </w:r>
      <w:r w:rsidR="00FA6558" w:rsidRPr="001C45D7">
        <w:t xml:space="preserve"> </w:t>
      </w:r>
      <w:r w:rsidR="008E12F2" w:rsidRPr="001C45D7">
        <w:fldChar w:fldCharType="begin" w:fldLock="1"/>
      </w:r>
      <w:r w:rsidR="00635527" w:rsidRPr="001C45D7">
        <w:instrText>ADDIN CSL_CITATION {"citationItems":[{"id":"ITEM-1","itemData":{"DOI":"10.1177/002224378101800104","ISSN":"0022-2437","abstract":"The statistical tests used in the analysis of structural equation models with unobservable variables and measurement error are examined. A drawback of the commonly applied chi square test, in addit...","author":[{"dropping-particle":"","family":"Fornell","given":"Claes","non-dropping-particle":"","parse-names":false,"suffix":""},{"dropping-particle":"","family":"Larcker","given":"David F.","non-dropping-particle":"","parse-names":false,"suffix":""}],"container-title":"Journal of Marketing Research","id":"ITEM-1","issue":"1","issued":{"date-parts":[["1981","2"]]},"page":"39-50","publisher":"SAGE Publications","title":"Evaluating Structural Equation Models with Unobservable Variables and Measurement Error","type":"article-journal","volume":"18"},"uris":["http://www.mendeley.com/documents/?uuid=4b40edb1-c9e3-3b1a-adfa-f7b84aea3ac1"]}],"mendeley":{"formattedCitation":"(Fornell and Larcker, 1981)","plainTextFormattedCitation":"(Fornell and Larcker, 1981)","previouslyFormattedCitation":"(Fornell and Larcker, 1981)"},"properties":{"noteIndex":0},"schema":"https://github.com/citation-style-language/schema/raw/master/csl-citation.json"}</w:instrText>
      </w:r>
      <w:r w:rsidR="008E12F2" w:rsidRPr="001C45D7">
        <w:fldChar w:fldCharType="separate"/>
      </w:r>
      <w:r w:rsidR="008E12F2" w:rsidRPr="001C45D7">
        <w:rPr>
          <w:noProof/>
        </w:rPr>
        <w:t>(Fornell</w:t>
      </w:r>
      <w:r w:rsidR="00FA6558" w:rsidRPr="001C45D7">
        <w:rPr>
          <w:noProof/>
        </w:rPr>
        <w:t xml:space="preserve"> </w:t>
      </w:r>
      <w:r w:rsidR="008E12F2" w:rsidRPr="001C45D7">
        <w:rPr>
          <w:noProof/>
        </w:rPr>
        <w:t>and</w:t>
      </w:r>
      <w:r w:rsidR="00FA6558" w:rsidRPr="001C45D7">
        <w:rPr>
          <w:noProof/>
        </w:rPr>
        <w:t xml:space="preserve"> </w:t>
      </w:r>
      <w:r w:rsidR="008E12F2" w:rsidRPr="001C45D7">
        <w:rPr>
          <w:noProof/>
        </w:rPr>
        <w:t>Larcker,</w:t>
      </w:r>
      <w:r w:rsidR="00FA6558" w:rsidRPr="001C45D7">
        <w:rPr>
          <w:noProof/>
        </w:rPr>
        <w:t xml:space="preserve"> </w:t>
      </w:r>
      <w:r w:rsidR="008E12F2" w:rsidRPr="001C45D7">
        <w:rPr>
          <w:noProof/>
        </w:rPr>
        <w:t>1981)</w:t>
      </w:r>
      <w:r w:rsidR="008E12F2" w:rsidRPr="001C45D7">
        <w:fldChar w:fldCharType="end"/>
      </w:r>
      <w:r w:rsidRPr="001C45D7">
        <w:t>.</w:t>
      </w:r>
    </w:p>
    <w:p w14:paraId="67EF1515" w14:textId="77777777" w:rsidR="0014535F" w:rsidRPr="001C45D7" w:rsidRDefault="0014535F" w:rsidP="00566B02">
      <w:pPr>
        <w:pStyle w:val="BodyText"/>
      </w:pPr>
    </w:p>
    <w:p w14:paraId="23256C01" w14:textId="088CCFA7" w:rsidR="0028314E" w:rsidRPr="001C45D7" w:rsidRDefault="00B970F4" w:rsidP="00716DC1">
      <w:pPr>
        <w:pStyle w:val="BodyText"/>
        <w:jc w:val="center"/>
      </w:pPr>
      <w:r w:rsidRPr="001C45D7">
        <w:t xml:space="preserve">&lt;Insert </w:t>
      </w:r>
      <w:r w:rsidR="00E17D5F" w:rsidRPr="001C45D7">
        <w:rPr>
          <w:rFonts w:eastAsiaTheme="minorEastAsia" w:hint="eastAsia"/>
          <w:lang w:eastAsia="ko-KR"/>
        </w:rPr>
        <w:t xml:space="preserve">Table </w:t>
      </w:r>
      <w:r w:rsidRPr="001C45D7">
        <w:t>1 here&gt;</w:t>
      </w:r>
    </w:p>
    <w:p w14:paraId="0E521974" w14:textId="77777777" w:rsidR="00C67365" w:rsidRPr="001C45D7" w:rsidRDefault="00C67365" w:rsidP="00716DC1">
      <w:pPr>
        <w:widowControl/>
        <w:spacing w:line="480" w:lineRule="auto"/>
      </w:pPr>
    </w:p>
    <w:p w14:paraId="093CBB15" w14:textId="1C5EFDE2" w:rsidR="00C67365" w:rsidRPr="001C45D7" w:rsidRDefault="00C67365" w:rsidP="00157836">
      <w:pPr>
        <w:pStyle w:val="Heading2"/>
      </w:pPr>
      <w:r w:rsidRPr="001C45D7">
        <w:t>Common</w:t>
      </w:r>
      <w:r w:rsidR="00FA6558" w:rsidRPr="001C45D7">
        <w:t xml:space="preserve"> </w:t>
      </w:r>
      <w:r w:rsidRPr="001C45D7">
        <w:t>method</w:t>
      </w:r>
      <w:r w:rsidR="00FA6558" w:rsidRPr="001C45D7">
        <w:t xml:space="preserve"> </w:t>
      </w:r>
      <w:r w:rsidRPr="001C45D7">
        <w:t>bias</w:t>
      </w:r>
      <w:bookmarkEnd w:id="24"/>
    </w:p>
    <w:p w14:paraId="63FD7A0B" w14:textId="152795A7" w:rsidR="00C67365" w:rsidRPr="001C45D7" w:rsidRDefault="008E12F2" w:rsidP="00566B02">
      <w:pPr>
        <w:pStyle w:val="BodyText"/>
        <w:rPr>
          <w:rStyle w:val="Emphasis"/>
          <w:i w:val="0"/>
          <w:iCs w:val="0"/>
        </w:rPr>
      </w:pPr>
      <w:r w:rsidRPr="001C45D7">
        <w:rPr>
          <w:rStyle w:val="Emphasis"/>
          <w:i w:val="0"/>
          <w:iCs w:val="0"/>
        </w:rPr>
        <w:t>Given</w:t>
      </w:r>
      <w:r w:rsidR="00FA6558" w:rsidRPr="001C45D7">
        <w:rPr>
          <w:rStyle w:val="Emphasis"/>
          <w:i w:val="0"/>
          <w:iCs w:val="0"/>
        </w:rPr>
        <w:t xml:space="preserve"> </w:t>
      </w:r>
      <w:r w:rsidRPr="001C45D7">
        <w:rPr>
          <w:rStyle w:val="Emphasis"/>
          <w:i w:val="0"/>
          <w:iCs w:val="0"/>
        </w:rPr>
        <w:t>that</w:t>
      </w:r>
      <w:r w:rsidR="00FA6558" w:rsidRPr="001C45D7">
        <w:rPr>
          <w:rStyle w:val="Emphasis"/>
          <w:i w:val="0"/>
          <w:iCs w:val="0"/>
        </w:rPr>
        <w:t xml:space="preserve"> </w:t>
      </w:r>
      <w:r w:rsidRPr="001C45D7">
        <w:rPr>
          <w:rStyle w:val="Emphasis"/>
          <w:i w:val="0"/>
          <w:iCs w:val="0"/>
        </w:rPr>
        <w:t>self-reported</w:t>
      </w:r>
      <w:r w:rsidR="00FA6558" w:rsidRPr="001C45D7">
        <w:rPr>
          <w:rStyle w:val="Emphasis"/>
          <w:i w:val="0"/>
          <w:iCs w:val="0"/>
        </w:rPr>
        <w:t xml:space="preserve"> </w:t>
      </w:r>
      <w:r w:rsidRPr="001C45D7">
        <w:rPr>
          <w:rStyle w:val="Emphasis"/>
          <w:i w:val="0"/>
          <w:iCs w:val="0"/>
        </w:rPr>
        <w:t>data</w:t>
      </w:r>
      <w:r w:rsidR="00FA6558" w:rsidRPr="001C45D7">
        <w:rPr>
          <w:rStyle w:val="Emphasis"/>
          <w:i w:val="0"/>
          <w:iCs w:val="0"/>
        </w:rPr>
        <w:t xml:space="preserve"> </w:t>
      </w:r>
      <w:r w:rsidRPr="001C45D7">
        <w:rPr>
          <w:rStyle w:val="Emphasis"/>
          <w:i w:val="0"/>
          <w:iCs w:val="0"/>
        </w:rPr>
        <w:t>w</w:t>
      </w:r>
      <w:r w:rsidR="00C1288E" w:rsidRPr="001C45D7">
        <w:rPr>
          <w:rStyle w:val="Emphasis"/>
          <w:i w:val="0"/>
          <w:iCs w:val="0"/>
        </w:rPr>
        <w:t>as</w:t>
      </w:r>
      <w:r w:rsidR="00FA6558" w:rsidRPr="001C45D7">
        <w:rPr>
          <w:rStyle w:val="Emphasis"/>
          <w:i w:val="0"/>
          <w:iCs w:val="0"/>
        </w:rPr>
        <w:t xml:space="preserve"> </w:t>
      </w:r>
      <w:r w:rsidRPr="001C45D7">
        <w:rPr>
          <w:rStyle w:val="Emphasis"/>
          <w:i w:val="0"/>
          <w:iCs w:val="0"/>
        </w:rPr>
        <w:t>used</w:t>
      </w:r>
      <w:r w:rsidR="000D529C" w:rsidRPr="001C45D7">
        <w:rPr>
          <w:rStyle w:val="Emphasis"/>
          <w:i w:val="0"/>
          <w:iCs w:val="0"/>
        </w:rPr>
        <w:t>,</w:t>
      </w:r>
      <w:r w:rsidR="00FA6558" w:rsidRPr="001C45D7">
        <w:rPr>
          <w:rStyle w:val="Emphasis"/>
          <w:i w:val="0"/>
          <w:iCs w:val="0"/>
        </w:rPr>
        <w:t xml:space="preserve"> </w:t>
      </w:r>
      <w:r w:rsidRPr="001C45D7">
        <w:rPr>
          <w:rStyle w:val="Emphasis"/>
          <w:i w:val="0"/>
          <w:iCs w:val="0"/>
        </w:rPr>
        <w:t>and</w:t>
      </w:r>
      <w:r w:rsidR="00FA6558" w:rsidRPr="001C45D7">
        <w:rPr>
          <w:rStyle w:val="Emphasis"/>
          <w:i w:val="0"/>
          <w:iCs w:val="0"/>
        </w:rPr>
        <w:t xml:space="preserve"> </w:t>
      </w:r>
      <w:r w:rsidRPr="001C45D7">
        <w:rPr>
          <w:rStyle w:val="Emphasis"/>
          <w:i w:val="0"/>
          <w:iCs w:val="0"/>
        </w:rPr>
        <w:t>that</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same</w:t>
      </w:r>
      <w:r w:rsidR="00FA6558" w:rsidRPr="001C45D7">
        <w:rPr>
          <w:rStyle w:val="Emphasis"/>
          <w:i w:val="0"/>
          <w:iCs w:val="0"/>
        </w:rPr>
        <w:t xml:space="preserve"> </w:t>
      </w:r>
      <w:r w:rsidRPr="001C45D7">
        <w:rPr>
          <w:rStyle w:val="Emphasis"/>
          <w:i w:val="0"/>
          <w:iCs w:val="0"/>
        </w:rPr>
        <w:t>respondents</w:t>
      </w:r>
      <w:r w:rsidR="00FA6558" w:rsidRPr="001C45D7">
        <w:rPr>
          <w:rStyle w:val="Emphasis"/>
          <w:i w:val="0"/>
          <w:iCs w:val="0"/>
        </w:rPr>
        <w:t xml:space="preserve"> </w:t>
      </w:r>
      <w:r w:rsidRPr="001C45D7">
        <w:rPr>
          <w:rStyle w:val="Emphasis"/>
          <w:i w:val="0"/>
          <w:iCs w:val="0"/>
        </w:rPr>
        <w:t>answered</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questions</w:t>
      </w:r>
      <w:r w:rsidR="00FA6558" w:rsidRPr="001C45D7">
        <w:rPr>
          <w:rStyle w:val="Emphasis"/>
          <w:i w:val="0"/>
          <w:iCs w:val="0"/>
        </w:rPr>
        <w:t xml:space="preserve"> </w:t>
      </w:r>
      <w:r w:rsidRPr="001C45D7">
        <w:rPr>
          <w:rStyle w:val="Emphasis"/>
          <w:i w:val="0"/>
          <w:iCs w:val="0"/>
        </w:rPr>
        <w:t>on</w:t>
      </w:r>
      <w:r w:rsidR="00FA6558" w:rsidRPr="001C45D7">
        <w:rPr>
          <w:rStyle w:val="Emphasis"/>
          <w:i w:val="0"/>
          <w:iCs w:val="0"/>
        </w:rPr>
        <w:t xml:space="preserve"> </w:t>
      </w:r>
      <w:r w:rsidRPr="001C45D7">
        <w:rPr>
          <w:rStyle w:val="Emphasis"/>
          <w:i w:val="0"/>
          <w:iCs w:val="0"/>
        </w:rPr>
        <w:t>both</w:t>
      </w:r>
      <w:r w:rsidR="00FA6558" w:rsidRPr="001C45D7">
        <w:rPr>
          <w:rStyle w:val="Emphasis"/>
          <w:i w:val="0"/>
          <w:iCs w:val="0"/>
        </w:rPr>
        <w:t xml:space="preserve"> </w:t>
      </w:r>
      <w:r w:rsidRPr="001C45D7">
        <w:rPr>
          <w:rStyle w:val="Emphasis"/>
          <w:i w:val="0"/>
          <w:iCs w:val="0"/>
        </w:rPr>
        <w:t>performance</w:t>
      </w:r>
      <w:r w:rsidR="00FA6558" w:rsidRPr="001C45D7">
        <w:rPr>
          <w:rStyle w:val="Emphasis"/>
          <w:i w:val="0"/>
          <w:iCs w:val="0"/>
        </w:rPr>
        <w:t xml:space="preserve"> </w:t>
      </w:r>
      <w:r w:rsidRPr="001C45D7">
        <w:rPr>
          <w:rStyle w:val="Emphasis"/>
          <w:i w:val="0"/>
          <w:iCs w:val="0"/>
        </w:rPr>
        <w:t>and</w:t>
      </w:r>
      <w:r w:rsidR="00FA6558" w:rsidRPr="001C45D7">
        <w:rPr>
          <w:rStyle w:val="Emphasis"/>
          <w:i w:val="0"/>
          <w:iCs w:val="0"/>
        </w:rPr>
        <w:t xml:space="preserve"> </w:t>
      </w:r>
      <w:r w:rsidRPr="001C45D7">
        <w:rPr>
          <w:rStyle w:val="Emphasis"/>
          <w:i w:val="0"/>
          <w:iCs w:val="0"/>
        </w:rPr>
        <w:t>its</w:t>
      </w:r>
      <w:r w:rsidR="00FA6558" w:rsidRPr="001C45D7">
        <w:rPr>
          <w:rStyle w:val="Emphasis"/>
          <w:i w:val="0"/>
          <w:iCs w:val="0"/>
        </w:rPr>
        <w:t xml:space="preserve"> </w:t>
      </w:r>
      <w:r w:rsidRPr="001C45D7">
        <w:rPr>
          <w:rStyle w:val="Emphasis"/>
          <w:i w:val="0"/>
          <w:iCs w:val="0"/>
        </w:rPr>
        <w:t>determinants,</w:t>
      </w:r>
      <w:r w:rsidR="00FA6558" w:rsidRPr="001C45D7">
        <w:rPr>
          <w:rStyle w:val="Emphasis"/>
          <w:i w:val="0"/>
          <w:iCs w:val="0"/>
        </w:rPr>
        <w:t xml:space="preserve"> </w:t>
      </w:r>
      <w:r w:rsidRPr="001C45D7">
        <w:rPr>
          <w:rStyle w:val="Emphasis"/>
          <w:i w:val="0"/>
          <w:iCs w:val="0"/>
        </w:rPr>
        <w:t>common</w:t>
      </w:r>
      <w:r w:rsidR="00FA6558" w:rsidRPr="001C45D7">
        <w:rPr>
          <w:rStyle w:val="Emphasis"/>
          <w:i w:val="0"/>
          <w:iCs w:val="0"/>
        </w:rPr>
        <w:t xml:space="preserve"> </w:t>
      </w:r>
      <w:r w:rsidRPr="001C45D7">
        <w:rPr>
          <w:rStyle w:val="Emphasis"/>
          <w:i w:val="0"/>
          <w:iCs w:val="0"/>
        </w:rPr>
        <w:t>method</w:t>
      </w:r>
      <w:r w:rsidR="00FA6558" w:rsidRPr="001C45D7">
        <w:rPr>
          <w:rStyle w:val="Emphasis"/>
          <w:i w:val="0"/>
          <w:iCs w:val="0"/>
        </w:rPr>
        <w:t xml:space="preserve"> </w:t>
      </w:r>
      <w:r w:rsidRPr="001C45D7">
        <w:rPr>
          <w:rStyle w:val="Emphasis"/>
          <w:i w:val="0"/>
          <w:iCs w:val="0"/>
        </w:rPr>
        <w:t>bias</w:t>
      </w:r>
      <w:r w:rsidR="00FA6558" w:rsidRPr="001C45D7">
        <w:rPr>
          <w:rStyle w:val="Emphasis"/>
          <w:i w:val="0"/>
          <w:iCs w:val="0"/>
        </w:rPr>
        <w:t xml:space="preserve"> </w:t>
      </w:r>
      <w:r w:rsidRPr="001C45D7">
        <w:rPr>
          <w:rStyle w:val="Emphasis"/>
          <w:i w:val="0"/>
          <w:iCs w:val="0"/>
        </w:rPr>
        <w:t>(CMB)</w:t>
      </w:r>
      <w:r w:rsidR="00FA6558" w:rsidRPr="001C45D7">
        <w:rPr>
          <w:rStyle w:val="Emphasis"/>
          <w:i w:val="0"/>
          <w:iCs w:val="0"/>
        </w:rPr>
        <w:t xml:space="preserve"> </w:t>
      </w:r>
      <w:r w:rsidRPr="001C45D7">
        <w:rPr>
          <w:rStyle w:val="Emphasis"/>
          <w:i w:val="0"/>
          <w:iCs w:val="0"/>
        </w:rPr>
        <w:t>was</w:t>
      </w:r>
      <w:r w:rsidR="00FA6558" w:rsidRPr="001C45D7">
        <w:rPr>
          <w:rStyle w:val="Emphasis"/>
          <w:i w:val="0"/>
          <w:iCs w:val="0"/>
        </w:rPr>
        <w:t xml:space="preserve"> </w:t>
      </w:r>
      <w:r w:rsidRPr="001C45D7">
        <w:rPr>
          <w:rStyle w:val="Emphasis"/>
          <w:i w:val="0"/>
          <w:iCs w:val="0"/>
        </w:rPr>
        <w:t>a</w:t>
      </w:r>
      <w:r w:rsidR="00FA6558" w:rsidRPr="001C45D7">
        <w:rPr>
          <w:rStyle w:val="Emphasis"/>
          <w:i w:val="0"/>
          <w:iCs w:val="0"/>
        </w:rPr>
        <w:t xml:space="preserve"> </w:t>
      </w:r>
      <w:r w:rsidRPr="001C45D7">
        <w:rPr>
          <w:rStyle w:val="Emphasis"/>
          <w:i w:val="0"/>
          <w:iCs w:val="0"/>
        </w:rPr>
        <w:t>possibility</w:t>
      </w:r>
      <w:r w:rsidR="00FA6558" w:rsidRPr="001C45D7">
        <w:rPr>
          <w:rStyle w:val="Emphasis"/>
          <w:i w:val="0"/>
          <w:iCs w:val="0"/>
        </w:rPr>
        <w:t xml:space="preserve"> </w:t>
      </w:r>
      <w:r w:rsidR="00764B4F" w:rsidRPr="001C45D7">
        <w:rPr>
          <w:rStyle w:val="Emphasis"/>
          <w:i w:val="0"/>
          <w:iCs w:val="0"/>
        </w:rPr>
        <w:fldChar w:fldCharType="begin" w:fldLock="1"/>
      </w:r>
      <w:r w:rsidR="00433778" w:rsidRPr="001C45D7">
        <w:rPr>
          <w:rStyle w:val="Emphasis"/>
          <w:i w:val="0"/>
          <w:iCs w:val="0"/>
        </w:rPr>
        <w:instrText>ADDIN CSL_CITATION {"citationItems":[{"id":"ITEM-1","itemData":{"DOI":"10.1037/0021-9010.88.5.879","ISSN":"00219010","PMID":"14516251","abstract":"Interest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settings.","author":[{"dropping-particle":"","family":"Podsakoff","given":"Philip M.","non-dropping-particle":"","parse-names":false,"suffix":""},{"dropping-particle":"","family":"MacKenzie","given":"Scott B.","non-dropping-particle":"","parse-names":false,"suffix":""},{"dropping-particle":"","family":"Lee","given":"Jeong Yeon","non-dropping-particle":"","parse-names":false,"suffix":""},{"dropping-particle":"","family":"Podsakoff","given":"Nathan P.","non-dropping-particle":"","parse-names":false,"suffix":""}],"container-title":"Journal of Applied Psychology","id":"ITEM-1","issue":"5","issued":{"date-parts":[["2003"]]},"page":"879-903","publisher":"Williams &amp; Anderson","title":"Common Method Biases in Behavioral Research: A Critical Review of the Literature and Recommended Remedies","type":"article-journal","volume":"88"},"uris":["http://www.mendeley.com/documents/?uuid=d3dff5a6-bbce-362d-ade1-a4aa5e7485dc"]}],"mendeley":{"formattedCitation":"(Podsakoff &lt;i&gt;et al.&lt;/i&gt;, 2003)","plainTextFormattedCitation":"(Podsakoff et al., 2003)","previouslyFormattedCitation":"(Podsakoff &lt;i&gt;et al.&lt;/i&gt;, 2003)"},"properties":{"noteIndex":0},"schema":"https://github.com/citation-style-language/schema/raw/master/csl-citation.json"}</w:instrText>
      </w:r>
      <w:r w:rsidR="00764B4F" w:rsidRPr="001C45D7">
        <w:rPr>
          <w:rStyle w:val="Emphasis"/>
          <w:i w:val="0"/>
          <w:iCs w:val="0"/>
        </w:rPr>
        <w:fldChar w:fldCharType="separate"/>
      </w:r>
      <w:r w:rsidR="00881C19" w:rsidRPr="001C45D7">
        <w:rPr>
          <w:rStyle w:val="Emphasis"/>
          <w:i w:val="0"/>
          <w:iCs w:val="0"/>
          <w:noProof/>
        </w:rPr>
        <w:t>(Podsakoff</w:t>
      </w:r>
      <w:r w:rsidR="00FA6558" w:rsidRPr="001C45D7">
        <w:rPr>
          <w:rStyle w:val="Emphasis"/>
          <w:i w:val="0"/>
          <w:iCs w:val="0"/>
          <w:noProof/>
        </w:rPr>
        <w:t xml:space="preserve"> </w:t>
      </w:r>
      <w:r w:rsidR="00881C19" w:rsidRPr="001C45D7">
        <w:rPr>
          <w:rStyle w:val="Emphasis"/>
          <w:iCs w:val="0"/>
          <w:noProof/>
        </w:rPr>
        <w:t>et</w:t>
      </w:r>
      <w:r w:rsidR="00FA6558" w:rsidRPr="001C45D7">
        <w:rPr>
          <w:rStyle w:val="Emphasis"/>
          <w:iCs w:val="0"/>
          <w:noProof/>
        </w:rPr>
        <w:t xml:space="preserve"> </w:t>
      </w:r>
      <w:r w:rsidR="00881C19" w:rsidRPr="001C45D7">
        <w:rPr>
          <w:rStyle w:val="Emphasis"/>
          <w:iCs w:val="0"/>
          <w:noProof/>
        </w:rPr>
        <w:t>al.</w:t>
      </w:r>
      <w:r w:rsidR="00881C19" w:rsidRPr="001C45D7">
        <w:rPr>
          <w:rStyle w:val="Emphasis"/>
          <w:i w:val="0"/>
          <w:iCs w:val="0"/>
          <w:noProof/>
        </w:rPr>
        <w:t>,</w:t>
      </w:r>
      <w:r w:rsidR="00FA6558" w:rsidRPr="001C45D7">
        <w:rPr>
          <w:rStyle w:val="Emphasis"/>
          <w:i w:val="0"/>
          <w:iCs w:val="0"/>
          <w:noProof/>
        </w:rPr>
        <w:t xml:space="preserve"> </w:t>
      </w:r>
      <w:r w:rsidR="00881C19" w:rsidRPr="001C45D7">
        <w:rPr>
          <w:rStyle w:val="Emphasis"/>
          <w:i w:val="0"/>
          <w:iCs w:val="0"/>
          <w:noProof/>
        </w:rPr>
        <w:t>2003)</w:t>
      </w:r>
      <w:r w:rsidR="00764B4F" w:rsidRPr="001C45D7">
        <w:rPr>
          <w:rStyle w:val="Emphasis"/>
          <w:i w:val="0"/>
          <w:iCs w:val="0"/>
        </w:rPr>
        <w:fldChar w:fldCharType="end"/>
      </w:r>
      <w:r w:rsidRPr="001C45D7">
        <w:rPr>
          <w:rStyle w:val="Emphasis"/>
          <w:i w:val="0"/>
          <w:iCs w:val="0"/>
        </w:rPr>
        <w:t>.</w:t>
      </w:r>
      <w:r w:rsidR="00FA6558" w:rsidRPr="001C45D7">
        <w:rPr>
          <w:rStyle w:val="Emphasis"/>
          <w:i w:val="0"/>
          <w:iCs w:val="0"/>
        </w:rPr>
        <w:t xml:space="preserve"> </w:t>
      </w:r>
      <w:r w:rsidRPr="001C45D7">
        <w:rPr>
          <w:rStyle w:val="Emphasis"/>
          <w:i w:val="0"/>
          <w:iCs w:val="0"/>
        </w:rPr>
        <w:t>Several</w:t>
      </w:r>
      <w:r w:rsidR="00FA6558" w:rsidRPr="001C45D7">
        <w:rPr>
          <w:rStyle w:val="Emphasis"/>
          <w:i w:val="0"/>
          <w:iCs w:val="0"/>
        </w:rPr>
        <w:t xml:space="preserve"> </w:t>
      </w:r>
      <w:r w:rsidRPr="001C45D7">
        <w:rPr>
          <w:rStyle w:val="Emphasis"/>
          <w:i w:val="0"/>
          <w:iCs w:val="0"/>
        </w:rPr>
        <w:t>steps</w:t>
      </w:r>
      <w:r w:rsidR="00FA6558" w:rsidRPr="001C45D7">
        <w:rPr>
          <w:rStyle w:val="Emphasis"/>
          <w:i w:val="0"/>
          <w:iCs w:val="0"/>
        </w:rPr>
        <w:t xml:space="preserve"> </w:t>
      </w:r>
      <w:r w:rsidRPr="001C45D7">
        <w:rPr>
          <w:rStyle w:val="Emphasis"/>
          <w:i w:val="0"/>
          <w:iCs w:val="0"/>
        </w:rPr>
        <w:t>were</w:t>
      </w:r>
      <w:r w:rsidR="00FA6558" w:rsidRPr="001C45D7">
        <w:rPr>
          <w:rStyle w:val="Emphasis"/>
          <w:i w:val="0"/>
          <w:iCs w:val="0"/>
        </w:rPr>
        <w:t xml:space="preserve"> </w:t>
      </w:r>
      <w:r w:rsidRPr="001C45D7">
        <w:rPr>
          <w:rStyle w:val="Emphasis"/>
          <w:i w:val="0"/>
          <w:iCs w:val="0"/>
        </w:rPr>
        <w:t>taken</w:t>
      </w:r>
      <w:r w:rsidR="00FA6558" w:rsidRPr="001C45D7">
        <w:rPr>
          <w:rStyle w:val="Emphasis"/>
          <w:i w:val="0"/>
          <w:iCs w:val="0"/>
        </w:rPr>
        <w:t xml:space="preserve"> </w:t>
      </w:r>
      <w:r w:rsidRPr="001C45D7">
        <w:rPr>
          <w:rStyle w:val="Emphasis"/>
          <w:i w:val="0"/>
          <w:iCs w:val="0"/>
        </w:rPr>
        <w:t>in</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data</w:t>
      </w:r>
      <w:r w:rsidR="00FA6558" w:rsidRPr="001C45D7">
        <w:rPr>
          <w:rStyle w:val="Emphasis"/>
          <w:i w:val="0"/>
          <w:iCs w:val="0"/>
        </w:rPr>
        <w:t xml:space="preserve"> </w:t>
      </w:r>
      <w:r w:rsidRPr="001C45D7">
        <w:rPr>
          <w:rStyle w:val="Emphasis"/>
          <w:i w:val="0"/>
          <w:iCs w:val="0"/>
        </w:rPr>
        <w:t>collection</w:t>
      </w:r>
      <w:r w:rsidR="00FA6558" w:rsidRPr="001C45D7">
        <w:rPr>
          <w:rStyle w:val="Emphasis"/>
          <w:i w:val="0"/>
          <w:iCs w:val="0"/>
        </w:rPr>
        <w:t xml:space="preserve"> </w:t>
      </w:r>
      <w:r w:rsidRPr="001C45D7">
        <w:rPr>
          <w:rStyle w:val="Emphasis"/>
          <w:i w:val="0"/>
          <w:iCs w:val="0"/>
        </w:rPr>
        <w:t>process</w:t>
      </w:r>
      <w:r w:rsidR="00FA6558" w:rsidRPr="001C45D7">
        <w:rPr>
          <w:rStyle w:val="Emphasis"/>
          <w:i w:val="0"/>
          <w:iCs w:val="0"/>
        </w:rPr>
        <w:t xml:space="preserve"> </w:t>
      </w:r>
      <w:r w:rsidRPr="001C45D7">
        <w:rPr>
          <w:rStyle w:val="Emphasis"/>
          <w:i w:val="0"/>
          <w:iCs w:val="0"/>
        </w:rPr>
        <w:t>to</w:t>
      </w:r>
      <w:r w:rsidR="00FA6558" w:rsidRPr="001C45D7">
        <w:rPr>
          <w:rStyle w:val="Emphasis"/>
          <w:i w:val="0"/>
          <w:iCs w:val="0"/>
        </w:rPr>
        <w:t xml:space="preserve"> </w:t>
      </w:r>
      <w:r w:rsidRPr="001C45D7">
        <w:rPr>
          <w:rStyle w:val="Emphasis"/>
          <w:i w:val="0"/>
          <w:iCs w:val="0"/>
        </w:rPr>
        <w:t>avoid</w:t>
      </w:r>
      <w:r w:rsidR="00FA6558" w:rsidRPr="001C45D7">
        <w:rPr>
          <w:rStyle w:val="Emphasis"/>
          <w:i w:val="0"/>
          <w:iCs w:val="0"/>
        </w:rPr>
        <w:t xml:space="preserve"> </w:t>
      </w:r>
      <w:r w:rsidRPr="001C45D7">
        <w:rPr>
          <w:rStyle w:val="Emphasis"/>
          <w:i w:val="0"/>
          <w:iCs w:val="0"/>
        </w:rPr>
        <w:t>such</w:t>
      </w:r>
      <w:r w:rsidR="00FA6558" w:rsidRPr="001C45D7">
        <w:rPr>
          <w:rStyle w:val="Emphasis"/>
          <w:i w:val="0"/>
          <w:iCs w:val="0"/>
        </w:rPr>
        <w:t xml:space="preserve"> </w:t>
      </w:r>
      <w:r w:rsidRPr="001C45D7">
        <w:rPr>
          <w:rStyle w:val="Emphasis"/>
          <w:i w:val="0"/>
          <w:iCs w:val="0"/>
        </w:rPr>
        <w:t>bias.</w:t>
      </w:r>
      <w:r w:rsidR="00FA6558" w:rsidRPr="001C45D7">
        <w:rPr>
          <w:rStyle w:val="Emphasis"/>
          <w:i w:val="0"/>
          <w:iCs w:val="0"/>
        </w:rPr>
        <w:t xml:space="preserve"> </w:t>
      </w:r>
      <w:r w:rsidRPr="001C45D7">
        <w:rPr>
          <w:rStyle w:val="Emphasis"/>
          <w:i w:val="0"/>
          <w:iCs w:val="0"/>
        </w:rPr>
        <w:t>First,</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respondents</w:t>
      </w:r>
      <w:r w:rsidR="00FA6558" w:rsidRPr="001C45D7">
        <w:rPr>
          <w:rStyle w:val="Emphasis"/>
          <w:i w:val="0"/>
          <w:iCs w:val="0"/>
        </w:rPr>
        <w:t xml:space="preserve"> </w:t>
      </w:r>
      <w:r w:rsidRPr="001C45D7">
        <w:rPr>
          <w:rStyle w:val="Emphasis"/>
          <w:i w:val="0"/>
          <w:iCs w:val="0"/>
        </w:rPr>
        <w:t>were</w:t>
      </w:r>
      <w:r w:rsidR="00FA6558" w:rsidRPr="001C45D7">
        <w:rPr>
          <w:rStyle w:val="Emphasis"/>
          <w:i w:val="0"/>
          <w:iCs w:val="0"/>
        </w:rPr>
        <w:t xml:space="preserve"> </w:t>
      </w:r>
      <w:r w:rsidRPr="001C45D7">
        <w:rPr>
          <w:rStyle w:val="Emphasis"/>
          <w:i w:val="0"/>
          <w:iCs w:val="0"/>
        </w:rPr>
        <w:t>assured</w:t>
      </w:r>
      <w:r w:rsidR="00FA6558" w:rsidRPr="001C45D7">
        <w:rPr>
          <w:rStyle w:val="Emphasis"/>
          <w:i w:val="0"/>
          <w:iCs w:val="0"/>
        </w:rPr>
        <w:t xml:space="preserve"> </w:t>
      </w:r>
      <w:r w:rsidRPr="001C45D7">
        <w:rPr>
          <w:rStyle w:val="Emphasis"/>
          <w:i w:val="0"/>
          <w:iCs w:val="0"/>
        </w:rPr>
        <w:t>that</w:t>
      </w:r>
      <w:r w:rsidR="00FA6558" w:rsidRPr="001C45D7">
        <w:rPr>
          <w:rStyle w:val="Emphasis"/>
          <w:i w:val="0"/>
          <w:iCs w:val="0"/>
        </w:rPr>
        <w:t xml:space="preserve"> </w:t>
      </w:r>
      <w:r w:rsidRPr="001C45D7">
        <w:rPr>
          <w:rStyle w:val="Emphasis"/>
          <w:i w:val="0"/>
          <w:iCs w:val="0"/>
        </w:rPr>
        <w:t>their</w:t>
      </w:r>
      <w:r w:rsidR="00FA6558" w:rsidRPr="001C45D7">
        <w:rPr>
          <w:rStyle w:val="Emphasis"/>
          <w:i w:val="0"/>
          <w:iCs w:val="0"/>
        </w:rPr>
        <w:t xml:space="preserve"> </w:t>
      </w:r>
      <w:r w:rsidRPr="001C45D7">
        <w:rPr>
          <w:rStyle w:val="Emphasis"/>
          <w:i w:val="0"/>
          <w:iCs w:val="0"/>
        </w:rPr>
        <w:t>identities</w:t>
      </w:r>
      <w:r w:rsidR="00FA6558" w:rsidRPr="001C45D7">
        <w:rPr>
          <w:rStyle w:val="Emphasis"/>
          <w:i w:val="0"/>
          <w:iCs w:val="0"/>
        </w:rPr>
        <w:t xml:space="preserve"> </w:t>
      </w:r>
      <w:r w:rsidRPr="001C45D7">
        <w:rPr>
          <w:rStyle w:val="Emphasis"/>
          <w:i w:val="0"/>
          <w:iCs w:val="0"/>
        </w:rPr>
        <w:t>would</w:t>
      </w:r>
      <w:r w:rsidR="00FA6558" w:rsidRPr="001C45D7">
        <w:rPr>
          <w:rStyle w:val="Emphasis"/>
          <w:i w:val="0"/>
          <w:iCs w:val="0"/>
        </w:rPr>
        <w:t xml:space="preserve"> </w:t>
      </w:r>
      <w:r w:rsidRPr="001C45D7">
        <w:rPr>
          <w:rStyle w:val="Emphasis"/>
          <w:i w:val="0"/>
          <w:iCs w:val="0"/>
        </w:rPr>
        <w:t>remain</w:t>
      </w:r>
      <w:r w:rsidR="00FA6558" w:rsidRPr="001C45D7">
        <w:rPr>
          <w:rStyle w:val="Emphasis"/>
          <w:i w:val="0"/>
          <w:iCs w:val="0"/>
        </w:rPr>
        <w:t xml:space="preserve"> </w:t>
      </w:r>
      <w:r w:rsidRPr="001C45D7">
        <w:rPr>
          <w:rStyle w:val="Emphasis"/>
          <w:i w:val="0"/>
          <w:iCs w:val="0"/>
        </w:rPr>
        <w:t>anonymous.</w:t>
      </w:r>
      <w:r w:rsidR="00FA6558" w:rsidRPr="001C45D7">
        <w:rPr>
          <w:rStyle w:val="Emphasis"/>
          <w:i w:val="0"/>
          <w:iCs w:val="0"/>
        </w:rPr>
        <w:t xml:space="preserve"> </w:t>
      </w:r>
      <w:r w:rsidRPr="001C45D7">
        <w:rPr>
          <w:rStyle w:val="Emphasis"/>
          <w:i w:val="0"/>
          <w:iCs w:val="0"/>
        </w:rPr>
        <w:t>In</w:t>
      </w:r>
      <w:r w:rsidR="00FA6558" w:rsidRPr="001C45D7">
        <w:rPr>
          <w:rStyle w:val="Emphasis"/>
          <w:i w:val="0"/>
          <w:iCs w:val="0"/>
        </w:rPr>
        <w:t xml:space="preserve"> </w:t>
      </w:r>
      <w:r w:rsidRPr="001C45D7">
        <w:rPr>
          <w:rStyle w:val="Emphasis"/>
          <w:i w:val="0"/>
          <w:iCs w:val="0"/>
        </w:rPr>
        <w:t>addition,</w:t>
      </w:r>
      <w:r w:rsidR="00FA6558" w:rsidRPr="001C45D7">
        <w:rPr>
          <w:rStyle w:val="Emphasis"/>
          <w:i w:val="0"/>
          <w:iCs w:val="0"/>
        </w:rPr>
        <w:t xml:space="preserve"> </w:t>
      </w:r>
      <w:r w:rsidRPr="001C45D7">
        <w:rPr>
          <w:rStyle w:val="Emphasis"/>
          <w:i w:val="0"/>
          <w:iCs w:val="0"/>
        </w:rPr>
        <w:t>we</w:t>
      </w:r>
      <w:r w:rsidR="00FA6558" w:rsidRPr="001C45D7">
        <w:rPr>
          <w:rStyle w:val="Emphasis"/>
          <w:i w:val="0"/>
          <w:iCs w:val="0"/>
        </w:rPr>
        <w:t xml:space="preserve"> </w:t>
      </w:r>
      <w:r w:rsidRPr="001C45D7">
        <w:rPr>
          <w:rStyle w:val="Emphasis"/>
          <w:i w:val="0"/>
          <w:iCs w:val="0"/>
        </w:rPr>
        <w:t>organised</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questionnaire</w:t>
      </w:r>
      <w:r w:rsidR="00FA6558" w:rsidRPr="001C45D7">
        <w:rPr>
          <w:rStyle w:val="Emphasis"/>
          <w:i w:val="0"/>
          <w:iCs w:val="0"/>
        </w:rPr>
        <w:t xml:space="preserve"> </w:t>
      </w:r>
      <w:r w:rsidRPr="001C45D7">
        <w:rPr>
          <w:rStyle w:val="Emphasis"/>
          <w:i w:val="0"/>
          <w:iCs w:val="0"/>
        </w:rPr>
        <w:t>in</w:t>
      </w:r>
      <w:r w:rsidR="00FA6558" w:rsidRPr="001C45D7">
        <w:rPr>
          <w:rStyle w:val="Emphasis"/>
          <w:i w:val="0"/>
          <w:iCs w:val="0"/>
        </w:rPr>
        <w:t xml:space="preserve"> </w:t>
      </w:r>
      <w:r w:rsidRPr="001C45D7">
        <w:rPr>
          <w:rStyle w:val="Emphasis"/>
          <w:i w:val="0"/>
          <w:iCs w:val="0"/>
        </w:rPr>
        <w:t>such</w:t>
      </w:r>
      <w:r w:rsidR="00FA6558" w:rsidRPr="001C45D7">
        <w:rPr>
          <w:rStyle w:val="Emphasis"/>
          <w:i w:val="0"/>
          <w:iCs w:val="0"/>
        </w:rPr>
        <w:t xml:space="preserve"> </w:t>
      </w:r>
      <w:r w:rsidRPr="001C45D7">
        <w:rPr>
          <w:rStyle w:val="Emphasis"/>
          <w:i w:val="0"/>
          <w:iCs w:val="0"/>
        </w:rPr>
        <w:t>a</w:t>
      </w:r>
      <w:r w:rsidR="00FA6558" w:rsidRPr="001C45D7">
        <w:rPr>
          <w:rStyle w:val="Emphasis"/>
          <w:i w:val="0"/>
          <w:iCs w:val="0"/>
        </w:rPr>
        <w:t xml:space="preserve"> </w:t>
      </w:r>
      <w:r w:rsidRPr="001C45D7">
        <w:rPr>
          <w:rStyle w:val="Emphasis"/>
          <w:i w:val="0"/>
          <w:iCs w:val="0"/>
        </w:rPr>
        <w:t>way</w:t>
      </w:r>
      <w:r w:rsidR="00FA6558" w:rsidRPr="001C45D7">
        <w:rPr>
          <w:rStyle w:val="Emphasis"/>
          <w:i w:val="0"/>
          <w:iCs w:val="0"/>
        </w:rPr>
        <w:t xml:space="preserve"> </w:t>
      </w:r>
      <w:r w:rsidRPr="001C45D7">
        <w:rPr>
          <w:rStyle w:val="Emphasis"/>
          <w:i w:val="0"/>
          <w:iCs w:val="0"/>
        </w:rPr>
        <w:t>that</w:t>
      </w:r>
      <w:r w:rsidR="00FA6558" w:rsidRPr="001C45D7">
        <w:rPr>
          <w:rStyle w:val="Emphasis"/>
          <w:i w:val="0"/>
          <w:iCs w:val="0"/>
        </w:rPr>
        <w:t xml:space="preserve"> </w:t>
      </w:r>
      <w:r w:rsidRPr="001C45D7">
        <w:rPr>
          <w:rStyle w:val="Emphasis"/>
          <w:i w:val="0"/>
          <w:iCs w:val="0"/>
        </w:rPr>
        <w:t>respondents</w:t>
      </w:r>
      <w:r w:rsidR="00FA6558" w:rsidRPr="001C45D7">
        <w:rPr>
          <w:rStyle w:val="Emphasis"/>
          <w:i w:val="0"/>
          <w:iCs w:val="0"/>
        </w:rPr>
        <w:t xml:space="preserve"> </w:t>
      </w:r>
      <w:r w:rsidRPr="001C45D7">
        <w:rPr>
          <w:rStyle w:val="Emphasis"/>
          <w:i w:val="0"/>
          <w:iCs w:val="0"/>
        </w:rPr>
        <w:t>would</w:t>
      </w:r>
      <w:r w:rsidR="00FA6558" w:rsidRPr="001C45D7">
        <w:rPr>
          <w:rStyle w:val="Emphasis"/>
          <w:i w:val="0"/>
          <w:iCs w:val="0"/>
        </w:rPr>
        <w:t xml:space="preserve"> </w:t>
      </w:r>
      <w:r w:rsidRPr="001C45D7">
        <w:rPr>
          <w:rStyle w:val="Emphasis"/>
          <w:i w:val="0"/>
          <w:iCs w:val="0"/>
        </w:rPr>
        <w:t>read</w:t>
      </w:r>
      <w:r w:rsidR="00FA6558" w:rsidRPr="001C45D7">
        <w:rPr>
          <w:rStyle w:val="Emphasis"/>
          <w:i w:val="0"/>
          <w:iCs w:val="0"/>
        </w:rPr>
        <w:t xml:space="preserve"> </w:t>
      </w:r>
      <w:r w:rsidRPr="001C45D7">
        <w:rPr>
          <w:rStyle w:val="Emphasis"/>
          <w:i w:val="0"/>
          <w:iCs w:val="0"/>
        </w:rPr>
        <w:t>instructions</w:t>
      </w:r>
      <w:r w:rsidR="00FA6558" w:rsidRPr="001C45D7">
        <w:rPr>
          <w:rStyle w:val="Emphasis"/>
          <w:i w:val="0"/>
          <w:iCs w:val="0"/>
        </w:rPr>
        <w:t xml:space="preserve"> </w:t>
      </w:r>
      <w:r w:rsidRPr="001C45D7">
        <w:rPr>
          <w:rStyle w:val="Emphasis"/>
          <w:i w:val="0"/>
          <w:iCs w:val="0"/>
        </w:rPr>
        <w:t>and</w:t>
      </w:r>
      <w:r w:rsidR="00FA6558" w:rsidRPr="001C45D7">
        <w:rPr>
          <w:rStyle w:val="Emphasis"/>
          <w:i w:val="0"/>
          <w:iCs w:val="0"/>
        </w:rPr>
        <w:t xml:space="preserve"> </w:t>
      </w:r>
      <w:r w:rsidRPr="001C45D7">
        <w:rPr>
          <w:rStyle w:val="Emphasis"/>
          <w:i w:val="0"/>
          <w:iCs w:val="0"/>
        </w:rPr>
        <w:t>then</w:t>
      </w:r>
      <w:r w:rsidR="00FA6558" w:rsidRPr="001C45D7">
        <w:rPr>
          <w:rStyle w:val="Emphasis"/>
          <w:i w:val="0"/>
          <w:iCs w:val="0"/>
        </w:rPr>
        <w:t xml:space="preserve"> </w:t>
      </w:r>
      <w:r w:rsidRPr="001C45D7">
        <w:rPr>
          <w:rStyle w:val="Emphasis"/>
          <w:i w:val="0"/>
          <w:iCs w:val="0"/>
        </w:rPr>
        <w:t>proceed</w:t>
      </w:r>
      <w:r w:rsidR="00FA6558" w:rsidRPr="001C45D7">
        <w:rPr>
          <w:rStyle w:val="Emphasis"/>
          <w:i w:val="0"/>
          <w:iCs w:val="0"/>
        </w:rPr>
        <w:t xml:space="preserve"> </w:t>
      </w:r>
      <w:r w:rsidRPr="001C45D7">
        <w:rPr>
          <w:rStyle w:val="Emphasis"/>
          <w:i w:val="0"/>
          <w:iCs w:val="0"/>
        </w:rPr>
        <w:t>to</w:t>
      </w:r>
      <w:r w:rsidR="00FA6558" w:rsidRPr="001C45D7">
        <w:rPr>
          <w:rStyle w:val="Emphasis"/>
          <w:i w:val="0"/>
          <w:iCs w:val="0"/>
        </w:rPr>
        <w:t xml:space="preserve"> </w:t>
      </w:r>
      <w:r w:rsidRPr="001C45D7">
        <w:rPr>
          <w:rStyle w:val="Emphasis"/>
          <w:i w:val="0"/>
          <w:iCs w:val="0"/>
        </w:rPr>
        <w:t>answer</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questions</w:t>
      </w:r>
      <w:r w:rsidR="00FA6558" w:rsidRPr="001C45D7">
        <w:rPr>
          <w:rStyle w:val="Emphasis"/>
          <w:i w:val="0"/>
          <w:iCs w:val="0"/>
        </w:rPr>
        <w:t xml:space="preserve"> </w:t>
      </w:r>
      <w:r w:rsidRPr="001C45D7">
        <w:rPr>
          <w:rStyle w:val="Emphasis"/>
          <w:i w:val="0"/>
          <w:iCs w:val="0"/>
        </w:rPr>
        <w:t>in</w:t>
      </w:r>
      <w:r w:rsidR="00FA6558" w:rsidRPr="001C45D7">
        <w:rPr>
          <w:rStyle w:val="Emphasis"/>
          <w:i w:val="0"/>
          <w:iCs w:val="0"/>
        </w:rPr>
        <w:t xml:space="preserve"> </w:t>
      </w:r>
      <w:r w:rsidRPr="001C45D7">
        <w:rPr>
          <w:rStyle w:val="Emphasis"/>
          <w:i w:val="0"/>
          <w:iCs w:val="0"/>
        </w:rPr>
        <w:t>each</w:t>
      </w:r>
      <w:r w:rsidR="00FA6558" w:rsidRPr="001C45D7">
        <w:rPr>
          <w:rStyle w:val="Emphasis"/>
          <w:i w:val="0"/>
          <w:iCs w:val="0"/>
        </w:rPr>
        <w:t xml:space="preserve"> </w:t>
      </w:r>
      <w:r w:rsidRPr="001C45D7">
        <w:rPr>
          <w:rStyle w:val="Emphasis"/>
          <w:i w:val="0"/>
          <w:iCs w:val="0"/>
        </w:rPr>
        <w:t>section</w:t>
      </w:r>
      <w:r w:rsidR="00283A56" w:rsidRPr="001C45D7">
        <w:rPr>
          <w:rStyle w:val="Emphasis"/>
          <w:i w:val="0"/>
          <w:iCs w:val="0"/>
        </w:rPr>
        <w:t>;</w:t>
      </w:r>
      <w:r w:rsidR="00FA6558" w:rsidRPr="001C45D7">
        <w:rPr>
          <w:rStyle w:val="Emphasis"/>
          <w:i w:val="0"/>
          <w:iCs w:val="0"/>
        </w:rPr>
        <w:t xml:space="preserve"> </w:t>
      </w:r>
      <w:r w:rsidR="00283A56" w:rsidRPr="001C45D7">
        <w:rPr>
          <w:rStyle w:val="Emphasis"/>
          <w:i w:val="0"/>
          <w:iCs w:val="0"/>
        </w:rPr>
        <w:t xml:space="preserve">we also </w:t>
      </w:r>
      <w:r w:rsidRPr="001C45D7">
        <w:rPr>
          <w:rStyle w:val="Emphasis"/>
          <w:i w:val="0"/>
          <w:iCs w:val="0"/>
        </w:rPr>
        <w:t>placed</w:t>
      </w:r>
      <w:r w:rsidR="00FA6558" w:rsidRPr="001C45D7">
        <w:rPr>
          <w:rStyle w:val="Emphasis"/>
          <w:i w:val="0"/>
          <w:iCs w:val="0"/>
        </w:rPr>
        <w:t xml:space="preserve"> </w:t>
      </w:r>
      <w:r w:rsidRPr="001C45D7">
        <w:rPr>
          <w:rStyle w:val="Emphasis"/>
          <w:i w:val="0"/>
          <w:iCs w:val="0"/>
        </w:rPr>
        <w:t>adjacent</w:t>
      </w:r>
      <w:r w:rsidR="00FA6558" w:rsidRPr="001C45D7">
        <w:rPr>
          <w:rStyle w:val="Emphasis"/>
          <w:i w:val="0"/>
          <w:iCs w:val="0"/>
        </w:rPr>
        <w:t xml:space="preserve"> </w:t>
      </w:r>
      <w:r w:rsidRPr="001C45D7">
        <w:rPr>
          <w:rStyle w:val="Emphasis"/>
          <w:i w:val="0"/>
          <w:iCs w:val="0"/>
        </w:rPr>
        <w:t>measurement</w:t>
      </w:r>
      <w:r w:rsidR="00FA6558" w:rsidRPr="001C45D7">
        <w:rPr>
          <w:rStyle w:val="Emphasis"/>
          <w:i w:val="0"/>
          <w:iCs w:val="0"/>
        </w:rPr>
        <w:t xml:space="preserve"> </w:t>
      </w:r>
      <w:r w:rsidRPr="001C45D7">
        <w:rPr>
          <w:rStyle w:val="Emphasis"/>
          <w:i w:val="0"/>
          <w:iCs w:val="0"/>
        </w:rPr>
        <w:t>variables</w:t>
      </w:r>
      <w:r w:rsidR="00FA6558" w:rsidRPr="001C45D7">
        <w:rPr>
          <w:rStyle w:val="Emphasis"/>
          <w:i w:val="0"/>
          <w:iCs w:val="0"/>
        </w:rPr>
        <w:t xml:space="preserve"> </w:t>
      </w:r>
      <w:r w:rsidRPr="001C45D7">
        <w:rPr>
          <w:rStyle w:val="Emphasis"/>
          <w:i w:val="0"/>
          <w:iCs w:val="0"/>
        </w:rPr>
        <w:t>in</w:t>
      </w:r>
      <w:r w:rsidR="00FA6558" w:rsidRPr="001C45D7">
        <w:rPr>
          <w:rStyle w:val="Emphasis"/>
          <w:i w:val="0"/>
          <w:iCs w:val="0"/>
        </w:rPr>
        <w:t xml:space="preserve"> </w:t>
      </w:r>
      <w:r w:rsidRPr="001C45D7">
        <w:rPr>
          <w:rStyle w:val="Emphasis"/>
          <w:i w:val="0"/>
          <w:iCs w:val="0"/>
        </w:rPr>
        <w:t>distinct</w:t>
      </w:r>
      <w:r w:rsidR="00FA6558" w:rsidRPr="001C45D7">
        <w:rPr>
          <w:rStyle w:val="Emphasis"/>
          <w:i w:val="0"/>
          <w:iCs w:val="0"/>
        </w:rPr>
        <w:t xml:space="preserve"> </w:t>
      </w:r>
      <w:r w:rsidRPr="001C45D7">
        <w:rPr>
          <w:rStyle w:val="Emphasis"/>
          <w:i w:val="0"/>
          <w:iCs w:val="0"/>
        </w:rPr>
        <w:t>sections</w:t>
      </w:r>
      <w:r w:rsidR="00FA6558" w:rsidRPr="001C45D7">
        <w:rPr>
          <w:rStyle w:val="Emphasis"/>
          <w:i w:val="0"/>
          <w:iCs w:val="0"/>
        </w:rPr>
        <w:t xml:space="preserve"> </w:t>
      </w:r>
      <w:r w:rsidR="00635527" w:rsidRPr="001C45D7">
        <w:rPr>
          <w:rStyle w:val="Emphasis"/>
          <w:i w:val="0"/>
          <w:iCs w:val="0"/>
        </w:rPr>
        <w:fldChar w:fldCharType="begin" w:fldLock="1"/>
      </w:r>
      <w:r w:rsidR="00433778" w:rsidRPr="001C45D7">
        <w:rPr>
          <w:rStyle w:val="Emphasis"/>
          <w:i w:val="0"/>
          <w:iCs w:val="0"/>
        </w:rPr>
        <w:instrText>ADDIN CSL_CITATION {"citationItems":[{"id":"ITEM-1","itemData":{"DOI":"10.1037/0021-9010.88.5.879","ISSN":"00219010","PMID":"14516251","abstract":"Interest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settings.","author":[{"dropping-particle":"","family":"Podsakoff","given":"Philip M.","non-dropping-particle":"","parse-names":false,"suffix":""},{"dropping-particle":"","family":"MacKenzie","given":"Scott B.","non-dropping-particle":"","parse-names":false,"suffix":""},{"dropping-particle":"","family":"Lee","given":"Jeong Yeon","non-dropping-particle":"","parse-names":false,"suffix":""},{"dropping-particle":"","family":"Podsakoff","given":"Nathan P.","non-dropping-particle":"","parse-names":false,"suffix":""}],"container-title":"Journal of Applied Psychology","id":"ITEM-1","issue":"5","issued":{"date-parts":[["2003"]]},"page":"879-903","publisher":"Williams &amp; Anderson","title":"Common Method Biases in Behavioral Research: A Critical Review of the Literature and Recommended Remedies","type":"article-journal","volume":"88"},"uris":["http://www.mendeley.com/documents/?uuid=d3dff5a6-bbce-362d-ade1-a4aa5e7485dc"]}],"mendeley":{"formattedCitation":"(Podsakoff &lt;i&gt;et al.&lt;/i&gt;, 2003)","plainTextFormattedCitation":"(Podsakoff et al., 2003)","previouslyFormattedCitation":"(Podsakoff &lt;i&gt;et al.&lt;/i&gt;, 2003)"},"properties":{"noteIndex":0},"schema":"https://github.com/citation-style-language/schema/raw/master/csl-citation.json"}</w:instrText>
      </w:r>
      <w:r w:rsidR="00635527" w:rsidRPr="001C45D7">
        <w:rPr>
          <w:rStyle w:val="Emphasis"/>
          <w:i w:val="0"/>
          <w:iCs w:val="0"/>
        </w:rPr>
        <w:fldChar w:fldCharType="separate"/>
      </w:r>
      <w:r w:rsidR="00881C19" w:rsidRPr="001C45D7">
        <w:rPr>
          <w:rStyle w:val="Emphasis"/>
          <w:i w:val="0"/>
          <w:iCs w:val="0"/>
          <w:noProof/>
        </w:rPr>
        <w:t>(Podsakoff</w:t>
      </w:r>
      <w:r w:rsidR="00FA6558" w:rsidRPr="001C45D7">
        <w:rPr>
          <w:rStyle w:val="Emphasis"/>
          <w:i w:val="0"/>
          <w:iCs w:val="0"/>
          <w:noProof/>
        </w:rPr>
        <w:t xml:space="preserve"> </w:t>
      </w:r>
      <w:r w:rsidR="00881C19" w:rsidRPr="001C45D7">
        <w:rPr>
          <w:rStyle w:val="Emphasis"/>
          <w:iCs w:val="0"/>
          <w:noProof/>
        </w:rPr>
        <w:t>et</w:t>
      </w:r>
      <w:r w:rsidR="00FA6558" w:rsidRPr="001C45D7">
        <w:rPr>
          <w:rStyle w:val="Emphasis"/>
          <w:iCs w:val="0"/>
          <w:noProof/>
        </w:rPr>
        <w:t xml:space="preserve"> </w:t>
      </w:r>
      <w:r w:rsidR="00881C19" w:rsidRPr="001C45D7">
        <w:rPr>
          <w:rStyle w:val="Emphasis"/>
          <w:iCs w:val="0"/>
          <w:noProof/>
        </w:rPr>
        <w:t>al.</w:t>
      </w:r>
      <w:r w:rsidR="00881C19" w:rsidRPr="001C45D7">
        <w:rPr>
          <w:rStyle w:val="Emphasis"/>
          <w:i w:val="0"/>
          <w:iCs w:val="0"/>
          <w:noProof/>
        </w:rPr>
        <w:t>,</w:t>
      </w:r>
      <w:r w:rsidR="00FA6558" w:rsidRPr="001C45D7">
        <w:rPr>
          <w:rStyle w:val="Emphasis"/>
          <w:i w:val="0"/>
          <w:iCs w:val="0"/>
          <w:noProof/>
        </w:rPr>
        <w:t xml:space="preserve"> </w:t>
      </w:r>
      <w:r w:rsidR="00881C19" w:rsidRPr="001C45D7">
        <w:rPr>
          <w:rStyle w:val="Emphasis"/>
          <w:i w:val="0"/>
          <w:iCs w:val="0"/>
          <w:noProof/>
        </w:rPr>
        <w:t>2003)</w:t>
      </w:r>
      <w:r w:rsidR="00635527" w:rsidRPr="001C45D7">
        <w:rPr>
          <w:rStyle w:val="Emphasis"/>
          <w:i w:val="0"/>
          <w:iCs w:val="0"/>
        </w:rPr>
        <w:fldChar w:fldCharType="end"/>
      </w:r>
      <w:r w:rsidRPr="001C45D7">
        <w:rPr>
          <w:rStyle w:val="Emphasis"/>
          <w:i w:val="0"/>
          <w:iCs w:val="0"/>
        </w:rPr>
        <w:t>.</w:t>
      </w:r>
      <w:r w:rsidR="00FA6558" w:rsidRPr="001C45D7">
        <w:rPr>
          <w:rStyle w:val="Emphasis"/>
          <w:i w:val="0"/>
          <w:iCs w:val="0"/>
        </w:rPr>
        <w:t xml:space="preserve"> </w:t>
      </w:r>
      <w:r w:rsidRPr="001C45D7">
        <w:rPr>
          <w:rStyle w:val="Emphasis"/>
          <w:i w:val="0"/>
          <w:iCs w:val="0"/>
        </w:rPr>
        <w:t>To</w:t>
      </w:r>
      <w:r w:rsidR="00FA6558" w:rsidRPr="001C45D7">
        <w:rPr>
          <w:rStyle w:val="Emphasis"/>
          <w:i w:val="0"/>
          <w:iCs w:val="0"/>
        </w:rPr>
        <w:t xml:space="preserve"> </w:t>
      </w:r>
      <w:r w:rsidRPr="001C45D7">
        <w:rPr>
          <w:rStyle w:val="Emphasis"/>
          <w:i w:val="0"/>
          <w:iCs w:val="0"/>
        </w:rPr>
        <w:t>test</w:t>
      </w:r>
      <w:r w:rsidR="00FA6558" w:rsidRPr="001C45D7">
        <w:rPr>
          <w:rStyle w:val="Emphasis"/>
          <w:i w:val="0"/>
          <w:iCs w:val="0"/>
        </w:rPr>
        <w:t xml:space="preserve"> </w:t>
      </w:r>
      <w:r w:rsidRPr="001C45D7">
        <w:rPr>
          <w:rStyle w:val="Emphasis"/>
          <w:i w:val="0"/>
          <w:iCs w:val="0"/>
        </w:rPr>
        <w:t>CMB,</w:t>
      </w:r>
      <w:r w:rsidR="00FA6558" w:rsidRPr="001C45D7">
        <w:rPr>
          <w:rStyle w:val="Emphasis"/>
          <w:i w:val="0"/>
          <w:iCs w:val="0"/>
        </w:rPr>
        <w:t xml:space="preserve"> </w:t>
      </w:r>
      <w:r w:rsidRPr="001C45D7">
        <w:rPr>
          <w:rStyle w:val="Emphasis"/>
          <w:i w:val="0"/>
          <w:iCs w:val="0"/>
        </w:rPr>
        <w:t>we</w:t>
      </w:r>
      <w:r w:rsidR="00FA6558" w:rsidRPr="001C45D7">
        <w:rPr>
          <w:rStyle w:val="Emphasis"/>
          <w:i w:val="0"/>
          <w:iCs w:val="0"/>
        </w:rPr>
        <w:t xml:space="preserve"> </w:t>
      </w:r>
      <w:r w:rsidRPr="001C45D7">
        <w:rPr>
          <w:rStyle w:val="Emphasis"/>
          <w:i w:val="0"/>
          <w:iCs w:val="0"/>
        </w:rPr>
        <w:t>conducted</w:t>
      </w:r>
      <w:r w:rsidR="00FA6558" w:rsidRPr="001C45D7">
        <w:rPr>
          <w:rStyle w:val="Emphasis"/>
          <w:i w:val="0"/>
          <w:iCs w:val="0"/>
        </w:rPr>
        <w:t xml:space="preserve"> </w:t>
      </w:r>
      <w:r w:rsidRPr="001C45D7">
        <w:rPr>
          <w:rStyle w:val="Emphasis"/>
          <w:i w:val="0"/>
          <w:iCs w:val="0"/>
        </w:rPr>
        <w:t>Harman’s</w:t>
      </w:r>
      <w:r w:rsidR="00FA6558" w:rsidRPr="001C45D7">
        <w:rPr>
          <w:rStyle w:val="Emphasis"/>
          <w:i w:val="0"/>
          <w:iCs w:val="0"/>
        </w:rPr>
        <w:t xml:space="preserve"> </w:t>
      </w:r>
      <w:r w:rsidR="00A27DDE" w:rsidRPr="001C45D7">
        <w:rPr>
          <w:rStyle w:val="Emphasis"/>
          <w:i w:val="0"/>
          <w:iCs w:val="0"/>
        </w:rPr>
        <w:t>single</w:t>
      </w:r>
      <w:r w:rsidRPr="001C45D7">
        <w:rPr>
          <w:rStyle w:val="Emphasis"/>
          <w:i w:val="0"/>
          <w:iCs w:val="0"/>
        </w:rPr>
        <w:t>-factor</w:t>
      </w:r>
      <w:r w:rsidR="00FA6558" w:rsidRPr="001C45D7">
        <w:rPr>
          <w:rStyle w:val="Emphasis"/>
          <w:i w:val="0"/>
          <w:iCs w:val="0"/>
        </w:rPr>
        <w:t xml:space="preserve"> </w:t>
      </w:r>
      <w:r w:rsidRPr="001C45D7">
        <w:rPr>
          <w:rStyle w:val="Emphasis"/>
          <w:i w:val="0"/>
          <w:iCs w:val="0"/>
        </w:rPr>
        <w:t>test</w:t>
      </w:r>
      <w:r w:rsidR="00FA6558" w:rsidRPr="001C45D7">
        <w:rPr>
          <w:rStyle w:val="Emphasis"/>
          <w:i w:val="0"/>
          <w:iCs w:val="0"/>
        </w:rPr>
        <w:t xml:space="preserve"> </w:t>
      </w:r>
      <w:r w:rsidR="00635527" w:rsidRPr="001C45D7">
        <w:rPr>
          <w:rStyle w:val="Emphasis"/>
          <w:i w:val="0"/>
          <w:iCs w:val="0"/>
        </w:rPr>
        <w:fldChar w:fldCharType="begin" w:fldLock="1"/>
      </w:r>
      <w:r w:rsidR="00433778" w:rsidRPr="001C45D7">
        <w:rPr>
          <w:rStyle w:val="Emphasis"/>
          <w:i w:val="0"/>
          <w:iCs w:val="0"/>
        </w:rPr>
        <w:instrText>ADDIN CSL_CITATION {"citationItems":[{"id":"ITEM-1","itemData":{"DOI":"10.1037/0021-9010.88.5.879","ISSN":"00219010","PMID":"14516251","abstract":"Interest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settings.","author":[{"dropping-particle":"","family":"Podsakoff","given":"Philip M.","non-dropping-particle":"","parse-names":false,"suffix":""},{"dropping-particle":"","family":"MacKenzie","given":"Scott B.","non-dropping-particle":"","parse-names":false,"suffix":""},{"dropping-particle":"","family":"Lee","given":"Jeong Yeon","non-dropping-particle":"","parse-names":false,"suffix":""},{"dropping-particle":"","family":"Podsakoff","given":"Nathan P.","non-dropping-particle":"","parse-names":false,"suffix":""}],"container-title":"Journal of Applied Psychology","id":"ITEM-1","issue":"5","issued":{"date-parts":[["2003"]]},"page":"879-903","publisher":"Williams &amp; Anderson","title":"Common Method Biases in Behavioral Research: A Critical Review of the Literature and Recommended Remedies","type":"article-journal","volume":"88"},"uris":["http://www.mendeley.com/documents/?uuid=d3dff5a6-bbce-362d-ade1-a4aa5e7485dc"]}],"mendeley":{"formattedCitation":"(Podsakoff &lt;i&gt;et al.&lt;/i&gt;, 2003)","plainTextFormattedCitation":"(Podsakoff et al., 2003)","previouslyFormattedCitation":"(Podsakoff &lt;i&gt;et al.&lt;/i&gt;, 2003)"},"properties":{"noteIndex":0},"schema":"https://github.com/citation-style-language/schema/raw/master/csl-citation.json"}</w:instrText>
      </w:r>
      <w:r w:rsidR="00635527" w:rsidRPr="001C45D7">
        <w:rPr>
          <w:rStyle w:val="Emphasis"/>
          <w:i w:val="0"/>
          <w:iCs w:val="0"/>
        </w:rPr>
        <w:fldChar w:fldCharType="separate"/>
      </w:r>
      <w:r w:rsidR="00881C19" w:rsidRPr="001C45D7">
        <w:rPr>
          <w:rStyle w:val="Emphasis"/>
          <w:i w:val="0"/>
          <w:iCs w:val="0"/>
          <w:noProof/>
        </w:rPr>
        <w:t>(Podsakoff</w:t>
      </w:r>
      <w:r w:rsidR="00FA6558" w:rsidRPr="001C45D7">
        <w:rPr>
          <w:rStyle w:val="Emphasis"/>
          <w:i w:val="0"/>
          <w:iCs w:val="0"/>
          <w:noProof/>
        </w:rPr>
        <w:t xml:space="preserve"> </w:t>
      </w:r>
      <w:r w:rsidR="00881C19" w:rsidRPr="001C45D7">
        <w:rPr>
          <w:rStyle w:val="Emphasis"/>
          <w:iCs w:val="0"/>
          <w:noProof/>
        </w:rPr>
        <w:t>et</w:t>
      </w:r>
      <w:r w:rsidR="00FA6558" w:rsidRPr="001C45D7">
        <w:rPr>
          <w:rStyle w:val="Emphasis"/>
          <w:iCs w:val="0"/>
          <w:noProof/>
        </w:rPr>
        <w:t xml:space="preserve"> </w:t>
      </w:r>
      <w:r w:rsidR="00881C19" w:rsidRPr="001C45D7">
        <w:rPr>
          <w:rStyle w:val="Emphasis"/>
          <w:iCs w:val="0"/>
          <w:noProof/>
        </w:rPr>
        <w:t>al.</w:t>
      </w:r>
      <w:r w:rsidR="00881C19" w:rsidRPr="001C45D7">
        <w:rPr>
          <w:rStyle w:val="Emphasis"/>
          <w:i w:val="0"/>
          <w:iCs w:val="0"/>
          <w:noProof/>
        </w:rPr>
        <w:t>,</w:t>
      </w:r>
      <w:r w:rsidR="00FA6558" w:rsidRPr="001C45D7">
        <w:rPr>
          <w:rStyle w:val="Emphasis"/>
          <w:i w:val="0"/>
          <w:iCs w:val="0"/>
          <w:noProof/>
        </w:rPr>
        <w:t xml:space="preserve"> </w:t>
      </w:r>
      <w:r w:rsidR="00881C19" w:rsidRPr="001C45D7">
        <w:rPr>
          <w:rStyle w:val="Emphasis"/>
          <w:i w:val="0"/>
          <w:iCs w:val="0"/>
          <w:noProof/>
        </w:rPr>
        <w:t>2003)</w:t>
      </w:r>
      <w:r w:rsidR="00635527" w:rsidRPr="001C45D7">
        <w:rPr>
          <w:rStyle w:val="Emphasis"/>
          <w:i w:val="0"/>
          <w:iCs w:val="0"/>
        </w:rPr>
        <w:fldChar w:fldCharType="end"/>
      </w:r>
      <w:r w:rsidRPr="001C45D7">
        <w:rPr>
          <w:rStyle w:val="Emphasis"/>
          <w:i w:val="0"/>
          <w:iCs w:val="0"/>
        </w:rPr>
        <w:t>.</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result</w:t>
      </w:r>
      <w:r w:rsidR="00FA6558" w:rsidRPr="001C45D7">
        <w:rPr>
          <w:rStyle w:val="Emphasis"/>
          <w:i w:val="0"/>
          <w:iCs w:val="0"/>
        </w:rPr>
        <w:t xml:space="preserve"> </w:t>
      </w:r>
      <w:r w:rsidRPr="001C45D7">
        <w:rPr>
          <w:rStyle w:val="Emphasis"/>
          <w:i w:val="0"/>
          <w:iCs w:val="0"/>
        </w:rPr>
        <w:t>showed</w:t>
      </w:r>
      <w:r w:rsidR="00FA6558" w:rsidRPr="001C45D7">
        <w:rPr>
          <w:rStyle w:val="Emphasis"/>
          <w:i w:val="0"/>
          <w:iCs w:val="0"/>
        </w:rPr>
        <w:t xml:space="preserve"> </w:t>
      </w:r>
      <w:r w:rsidR="00283A56" w:rsidRPr="001C45D7">
        <w:rPr>
          <w:rStyle w:val="Emphasis"/>
          <w:i w:val="0"/>
          <w:iCs w:val="0"/>
        </w:rPr>
        <w:t xml:space="preserve">that </w:t>
      </w:r>
      <w:r w:rsidRPr="001C45D7">
        <w:rPr>
          <w:rStyle w:val="Emphasis"/>
          <w:i w:val="0"/>
          <w:iCs w:val="0"/>
        </w:rPr>
        <w:t>an</w:t>
      </w:r>
      <w:r w:rsidR="00FA6558" w:rsidRPr="001C45D7">
        <w:rPr>
          <w:rStyle w:val="Emphasis"/>
          <w:i w:val="0"/>
          <w:iCs w:val="0"/>
        </w:rPr>
        <w:t xml:space="preserve"> </w:t>
      </w:r>
      <w:r w:rsidRPr="001C45D7">
        <w:rPr>
          <w:rStyle w:val="Emphasis"/>
          <w:i w:val="0"/>
          <w:iCs w:val="0"/>
        </w:rPr>
        <w:t>unrotated</w:t>
      </w:r>
      <w:r w:rsidR="00FA6558" w:rsidRPr="001C45D7">
        <w:rPr>
          <w:rStyle w:val="Emphasis"/>
          <w:i w:val="0"/>
          <w:iCs w:val="0"/>
        </w:rPr>
        <w:t xml:space="preserve"> </w:t>
      </w:r>
      <w:r w:rsidRPr="001C45D7">
        <w:rPr>
          <w:rStyle w:val="Emphasis"/>
          <w:i w:val="0"/>
          <w:iCs w:val="0"/>
        </w:rPr>
        <w:t>factor</w:t>
      </w:r>
      <w:r w:rsidR="00FA6558" w:rsidRPr="001C45D7">
        <w:rPr>
          <w:rStyle w:val="Emphasis"/>
          <w:i w:val="0"/>
          <w:iCs w:val="0"/>
        </w:rPr>
        <w:t xml:space="preserve"> </w:t>
      </w:r>
      <w:r w:rsidRPr="001C45D7">
        <w:rPr>
          <w:rStyle w:val="Emphasis"/>
          <w:i w:val="0"/>
          <w:iCs w:val="0"/>
        </w:rPr>
        <w:t>analysis</w:t>
      </w:r>
      <w:r w:rsidR="00FA6558" w:rsidRPr="001C45D7">
        <w:rPr>
          <w:rStyle w:val="Emphasis"/>
          <w:i w:val="0"/>
          <w:iCs w:val="0"/>
        </w:rPr>
        <w:t xml:space="preserve"> </w:t>
      </w:r>
      <w:r w:rsidRPr="001C45D7">
        <w:rPr>
          <w:rStyle w:val="Emphasis"/>
          <w:i w:val="0"/>
          <w:iCs w:val="0"/>
        </w:rPr>
        <w:t>of</w:t>
      </w:r>
      <w:r w:rsidR="00FA6558" w:rsidRPr="001C45D7">
        <w:rPr>
          <w:rStyle w:val="Emphasis"/>
          <w:i w:val="0"/>
          <w:iCs w:val="0"/>
        </w:rPr>
        <w:t xml:space="preserve"> </w:t>
      </w:r>
      <w:r w:rsidRPr="001C45D7">
        <w:rPr>
          <w:rStyle w:val="Emphasis"/>
          <w:i w:val="0"/>
          <w:iCs w:val="0"/>
        </w:rPr>
        <w:t>all</w:t>
      </w:r>
      <w:r w:rsidR="00FA6558" w:rsidRPr="001C45D7">
        <w:rPr>
          <w:rStyle w:val="Emphasis"/>
          <w:i w:val="0"/>
          <w:iCs w:val="0"/>
        </w:rPr>
        <w:t xml:space="preserve"> </w:t>
      </w:r>
      <w:r w:rsidRPr="001C45D7">
        <w:rPr>
          <w:rStyle w:val="Emphasis"/>
          <w:i w:val="0"/>
          <w:iCs w:val="0"/>
        </w:rPr>
        <w:t>variables</w:t>
      </w:r>
      <w:r w:rsidR="00FA6558" w:rsidRPr="001C45D7">
        <w:rPr>
          <w:rStyle w:val="Emphasis"/>
          <w:i w:val="0"/>
          <w:iCs w:val="0"/>
        </w:rPr>
        <w:t xml:space="preserve"> </w:t>
      </w:r>
      <w:r w:rsidRPr="001C45D7">
        <w:rPr>
          <w:rStyle w:val="Emphasis"/>
          <w:i w:val="0"/>
          <w:iCs w:val="0"/>
        </w:rPr>
        <w:t>revealed</w:t>
      </w:r>
      <w:r w:rsidR="00FA6558" w:rsidRPr="001C45D7">
        <w:rPr>
          <w:rStyle w:val="Emphasis"/>
          <w:i w:val="0"/>
          <w:iCs w:val="0"/>
        </w:rPr>
        <w:t xml:space="preserve"> </w:t>
      </w:r>
      <w:r w:rsidRPr="001C45D7">
        <w:rPr>
          <w:rStyle w:val="Emphasis"/>
          <w:i w:val="0"/>
          <w:iCs w:val="0"/>
        </w:rPr>
        <w:t>that</w:t>
      </w:r>
      <w:r w:rsidR="00FA6558" w:rsidRPr="001C45D7">
        <w:rPr>
          <w:rStyle w:val="Emphasis"/>
          <w:i w:val="0"/>
          <w:iCs w:val="0"/>
        </w:rPr>
        <w:t xml:space="preserve"> </w:t>
      </w:r>
      <w:r w:rsidRPr="001C45D7">
        <w:rPr>
          <w:rStyle w:val="Emphasis"/>
          <w:i w:val="0"/>
          <w:iCs w:val="0"/>
        </w:rPr>
        <w:t>a</w:t>
      </w:r>
      <w:r w:rsidR="00FA6558" w:rsidRPr="001C45D7">
        <w:rPr>
          <w:rStyle w:val="Emphasis"/>
          <w:i w:val="0"/>
          <w:iCs w:val="0"/>
        </w:rPr>
        <w:t xml:space="preserve"> </w:t>
      </w:r>
      <w:r w:rsidRPr="001C45D7">
        <w:rPr>
          <w:rStyle w:val="Emphasis"/>
          <w:i w:val="0"/>
          <w:iCs w:val="0"/>
        </w:rPr>
        <w:t>total</w:t>
      </w:r>
      <w:r w:rsidR="00FA6558" w:rsidRPr="001C45D7">
        <w:rPr>
          <w:rStyle w:val="Emphasis"/>
          <w:i w:val="0"/>
          <w:iCs w:val="0"/>
        </w:rPr>
        <w:t xml:space="preserve"> </w:t>
      </w:r>
      <w:r w:rsidRPr="001C45D7">
        <w:rPr>
          <w:rStyle w:val="Emphasis"/>
          <w:i w:val="0"/>
          <w:iCs w:val="0"/>
        </w:rPr>
        <w:t>of</w:t>
      </w:r>
      <w:r w:rsidR="00FA6558" w:rsidRPr="001C45D7">
        <w:rPr>
          <w:rStyle w:val="Emphasis"/>
          <w:i w:val="0"/>
          <w:iCs w:val="0"/>
        </w:rPr>
        <w:t xml:space="preserve"> </w:t>
      </w:r>
      <w:r w:rsidRPr="001C45D7">
        <w:rPr>
          <w:rStyle w:val="Emphasis"/>
          <w:i w:val="0"/>
          <w:iCs w:val="0"/>
        </w:rPr>
        <w:t>69.3%</w:t>
      </w:r>
      <w:r w:rsidR="00FA6558" w:rsidRPr="001C45D7">
        <w:rPr>
          <w:rStyle w:val="Emphasis"/>
          <w:i w:val="0"/>
          <w:iCs w:val="0"/>
        </w:rPr>
        <w:t xml:space="preserve"> </w:t>
      </w:r>
      <w:r w:rsidRPr="001C45D7">
        <w:rPr>
          <w:rStyle w:val="Emphasis"/>
          <w:i w:val="0"/>
          <w:iCs w:val="0"/>
        </w:rPr>
        <w:t>of</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variance</w:t>
      </w:r>
      <w:r w:rsidR="00FA6558" w:rsidRPr="001C45D7">
        <w:rPr>
          <w:rStyle w:val="Emphasis"/>
          <w:i w:val="0"/>
          <w:iCs w:val="0"/>
        </w:rPr>
        <w:t xml:space="preserve"> </w:t>
      </w:r>
      <w:r w:rsidRPr="001C45D7">
        <w:rPr>
          <w:rStyle w:val="Emphasis"/>
          <w:i w:val="0"/>
          <w:iCs w:val="0"/>
        </w:rPr>
        <w:t>was</w:t>
      </w:r>
      <w:r w:rsidR="00FA6558" w:rsidRPr="001C45D7">
        <w:rPr>
          <w:rStyle w:val="Emphasis"/>
          <w:i w:val="0"/>
          <w:iCs w:val="0"/>
        </w:rPr>
        <w:t xml:space="preserve"> </w:t>
      </w:r>
      <w:r w:rsidRPr="001C45D7">
        <w:rPr>
          <w:rStyle w:val="Emphasis"/>
          <w:i w:val="0"/>
          <w:iCs w:val="0"/>
        </w:rPr>
        <w:t>accounted</w:t>
      </w:r>
      <w:r w:rsidR="00FA6558" w:rsidRPr="001C45D7">
        <w:rPr>
          <w:rStyle w:val="Emphasis"/>
          <w:i w:val="0"/>
          <w:iCs w:val="0"/>
        </w:rPr>
        <w:t xml:space="preserve"> </w:t>
      </w:r>
      <w:r w:rsidRPr="001C45D7">
        <w:rPr>
          <w:rStyle w:val="Emphasis"/>
          <w:i w:val="0"/>
          <w:iCs w:val="0"/>
        </w:rPr>
        <w:t>for</w:t>
      </w:r>
      <w:r w:rsidR="00283A56" w:rsidRPr="001C45D7">
        <w:rPr>
          <w:rStyle w:val="Emphasis"/>
          <w:i w:val="0"/>
          <w:iCs w:val="0"/>
        </w:rPr>
        <w:t>,</w:t>
      </w:r>
      <w:r w:rsidR="00FA6558" w:rsidRPr="001C45D7">
        <w:rPr>
          <w:rStyle w:val="Emphasis"/>
          <w:i w:val="0"/>
          <w:iCs w:val="0"/>
        </w:rPr>
        <w:t xml:space="preserve"> </w:t>
      </w:r>
      <w:r w:rsidRPr="001C45D7">
        <w:rPr>
          <w:rStyle w:val="Emphasis"/>
          <w:i w:val="0"/>
          <w:iCs w:val="0"/>
        </w:rPr>
        <w:t>and</w:t>
      </w:r>
      <w:r w:rsidR="00FA6558" w:rsidRPr="001C45D7">
        <w:rPr>
          <w:rStyle w:val="Emphasis"/>
          <w:i w:val="0"/>
          <w:iCs w:val="0"/>
        </w:rPr>
        <w:t xml:space="preserve"> </w:t>
      </w:r>
      <w:r w:rsidRPr="001C45D7">
        <w:rPr>
          <w:rStyle w:val="Emphasis"/>
          <w:i w:val="0"/>
          <w:iCs w:val="0"/>
        </w:rPr>
        <w:t>that</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first</w:t>
      </w:r>
      <w:r w:rsidR="00FA6558" w:rsidRPr="001C45D7">
        <w:rPr>
          <w:rStyle w:val="Emphasis"/>
          <w:i w:val="0"/>
          <w:iCs w:val="0"/>
        </w:rPr>
        <w:t xml:space="preserve"> </w:t>
      </w:r>
      <w:r w:rsidRPr="001C45D7">
        <w:rPr>
          <w:rStyle w:val="Emphasis"/>
          <w:i w:val="0"/>
          <w:iCs w:val="0"/>
        </w:rPr>
        <w:t>factor</w:t>
      </w:r>
      <w:r w:rsidR="00FA6558" w:rsidRPr="001C45D7">
        <w:rPr>
          <w:rStyle w:val="Emphasis"/>
          <w:i w:val="0"/>
          <w:iCs w:val="0"/>
        </w:rPr>
        <w:t xml:space="preserve"> </w:t>
      </w:r>
      <w:r w:rsidRPr="001C45D7">
        <w:rPr>
          <w:rStyle w:val="Emphasis"/>
          <w:i w:val="0"/>
          <w:iCs w:val="0"/>
        </w:rPr>
        <w:t>captured</w:t>
      </w:r>
      <w:r w:rsidR="00FA6558" w:rsidRPr="001C45D7">
        <w:rPr>
          <w:rStyle w:val="Emphasis"/>
          <w:i w:val="0"/>
          <w:iCs w:val="0"/>
        </w:rPr>
        <w:t xml:space="preserve"> </w:t>
      </w:r>
      <w:r w:rsidRPr="001C45D7">
        <w:rPr>
          <w:rStyle w:val="Emphasis"/>
          <w:i w:val="0"/>
          <w:iCs w:val="0"/>
        </w:rPr>
        <w:t>only</w:t>
      </w:r>
      <w:r w:rsidR="00FA6558" w:rsidRPr="001C45D7">
        <w:rPr>
          <w:rStyle w:val="Emphasis"/>
          <w:i w:val="0"/>
          <w:iCs w:val="0"/>
        </w:rPr>
        <w:t xml:space="preserve"> </w:t>
      </w:r>
      <w:r w:rsidRPr="001C45D7">
        <w:rPr>
          <w:rStyle w:val="Emphasis"/>
          <w:i w:val="0"/>
          <w:iCs w:val="0"/>
        </w:rPr>
        <w:t>15.7%</w:t>
      </w:r>
      <w:r w:rsidR="00FA6558" w:rsidRPr="001C45D7">
        <w:rPr>
          <w:rStyle w:val="Emphasis"/>
          <w:i w:val="0"/>
          <w:iCs w:val="0"/>
        </w:rPr>
        <w:t xml:space="preserve"> </w:t>
      </w:r>
      <w:r w:rsidRPr="001C45D7">
        <w:rPr>
          <w:rStyle w:val="Emphasis"/>
          <w:i w:val="0"/>
          <w:iCs w:val="0"/>
        </w:rPr>
        <w:t>of</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variance.</w:t>
      </w:r>
      <w:r w:rsidR="00FA6558" w:rsidRPr="001C45D7">
        <w:rPr>
          <w:rStyle w:val="Emphasis"/>
          <w:i w:val="0"/>
          <w:iCs w:val="0"/>
        </w:rPr>
        <w:t xml:space="preserve"> </w:t>
      </w:r>
      <w:r w:rsidRPr="001C45D7">
        <w:rPr>
          <w:rStyle w:val="Emphasis"/>
          <w:i w:val="0"/>
          <w:iCs w:val="0"/>
        </w:rPr>
        <w:t>Following</w:t>
      </w:r>
      <w:r w:rsidR="00FA6558" w:rsidRPr="001C45D7">
        <w:rPr>
          <w:rStyle w:val="Emphasis"/>
          <w:i w:val="0"/>
          <w:iCs w:val="0"/>
        </w:rPr>
        <w:t xml:space="preserve"> </w:t>
      </w:r>
      <w:r w:rsidRPr="001C45D7">
        <w:rPr>
          <w:rStyle w:val="Emphasis"/>
          <w:i w:val="0"/>
          <w:iCs w:val="0"/>
        </w:rPr>
        <w:t>Harman’s</w:t>
      </w:r>
      <w:r w:rsidR="00FA6558" w:rsidRPr="001C45D7">
        <w:rPr>
          <w:rStyle w:val="Emphasis"/>
          <w:i w:val="0"/>
          <w:iCs w:val="0"/>
        </w:rPr>
        <w:t xml:space="preserve"> </w:t>
      </w:r>
      <w:r w:rsidRPr="001C45D7">
        <w:rPr>
          <w:rStyle w:val="Emphasis"/>
          <w:i w:val="0"/>
          <w:iCs w:val="0"/>
        </w:rPr>
        <w:t>single-factor</w:t>
      </w:r>
      <w:r w:rsidR="00FA6558" w:rsidRPr="001C45D7">
        <w:rPr>
          <w:rStyle w:val="Emphasis"/>
          <w:i w:val="0"/>
          <w:iCs w:val="0"/>
        </w:rPr>
        <w:t xml:space="preserve"> </w:t>
      </w:r>
      <w:r w:rsidRPr="001C45D7">
        <w:rPr>
          <w:rStyle w:val="Emphasis"/>
          <w:i w:val="0"/>
          <w:iCs w:val="0"/>
        </w:rPr>
        <w:t>solution,</w:t>
      </w:r>
      <w:r w:rsidR="00FA6558" w:rsidRPr="001C45D7">
        <w:rPr>
          <w:rStyle w:val="Emphasis"/>
          <w:i w:val="0"/>
          <w:iCs w:val="0"/>
        </w:rPr>
        <w:t xml:space="preserve"> </w:t>
      </w:r>
      <w:r w:rsidRPr="001C45D7">
        <w:rPr>
          <w:rStyle w:val="Emphasis"/>
          <w:i w:val="0"/>
          <w:iCs w:val="0"/>
        </w:rPr>
        <w:t>we</w:t>
      </w:r>
      <w:r w:rsidR="00FA6558" w:rsidRPr="001C45D7">
        <w:rPr>
          <w:rStyle w:val="Emphasis"/>
          <w:i w:val="0"/>
          <w:iCs w:val="0"/>
        </w:rPr>
        <w:t xml:space="preserve"> </w:t>
      </w:r>
      <w:r w:rsidRPr="001C45D7">
        <w:rPr>
          <w:rStyle w:val="Emphasis"/>
          <w:i w:val="0"/>
          <w:iCs w:val="0"/>
        </w:rPr>
        <w:t>used</w:t>
      </w:r>
      <w:r w:rsidR="00FA6558" w:rsidRPr="001C45D7">
        <w:rPr>
          <w:rStyle w:val="Emphasis"/>
          <w:i w:val="0"/>
          <w:iCs w:val="0"/>
        </w:rPr>
        <w:t xml:space="preserve"> </w:t>
      </w:r>
      <w:r w:rsidRPr="001C45D7">
        <w:rPr>
          <w:rStyle w:val="Emphasis"/>
          <w:i w:val="0"/>
          <w:iCs w:val="0"/>
        </w:rPr>
        <w:t>a</w:t>
      </w:r>
      <w:r w:rsidR="00FA6558" w:rsidRPr="001C45D7">
        <w:rPr>
          <w:rStyle w:val="Emphasis"/>
          <w:i w:val="0"/>
          <w:iCs w:val="0"/>
        </w:rPr>
        <w:t xml:space="preserve"> </w:t>
      </w:r>
      <w:r w:rsidRPr="001C45D7">
        <w:rPr>
          <w:rStyle w:val="Emphasis"/>
          <w:i w:val="0"/>
          <w:iCs w:val="0"/>
        </w:rPr>
        <w:t>confirmatory</w:t>
      </w:r>
      <w:r w:rsidR="00FA6558" w:rsidRPr="001C45D7">
        <w:rPr>
          <w:rStyle w:val="Emphasis"/>
          <w:i w:val="0"/>
          <w:iCs w:val="0"/>
        </w:rPr>
        <w:t xml:space="preserve"> </w:t>
      </w:r>
      <w:r w:rsidRPr="001C45D7">
        <w:rPr>
          <w:rStyle w:val="Emphasis"/>
          <w:i w:val="0"/>
          <w:iCs w:val="0"/>
        </w:rPr>
        <w:t>factor</w:t>
      </w:r>
      <w:r w:rsidR="00FA6558" w:rsidRPr="001C45D7">
        <w:rPr>
          <w:rStyle w:val="Emphasis"/>
          <w:i w:val="0"/>
          <w:iCs w:val="0"/>
        </w:rPr>
        <w:t xml:space="preserve"> </w:t>
      </w:r>
      <w:r w:rsidRPr="001C45D7">
        <w:rPr>
          <w:rStyle w:val="Emphasis"/>
          <w:i w:val="0"/>
          <w:iCs w:val="0"/>
        </w:rPr>
        <w:t>analysis</w:t>
      </w:r>
      <w:r w:rsidR="00FA6558" w:rsidRPr="001C45D7">
        <w:rPr>
          <w:rStyle w:val="Emphasis"/>
          <w:i w:val="0"/>
          <w:iCs w:val="0"/>
        </w:rPr>
        <w:t xml:space="preserve"> </w:t>
      </w:r>
      <w:r w:rsidRPr="001C45D7">
        <w:rPr>
          <w:rStyle w:val="Emphasis"/>
          <w:i w:val="0"/>
          <w:iCs w:val="0"/>
        </w:rPr>
        <w:t>as</w:t>
      </w:r>
      <w:r w:rsidR="00FA6558" w:rsidRPr="001C45D7">
        <w:rPr>
          <w:rStyle w:val="Emphasis"/>
          <w:i w:val="0"/>
          <w:iCs w:val="0"/>
        </w:rPr>
        <w:t xml:space="preserve"> </w:t>
      </w:r>
      <w:r w:rsidRPr="001C45D7">
        <w:rPr>
          <w:rStyle w:val="Emphasis"/>
          <w:i w:val="0"/>
          <w:iCs w:val="0"/>
        </w:rPr>
        <w:t>another</w:t>
      </w:r>
      <w:r w:rsidR="00FA6558" w:rsidRPr="001C45D7">
        <w:rPr>
          <w:rStyle w:val="Emphasis"/>
          <w:i w:val="0"/>
          <w:iCs w:val="0"/>
        </w:rPr>
        <w:t xml:space="preserve"> </w:t>
      </w:r>
      <w:r w:rsidRPr="001C45D7">
        <w:rPr>
          <w:rStyle w:val="Emphasis"/>
          <w:i w:val="0"/>
          <w:iCs w:val="0"/>
        </w:rPr>
        <w:t>method</w:t>
      </w:r>
      <w:r w:rsidR="00FA6558" w:rsidRPr="001C45D7">
        <w:rPr>
          <w:rStyle w:val="Emphasis"/>
          <w:i w:val="0"/>
          <w:iCs w:val="0"/>
        </w:rPr>
        <w:t xml:space="preserve"> </w:t>
      </w:r>
      <w:r w:rsidR="00B81B4C" w:rsidRPr="001C45D7">
        <w:rPr>
          <w:rStyle w:val="Emphasis"/>
          <w:i w:val="0"/>
          <w:iCs w:val="0"/>
        </w:rPr>
        <w:t xml:space="preserve">for </w:t>
      </w:r>
      <w:r w:rsidRPr="001C45D7">
        <w:rPr>
          <w:rStyle w:val="Emphasis"/>
          <w:i w:val="0"/>
          <w:iCs w:val="0"/>
        </w:rPr>
        <w:t>test</w:t>
      </w:r>
      <w:r w:rsidR="00B81B4C" w:rsidRPr="001C45D7">
        <w:rPr>
          <w:rStyle w:val="Emphasis"/>
          <w:i w:val="0"/>
          <w:iCs w:val="0"/>
        </w:rPr>
        <w:t>ing</w:t>
      </w:r>
      <w:r w:rsidR="00FA6558" w:rsidRPr="001C45D7">
        <w:rPr>
          <w:rStyle w:val="Emphasis"/>
          <w:i w:val="0"/>
          <w:iCs w:val="0"/>
        </w:rPr>
        <w:t xml:space="preserve"> </w:t>
      </w:r>
      <w:r w:rsidRPr="001C45D7">
        <w:rPr>
          <w:rStyle w:val="Emphasis"/>
          <w:i w:val="0"/>
          <w:iCs w:val="0"/>
        </w:rPr>
        <w:t>CMB.</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model</w:t>
      </w:r>
      <w:r w:rsidR="00FA6558" w:rsidRPr="001C45D7">
        <w:rPr>
          <w:rStyle w:val="Emphasis"/>
          <w:i w:val="0"/>
          <w:iCs w:val="0"/>
        </w:rPr>
        <w:t xml:space="preserve"> </w:t>
      </w:r>
      <w:r w:rsidRPr="001C45D7">
        <w:rPr>
          <w:rStyle w:val="Emphasis"/>
          <w:i w:val="0"/>
          <w:iCs w:val="0"/>
        </w:rPr>
        <w:t>fit</w:t>
      </w:r>
      <w:r w:rsidR="00FA6558" w:rsidRPr="001C45D7">
        <w:rPr>
          <w:rStyle w:val="Emphasis"/>
          <w:i w:val="0"/>
          <w:iCs w:val="0"/>
        </w:rPr>
        <w:t xml:space="preserve"> </w:t>
      </w:r>
      <w:r w:rsidRPr="001C45D7">
        <w:rPr>
          <w:rStyle w:val="Emphasis"/>
          <w:i w:val="0"/>
          <w:iCs w:val="0"/>
        </w:rPr>
        <w:t>is</w:t>
      </w:r>
      <w:r w:rsidR="00FA6558" w:rsidRPr="001C45D7">
        <w:rPr>
          <w:rStyle w:val="Emphasis"/>
          <w:i w:val="0"/>
          <w:iCs w:val="0"/>
        </w:rPr>
        <w:t xml:space="preserve"> </w:t>
      </w:r>
      <w:r w:rsidRPr="001C45D7">
        <w:rPr>
          <w:rStyle w:val="Emphasis"/>
          <w:i w:val="0"/>
          <w:iCs w:val="0"/>
        </w:rPr>
        <w:t>not</w:t>
      </w:r>
      <w:r w:rsidR="00FA6558" w:rsidRPr="001C45D7">
        <w:rPr>
          <w:rStyle w:val="Emphasis"/>
          <w:i w:val="0"/>
          <w:iCs w:val="0"/>
        </w:rPr>
        <w:t xml:space="preserve"> </w:t>
      </w:r>
      <w:r w:rsidRPr="001C45D7">
        <w:rPr>
          <w:rStyle w:val="Emphasis"/>
          <w:i w:val="0"/>
          <w:iCs w:val="0"/>
        </w:rPr>
        <w:t>acceptable</w:t>
      </w:r>
      <w:r w:rsidR="00FA6558" w:rsidRPr="001C45D7">
        <w:rPr>
          <w:rStyle w:val="Emphasis"/>
          <w:i w:val="0"/>
          <w:iCs w:val="0"/>
        </w:rPr>
        <w:t xml:space="preserve"> </w:t>
      </w:r>
      <w:r w:rsidRPr="001C45D7">
        <w:rPr>
          <w:rStyle w:val="Emphasis"/>
          <w:i w:val="0"/>
          <w:iCs w:val="0"/>
        </w:rPr>
        <w:t>(normed</w:t>
      </w:r>
      <w:r w:rsidR="00FA6558" w:rsidRPr="001C45D7">
        <w:rPr>
          <w:rStyle w:val="Emphasis"/>
          <w:i w:val="0"/>
          <w:iCs w:val="0"/>
        </w:rPr>
        <w:t xml:space="preserve"> </w:t>
      </w:r>
      <w:r w:rsidRPr="001C45D7">
        <w:rPr>
          <w:rStyle w:val="Emphasis"/>
          <w:i w:val="0"/>
          <w:iCs w:val="0"/>
        </w:rPr>
        <w:t>χ2</w:t>
      </w:r>
      <w:r w:rsidR="00FA6558" w:rsidRPr="001C45D7">
        <w:rPr>
          <w:rStyle w:val="Emphasis"/>
          <w:i w:val="0"/>
          <w:iCs w:val="0"/>
        </w:rPr>
        <w:t xml:space="preserve"> </w:t>
      </w:r>
      <w:r w:rsidRPr="001C45D7">
        <w:rPr>
          <w:rStyle w:val="Emphasis"/>
          <w:i w:val="0"/>
          <w:iCs w:val="0"/>
        </w:rPr>
        <w:t>=</w:t>
      </w:r>
      <w:r w:rsidR="00FA6558" w:rsidRPr="001C45D7">
        <w:rPr>
          <w:rStyle w:val="Emphasis"/>
          <w:i w:val="0"/>
          <w:iCs w:val="0"/>
        </w:rPr>
        <w:t xml:space="preserve"> </w:t>
      </w:r>
      <w:r w:rsidRPr="001C45D7">
        <w:rPr>
          <w:rStyle w:val="Emphasis"/>
          <w:i w:val="0"/>
          <w:iCs w:val="0"/>
        </w:rPr>
        <w:t>3.562,</w:t>
      </w:r>
      <w:r w:rsidR="00FA6558" w:rsidRPr="001C45D7">
        <w:rPr>
          <w:rStyle w:val="Emphasis"/>
          <w:i w:val="0"/>
          <w:iCs w:val="0"/>
        </w:rPr>
        <w:t xml:space="preserve"> </w:t>
      </w:r>
      <w:r w:rsidRPr="001C45D7">
        <w:rPr>
          <w:rStyle w:val="Emphasis"/>
          <w:i w:val="0"/>
          <w:iCs w:val="0"/>
        </w:rPr>
        <w:t>comparative</w:t>
      </w:r>
      <w:r w:rsidR="00FA6558" w:rsidRPr="001C45D7">
        <w:rPr>
          <w:rStyle w:val="Emphasis"/>
          <w:i w:val="0"/>
          <w:iCs w:val="0"/>
        </w:rPr>
        <w:t xml:space="preserve"> </w:t>
      </w:r>
      <w:r w:rsidRPr="001C45D7">
        <w:rPr>
          <w:rStyle w:val="Emphasis"/>
          <w:i w:val="0"/>
          <w:iCs w:val="0"/>
        </w:rPr>
        <w:t>fit</w:t>
      </w:r>
      <w:r w:rsidR="00FA6558" w:rsidRPr="001C45D7">
        <w:rPr>
          <w:rStyle w:val="Emphasis"/>
          <w:i w:val="0"/>
          <w:iCs w:val="0"/>
        </w:rPr>
        <w:t xml:space="preserve"> </w:t>
      </w:r>
      <w:r w:rsidRPr="001C45D7">
        <w:rPr>
          <w:rStyle w:val="Emphasis"/>
          <w:i w:val="0"/>
          <w:iCs w:val="0"/>
        </w:rPr>
        <w:t>index</w:t>
      </w:r>
      <w:r w:rsidR="00FA6558" w:rsidRPr="001C45D7">
        <w:rPr>
          <w:rStyle w:val="Emphasis"/>
          <w:i w:val="0"/>
          <w:iCs w:val="0"/>
        </w:rPr>
        <w:t xml:space="preserve"> </w:t>
      </w:r>
      <w:r w:rsidRPr="001C45D7">
        <w:rPr>
          <w:rStyle w:val="Emphasis"/>
          <w:i w:val="0"/>
          <w:iCs w:val="0"/>
        </w:rPr>
        <w:t>=</w:t>
      </w:r>
      <w:r w:rsidR="00FA6558" w:rsidRPr="001C45D7">
        <w:rPr>
          <w:rStyle w:val="Emphasis"/>
          <w:i w:val="0"/>
          <w:iCs w:val="0"/>
        </w:rPr>
        <w:t xml:space="preserve"> </w:t>
      </w:r>
      <w:r w:rsidRPr="001C45D7">
        <w:rPr>
          <w:rStyle w:val="Emphasis"/>
          <w:i w:val="0"/>
          <w:iCs w:val="0"/>
        </w:rPr>
        <w:t>.427,</w:t>
      </w:r>
      <w:r w:rsidR="00FA6558" w:rsidRPr="001C45D7">
        <w:rPr>
          <w:rStyle w:val="Emphasis"/>
          <w:i w:val="0"/>
          <w:iCs w:val="0"/>
        </w:rPr>
        <w:t xml:space="preserve"> </w:t>
      </w:r>
      <w:r w:rsidRPr="001C45D7">
        <w:rPr>
          <w:rStyle w:val="Emphasis"/>
          <w:i w:val="0"/>
          <w:iCs w:val="0"/>
        </w:rPr>
        <w:t>incremental</w:t>
      </w:r>
      <w:r w:rsidR="00FA6558" w:rsidRPr="001C45D7">
        <w:rPr>
          <w:rStyle w:val="Emphasis"/>
          <w:i w:val="0"/>
          <w:iCs w:val="0"/>
        </w:rPr>
        <w:t xml:space="preserve"> </w:t>
      </w:r>
      <w:r w:rsidRPr="001C45D7">
        <w:rPr>
          <w:rStyle w:val="Emphasis"/>
          <w:i w:val="0"/>
          <w:iCs w:val="0"/>
        </w:rPr>
        <w:t>fit</w:t>
      </w:r>
      <w:r w:rsidR="00FA6558" w:rsidRPr="001C45D7">
        <w:rPr>
          <w:rStyle w:val="Emphasis"/>
          <w:i w:val="0"/>
          <w:iCs w:val="0"/>
        </w:rPr>
        <w:t xml:space="preserve"> </w:t>
      </w:r>
      <w:r w:rsidRPr="001C45D7">
        <w:rPr>
          <w:rStyle w:val="Emphasis"/>
          <w:i w:val="0"/>
          <w:iCs w:val="0"/>
        </w:rPr>
        <w:t>index</w:t>
      </w:r>
      <w:r w:rsidR="00FA6558" w:rsidRPr="001C45D7">
        <w:rPr>
          <w:rStyle w:val="Emphasis"/>
          <w:i w:val="0"/>
          <w:iCs w:val="0"/>
        </w:rPr>
        <w:t xml:space="preserve"> </w:t>
      </w:r>
      <w:r w:rsidRPr="001C45D7">
        <w:rPr>
          <w:rStyle w:val="Emphasis"/>
          <w:i w:val="0"/>
          <w:iCs w:val="0"/>
        </w:rPr>
        <w:t>=</w:t>
      </w:r>
      <w:r w:rsidR="00FA6558" w:rsidRPr="001C45D7">
        <w:rPr>
          <w:rStyle w:val="Emphasis"/>
          <w:i w:val="0"/>
          <w:iCs w:val="0"/>
        </w:rPr>
        <w:t xml:space="preserve"> </w:t>
      </w:r>
      <w:r w:rsidRPr="001C45D7">
        <w:rPr>
          <w:rStyle w:val="Emphasis"/>
          <w:i w:val="0"/>
          <w:iCs w:val="0"/>
        </w:rPr>
        <w:t>.440,</w:t>
      </w:r>
      <w:r w:rsidR="00FA6558" w:rsidRPr="001C45D7">
        <w:rPr>
          <w:rStyle w:val="Emphasis"/>
          <w:i w:val="0"/>
          <w:iCs w:val="0"/>
        </w:rPr>
        <w:t xml:space="preserve"> </w:t>
      </w:r>
      <w:r w:rsidRPr="001C45D7">
        <w:rPr>
          <w:rStyle w:val="Emphasis"/>
          <w:i w:val="0"/>
          <w:iCs w:val="0"/>
        </w:rPr>
        <w:t>root</w:t>
      </w:r>
      <w:r w:rsidR="00FA6558" w:rsidRPr="001C45D7">
        <w:rPr>
          <w:rStyle w:val="Emphasis"/>
          <w:i w:val="0"/>
          <w:iCs w:val="0"/>
        </w:rPr>
        <w:t xml:space="preserve"> </w:t>
      </w:r>
      <w:r w:rsidRPr="001C45D7">
        <w:rPr>
          <w:rStyle w:val="Emphasis"/>
          <w:i w:val="0"/>
          <w:iCs w:val="0"/>
        </w:rPr>
        <w:t>mean</w:t>
      </w:r>
      <w:r w:rsidR="00FA6558" w:rsidRPr="001C45D7">
        <w:rPr>
          <w:rStyle w:val="Emphasis"/>
          <w:i w:val="0"/>
          <w:iCs w:val="0"/>
        </w:rPr>
        <w:t xml:space="preserve"> </w:t>
      </w:r>
      <w:r w:rsidRPr="001C45D7">
        <w:rPr>
          <w:rStyle w:val="Emphasis"/>
          <w:i w:val="0"/>
          <w:iCs w:val="0"/>
        </w:rPr>
        <w:t>square</w:t>
      </w:r>
      <w:r w:rsidR="00FA6558" w:rsidRPr="001C45D7">
        <w:rPr>
          <w:rStyle w:val="Emphasis"/>
          <w:i w:val="0"/>
          <w:iCs w:val="0"/>
        </w:rPr>
        <w:t xml:space="preserve"> </w:t>
      </w:r>
      <w:r w:rsidRPr="001C45D7">
        <w:rPr>
          <w:rStyle w:val="Emphasis"/>
          <w:i w:val="0"/>
          <w:iCs w:val="0"/>
        </w:rPr>
        <w:t>error</w:t>
      </w:r>
      <w:r w:rsidR="00FA6558" w:rsidRPr="001C45D7">
        <w:rPr>
          <w:rStyle w:val="Emphasis"/>
          <w:i w:val="0"/>
          <w:iCs w:val="0"/>
        </w:rPr>
        <w:t xml:space="preserve"> </w:t>
      </w:r>
      <w:r w:rsidRPr="001C45D7">
        <w:rPr>
          <w:rStyle w:val="Emphasis"/>
          <w:i w:val="0"/>
          <w:iCs w:val="0"/>
        </w:rPr>
        <w:t>of</w:t>
      </w:r>
      <w:r w:rsidR="00FA6558" w:rsidRPr="001C45D7">
        <w:rPr>
          <w:rStyle w:val="Emphasis"/>
          <w:i w:val="0"/>
          <w:iCs w:val="0"/>
        </w:rPr>
        <w:t xml:space="preserve"> </w:t>
      </w:r>
      <w:r w:rsidRPr="001C45D7">
        <w:rPr>
          <w:rStyle w:val="Emphasis"/>
          <w:i w:val="0"/>
          <w:iCs w:val="0"/>
        </w:rPr>
        <w:t>approximation</w:t>
      </w:r>
      <w:r w:rsidR="00FA6558" w:rsidRPr="001C45D7">
        <w:rPr>
          <w:rStyle w:val="Emphasis"/>
          <w:i w:val="0"/>
          <w:iCs w:val="0"/>
        </w:rPr>
        <w:t xml:space="preserve"> </w:t>
      </w:r>
      <w:r w:rsidRPr="001C45D7">
        <w:rPr>
          <w:rStyle w:val="Emphasis"/>
          <w:i w:val="0"/>
          <w:iCs w:val="0"/>
        </w:rPr>
        <w:t>=</w:t>
      </w:r>
      <w:r w:rsidR="00FA6558" w:rsidRPr="001C45D7">
        <w:rPr>
          <w:rStyle w:val="Emphasis"/>
          <w:i w:val="0"/>
          <w:iCs w:val="0"/>
        </w:rPr>
        <w:t xml:space="preserve"> </w:t>
      </w:r>
      <w:r w:rsidRPr="001C45D7">
        <w:rPr>
          <w:rStyle w:val="Emphasis"/>
          <w:i w:val="0"/>
          <w:iCs w:val="0"/>
        </w:rPr>
        <w:t>.144),</w:t>
      </w:r>
      <w:r w:rsidR="00FA6558" w:rsidRPr="001C45D7">
        <w:rPr>
          <w:rStyle w:val="Emphasis"/>
          <w:i w:val="0"/>
          <w:iCs w:val="0"/>
        </w:rPr>
        <w:t xml:space="preserve"> </w:t>
      </w:r>
      <w:r w:rsidRPr="001C45D7">
        <w:rPr>
          <w:rStyle w:val="Emphasis"/>
          <w:i w:val="0"/>
          <w:iCs w:val="0"/>
        </w:rPr>
        <w:t>and</w:t>
      </w:r>
      <w:r w:rsidR="00FA6558" w:rsidRPr="001C45D7">
        <w:rPr>
          <w:rStyle w:val="Emphasis"/>
          <w:i w:val="0"/>
          <w:iCs w:val="0"/>
        </w:rPr>
        <w:t xml:space="preserve"> </w:t>
      </w:r>
      <w:r w:rsidRPr="001C45D7">
        <w:rPr>
          <w:rStyle w:val="Emphasis"/>
          <w:i w:val="0"/>
          <w:iCs w:val="0"/>
        </w:rPr>
        <w:t>significantly</w:t>
      </w:r>
      <w:r w:rsidR="00FA6558" w:rsidRPr="001C45D7">
        <w:rPr>
          <w:rStyle w:val="Emphasis"/>
          <w:i w:val="0"/>
          <w:iCs w:val="0"/>
        </w:rPr>
        <w:t xml:space="preserve"> </w:t>
      </w:r>
      <w:r w:rsidRPr="001C45D7">
        <w:rPr>
          <w:rStyle w:val="Emphasis"/>
          <w:i w:val="0"/>
          <w:iCs w:val="0"/>
        </w:rPr>
        <w:t>worse</w:t>
      </w:r>
      <w:r w:rsidR="00FA6558" w:rsidRPr="001C45D7">
        <w:rPr>
          <w:rStyle w:val="Emphasis"/>
          <w:i w:val="0"/>
          <w:iCs w:val="0"/>
        </w:rPr>
        <w:t xml:space="preserve"> </w:t>
      </w:r>
      <w:r w:rsidRPr="001C45D7">
        <w:rPr>
          <w:rStyle w:val="Emphasis"/>
          <w:i w:val="0"/>
          <w:iCs w:val="0"/>
        </w:rPr>
        <w:t>than</w:t>
      </w:r>
      <w:r w:rsidR="00FA6558" w:rsidRPr="001C45D7">
        <w:rPr>
          <w:rStyle w:val="Emphasis"/>
          <w:i w:val="0"/>
          <w:iCs w:val="0"/>
        </w:rPr>
        <w:t xml:space="preserve"> </w:t>
      </w:r>
      <w:r w:rsidRPr="001C45D7">
        <w:rPr>
          <w:rStyle w:val="Emphasis"/>
          <w:i w:val="0"/>
          <w:iCs w:val="0"/>
        </w:rPr>
        <w:t>those</w:t>
      </w:r>
      <w:r w:rsidR="00FA6558" w:rsidRPr="001C45D7">
        <w:rPr>
          <w:rStyle w:val="Emphasis"/>
          <w:i w:val="0"/>
          <w:iCs w:val="0"/>
        </w:rPr>
        <w:t xml:space="preserve"> </w:t>
      </w:r>
      <w:r w:rsidRPr="001C45D7">
        <w:rPr>
          <w:rStyle w:val="Emphasis"/>
          <w:i w:val="0"/>
          <w:iCs w:val="0"/>
        </w:rPr>
        <w:t>of</w:t>
      </w:r>
      <w:r w:rsidR="00FA6558" w:rsidRPr="001C45D7">
        <w:rPr>
          <w:rStyle w:val="Emphasis"/>
          <w:i w:val="0"/>
          <w:iCs w:val="0"/>
        </w:rPr>
        <w:t xml:space="preserve"> </w:t>
      </w:r>
      <w:r w:rsidRPr="001C45D7">
        <w:rPr>
          <w:rStyle w:val="Emphasis"/>
          <w:i w:val="0"/>
          <w:iCs w:val="0"/>
        </w:rPr>
        <w:t>the</w:t>
      </w:r>
      <w:r w:rsidR="00FA6558" w:rsidRPr="001C45D7">
        <w:rPr>
          <w:rStyle w:val="Emphasis"/>
          <w:i w:val="0"/>
          <w:iCs w:val="0"/>
        </w:rPr>
        <w:t xml:space="preserve"> </w:t>
      </w:r>
      <w:r w:rsidRPr="001C45D7">
        <w:rPr>
          <w:rStyle w:val="Emphasis"/>
          <w:i w:val="0"/>
          <w:iCs w:val="0"/>
        </w:rPr>
        <w:t>hypothesi</w:t>
      </w:r>
      <w:r w:rsidR="00283A56" w:rsidRPr="001C45D7">
        <w:rPr>
          <w:rStyle w:val="Emphasis"/>
          <w:i w:val="0"/>
          <w:iCs w:val="0"/>
        </w:rPr>
        <w:t>s</w:t>
      </w:r>
      <w:r w:rsidRPr="001C45D7">
        <w:rPr>
          <w:rStyle w:val="Emphasis"/>
          <w:i w:val="0"/>
          <w:iCs w:val="0"/>
        </w:rPr>
        <w:t>ed</w:t>
      </w:r>
      <w:r w:rsidR="00FA6558" w:rsidRPr="001C45D7">
        <w:rPr>
          <w:rStyle w:val="Emphasis"/>
          <w:i w:val="0"/>
          <w:iCs w:val="0"/>
        </w:rPr>
        <w:t xml:space="preserve"> </w:t>
      </w:r>
      <w:r w:rsidRPr="001C45D7">
        <w:rPr>
          <w:rStyle w:val="Emphasis"/>
          <w:i w:val="0"/>
          <w:iCs w:val="0"/>
        </w:rPr>
        <w:t>measurement</w:t>
      </w:r>
      <w:r w:rsidR="00FA6558" w:rsidRPr="001C45D7">
        <w:rPr>
          <w:rStyle w:val="Emphasis"/>
          <w:i w:val="0"/>
          <w:iCs w:val="0"/>
        </w:rPr>
        <w:t xml:space="preserve"> </w:t>
      </w:r>
      <w:r w:rsidRPr="001C45D7">
        <w:rPr>
          <w:rStyle w:val="Emphasis"/>
          <w:i w:val="0"/>
          <w:iCs w:val="0"/>
        </w:rPr>
        <w:t>model.</w:t>
      </w:r>
      <w:r w:rsidR="00FA6558" w:rsidRPr="001C45D7">
        <w:rPr>
          <w:rStyle w:val="Emphasis"/>
          <w:i w:val="0"/>
          <w:iCs w:val="0"/>
        </w:rPr>
        <w:t xml:space="preserve"> </w:t>
      </w:r>
      <w:r w:rsidRPr="001C45D7">
        <w:rPr>
          <w:rStyle w:val="Emphasis"/>
          <w:i w:val="0"/>
          <w:iCs w:val="0"/>
        </w:rPr>
        <w:t>These</w:t>
      </w:r>
      <w:r w:rsidR="00FA6558" w:rsidRPr="001C45D7">
        <w:rPr>
          <w:rStyle w:val="Emphasis"/>
          <w:i w:val="0"/>
          <w:iCs w:val="0"/>
        </w:rPr>
        <w:t xml:space="preserve"> </w:t>
      </w:r>
      <w:r w:rsidRPr="001C45D7">
        <w:rPr>
          <w:rStyle w:val="Emphasis"/>
          <w:i w:val="0"/>
          <w:iCs w:val="0"/>
        </w:rPr>
        <w:t>results</w:t>
      </w:r>
      <w:r w:rsidR="00FA6558" w:rsidRPr="001C45D7">
        <w:rPr>
          <w:rStyle w:val="Emphasis"/>
          <w:i w:val="0"/>
          <w:iCs w:val="0"/>
        </w:rPr>
        <w:t xml:space="preserve"> </w:t>
      </w:r>
      <w:r w:rsidRPr="001C45D7">
        <w:rPr>
          <w:rStyle w:val="Emphasis"/>
          <w:i w:val="0"/>
          <w:iCs w:val="0"/>
        </w:rPr>
        <w:t>help</w:t>
      </w:r>
      <w:r w:rsidR="00FA6558" w:rsidRPr="001C45D7">
        <w:rPr>
          <w:rStyle w:val="Emphasis"/>
          <w:i w:val="0"/>
          <w:iCs w:val="0"/>
        </w:rPr>
        <w:t xml:space="preserve"> </w:t>
      </w:r>
      <w:r w:rsidRPr="001C45D7">
        <w:rPr>
          <w:rStyle w:val="Emphasis"/>
          <w:i w:val="0"/>
          <w:iCs w:val="0"/>
        </w:rPr>
        <w:t>alleviate</w:t>
      </w:r>
      <w:r w:rsidR="00FA6558" w:rsidRPr="001C45D7">
        <w:rPr>
          <w:rStyle w:val="Emphasis"/>
          <w:i w:val="0"/>
          <w:iCs w:val="0"/>
        </w:rPr>
        <w:t xml:space="preserve"> </w:t>
      </w:r>
      <w:r w:rsidRPr="001C45D7">
        <w:rPr>
          <w:rStyle w:val="Emphasis"/>
          <w:i w:val="0"/>
          <w:iCs w:val="0"/>
        </w:rPr>
        <w:t>CMB</w:t>
      </w:r>
      <w:r w:rsidR="00FA6558" w:rsidRPr="001C45D7">
        <w:rPr>
          <w:rStyle w:val="Emphasis"/>
          <w:i w:val="0"/>
          <w:iCs w:val="0"/>
        </w:rPr>
        <w:t xml:space="preserve"> </w:t>
      </w:r>
      <w:r w:rsidRPr="001C45D7">
        <w:rPr>
          <w:rStyle w:val="Emphasis"/>
          <w:i w:val="0"/>
          <w:iCs w:val="0"/>
        </w:rPr>
        <w:t>concerns</w:t>
      </w:r>
      <w:r w:rsidR="00FA6558" w:rsidRPr="001C45D7">
        <w:rPr>
          <w:rStyle w:val="Emphasis"/>
          <w:i w:val="0"/>
          <w:iCs w:val="0"/>
        </w:rPr>
        <w:t xml:space="preserve"> </w:t>
      </w:r>
      <w:r w:rsidRPr="001C45D7">
        <w:rPr>
          <w:rStyle w:val="Emphasis"/>
          <w:i w:val="0"/>
          <w:iCs w:val="0"/>
        </w:rPr>
        <w:t>and</w:t>
      </w:r>
      <w:r w:rsidR="00FA6558" w:rsidRPr="001C45D7">
        <w:rPr>
          <w:rStyle w:val="Emphasis"/>
          <w:i w:val="0"/>
          <w:iCs w:val="0"/>
        </w:rPr>
        <w:t xml:space="preserve"> </w:t>
      </w:r>
      <w:r w:rsidRPr="001C45D7">
        <w:rPr>
          <w:rStyle w:val="Emphasis"/>
          <w:i w:val="0"/>
          <w:iCs w:val="0"/>
        </w:rPr>
        <w:t>collectively</w:t>
      </w:r>
      <w:r w:rsidR="00FA6558" w:rsidRPr="001C45D7">
        <w:rPr>
          <w:rStyle w:val="Emphasis"/>
          <w:i w:val="0"/>
          <w:iCs w:val="0"/>
        </w:rPr>
        <w:t xml:space="preserve"> </w:t>
      </w:r>
      <w:r w:rsidRPr="001C45D7">
        <w:rPr>
          <w:rStyle w:val="Emphasis"/>
          <w:i w:val="0"/>
          <w:iCs w:val="0"/>
        </w:rPr>
        <w:t>confirm</w:t>
      </w:r>
      <w:r w:rsidR="00FA6558" w:rsidRPr="001C45D7">
        <w:rPr>
          <w:rStyle w:val="Emphasis"/>
          <w:i w:val="0"/>
          <w:iCs w:val="0"/>
        </w:rPr>
        <w:t xml:space="preserve"> </w:t>
      </w:r>
      <w:r w:rsidRPr="001C45D7">
        <w:rPr>
          <w:rStyle w:val="Emphasis"/>
          <w:i w:val="0"/>
          <w:iCs w:val="0"/>
        </w:rPr>
        <w:t>that</w:t>
      </w:r>
      <w:r w:rsidR="00FA6558" w:rsidRPr="001C45D7">
        <w:rPr>
          <w:rStyle w:val="Emphasis"/>
          <w:i w:val="0"/>
          <w:iCs w:val="0"/>
        </w:rPr>
        <w:t xml:space="preserve"> </w:t>
      </w:r>
      <w:r w:rsidRPr="001C45D7">
        <w:rPr>
          <w:rStyle w:val="Emphasis"/>
          <w:i w:val="0"/>
          <w:iCs w:val="0"/>
        </w:rPr>
        <w:t>CMB</w:t>
      </w:r>
      <w:r w:rsidR="00FA6558" w:rsidRPr="001C45D7">
        <w:rPr>
          <w:rStyle w:val="Emphasis"/>
          <w:i w:val="0"/>
          <w:iCs w:val="0"/>
        </w:rPr>
        <w:t xml:space="preserve"> </w:t>
      </w:r>
      <w:r w:rsidRPr="001C45D7">
        <w:rPr>
          <w:rStyle w:val="Emphasis"/>
          <w:i w:val="0"/>
          <w:iCs w:val="0"/>
        </w:rPr>
        <w:t>is</w:t>
      </w:r>
      <w:r w:rsidR="00FA6558" w:rsidRPr="001C45D7">
        <w:rPr>
          <w:rStyle w:val="Emphasis"/>
          <w:i w:val="0"/>
          <w:iCs w:val="0"/>
        </w:rPr>
        <w:t xml:space="preserve"> </w:t>
      </w:r>
      <w:r w:rsidRPr="001C45D7">
        <w:rPr>
          <w:rStyle w:val="Emphasis"/>
          <w:i w:val="0"/>
          <w:iCs w:val="0"/>
        </w:rPr>
        <w:t>not</w:t>
      </w:r>
      <w:r w:rsidR="00FA6558" w:rsidRPr="001C45D7">
        <w:rPr>
          <w:rStyle w:val="Emphasis"/>
          <w:i w:val="0"/>
          <w:iCs w:val="0"/>
        </w:rPr>
        <w:t xml:space="preserve"> </w:t>
      </w:r>
      <w:r w:rsidRPr="001C45D7">
        <w:rPr>
          <w:rStyle w:val="Emphasis"/>
          <w:i w:val="0"/>
          <w:iCs w:val="0"/>
        </w:rPr>
        <w:t>a</w:t>
      </w:r>
      <w:r w:rsidR="00FA6558" w:rsidRPr="001C45D7">
        <w:rPr>
          <w:rStyle w:val="Emphasis"/>
          <w:i w:val="0"/>
          <w:iCs w:val="0"/>
        </w:rPr>
        <w:t xml:space="preserve"> </w:t>
      </w:r>
      <w:r w:rsidRPr="001C45D7">
        <w:rPr>
          <w:rStyle w:val="Emphasis"/>
          <w:i w:val="0"/>
          <w:iCs w:val="0"/>
        </w:rPr>
        <w:t>serious</w:t>
      </w:r>
      <w:r w:rsidR="00FA6558" w:rsidRPr="001C45D7">
        <w:rPr>
          <w:rStyle w:val="Emphasis"/>
          <w:i w:val="0"/>
          <w:iCs w:val="0"/>
        </w:rPr>
        <w:t xml:space="preserve"> </w:t>
      </w:r>
      <w:r w:rsidRPr="001C45D7">
        <w:rPr>
          <w:rStyle w:val="Emphasis"/>
          <w:i w:val="0"/>
          <w:iCs w:val="0"/>
        </w:rPr>
        <w:t>concern</w:t>
      </w:r>
      <w:r w:rsidR="00FA6558" w:rsidRPr="001C45D7">
        <w:rPr>
          <w:rStyle w:val="Emphasis"/>
          <w:i w:val="0"/>
          <w:iCs w:val="0"/>
        </w:rPr>
        <w:t xml:space="preserve"> </w:t>
      </w:r>
      <w:r w:rsidRPr="001C45D7">
        <w:rPr>
          <w:rStyle w:val="Emphasis"/>
          <w:i w:val="0"/>
          <w:iCs w:val="0"/>
        </w:rPr>
        <w:t>in</w:t>
      </w:r>
      <w:r w:rsidR="00FA6558" w:rsidRPr="001C45D7">
        <w:rPr>
          <w:rStyle w:val="Emphasis"/>
          <w:i w:val="0"/>
          <w:iCs w:val="0"/>
        </w:rPr>
        <w:t xml:space="preserve"> </w:t>
      </w:r>
      <w:r w:rsidRPr="001C45D7">
        <w:rPr>
          <w:rStyle w:val="Emphasis"/>
          <w:i w:val="0"/>
          <w:iCs w:val="0"/>
        </w:rPr>
        <w:t>this</w:t>
      </w:r>
      <w:r w:rsidR="00FA6558" w:rsidRPr="001C45D7">
        <w:rPr>
          <w:rStyle w:val="Emphasis"/>
          <w:i w:val="0"/>
          <w:iCs w:val="0"/>
        </w:rPr>
        <w:t xml:space="preserve"> </w:t>
      </w:r>
      <w:r w:rsidRPr="001C45D7">
        <w:rPr>
          <w:rStyle w:val="Emphasis"/>
          <w:i w:val="0"/>
          <w:iCs w:val="0"/>
        </w:rPr>
        <w:t>research.</w:t>
      </w:r>
    </w:p>
    <w:p w14:paraId="3D002A50" w14:textId="77777777" w:rsidR="00E74F75" w:rsidRPr="001C45D7" w:rsidRDefault="00E74F75" w:rsidP="00566B02">
      <w:pPr>
        <w:pStyle w:val="BodyText"/>
        <w:rPr>
          <w:rStyle w:val="Emphasis"/>
          <w:i w:val="0"/>
          <w:iCs w:val="0"/>
        </w:rPr>
      </w:pPr>
    </w:p>
    <w:p w14:paraId="365B27EF" w14:textId="77777777" w:rsidR="00671753" w:rsidRPr="001C45D7" w:rsidRDefault="00671753" w:rsidP="00157836">
      <w:pPr>
        <w:pStyle w:val="Heading2"/>
      </w:pPr>
      <w:r w:rsidRPr="001C45D7">
        <w:lastRenderedPageBreak/>
        <w:t>Endogeneity</w:t>
      </w:r>
    </w:p>
    <w:p w14:paraId="3A14C192" w14:textId="29A59A0E" w:rsidR="001B5B71" w:rsidRPr="001C45D7" w:rsidRDefault="001B5B71" w:rsidP="004C3508">
      <w:pPr>
        <w:spacing w:line="480" w:lineRule="auto"/>
        <w:jc w:val="both"/>
        <w:rPr>
          <w:color w:val="000000" w:themeColor="text1"/>
          <w:lang w:val="en-US"/>
        </w:rPr>
      </w:pPr>
      <w:r w:rsidRPr="001C45D7">
        <w:rPr>
          <w:color w:val="000000" w:themeColor="text1"/>
          <w:lang w:val="en-US"/>
        </w:rPr>
        <w:t>We adopted two approaches to address the problems of endogeneity. First, we included a comprehensive set of control variables to address the problems of omitted variables</w:t>
      </w:r>
      <w:r w:rsidR="008319F8" w:rsidRPr="001C45D7">
        <w:rPr>
          <w:rFonts w:eastAsiaTheme="minorEastAsia" w:hint="eastAsia"/>
          <w:color w:val="000000" w:themeColor="text1"/>
          <w:lang w:val="en-US" w:eastAsia="ko-KR"/>
        </w:rPr>
        <w:t>.</w:t>
      </w:r>
      <w:r w:rsidR="004C3508">
        <w:rPr>
          <w:rFonts w:eastAsiaTheme="minorEastAsia"/>
          <w:color w:val="000000" w:themeColor="text1"/>
          <w:lang w:val="en-US" w:eastAsia="ko-KR"/>
        </w:rPr>
        <w:t xml:space="preserve"> </w:t>
      </w:r>
      <w:r w:rsidRPr="001C45D7">
        <w:rPr>
          <w:color w:val="000000" w:themeColor="text1"/>
          <w:lang w:val="en-US"/>
        </w:rPr>
        <w:t>Second, we conducted two</w:t>
      </w:r>
      <w:r w:rsidR="004014F9" w:rsidRPr="001C45D7">
        <w:rPr>
          <w:color w:val="000000" w:themeColor="text1"/>
          <w:lang w:val="en-US"/>
        </w:rPr>
        <w:t>-</w:t>
      </w:r>
      <w:r w:rsidRPr="001C45D7">
        <w:rPr>
          <w:color w:val="000000" w:themeColor="text1"/>
          <w:lang w:val="en-US"/>
        </w:rPr>
        <w:t>stage least squares</w:t>
      </w:r>
      <w:r w:rsidR="00C3780E" w:rsidRPr="001C45D7">
        <w:rPr>
          <w:color w:val="000000" w:themeColor="text1"/>
          <w:lang w:val="en-US"/>
        </w:rPr>
        <w:t xml:space="preserve"> </w:t>
      </w:r>
      <w:r w:rsidRPr="001C45D7">
        <w:rPr>
          <w:color w:val="000000" w:themeColor="text1"/>
          <w:lang w:val="en-US"/>
        </w:rPr>
        <w:t>(2SLS) regression</w:t>
      </w:r>
      <w:r w:rsidR="00E055A7" w:rsidRPr="001C45D7">
        <w:rPr>
          <w:rFonts w:eastAsiaTheme="minorEastAsia" w:hint="eastAsia"/>
          <w:color w:val="000000" w:themeColor="text1"/>
          <w:lang w:val="en-US" w:eastAsia="ko-KR"/>
        </w:rPr>
        <w:t xml:space="preserve"> analysis</w:t>
      </w:r>
      <w:r w:rsidRPr="001C45D7">
        <w:rPr>
          <w:color w:val="000000" w:themeColor="text1"/>
          <w:lang w:val="en-US"/>
        </w:rPr>
        <w:t xml:space="preserve"> with an instrumental variable and conducted a Durbin-Wu-Hausman postestimation test to assess endogeneity of the explanatory variable, buyer</w:t>
      </w:r>
      <w:r w:rsidR="00400E91" w:rsidRPr="001C45D7">
        <w:rPr>
          <w:color w:val="000000" w:themeColor="text1"/>
          <w:lang w:val="en-US"/>
        </w:rPr>
        <w:t>–</w:t>
      </w:r>
      <w:r w:rsidRPr="001C45D7">
        <w:rPr>
          <w:color w:val="000000" w:themeColor="text1"/>
          <w:lang w:val="en-US"/>
        </w:rPr>
        <w:t xml:space="preserve">supplier asymmetry in digital capability. We first identified the instrumental variable (IV) that theoretically and statistically related to the explanatory variable but </w:t>
      </w:r>
      <w:r w:rsidR="008B29DE" w:rsidRPr="001C45D7">
        <w:rPr>
          <w:color w:val="000000" w:themeColor="text1"/>
          <w:lang w:val="en-US"/>
        </w:rPr>
        <w:t xml:space="preserve">was </w:t>
      </w:r>
      <w:r w:rsidRPr="001C45D7">
        <w:rPr>
          <w:color w:val="000000" w:themeColor="text1"/>
          <w:lang w:val="en-US"/>
        </w:rPr>
        <w:t>exogeneous to the dependent variable and error term: the extent of suppliers</w:t>
      </w:r>
      <w:r w:rsidR="00EA7872" w:rsidRPr="001C45D7">
        <w:rPr>
          <w:color w:val="000000" w:themeColor="text1"/>
          <w:lang w:val="en-US"/>
        </w:rPr>
        <w:t>’</w:t>
      </w:r>
      <w:r w:rsidRPr="001C45D7">
        <w:rPr>
          <w:color w:val="000000" w:themeColor="text1"/>
          <w:lang w:val="en-US"/>
        </w:rPr>
        <w:t xml:space="preserve"> digital technology adoption. At the first-stage regression analysis,</w:t>
      </w:r>
      <w:r w:rsidR="00347D08">
        <w:rPr>
          <w:color w:val="000000" w:themeColor="text1"/>
          <w:lang w:val="en-US"/>
        </w:rPr>
        <w:t xml:space="preserve"> the variable,</w:t>
      </w:r>
      <w:r w:rsidRPr="001C45D7">
        <w:rPr>
          <w:color w:val="000000" w:themeColor="text1"/>
          <w:lang w:val="en-US"/>
        </w:rPr>
        <w:t xml:space="preserve"> </w:t>
      </w:r>
      <w:r w:rsidR="000E03BE" w:rsidRPr="000E03BE">
        <w:rPr>
          <w:rFonts w:eastAsia="Malgun Gothic"/>
          <w:color w:val="000000" w:themeColor="text1"/>
          <w:lang w:val="en-US" w:eastAsia="ko-KR"/>
        </w:rPr>
        <w:t>supplier</w:t>
      </w:r>
      <w:r w:rsidR="000E03BE">
        <w:rPr>
          <w:rFonts w:eastAsia="Malgun Gothic"/>
          <w:color w:val="000000" w:themeColor="text1"/>
          <w:lang w:val="en-US" w:eastAsia="ko-KR"/>
        </w:rPr>
        <w:t xml:space="preserve">-perceived </w:t>
      </w:r>
      <w:r w:rsidR="004342EB" w:rsidRPr="001C45D7">
        <w:rPr>
          <w:color w:val="000000" w:themeColor="text1"/>
          <w:lang w:val="en-US"/>
        </w:rPr>
        <w:t xml:space="preserve">digital capability </w:t>
      </w:r>
      <w:r w:rsidRPr="001C45D7">
        <w:rPr>
          <w:color w:val="000000" w:themeColor="text1"/>
          <w:lang w:val="en-US"/>
        </w:rPr>
        <w:t>asymmetry</w:t>
      </w:r>
      <w:r w:rsidR="00347D08">
        <w:rPr>
          <w:color w:val="000000" w:themeColor="text1"/>
          <w:lang w:val="en-US"/>
        </w:rPr>
        <w:t>,</w:t>
      </w:r>
      <w:r w:rsidRPr="001C45D7">
        <w:rPr>
          <w:color w:val="000000" w:themeColor="text1"/>
          <w:lang w:val="en-US"/>
        </w:rPr>
        <w:t xml:space="preserve"> was regressed on our instrumental variable and control variables. The instrument</w:t>
      </w:r>
      <w:r w:rsidR="003437FA" w:rsidRPr="001C45D7">
        <w:rPr>
          <w:color w:val="000000" w:themeColor="text1"/>
          <w:lang w:val="en-US"/>
        </w:rPr>
        <w:t>al</w:t>
      </w:r>
      <w:r w:rsidRPr="001C45D7">
        <w:rPr>
          <w:color w:val="000000" w:themeColor="text1"/>
          <w:lang w:val="en-US"/>
        </w:rPr>
        <w:t xml:space="preserve"> variable </w:t>
      </w:r>
      <w:r w:rsidRPr="001C45D7">
        <w:rPr>
          <w:bCs/>
          <w:color w:val="000000" w:themeColor="text1"/>
        </w:rPr>
        <w:t>is strongly correlated with the explanatory variable (b</w:t>
      </w:r>
      <w:r w:rsidR="00F347B7" w:rsidRPr="001C45D7">
        <w:rPr>
          <w:bCs/>
          <w:color w:val="000000" w:themeColor="text1"/>
        </w:rPr>
        <w:t xml:space="preserve"> </w:t>
      </w:r>
      <w:r w:rsidRPr="001C45D7">
        <w:rPr>
          <w:bCs/>
          <w:color w:val="000000" w:themeColor="text1"/>
          <w:lang w:val="en-US"/>
        </w:rPr>
        <w:t xml:space="preserve">= </w:t>
      </w:r>
      <w:r w:rsidR="0060024E" w:rsidRPr="001C45D7">
        <w:rPr>
          <w:bCs/>
          <w:color w:val="000000" w:themeColor="text1"/>
          <w:lang w:val="en-US"/>
        </w:rPr>
        <w:t>−</w:t>
      </w:r>
      <w:r w:rsidRPr="001C45D7">
        <w:rPr>
          <w:bCs/>
          <w:color w:val="000000" w:themeColor="text1"/>
          <w:lang w:val="en-US"/>
        </w:rPr>
        <w:t>2.741, p</w:t>
      </w:r>
      <w:r w:rsidR="00F347B7" w:rsidRPr="001C45D7">
        <w:rPr>
          <w:bCs/>
          <w:color w:val="000000" w:themeColor="text1"/>
          <w:lang w:val="en-US"/>
        </w:rPr>
        <w:t xml:space="preserve"> </w:t>
      </w:r>
      <w:r w:rsidRPr="001C45D7">
        <w:rPr>
          <w:bCs/>
          <w:color w:val="000000" w:themeColor="text1"/>
          <w:lang w:val="en-US"/>
        </w:rPr>
        <w:t>=</w:t>
      </w:r>
      <w:r w:rsidR="00F347B7" w:rsidRPr="001C45D7">
        <w:rPr>
          <w:bCs/>
          <w:color w:val="000000" w:themeColor="text1"/>
          <w:lang w:val="en-US"/>
        </w:rPr>
        <w:t xml:space="preserve"> </w:t>
      </w:r>
      <w:r w:rsidRPr="001C45D7">
        <w:rPr>
          <w:bCs/>
          <w:color w:val="000000" w:themeColor="text1"/>
          <w:lang w:val="en-US"/>
        </w:rPr>
        <w:t xml:space="preserve">0.000). </w:t>
      </w:r>
      <w:r w:rsidRPr="001C45D7">
        <w:rPr>
          <w:color w:val="000000" w:themeColor="text1"/>
          <w:lang w:val="en-US"/>
        </w:rPr>
        <w:t xml:space="preserve">In the second stage, the predicted value of the explanatory variable was used as </w:t>
      </w:r>
      <w:r w:rsidR="00207B3E" w:rsidRPr="001C45D7">
        <w:rPr>
          <w:color w:val="000000" w:themeColor="text1"/>
          <w:lang w:val="en-US"/>
        </w:rPr>
        <w:t xml:space="preserve">an </w:t>
      </w:r>
      <w:r w:rsidRPr="001C45D7">
        <w:rPr>
          <w:color w:val="000000" w:themeColor="text1"/>
          <w:lang w:val="en-US"/>
        </w:rPr>
        <w:t>independen</w:t>
      </w:r>
      <w:r w:rsidR="00AA1C3E">
        <w:rPr>
          <w:color w:val="000000" w:themeColor="text1"/>
          <w:lang w:val="en-US"/>
        </w:rPr>
        <w:t>t</w:t>
      </w:r>
      <w:r w:rsidRPr="001C45D7">
        <w:rPr>
          <w:color w:val="000000" w:themeColor="text1"/>
          <w:lang w:val="en-US"/>
        </w:rPr>
        <w:t xml:space="preserve"> variable to retest our proposed relationships. </w:t>
      </w:r>
      <w:r w:rsidR="000E03BE">
        <w:rPr>
          <w:color w:val="000000" w:themeColor="text1"/>
          <w:lang w:val="en-US"/>
        </w:rPr>
        <w:t>Supplier-perce</w:t>
      </w:r>
      <w:r w:rsidR="00862CB4">
        <w:rPr>
          <w:color w:val="000000" w:themeColor="text1"/>
          <w:lang w:val="en-US"/>
        </w:rPr>
        <w:t>i</w:t>
      </w:r>
      <w:r w:rsidR="000E03BE">
        <w:rPr>
          <w:color w:val="000000" w:themeColor="text1"/>
          <w:lang w:val="en-US"/>
        </w:rPr>
        <w:t xml:space="preserve">ved </w:t>
      </w:r>
      <w:r w:rsidR="004342EB" w:rsidRPr="001C45D7">
        <w:rPr>
          <w:color w:val="000000" w:themeColor="text1"/>
          <w:lang w:val="en-US"/>
        </w:rPr>
        <w:t xml:space="preserve">digital capability </w:t>
      </w:r>
      <w:r w:rsidRPr="001C45D7">
        <w:rPr>
          <w:color w:val="000000" w:themeColor="text1"/>
          <w:lang w:val="en-US"/>
        </w:rPr>
        <w:t xml:space="preserve">asymmetry is significantly and positively associated with </w:t>
      </w:r>
      <w:r w:rsidR="00914B56" w:rsidRPr="001C45D7">
        <w:rPr>
          <w:color w:val="000000" w:themeColor="text1"/>
          <w:lang w:val="en-US"/>
        </w:rPr>
        <w:t xml:space="preserve">the </w:t>
      </w:r>
      <w:r w:rsidRPr="001C45D7">
        <w:rPr>
          <w:color w:val="000000" w:themeColor="text1"/>
          <w:lang w:val="en-US"/>
        </w:rPr>
        <w:t>supplier’s dependence on the buyer (B</w:t>
      </w:r>
      <w:r w:rsidR="001927F2" w:rsidRPr="001C45D7">
        <w:rPr>
          <w:color w:val="000000" w:themeColor="text1"/>
          <w:lang w:val="en-US"/>
        </w:rPr>
        <w:t xml:space="preserve"> </w:t>
      </w:r>
      <w:r w:rsidRPr="001C45D7">
        <w:rPr>
          <w:color w:val="000000" w:themeColor="text1"/>
          <w:lang w:val="en-US"/>
        </w:rPr>
        <w:t>= .272, p</w:t>
      </w:r>
      <w:r w:rsidR="001927F2" w:rsidRPr="001C45D7">
        <w:rPr>
          <w:color w:val="000000" w:themeColor="text1"/>
          <w:lang w:val="en-US"/>
        </w:rPr>
        <w:t xml:space="preserve"> </w:t>
      </w:r>
      <w:r w:rsidRPr="001C45D7">
        <w:rPr>
          <w:color w:val="000000" w:themeColor="text1"/>
          <w:lang w:val="en-US"/>
        </w:rPr>
        <w:t xml:space="preserve">= .028), which is consistent with OLS estimation results. We conducted a test to see if the chosen IV </w:t>
      </w:r>
      <w:r w:rsidR="007939AA" w:rsidRPr="001C45D7">
        <w:rPr>
          <w:color w:val="000000" w:themeColor="text1"/>
          <w:lang w:val="en-US"/>
        </w:rPr>
        <w:t>wa</w:t>
      </w:r>
      <w:r w:rsidRPr="001C45D7">
        <w:rPr>
          <w:color w:val="000000" w:themeColor="text1"/>
          <w:lang w:val="en-US"/>
        </w:rPr>
        <w:t>s strong. The null hypothesis</w:t>
      </w:r>
      <w:r w:rsidR="00AA1C3E">
        <w:rPr>
          <w:color w:val="000000" w:themeColor="text1"/>
          <w:lang w:val="en-US"/>
        </w:rPr>
        <w:t>, that is</w:t>
      </w:r>
      <w:r w:rsidRPr="001C45D7">
        <w:rPr>
          <w:color w:val="000000" w:themeColor="text1"/>
          <w:lang w:val="en-US"/>
        </w:rPr>
        <w:t xml:space="preserve"> the </w:t>
      </w:r>
      <w:proofErr w:type="gramStart"/>
      <w:r w:rsidR="00AA1C3E">
        <w:rPr>
          <w:color w:val="000000" w:themeColor="text1"/>
          <w:lang w:val="en-US"/>
        </w:rPr>
        <w:t>weak</w:t>
      </w:r>
      <w:proofErr w:type="gramEnd"/>
      <w:r w:rsidR="00AA1C3E">
        <w:rPr>
          <w:color w:val="000000" w:themeColor="text1"/>
          <w:lang w:val="en-US"/>
        </w:rPr>
        <w:t xml:space="preserve"> </w:t>
      </w:r>
      <w:r w:rsidRPr="001C45D7">
        <w:rPr>
          <w:color w:val="000000" w:themeColor="text1"/>
          <w:lang w:val="en-US"/>
        </w:rPr>
        <w:t xml:space="preserve">IV </w:t>
      </w:r>
      <w:r w:rsidR="00915B50" w:rsidRPr="001C45D7">
        <w:rPr>
          <w:color w:val="000000" w:themeColor="text1"/>
          <w:lang w:val="en-US"/>
        </w:rPr>
        <w:t>wa</w:t>
      </w:r>
      <w:r w:rsidRPr="001C45D7">
        <w:rPr>
          <w:color w:val="000000" w:themeColor="text1"/>
          <w:lang w:val="en-US"/>
        </w:rPr>
        <w:t>s rejected (F</w:t>
      </w:r>
      <w:r w:rsidR="004C563E" w:rsidRPr="001C45D7">
        <w:rPr>
          <w:color w:val="000000" w:themeColor="text1"/>
          <w:lang w:val="en-US"/>
        </w:rPr>
        <w:t xml:space="preserve"> </w:t>
      </w:r>
      <w:r w:rsidRPr="001C45D7">
        <w:rPr>
          <w:color w:val="000000" w:themeColor="text1"/>
          <w:lang w:val="en-US"/>
        </w:rPr>
        <w:t>=</w:t>
      </w:r>
      <w:r w:rsidR="004C563E" w:rsidRPr="001C45D7">
        <w:rPr>
          <w:color w:val="000000" w:themeColor="text1"/>
          <w:lang w:val="en-US"/>
        </w:rPr>
        <w:t xml:space="preserve"> </w:t>
      </w:r>
      <w:r w:rsidRPr="001C45D7">
        <w:rPr>
          <w:color w:val="000000" w:themeColor="text1"/>
          <w:lang w:val="en-US"/>
        </w:rPr>
        <w:t>53.576, p</w:t>
      </w:r>
      <w:r w:rsidR="004C563E" w:rsidRPr="001C45D7">
        <w:rPr>
          <w:color w:val="000000" w:themeColor="text1"/>
          <w:lang w:val="en-US"/>
        </w:rPr>
        <w:t xml:space="preserve"> </w:t>
      </w:r>
      <w:r w:rsidRPr="001C45D7">
        <w:rPr>
          <w:color w:val="000000" w:themeColor="text1"/>
          <w:lang w:val="en-US"/>
        </w:rPr>
        <w:t>= .000). In addition, the R-square</w:t>
      </w:r>
      <w:r w:rsidR="00E055A7" w:rsidRPr="001C45D7">
        <w:rPr>
          <w:rFonts w:eastAsiaTheme="minorEastAsia" w:hint="eastAsia"/>
          <w:color w:val="000000" w:themeColor="text1"/>
          <w:lang w:val="en-US" w:eastAsia="ko-KR"/>
        </w:rPr>
        <w:t>d</w:t>
      </w:r>
      <w:r w:rsidRPr="001C45D7">
        <w:rPr>
          <w:color w:val="000000" w:themeColor="text1"/>
          <w:lang w:val="en-US"/>
        </w:rPr>
        <w:t xml:space="preserve"> value for the first</w:t>
      </w:r>
      <w:r w:rsidR="00C36A70" w:rsidRPr="001C45D7">
        <w:rPr>
          <w:color w:val="000000" w:themeColor="text1"/>
          <w:lang w:val="en-US"/>
        </w:rPr>
        <w:t>-</w:t>
      </w:r>
      <w:r w:rsidRPr="001C45D7">
        <w:rPr>
          <w:color w:val="000000" w:themeColor="text1"/>
          <w:lang w:val="en-US"/>
        </w:rPr>
        <w:t>stage regression (.383) is significantly higher than that of the control-variable</w:t>
      </w:r>
      <w:r w:rsidR="00C36A70" w:rsidRPr="001C45D7">
        <w:rPr>
          <w:color w:val="000000" w:themeColor="text1"/>
          <w:lang w:val="en-US"/>
        </w:rPr>
        <w:t>-</w:t>
      </w:r>
      <w:r w:rsidRPr="001C45D7">
        <w:rPr>
          <w:color w:val="000000" w:themeColor="text1"/>
          <w:lang w:val="en-US"/>
        </w:rPr>
        <w:t>only model (.324), which support</w:t>
      </w:r>
      <w:r w:rsidR="00C36A70" w:rsidRPr="001C45D7">
        <w:rPr>
          <w:color w:val="000000" w:themeColor="text1"/>
          <w:lang w:val="en-US"/>
        </w:rPr>
        <w:t>s</w:t>
      </w:r>
      <w:r w:rsidRPr="001C45D7">
        <w:rPr>
          <w:color w:val="000000" w:themeColor="text1"/>
          <w:lang w:val="en-US"/>
        </w:rPr>
        <w:t xml:space="preserve"> the </w:t>
      </w:r>
      <w:r w:rsidR="00C36A70" w:rsidRPr="001C45D7">
        <w:rPr>
          <w:color w:val="000000" w:themeColor="text1"/>
          <w:lang w:val="en-US"/>
        </w:rPr>
        <w:t xml:space="preserve">effectiveness of the </w:t>
      </w:r>
      <w:r w:rsidRPr="001C45D7">
        <w:rPr>
          <w:color w:val="000000" w:themeColor="text1"/>
          <w:lang w:val="en-US"/>
        </w:rPr>
        <w:t xml:space="preserve">IV (Pu </w:t>
      </w:r>
      <w:r w:rsidRPr="001C45D7">
        <w:rPr>
          <w:i/>
          <w:iCs/>
          <w:color w:val="000000" w:themeColor="text1"/>
          <w:lang w:val="en-US"/>
        </w:rPr>
        <w:t>et al.</w:t>
      </w:r>
      <w:r w:rsidRPr="001C45D7">
        <w:rPr>
          <w:color w:val="000000" w:themeColor="text1"/>
          <w:lang w:val="en-US"/>
        </w:rPr>
        <w:t>, 2019). Despite the strong instrument</w:t>
      </w:r>
      <w:r w:rsidR="00F416EA" w:rsidRPr="001C45D7">
        <w:rPr>
          <w:color w:val="000000" w:themeColor="text1"/>
          <w:lang w:val="en-US"/>
        </w:rPr>
        <w:t>al</w:t>
      </w:r>
      <w:r w:rsidRPr="001C45D7">
        <w:rPr>
          <w:color w:val="000000" w:themeColor="text1"/>
          <w:lang w:val="en-US"/>
        </w:rPr>
        <w:t xml:space="preserve"> variable, however, the result of </w:t>
      </w:r>
      <w:r w:rsidR="00404122" w:rsidRPr="001C45D7">
        <w:rPr>
          <w:color w:val="000000" w:themeColor="text1"/>
          <w:lang w:val="en-US"/>
        </w:rPr>
        <w:t xml:space="preserve">the </w:t>
      </w:r>
      <w:r w:rsidRPr="001C45D7">
        <w:rPr>
          <w:color w:val="000000" w:themeColor="text1"/>
          <w:lang w:val="en-US"/>
        </w:rPr>
        <w:t xml:space="preserve">Durbin-Wu-Hausman test supports the exogeneity of the </w:t>
      </w:r>
      <w:r w:rsidR="000E03BE">
        <w:rPr>
          <w:color w:val="000000" w:themeColor="text1"/>
          <w:lang w:val="en-US"/>
        </w:rPr>
        <w:t xml:space="preserve">supplier-perceived </w:t>
      </w:r>
      <w:r w:rsidR="004342EB" w:rsidRPr="001C45D7">
        <w:rPr>
          <w:color w:val="000000" w:themeColor="text1"/>
          <w:lang w:val="en-US"/>
        </w:rPr>
        <w:t xml:space="preserve">digital capability </w:t>
      </w:r>
      <w:r w:rsidRPr="001C45D7">
        <w:rPr>
          <w:color w:val="000000" w:themeColor="text1"/>
          <w:lang w:val="en-US"/>
        </w:rPr>
        <w:t>asymmetry</w:t>
      </w:r>
      <w:r w:rsidR="003F21F7" w:rsidRPr="001C45D7">
        <w:rPr>
          <w:color w:val="000000" w:themeColor="text1"/>
          <w:lang w:val="en-US"/>
        </w:rPr>
        <w:t>,</w:t>
      </w:r>
      <w:r w:rsidRPr="001C45D7">
        <w:rPr>
          <w:color w:val="000000" w:themeColor="text1"/>
          <w:lang w:val="en-US"/>
        </w:rPr>
        <w:t xml:space="preserve"> since the null hypothesis that the digital capability </w:t>
      </w:r>
      <w:r w:rsidR="008D10BC">
        <w:rPr>
          <w:color w:val="000000" w:themeColor="text1"/>
          <w:lang w:val="en-US"/>
        </w:rPr>
        <w:t xml:space="preserve">asymmetry </w:t>
      </w:r>
      <w:r w:rsidRPr="001C45D7">
        <w:rPr>
          <w:color w:val="000000" w:themeColor="text1"/>
          <w:lang w:val="en-US"/>
        </w:rPr>
        <w:t xml:space="preserve">is exogenous cannot be rejected </w:t>
      </w:r>
      <w:r w:rsidR="00157836" w:rsidRPr="001C45D7">
        <w:rPr>
          <w:color w:val="000000" w:themeColor="text1"/>
          <w:lang w:val="en-US"/>
        </w:rPr>
        <w:t>(F</w:t>
      </w:r>
      <w:r w:rsidR="003F21F7" w:rsidRPr="001C45D7">
        <w:rPr>
          <w:color w:val="000000" w:themeColor="text1"/>
          <w:lang w:val="en-US"/>
        </w:rPr>
        <w:t xml:space="preserve"> </w:t>
      </w:r>
      <w:r w:rsidR="00157836" w:rsidRPr="001C45D7">
        <w:rPr>
          <w:color w:val="000000" w:themeColor="text1"/>
          <w:lang w:val="en-US"/>
        </w:rPr>
        <w:t>= 0.0756, p</w:t>
      </w:r>
      <w:r w:rsidR="003F21F7" w:rsidRPr="001C45D7">
        <w:rPr>
          <w:color w:val="000000" w:themeColor="text1"/>
          <w:lang w:val="en-US"/>
        </w:rPr>
        <w:t xml:space="preserve"> </w:t>
      </w:r>
      <w:r w:rsidR="00157836" w:rsidRPr="001C45D7">
        <w:rPr>
          <w:color w:val="000000" w:themeColor="text1"/>
          <w:lang w:val="en-US"/>
        </w:rPr>
        <w:t>= .7838</w:t>
      </w:r>
      <w:r w:rsidRPr="001C45D7">
        <w:rPr>
          <w:color w:val="000000" w:themeColor="text1"/>
          <w:lang w:val="en-US"/>
        </w:rPr>
        <w:t xml:space="preserve">). Through these tests, we confirmed that </w:t>
      </w:r>
      <w:r w:rsidR="00722C61" w:rsidRPr="001C45D7">
        <w:rPr>
          <w:color w:val="000000" w:themeColor="text1"/>
          <w:lang w:val="en-US"/>
        </w:rPr>
        <w:t xml:space="preserve">the </w:t>
      </w:r>
      <w:r w:rsidRPr="001C45D7">
        <w:rPr>
          <w:color w:val="000000" w:themeColor="text1"/>
          <w:lang w:val="en-US"/>
        </w:rPr>
        <w:t xml:space="preserve">relationship between the </w:t>
      </w:r>
      <w:r w:rsidR="000E03BE">
        <w:rPr>
          <w:color w:val="000000" w:themeColor="text1"/>
          <w:lang w:val="en-US"/>
        </w:rPr>
        <w:t xml:space="preserve">supplier-perceived </w:t>
      </w:r>
      <w:r w:rsidR="004342EB" w:rsidRPr="001C45D7">
        <w:rPr>
          <w:color w:val="000000" w:themeColor="text1"/>
          <w:lang w:val="en-US"/>
        </w:rPr>
        <w:t xml:space="preserve">digital capability </w:t>
      </w:r>
      <w:r w:rsidRPr="001C45D7">
        <w:rPr>
          <w:color w:val="000000" w:themeColor="text1"/>
          <w:lang w:val="en-US"/>
        </w:rPr>
        <w:t>asymmetry and supplier dependence is unlikely to be excessively affected by endogeneity. Thus, we decided to use OLS regression in our subsequent hypotheses testing</w:t>
      </w:r>
      <w:r w:rsidR="001946CE" w:rsidRPr="001C45D7">
        <w:rPr>
          <w:color w:val="000000" w:themeColor="text1"/>
          <w:lang w:val="en-US"/>
        </w:rPr>
        <w:t>,</w:t>
      </w:r>
      <w:r w:rsidRPr="001C45D7">
        <w:rPr>
          <w:color w:val="000000" w:themeColor="text1"/>
          <w:lang w:val="en-US"/>
        </w:rPr>
        <w:t xml:space="preserve"> since 2SLS estimation </w:t>
      </w:r>
      <w:r w:rsidR="001946CE" w:rsidRPr="001C45D7">
        <w:rPr>
          <w:color w:val="000000" w:themeColor="text1"/>
          <w:lang w:val="en-US"/>
        </w:rPr>
        <w:t xml:space="preserve">is </w:t>
      </w:r>
      <w:r w:rsidRPr="001C45D7">
        <w:rPr>
          <w:color w:val="000000" w:themeColor="text1"/>
          <w:lang w:val="en-US"/>
        </w:rPr>
        <w:t>less efficient than OLS estimation when the explanatory variable is exogenous (</w:t>
      </w:r>
      <w:proofErr w:type="spellStart"/>
      <w:r w:rsidRPr="001C45D7">
        <w:rPr>
          <w:color w:val="000000" w:themeColor="text1"/>
          <w:lang w:val="en-US"/>
        </w:rPr>
        <w:t>Durach</w:t>
      </w:r>
      <w:proofErr w:type="spellEnd"/>
      <w:r w:rsidRPr="001C45D7">
        <w:rPr>
          <w:color w:val="000000" w:themeColor="text1"/>
          <w:lang w:val="en-US"/>
        </w:rPr>
        <w:t xml:space="preserve"> </w:t>
      </w:r>
      <w:r w:rsidRPr="001C45D7">
        <w:rPr>
          <w:i/>
          <w:iCs/>
          <w:color w:val="000000" w:themeColor="text1"/>
          <w:lang w:val="en-US"/>
        </w:rPr>
        <w:t>et al.</w:t>
      </w:r>
      <w:r w:rsidRPr="001C45D7">
        <w:rPr>
          <w:color w:val="000000" w:themeColor="text1"/>
          <w:lang w:val="en-US"/>
        </w:rPr>
        <w:t xml:space="preserve">, 2020). </w:t>
      </w:r>
    </w:p>
    <w:p w14:paraId="0AFCECF0" w14:textId="248D4984" w:rsidR="00C67365" w:rsidRPr="001C45D7" w:rsidRDefault="00C67365" w:rsidP="00D61D5C">
      <w:pPr>
        <w:pStyle w:val="Heading1"/>
        <w:keepNext w:val="0"/>
        <w:widowControl/>
      </w:pPr>
      <w:r w:rsidRPr="001C45D7">
        <w:t>Analysis</w:t>
      </w:r>
      <w:r w:rsidR="00FA6558" w:rsidRPr="001C45D7">
        <w:t xml:space="preserve"> </w:t>
      </w:r>
      <w:r w:rsidRPr="001C45D7">
        <w:t>and</w:t>
      </w:r>
      <w:r w:rsidR="00FA6558" w:rsidRPr="001C45D7">
        <w:t xml:space="preserve"> </w:t>
      </w:r>
      <w:r w:rsidRPr="001C45D7">
        <w:t>Results</w:t>
      </w:r>
    </w:p>
    <w:p w14:paraId="1F2DC840" w14:textId="59DC8D75" w:rsidR="00764B4F" w:rsidRPr="001C45D7" w:rsidRDefault="001E3542" w:rsidP="00566B02">
      <w:pPr>
        <w:pStyle w:val="BodyText"/>
      </w:pPr>
      <w:r w:rsidRPr="001C45D7">
        <w:t>T</w:t>
      </w:r>
      <w:r w:rsidR="00635527" w:rsidRPr="001C45D7">
        <w:t>his</w:t>
      </w:r>
      <w:r w:rsidR="00FA6558" w:rsidRPr="001C45D7">
        <w:t xml:space="preserve"> </w:t>
      </w:r>
      <w:r w:rsidR="00635527" w:rsidRPr="001C45D7">
        <w:t>study</w:t>
      </w:r>
      <w:r w:rsidR="00FA6558" w:rsidRPr="001C45D7">
        <w:t xml:space="preserve"> </w:t>
      </w:r>
      <w:r w:rsidR="00635527" w:rsidRPr="001C45D7">
        <w:t>employ</w:t>
      </w:r>
      <w:r w:rsidR="00437461" w:rsidRPr="001C45D7">
        <w:t>ed</w:t>
      </w:r>
      <w:r w:rsidR="00FA6558" w:rsidRPr="001C45D7">
        <w:t xml:space="preserve"> </w:t>
      </w:r>
      <w:r w:rsidR="00635527" w:rsidRPr="001C45D7">
        <w:t>a</w:t>
      </w:r>
      <w:r w:rsidR="00FA6558" w:rsidRPr="001C45D7">
        <w:t xml:space="preserve"> </w:t>
      </w:r>
      <w:r w:rsidR="00635527" w:rsidRPr="001C45D7">
        <w:t>hierarchical</w:t>
      </w:r>
      <w:r w:rsidR="00FA6558" w:rsidRPr="001C45D7">
        <w:t xml:space="preserve"> </w:t>
      </w:r>
      <w:r w:rsidR="00635527" w:rsidRPr="001C45D7">
        <w:t>regression</w:t>
      </w:r>
      <w:r w:rsidR="00FA6558" w:rsidRPr="001C45D7">
        <w:t xml:space="preserve"> </w:t>
      </w:r>
      <w:r w:rsidR="00635527" w:rsidRPr="001C45D7">
        <w:t>method</w:t>
      </w:r>
      <w:r w:rsidR="00FA6558" w:rsidRPr="001C45D7">
        <w:t xml:space="preserve"> </w:t>
      </w:r>
      <w:r w:rsidR="00635527" w:rsidRPr="001C45D7">
        <w:t>(see</w:t>
      </w:r>
      <w:r w:rsidR="00FA6558" w:rsidRPr="001C45D7">
        <w:t xml:space="preserve"> </w:t>
      </w:r>
      <w:r w:rsidR="003038F9" w:rsidRPr="001C45D7">
        <w:t>Table</w:t>
      </w:r>
      <w:r w:rsidR="00FA6558" w:rsidRPr="001C45D7">
        <w:t xml:space="preserve"> </w:t>
      </w:r>
      <w:r w:rsidR="00B865EB" w:rsidRPr="001C45D7">
        <w:rPr>
          <w:rFonts w:eastAsiaTheme="minorEastAsia" w:hint="eastAsia"/>
          <w:lang w:eastAsia="ko-KR"/>
        </w:rPr>
        <w:t>2</w:t>
      </w:r>
      <w:r w:rsidR="00635527" w:rsidRPr="001C45D7">
        <w:t>)</w:t>
      </w:r>
      <w:r w:rsidR="00DC7C78" w:rsidRPr="001C45D7">
        <w:t>,</w:t>
      </w:r>
      <w:r w:rsidR="00FA6558" w:rsidRPr="001C45D7">
        <w:t xml:space="preserve"> </w:t>
      </w:r>
      <w:r w:rsidR="00635527" w:rsidRPr="001C45D7">
        <w:t>using</w:t>
      </w:r>
      <w:r w:rsidR="00FA6558" w:rsidRPr="001C45D7">
        <w:t xml:space="preserve"> </w:t>
      </w:r>
      <w:r w:rsidR="00635527" w:rsidRPr="001C45D7">
        <w:t>SPSS</w:t>
      </w:r>
      <w:r w:rsidR="00FA6558" w:rsidRPr="001C45D7">
        <w:t xml:space="preserve"> </w:t>
      </w:r>
      <w:r w:rsidR="009D4689" w:rsidRPr="001C45D7">
        <w:rPr>
          <w:rFonts w:eastAsiaTheme="minorEastAsia"/>
          <w:lang w:eastAsia="ko-KR"/>
        </w:rPr>
        <w:t>25</w:t>
      </w:r>
      <w:r w:rsidRPr="001C45D7">
        <w:rPr>
          <w:rFonts w:eastAsiaTheme="minorEastAsia"/>
          <w:lang w:eastAsia="ko-KR"/>
        </w:rPr>
        <w:t xml:space="preserve"> to test the proposed hypotheses</w:t>
      </w:r>
      <w:r w:rsidR="00283A56" w:rsidRPr="001C45D7">
        <w:rPr>
          <w:rFonts w:eastAsiaTheme="minorEastAsia"/>
          <w:lang w:eastAsia="ko-KR"/>
        </w:rPr>
        <w:t>.</w:t>
      </w:r>
      <w:r w:rsidR="00FA6558" w:rsidRPr="001C45D7">
        <w:t xml:space="preserve"> </w:t>
      </w:r>
      <w:r w:rsidR="00424996" w:rsidRPr="001C45D7">
        <w:t>To</w:t>
      </w:r>
      <w:r w:rsidR="00FA6558" w:rsidRPr="001C45D7">
        <w:t xml:space="preserve"> </w:t>
      </w:r>
      <w:r w:rsidR="00424996" w:rsidRPr="001C45D7">
        <w:t>investigate</w:t>
      </w:r>
      <w:r w:rsidR="00FA6558" w:rsidRPr="001C45D7">
        <w:t xml:space="preserve"> </w:t>
      </w:r>
      <w:r w:rsidR="00424996" w:rsidRPr="001C45D7">
        <w:t>a</w:t>
      </w:r>
      <w:r w:rsidR="00FA6558" w:rsidRPr="001C45D7">
        <w:t xml:space="preserve"> </w:t>
      </w:r>
      <w:r w:rsidR="00424996" w:rsidRPr="001C45D7">
        <w:t>potential</w:t>
      </w:r>
      <w:r w:rsidR="00FA6558" w:rsidRPr="001C45D7">
        <w:t xml:space="preserve"> </w:t>
      </w:r>
      <w:r w:rsidR="00424996" w:rsidRPr="001C45D7">
        <w:t>dark</w:t>
      </w:r>
      <w:r w:rsidR="00FA6558" w:rsidRPr="001C45D7">
        <w:t xml:space="preserve"> </w:t>
      </w:r>
      <w:r w:rsidR="00424996" w:rsidRPr="001C45D7">
        <w:t>side</w:t>
      </w:r>
      <w:r w:rsidR="00FA6558" w:rsidRPr="001C45D7">
        <w:t xml:space="preserve"> </w:t>
      </w:r>
      <w:r w:rsidR="00424996" w:rsidRPr="001C45D7">
        <w:t>of</w:t>
      </w:r>
      <w:r w:rsidR="00FA6558" w:rsidRPr="001C45D7">
        <w:t xml:space="preserve"> </w:t>
      </w:r>
      <w:r w:rsidR="00424996" w:rsidRPr="001C45D7">
        <w:t>supply</w:t>
      </w:r>
      <w:r w:rsidR="00FA6558" w:rsidRPr="001C45D7">
        <w:t xml:space="preserve"> </w:t>
      </w:r>
      <w:r w:rsidR="00424996" w:rsidRPr="001C45D7">
        <w:t>chain</w:t>
      </w:r>
      <w:r w:rsidR="00FA6558" w:rsidRPr="001C45D7">
        <w:t xml:space="preserve"> </w:t>
      </w:r>
      <w:r w:rsidR="00424996" w:rsidRPr="001C45D7">
        <w:t>digitalisation,</w:t>
      </w:r>
      <w:r w:rsidR="00FA6558" w:rsidRPr="001C45D7">
        <w:t xml:space="preserve"> </w:t>
      </w:r>
      <w:r w:rsidR="00424996" w:rsidRPr="001C45D7">
        <w:t>we</w:t>
      </w:r>
      <w:r w:rsidR="00FA6558" w:rsidRPr="001C45D7">
        <w:t xml:space="preserve"> </w:t>
      </w:r>
      <w:r w:rsidR="00424996" w:rsidRPr="001C45D7">
        <w:lastRenderedPageBreak/>
        <w:t>hypothesised</w:t>
      </w:r>
      <w:r w:rsidR="00FA6558" w:rsidRPr="001C45D7">
        <w:t xml:space="preserve"> </w:t>
      </w:r>
      <w:r w:rsidR="00424996" w:rsidRPr="001C45D7">
        <w:t>that</w:t>
      </w:r>
      <w:r w:rsidR="00FA6558" w:rsidRPr="001C45D7">
        <w:t xml:space="preserve"> </w:t>
      </w:r>
      <w:r w:rsidR="00424996" w:rsidRPr="001C45D7">
        <w:t>a</w:t>
      </w:r>
      <w:r w:rsidR="00283A56" w:rsidRPr="001C45D7">
        <w:t>n</w:t>
      </w:r>
      <w:r w:rsidR="00FA6558" w:rsidRPr="001C45D7">
        <w:t xml:space="preserve"> </w:t>
      </w:r>
      <w:r w:rsidR="00424996" w:rsidRPr="001C45D7">
        <w:t>SME</w:t>
      </w:r>
      <w:r w:rsidR="00FA6558" w:rsidRPr="001C45D7">
        <w:t xml:space="preserve"> </w:t>
      </w:r>
      <w:r w:rsidR="00424996" w:rsidRPr="001C45D7">
        <w:t>supplier</w:t>
      </w:r>
      <w:r w:rsidR="00FC53D2" w:rsidRPr="001C45D7">
        <w:t xml:space="preserve"> </w:t>
      </w:r>
      <w:r w:rsidR="00424996" w:rsidRPr="001C45D7">
        <w:t>left</w:t>
      </w:r>
      <w:r w:rsidR="00FA6558" w:rsidRPr="001C45D7">
        <w:t xml:space="preserve"> </w:t>
      </w:r>
      <w:r w:rsidR="00424996" w:rsidRPr="001C45D7">
        <w:t>behind</w:t>
      </w:r>
      <w:r w:rsidR="00FA6558" w:rsidRPr="001C45D7">
        <w:t xml:space="preserve"> </w:t>
      </w:r>
      <w:r w:rsidR="00465666" w:rsidRPr="001C45D7">
        <w:t xml:space="preserve">by </w:t>
      </w:r>
      <w:r w:rsidR="00424996" w:rsidRPr="001C45D7">
        <w:t>its</w:t>
      </w:r>
      <w:r w:rsidR="00FA6558" w:rsidRPr="001C45D7">
        <w:t xml:space="preserve"> </w:t>
      </w:r>
      <w:r w:rsidR="00764B4F" w:rsidRPr="001C45D7">
        <w:t>large</w:t>
      </w:r>
      <w:r w:rsidR="00FA6558" w:rsidRPr="001C45D7">
        <w:t xml:space="preserve"> </w:t>
      </w:r>
      <w:r w:rsidR="00424996" w:rsidRPr="001C45D7">
        <w:t>buyer</w:t>
      </w:r>
      <w:r w:rsidR="00FA6558" w:rsidRPr="001C45D7">
        <w:t xml:space="preserve"> </w:t>
      </w:r>
      <w:r w:rsidR="00424996" w:rsidRPr="001C45D7">
        <w:t>in</w:t>
      </w:r>
      <w:r w:rsidR="00FA6558" w:rsidRPr="001C45D7">
        <w:t xml:space="preserve"> </w:t>
      </w:r>
      <w:r w:rsidR="00465666" w:rsidRPr="001C45D7">
        <w:t xml:space="preserve">terms of </w:t>
      </w:r>
      <w:r w:rsidR="007151D3">
        <w:t xml:space="preserve">supply chain </w:t>
      </w:r>
      <w:r w:rsidR="00424996" w:rsidRPr="001C45D7">
        <w:t>digit</w:t>
      </w:r>
      <w:r w:rsidR="00CC36DC" w:rsidRPr="001C45D7">
        <w:t>al</w:t>
      </w:r>
      <w:r w:rsidR="00424996" w:rsidRPr="001C45D7">
        <w:t>isation</w:t>
      </w:r>
      <w:r w:rsidR="00465666" w:rsidRPr="001C45D7">
        <w:t xml:space="preserve"> – </w:t>
      </w:r>
      <w:r w:rsidR="00424996" w:rsidRPr="001C45D7">
        <w:t>that</w:t>
      </w:r>
      <w:r w:rsidR="00FA6558" w:rsidRPr="001C45D7">
        <w:t xml:space="preserve"> </w:t>
      </w:r>
      <w:r w:rsidR="00424996" w:rsidRPr="001C45D7">
        <w:t>is</w:t>
      </w:r>
      <w:r w:rsidR="00283A56" w:rsidRPr="001C45D7">
        <w:t>,</w:t>
      </w:r>
      <w:r w:rsidR="00FA6558" w:rsidRPr="001C45D7">
        <w:t xml:space="preserve"> </w:t>
      </w:r>
      <w:r w:rsidR="00465666" w:rsidRPr="001C45D7">
        <w:t xml:space="preserve">facing </w:t>
      </w:r>
      <w:r w:rsidR="00424996" w:rsidRPr="001C45D7">
        <w:t>widening</w:t>
      </w:r>
      <w:r w:rsidR="00FA6558" w:rsidRPr="001C45D7">
        <w:t xml:space="preserve"> </w:t>
      </w:r>
      <w:r w:rsidR="00424996" w:rsidRPr="001C45D7">
        <w:t>digital</w:t>
      </w:r>
      <w:r w:rsidR="00FA6558" w:rsidRPr="001C45D7">
        <w:t xml:space="preserve"> </w:t>
      </w:r>
      <w:r w:rsidR="00424996" w:rsidRPr="001C45D7">
        <w:t>capability</w:t>
      </w:r>
      <w:r w:rsidR="00FA6558" w:rsidRPr="001C45D7">
        <w:t xml:space="preserve"> </w:t>
      </w:r>
      <w:r w:rsidR="00424996" w:rsidRPr="001C45D7">
        <w:t>asymmetry</w:t>
      </w:r>
      <w:r w:rsidR="00465666" w:rsidRPr="001C45D7">
        <w:t xml:space="preserve"> –</w:t>
      </w:r>
      <w:r w:rsidR="00FA6558" w:rsidRPr="001C45D7">
        <w:t xml:space="preserve"> </w:t>
      </w:r>
      <w:r w:rsidR="00424996" w:rsidRPr="001C45D7">
        <w:t>would</w:t>
      </w:r>
      <w:r w:rsidR="00FA6558" w:rsidRPr="001C45D7">
        <w:t xml:space="preserve"> </w:t>
      </w:r>
      <w:r w:rsidR="00424996" w:rsidRPr="001C45D7">
        <w:t>potentially</w:t>
      </w:r>
      <w:r w:rsidR="00FA6558" w:rsidRPr="001C45D7">
        <w:t xml:space="preserve"> </w:t>
      </w:r>
      <w:r w:rsidR="00114FAC" w:rsidRPr="001C45D7">
        <w:t xml:space="preserve">experience </w:t>
      </w:r>
      <w:r w:rsidR="00424996" w:rsidRPr="001C45D7">
        <w:t>increase</w:t>
      </w:r>
      <w:r w:rsidR="00114FAC" w:rsidRPr="001C45D7">
        <w:t>d</w:t>
      </w:r>
      <w:r w:rsidR="00FA6558" w:rsidRPr="001C45D7">
        <w:t xml:space="preserve"> </w:t>
      </w:r>
      <w:r w:rsidR="00424996" w:rsidRPr="001C45D7">
        <w:t>exposure</w:t>
      </w:r>
      <w:r w:rsidR="00FA6558" w:rsidRPr="001C45D7">
        <w:t xml:space="preserve"> </w:t>
      </w:r>
      <w:r w:rsidR="00424996" w:rsidRPr="001C45D7">
        <w:t>to</w:t>
      </w:r>
      <w:r w:rsidR="00FA6558" w:rsidRPr="001C45D7">
        <w:t xml:space="preserve"> </w:t>
      </w:r>
      <w:r w:rsidR="00424996" w:rsidRPr="001C45D7">
        <w:t>buyer</w:t>
      </w:r>
      <w:r w:rsidR="00FA6558" w:rsidRPr="001C45D7">
        <w:t xml:space="preserve"> </w:t>
      </w:r>
      <w:r w:rsidR="00424996" w:rsidRPr="001C45D7">
        <w:t>opportunism</w:t>
      </w:r>
      <w:r w:rsidR="00FA6558" w:rsidRPr="001C45D7">
        <w:t xml:space="preserve"> </w:t>
      </w:r>
      <w:r w:rsidR="00FF58FF" w:rsidRPr="001C45D7">
        <w:t>(</w:t>
      </w:r>
      <w:r w:rsidR="00B5176D" w:rsidRPr="001C45D7">
        <w:t>H</w:t>
      </w:r>
      <w:r w:rsidR="00B5176D" w:rsidRPr="001C45D7">
        <w:rPr>
          <w:vertAlign w:val="subscript"/>
        </w:rPr>
        <w:t>2</w:t>
      </w:r>
      <w:r w:rsidR="00FF58FF" w:rsidRPr="001C45D7">
        <w:t>)</w:t>
      </w:r>
      <w:r w:rsidR="00FA6558" w:rsidRPr="001C45D7">
        <w:t xml:space="preserve"> </w:t>
      </w:r>
      <w:r w:rsidR="00114FAC" w:rsidRPr="001C45D7">
        <w:t xml:space="preserve">through an </w:t>
      </w:r>
      <w:r w:rsidR="00FF58FF" w:rsidRPr="001C45D7">
        <w:t>increas</w:t>
      </w:r>
      <w:r w:rsidR="00114FAC" w:rsidRPr="001C45D7">
        <w:t>e</w:t>
      </w:r>
      <w:r w:rsidR="00FA6558" w:rsidRPr="001C45D7">
        <w:t xml:space="preserve"> </w:t>
      </w:r>
      <w:r w:rsidR="00114FAC" w:rsidRPr="001C45D7">
        <w:t xml:space="preserve">in </w:t>
      </w:r>
      <w:r w:rsidR="00FF58FF" w:rsidRPr="001C45D7">
        <w:t>its</w:t>
      </w:r>
      <w:r w:rsidR="00FA6558" w:rsidRPr="001C45D7">
        <w:t xml:space="preserve"> </w:t>
      </w:r>
      <w:r w:rsidR="00FF58FF" w:rsidRPr="001C45D7">
        <w:t>dependence</w:t>
      </w:r>
      <w:r w:rsidR="00FA6558" w:rsidRPr="001C45D7">
        <w:t xml:space="preserve"> </w:t>
      </w:r>
      <w:r w:rsidR="00FF58FF" w:rsidRPr="001C45D7">
        <w:t>(</w:t>
      </w:r>
      <w:r w:rsidR="00B5176D" w:rsidRPr="001C45D7">
        <w:t>H</w:t>
      </w:r>
      <w:r w:rsidR="00B5176D" w:rsidRPr="001C45D7">
        <w:rPr>
          <w:vertAlign w:val="subscript"/>
        </w:rPr>
        <w:t>1</w:t>
      </w:r>
      <w:r w:rsidR="00FF58FF" w:rsidRPr="001C45D7">
        <w:t>)</w:t>
      </w:r>
      <w:r w:rsidR="00424996" w:rsidRPr="001C45D7">
        <w:t>.</w:t>
      </w:r>
      <w:r w:rsidR="00FA6558" w:rsidRPr="001C45D7">
        <w:t xml:space="preserve"> </w:t>
      </w:r>
      <w:r w:rsidR="00283A56" w:rsidRPr="001C45D7">
        <w:t>T</w:t>
      </w:r>
      <w:r w:rsidR="00764B4F" w:rsidRPr="001C45D7">
        <w:t>h</w:t>
      </w:r>
      <w:r w:rsidR="004F437C" w:rsidRPr="001C45D7">
        <w:t>ese</w:t>
      </w:r>
      <w:r w:rsidR="00FA6558" w:rsidRPr="001C45D7">
        <w:t xml:space="preserve"> </w:t>
      </w:r>
      <w:r w:rsidR="004F437C" w:rsidRPr="001C45D7">
        <w:t xml:space="preserve">hypotheses </w:t>
      </w:r>
      <w:r w:rsidR="00764B4F" w:rsidRPr="001C45D7">
        <w:t>w</w:t>
      </w:r>
      <w:r w:rsidR="004F437C" w:rsidRPr="001C45D7">
        <w:t>ere</w:t>
      </w:r>
      <w:r w:rsidR="00FA6558" w:rsidRPr="001C45D7">
        <w:t xml:space="preserve"> </w:t>
      </w:r>
      <w:r w:rsidR="00283A56" w:rsidRPr="001C45D7">
        <w:t xml:space="preserve">then </w:t>
      </w:r>
      <w:r w:rsidR="00764B4F" w:rsidRPr="001C45D7">
        <w:t>followed</w:t>
      </w:r>
      <w:r w:rsidR="00FA6558" w:rsidRPr="001C45D7">
        <w:t xml:space="preserve"> </w:t>
      </w:r>
      <w:r w:rsidR="00764B4F" w:rsidRPr="001C45D7">
        <w:t>by</w:t>
      </w:r>
      <w:r w:rsidR="00FA6558" w:rsidRPr="001C45D7">
        <w:t xml:space="preserve"> </w:t>
      </w:r>
      <w:r w:rsidR="00764B4F" w:rsidRPr="001C45D7">
        <w:t>H</w:t>
      </w:r>
      <w:r w:rsidR="000502FB" w:rsidRPr="001C45D7">
        <w:rPr>
          <w:vertAlign w:val="subscript"/>
        </w:rPr>
        <w:t>3</w:t>
      </w:r>
      <w:r w:rsidR="00FA6558" w:rsidRPr="001C45D7">
        <w:rPr>
          <w:vertAlign w:val="subscript"/>
        </w:rPr>
        <w:t xml:space="preserve"> </w:t>
      </w:r>
      <w:r w:rsidR="00764B4F" w:rsidRPr="001C45D7">
        <w:t>and</w:t>
      </w:r>
      <w:r w:rsidR="00FA6558" w:rsidRPr="001C45D7">
        <w:t xml:space="preserve"> </w:t>
      </w:r>
      <w:r w:rsidR="00764B4F" w:rsidRPr="001C45D7">
        <w:t>H</w:t>
      </w:r>
      <w:r w:rsidR="000502FB" w:rsidRPr="001C45D7">
        <w:rPr>
          <w:vertAlign w:val="subscript"/>
        </w:rPr>
        <w:t>4</w:t>
      </w:r>
      <w:r w:rsidR="00937B33" w:rsidRPr="001C45D7">
        <w:t>,</w:t>
      </w:r>
      <w:r w:rsidR="00FA6558" w:rsidRPr="001C45D7">
        <w:t xml:space="preserve"> </w:t>
      </w:r>
      <w:r w:rsidR="00937B33" w:rsidRPr="001C45D7">
        <w:t xml:space="preserve">in which </w:t>
      </w:r>
      <w:r w:rsidR="00FF58FF" w:rsidRPr="001C45D7">
        <w:t>negative</w:t>
      </w:r>
      <w:r w:rsidR="00FA6558" w:rsidRPr="001C45D7">
        <w:t xml:space="preserve"> </w:t>
      </w:r>
      <w:r w:rsidR="00FF58FF" w:rsidRPr="001C45D7">
        <w:t>relationship</w:t>
      </w:r>
      <w:r w:rsidR="00764B4F" w:rsidRPr="001C45D7">
        <w:t>s</w:t>
      </w:r>
      <w:r w:rsidR="00FA6558" w:rsidRPr="001C45D7">
        <w:t xml:space="preserve"> </w:t>
      </w:r>
      <w:r w:rsidR="00FF58FF" w:rsidRPr="001C45D7">
        <w:t>between</w:t>
      </w:r>
      <w:r w:rsidR="00FA6558" w:rsidRPr="001C45D7">
        <w:t xml:space="preserve"> </w:t>
      </w:r>
      <w:r w:rsidR="00FF58FF" w:rsidRPr="001C45D7">
        <w:t>the</w:t>
      </w:r>
      <w:r w:rsidR="00FA6558" w:rsidRPr="001C45D7">
        <w:t xml:space="preserve"> </w:t>
      </w:r>
      <w:r w:rsidR="00424996" w:rsidRPr="001C45D7">
        <w:t>conventional</w:t>
      </w:r>
      <w:r w:rsidR="00FA6558" w:rsidRPr="001C45D7">
        <w:t xml:space="preserve"> </w:t>
      </w:r>
      <w:r w:rsidR="00424996" w:rsidRPr="001C45D7">
        <w:t>safeguard</w:t>
      </w:r>
      <w:r w:rsidR="00937B33" w:rsidRPr="001C45D7">
        <w:t>ing</w:t>
      </w:r>
      <w:r w:rsidR="00FA6558" w:rsidRPr="001C45D7">
        <w:t xml:space="preserve"> </w:t>
      </w:r>
      <w:r w:rsidR="00424996" w:rsidRPr="001C45D7">
        <w:t>mechanism</w:t>
      </w:r>
      <w:r w:rsidR="00FA6558" w:rsidRPr="001C45D7">
        <w:t xml:space="preserve"> </w:t>
      </w:r>
      <w:r w:rsidR="00764B4F" w:rsidRPr="001C45D7">
        <w:t>(</w:t>
      </w:r>
      <w:r w:rsidR="00FF58FF" w:rsidRPr="001C45D7">
        <w:t>contractual</w:t>
      </w:r>
      <w:r w:rsidR="00FA6558" w:rsidRPr="001C45D7">
        <w:t xml:space="preserve"> </w:t>
      </w:r>
      <w:r w:rsidR="00424996" w:rsidRPr="001C45D7">
        <w:t>and</w:t>
      </w:r>
      <w:r w:rsidR="00FA6558" w:rsidRPr="001C45D7">
        <w:t xml:space="preserve"> </w:t>
      </w:r>
      <w:r w:rsidR="00424996" w:rsidRPr="001C45D7">
        <w:t>relational</w:t>
      </w:r>
      <w:r w:rsidR="00FA6558" w:rsidRPr="001C45D7">
        <w:t xml:space="preserve"> </w:t>
      </w:r>
      <w:r w:rsidR="00424996" w:rsidRPr="001C45D7">
        <w:t>governanc</w:t>
      </w:r>
      <w:r w:rsidR="00FF58FF" w:rsidRPr="001C45D7">
        <w:t>e)</w:t>
      </w:r>
      <w:r w:rsidR="00FA6558" w:rsidRPr="001C45D7">
        <w:t xml:space="preserve"> </w:t>
      </w:r>
      <w:r w:rsidR="00FF58FF" w:rsidRPr="001C45D7">
        <w:t>and</w:t>
      </w:r>
      <w:r w:rsidR="00FA6558" w:rsidRPr="001C45D7">
        <w:t xml:space="preserve"> </w:t>
      </w:r>
      <w:r w:rsidR="00FF58FF" w:rsidRPr="001C45D7">
        <w:t>the</w:t>
      </w:r>
      <w:r w:rsidR="00FA6558" w:rsidRPr="001C45D7">
        <w:t xml:space="preserve"> </w:t>
      </w:r>
      <w:r w:rsidR="00FF58FF" w:rsidRPr="001C45D7">
        <w:t>extent</w:t>
      </w:r>
      <w:r w:rsidR="00FA6558" w:rsidRPr="001C45D7">
        <w:t xml:space="preserve"> </w:t>
      </w:r>
      <w:r w:rsidR="00FF58FF" w:rsidRPr="001C45D7">
        <w:t>of</w:t>
      </w:r>
      <w:r w:rsidR="00FA6558" w:rsidRPr="001C45D7">
        <w:t xml:space="preserve"> </w:t>
      </w:r>
      <w:r w:rsidR="00FF58FF" w:rsidRPr="001C45D7">
        <w:t>opportunistic</w:t>
      </w:r>
      <w:r w:rsidR="00FA6558" w:rsidRPr="001C45D7">
        <w:t xml:space="preserve"> </w:t>
      </w:r>
      <w:r w:rsidR="00FF58FF" w:rsidRPr="001C45D7">
        <w:t>behaviours</w:t>
      </w:r>
      <w:r w:rsidR="00FA6558" w:rsidRPr="001C45D7">
        <w:t xml:space="preserve"> </w:t>
      </w:r>
      <w:r w:rsidR="00F04455" w:rsidRPr="001C45D7">
        <w:t>by</w:t>
      </w:r>
      <w:r w:rsidR="00FA6558" w:rsidRPr="001C45D7">
        <w:t xml:space="preserve"> </w:t>
      </w:r>
      <w:r w:rsidR="00FF58FF" w:rsidRPr="001C45D7">
        <w:t>large</w:t>
      </w:r>
      <w:r w:rsidR="00FA6558" w:rsidRPr="001C45D7">
        <w:t xml:space="preserve"> </w:t>
      </w:r>
      <w:r w:rsidR="00FF58FF" w:rsidRPr="001C45D7">
        <w:t>buyer</w:t>
      </w:r>
      <w:r w:rsidR="00F04455" w:rsidRPr="001C45D7">
        <w:t>s</w:t>
      </w:r>
      <w:r w:rsidR="00FA6558" w:rsidRPr="001C45D7">
        <w:t xml:space="preserve"> </w:t>
      </w:r>
      <w:r w:rsidR="00764B4F" w:rsidRPr="001C45D7">
        <w:t>were</w:t>
      </w:r>
      <w:r w:rsidR="00FA6558" w:rsidRPr="001C45D7">
        <w:t xml:space="preserve"> </w:t>
      </w:r>
      <w:r w:rsidR="00764B4F" w:rsidRPr="001C45D7">
        <w:t>postulated</w:t>
      </w:r>
      <w:r w:rsidR="00FF58FF" w:rsidRPr="001C45D7">
        <w:t>.</w:t>
      </w:r>
      <w:r w:rsidR="00FA6558" w:rsidRPr="001C45D7">
        <w:t xml:space="preserve"> </w:t>
      </w:r>
      <w:bookmarkStart w:id="26" w:name="_Hlk69998750"/>
      <w:bookmarkStart w:id="27" w:name="_Hlk69998800"/>
      <w:r w:rsidR="00424996" w:rsidRPr="001C45D7">
        <w:t>As</w:t>
      </w:r>
      <w:r w:rsidR="00FA6558" w:rsidRPr="001C45D7">
        <w:t xml:space="preserve"> </w:t>
      </w:r>
      <w:r w:rsidR="00424996" w:rsidRPr="001C45D7">
        <w:t>seen</w:t>
      </w:r>
      <w:r w:rsidR="00FA6558" w:rsidRPr="001C45D7">
        <w:t xml:space="preserve"> </w:t>
      </w:r>
      <w:r w:rsidR="00424996" w:rsidRPr="001C45D7">
        <w:t>in</w:t>
      </w:r>
      <w:r w:rsidR="00FA6558" w:rsidRPr="001C45D7">
        <w:t xml:space="preserve"> </w:t>
      </w:r>
      <w:r w:rsidR="003038F9" w:rsidRPr="001C45D7">
        <w:t>Table</w:t>
      </w:r>
      <w:r w:rsidR="00FA6558" w:rsidRPr="001C45D7">
        <w:t xml:space="preserve"> </w:t>
      </w:r>
      <w:r w:rsidR="00B865EB" w:rsidRPr="001C45D7">
        <w:rPr>
          <w:rFonts w:eastAsiaTheme="minorEastAsia" w:hint="eastAsia"/>
          <w:lang w:eastAsia="ko-KR"/>
        </w:rPr>
        <w:t>2</w:t>
      </w:r>
      <w:r w:rsidR="00424996" w:rsidRPr="001C45D7">
        <w:t>,</w:t>
      </w:r>
      <w:r w:rsidR="00FA6558" w:rsidRPr="001C45D7">
        <w:t xml:space="preserve"> </w:t>
      </w:r>
      <w:r w:rsidR="00424996" w:rsidRPr="001C45D7">
        <w:t>our</w:t>
      </w:r>
      <w:r w:rsidR="00FA6558" w:rsidRPr="001C45D7">
        <w:t xml:space="preserve"> </w:t>
      </w:r>
      <w:r w:rsidR="00424996" w:rsidRPr="001C45D7">
        <w:t>findings</w:t>
      </w:r>
      <w:r w:rsidR="00FA6558" w:rsidRPr="001C45D7">
        <w:t xml:space="preserve"> </w:t>
      </w:r>
      <w:r w:rsidR="00424996" w:rsidRPr="001C45D7">
        <w:t>supported</w:t>
      </w:r>
      <w:r w:rsidR="00FA6558" w:rsidRPr="001C45D7">
        <w:t xml:space="preserve"> </w:t>
      </w:r>
      <w:r w:rsidR="00B5176D" w:rsidRPr="001C45D7">
        <w:t>H</w:t>
      </w:r>
      <w:r w:rsidR="00B5176D" w:rsidRPr="001C45D7">
        <w:rPr>
          <w:vertAlign w:val="subscript"/>
        </w:rPr>
        <w:t>1</w:t>
      </w:r>
      <w:r w:rsidR="00B5176D" w:rsidRPr="001C45D7">
        <w:t xml:space="preserve"> </w:t>
      </w:r>
      <w:r w:rsidR="006C3B1E" w:rsidRPr="001C45D7">
        <w:t>and</w:t>
      </w:r>
      <w:r w:rsidR="00FA6558" w:rsidRPr="001C45D7">
        <w:t xml:space="preserve"> </w:t>
      </w:r>
      <w:r w:rsidR="00B5176D" w:rsidRPr="001C45D7">
        <w:t>H</w:t>
      </w:r>
      <w:r w:rsidR="00B5176D" w:rsidRPr="001C45D7">
        <w:rPr>
          <w:vertAlign w:val="subscript"/>
        </w:rPr>
        <w:t>2</w:t>
      </w:r>
      <w:r w:rsidR="00283A56" w:rsidRPr="001C45D7">
        <w:t>,</w:t>
      </w:r>
      <w:r w:rsidR="00FA6558" w:rsidRPr="001C45D7">
        <w:t xml:space="preserve"> </w:t>
      </w:r>
      <w:r w:rsidR="003E0740" w:rsidRPr="001C45D7">
        <w:t>suggesting</w:t>
      </w:r>
      <w:r w:rsidR="00FA6558" w:rsidRPr="001C45D7">
        <w:t xml:space="preserve"> </w:t>
      </w:r>
      <w:r w:rsidR="003E0740" w:rsidRPr="001C45D7">
        <w:t>that</w:t>
      </w:r>
      <w:r w:rsidR="007151D3">
        <w:t xml:space="preserve"> </w:t>
      </w:r>
      <w:r w:rsidR="00C77FBB">
        <w:t xml:space="preserve">an </w:t>
      </w:r>
      <w:r w:rsidR="007151D3">
        <w:t>increase in</w:t>
      </w:r>
      <w:r w:rsidR="00FA6558" w:rsidRPr="001C45D7">
        <w:t xml:space="preserve"> </w:t>
      </w:r>
      <w:r w:rsidR="000E03BE">
        <w:t xml:space="preserve">supplier-perceived </w:t>
      </w:r>
      <w:r w:rsidR="003E0740" w:rsidRPr="001C45D7">
        <w:t>digital</w:t>
      </w:r>
      <w:r w:rsidR="00FA6558" w:rsidRPr="001C45D7">
        <w:t xml:space="preserve"> </w:t>
      </w:r>
      <w:r w:rsidR="003E0740" w:rsidRPr="001C45D7">
        <w:t>capability</w:t>
      </w:r>
      <w:r w:rsidR="00FA6558" w:rsidRPr="001C45D7">
        <w:t xml:space="preserve"> </w:t>
      </w:r>
      <w:r w:rsidR="003E0740" w:rsidRPr="001C45D7">
        <w:t>asymmetry</w:t>
      </w:r>
      <w:r w:rsidR="00FA6558" w:rsidRPr="001C45D7">
        <w:t xml:space="preserve"> </w:t>
      </w:r>
      <w:bookmarkStart w:id="28" w:name="_Hlk69998779"/>
      <w:bookmarkEnd w:id="26"/>
      <w:r w:rsidR="006C3B1E" w:rsidRPr="001C45D7">
        <w:t>could</w:t>
      </w:r>
      <w:r w:rsidR="00FA6558" w:rsidRPr="001C45D7">
        <w:t xml:space="preserve"> </w:t>
      </w:r>
      <w:r w:rsidR="003E0740" w:rsidRPr="001C45D7">
        <w:t>significantly</w:t>
      </w:r>
      <w:r w:rsidR="00FA6558" w:rsidRPr="001C45D7">
        <w:t xml:space="preserve"> </w:t>
      </w:r>
      <w:r w:rsidR="006C3B1E" w:rsidRPr="001C45D7">
        <w:t>increase</w:t>
      </w:r>
      <w:r w:rsidR="00FA6558" w:rsidRPr="001C45D7">
        <w:t xml:space="preserve"> </w:t>
      </w:r>
      <w:r w:rsidR="00F1761E">
        <w:t xml:space="preserve">the </w:t>
      </w:r>
      <w:r w:rsidR="003E0740" w:rsidRPr="001C45D7">
        <w:t>suppliers</w:t>
      </w:r>
      <w:r w:rsidR="000B2A00" w:rsidRPr="001C45D7">
        <w:t>’</w:t>
      </w:r>
      <w:r w:rsidR="00FA6558" w:rsidRPr="001C45D7">
        <w:t xml:space="preserve"> </w:t>
      </w:r>
      <w:r w:rsidR="003E0740" w:rsidRPr="001C45D7">
        <w:t>dependence</w:t>
      </w:r>
      <w:r w:rsidR="00FA6558" w:rsidRPr="001C45D7">
        <w:t xml:space="preserve"> </w:t>
      </w:r>
      <w:r w:rsidR="006C3B1E" w:rsidRPr="001C45D7">
        <w:t>on</w:t>
      </w:r>
      <w:r w:rsidR="00FA6558" w:rsidRPr="001C45D7">
        <w:t xml:space="preserve"> </w:t>
      </w:r>
      <w:r w:rsidR="000B2A00" w:rsidRPr="001C45D7">
        <w:t xml:space="preserve">their </w:t>
      </w:r>
      <w:r w:rsidR="006C3B1E" w:rsidRPr="001C45D7">
        <w:t>large</w:t>
      </w:r>
      <w:r w:rsidR="00FA6558" w:rsidRPr="001C45D7">
        <w:t xml:space="preserve"> </w:t>
      </w:r>
      <w:r w:rsidR="006C3B1E" w:rsidRPr="001C45D7">
        <w:t>buyer</w:t>
      </w:r>
      <w:r w:rsidR="009D47D5" w:rsidRPr="001C45D7">
        <w:t>s</w:t>
      </w:r>
      <w:r w:rsidR="00FA6558" w:rsidRPr="001C45D7">
        <w:t xml:space="preserve"> </w:t>
      </w:r>
      <w:bookmarkEnd w:id="27"/>
      <w:bookmarkEnd w:id="28"/>
      <w:r w:rsidR="003E0740" w:rsidRPr="001C45D7">
        <w:t>(</w:t>
      </w:r>
      <w:r w:rsidR="00B5176D" w:rsidRPr="001C45D7">
        <w:t>H</w:t>
      </w:r>
      <w:r w:rsidR="00B5176D" w:rsidRPr="001C45D7">
        <w:rPr>
          <w:vertAlign w:val="subscript"/>
        </w:rPr>
        <w:t>1</w:t>
      </w:r>
      <w:r w:rsidR="006C3B1E" w:rsidRPr="001C45D7">
        <w:t>:</w:t>
      </w:r>
      <w:r w:rsidR="00FA6558" w:rsidRPr="001C45D7">
        <w:t xml:space="preserve"> </w:t>
      </w:r>
      <w:r w:rsidR="003E0740" w:rsidRPr="001C45D7">
        <w:t>unstandardi</w:t>
      </w:r>
      <w:r w:rsidR="00283A56" w:rsidRPr="001C45D7">
        <w:t>s</w:t>
      </w:r>
      <w:r w:rsidR="003E0740" w:rsidRPr="001C45D7">
        <w:t>ed</w:t>
      </w:r>
      <w:r w:rsidR="00FA6558" w:rsidRPr="001C45D7">
        <w:t xml:space="preserve"> </w:t>
      </w:r>
      <w:r w:rsidR="003E0740" w:rsidRPr="001C45D7">
        <w:t>β</w:t>
      </w:r>
      <w:r w:rsidR="009D47D5" w:rsidRPr="001C45D7">
        <w:t xml:space="preserve"> </w:t>
      </w:r>
      <w:r w:rsidR="003E0740" w:rsidRPr="001C45D7">
        <w:t>=.222,</w:t>
      </w:r>
      <w:r w:rsidR="00FA6558" w:rsidRPr="001C45D7">
        <w:t xml:space="preserve"> </w:t>
      </w:r>
      <w:r w:rsidR="006C3B1E" w:rsidRPr="001C45D7">
        <w:rPr>
          <w:i/>
          <w:iCs/>
        </w:rPr>
        <w:t>p</w:t>
      </w:r>
      <w:r w:rsidR="00FA6558" w:rsidRPr="001C45D7">
        <w:t xml:space="preserve"> </w:t>
      </w:r>
      <w:r w:rsidR="006C3B1E" w:rsidRPr="001C45D7">
        <w:t>&lt;</w:t>
      </w:r>
      <w:r w:rsidR="00FA6558" w:rsidRPr="001C45D7">
        <w:t xml:space="preserve"> </w:t>
      </w:r>
      <w:r w:rsidR="006C3B1E" w:rsidRPr="001C45D7">
        <w:t>.05),</w:t>
      </w:r>
      <w:r w:rsidR="00FA6558" w:rsidRPr="001C45D7">
        <w:t xml:space="preserve"> </w:t>
      </w:r>
      <w:r w:rsidR="006C3B1E" w:rsidRPr="001C45D7">
        <w:t>therefore</w:t>
      </w:r>
      <w:r w:rsidR="00FA6558" w:rsidRPr="001C45D7">
        <w:t xml:space="preserve"> </w:t>
      </w:r>
      <w:r w:rsidR="006C3B1E" w:rsidRPr="001C45D7">
        <w:t>resulting</w:t>
      </w:r>
      <w:r w:rsidR="00FA6558" w:rsidRPr="001C45D7">
        <w:t xml:space="preserve"> </w:t>
      </w:r>
      <w:r w:rsidR="006C3B1E" w:rsidRPr="001C45D7">
        <w:t>in</w:t>
      </w:r>
      <w:r w:rsidR="00FA6558" w:rsidRPr="001C45D7">
        <w:t xml:space="preserve"> </w:t>
      </w:r>
      <w:r w:rsidR="006C3B1E" w:rsidRPr="001C45D7">
        <w:t>higher</w:t>
      </w:r>
      <w:r w:rsidR="00FA6558" w:rsidRPr="001C45D7">
        <w:t xml:space="preserve"> </w:t>
      </w:r>
      <w:r w:rsidR="006C3B1E" w:rsidRPr="001C45D7">
        <w:t>exposure</w:t>
      </w:r>
      <w:r w:rsidR="00FA6558" w:rsidRPr="001C45D7">
        <w:t xml:space="preserve"> </w:t>
      </w:r>
      <w:r w:rsidR="006C3B1E" w:rsidRPr="001C45D7">
        <w:t>to</w:t>
      </w:r>
      <w:r w:rsidR="00FA6558" w:rsidRPr="001C45D7">
        <w:t xml:space="preserve"> </w:t>
      </w:r>
      <w:r w:rsidR="003B6AFB" w:rsidRPr="001C45D7">
        <w:t xml:space="preserve">the </w:t>
      </w:r>
      <w:r w:rsidR="006C3B1E" w:rsidRPr="001C45D7">
        <w:t>buyer</w:t>
      </w:r>
      <w:r w:rsidR="00AC36AB" w:rsidRPr="001C45D7">
        <w:t>s’</w:t>
      </w:r>
      <w:r w:rsidR="00FA6558" w:rsidRPr="001C45D7">
        <w:t xml:space="preserve"> </w:t>
      </w:r>
      <w:r w:rsidR="006C3B1E" w:rsidRPr="001C45D7">
        <w:t>opportunis</w:t>
      </w:r>
      <w:r w:rsidR="00F1761E">
        <w:t>m</w:t>
      </w:r>
      <w:r w:rsidR="00FA6558" w:rsidRPr="001C45D7">
        <w:t xml:space="preserve"> </w:t>
      </w:r>
      <w:r w:rsidR="006C3B1E" w:rsidRPr="001C45D7">
        <w:t>(</w:t>
      </w:r>
      <w:r w:rsidR="00B5176D" w:rsidRPr="001C45D7">
        <w:t>H</w:t>
      </w:r>
      <w:r w:rsidR="00B5176D" w:rsidRPr="001C45D7">
        <w:rPr>
          <w:vertAlign w:val="subscript"/>
        </w:rPr>
        <w:t>2</w:t>
      </w:r>
      <w:r w:rsidR="006C3B1E" w:rsidRPr="001C45D7">
        <w:t>:</w:t>
      </w:r>
      <w:r w:rsidR="00FA6558" w:rsidRPr="001C45D7">
        <w:t xml:space="preserve"> </w:t>
      </w:r>
      <w:r w:rsidR="005A7F5B" w:rsidRPr="001C45D7">
        <w:t>unstandardi</w:t>
      </w:r>
      <w:r w:rsidR="00283A56" w:rsidRPr="001C45D7">
        <w:t>s</w:t>
      </w:r>
      <w:r w:rsidR="005A7F5B" w:rsidRPr="001C45D7">
        <w:t>ed</w:t>
      </w:r>
      <w:r w:rsidR="00FA6558" w:rsidRPr="001C45D7">
        <w:t xml:space="preserve"> </w:t>
      </w:r>
      <w:r w:rsidR="005A7F5B" w:rsidRPr="001C45D7">
        <w:t>β</w:t>
      </w:r>
      <w:r w:rsidR="00E440A5" w:rsidRPr="001C45D7">
        <w:t xml:space="preserve"> </w:t>
      </w:r>
      <w:r w:rsidR="005A7F5B" w:rsidRPr="001C45D7">
        <w:t>=.244,</w:t>
      </w:r>
      <w:r w:rsidR="00FA6558" w:rsidRPr="001C45D7">
        <w:t xml:space="preserve"> </w:t>
      </w:r>
      <w:r w:rsidR="005A7F5B" w:rsidRPr="001C45D7">
        <w:rPr>
          <w:i/>
          <w:iCs/>
        </w:rPr>
        <w:t>p</w:t>
      </w:r>
      <w:r w:rsidR="00FA6558" w:rsidRPr="001C45D7">
        <w:t xml:space="preserve"> </w:t>
      </w:r>
      <w:r w:rsidR="005A7F5B" w:rsidRPr="001C45D7">
        <w:t>&lt;</w:t>
      </w:r>
      <w:r w:rsidR="00FA6558" w:rsidRPr="001C45D7">
        <w:t xml:space="preserve"> </w:t>
      </w:r>
      <w:r w:rsidR="005A7F5B" w:rsidRPr="001C45D7">
        <w:t>.05).</w:t>
      </w:r>
      <w:r w:rsidR="00FA6558" w:rsidRPr="001C45D7">
        <w:t xml:space="preserve"> </w:t>
      </w:r>
      <w:r w:rsidR="002712E3" w:rsidRPr="001C45D7">
        <w:t>As</w:t>
      </w:r>
      <w:r w:rsidR="00FA6558" w:rsidRPr="001C45D7">
        <w:t xml:space="preserve"> </w:t>
      </w:r>
      <w:r w:rsidR="002712E3" w:rsidRPr="001C45D7">
        <w:t>expected,</w:t>
      </w:r>
      <w:r w:rsidR="00FA6558" w:rsidRPr="001C45D7">
        <w:t xml:space="preserve"> </w:t>
      </w:r>
      <w:r w:rsidR="002712E3" w:rsidRPr="001C45D7">
        <w:t>the</w:t>
      </w:r>
      <w:r w:rsidR="00FA6558" w:rsidRPr="001C45D7">
        <w:t xml:space="preserve"> </w:t>
      </w:r>
      <w:r w:rsidR="002712E3" w:rsidRPr="001C45D7">
        <w:t>results</w:t>
      </w:r>
      <w:r w:rsidR="00FA6558" w:rsidRPr="001C45D7">
        <w:t xml:space="preserve"> </w:t>
      </w:r>
      <w:r w:rsidR="002712E3" w:rsidRPr="001C45D7">
        <w:t>suggest</w:t>
      </w:r>
      <w:r w:rsidR="00E440A5" w:rsidRPr="001C45D7">
        <w:t>ed</w:t>
      </w:r>
      <w:r w:rsidR="00FA6558" w:rsidRPr="001C45D7">
        <w:t xml:space="preserve"> </w:t>
      </w:r>
      <w:r w:rsidR="002712E3" w:rsidRPr="001C45D7">
        <w:t>a</w:t>
      </w:r>
      <w:r w:rsidR="00FA6558" w:rsidRPr="001C45D7">
        <w:t xml:space="preserve"> </w:t>
      </w:r>
      <w:r w:rsidR="002712E3" w:rsidRPr="001C45D7">
        <w:t>significant</w:t>
      </w:r>
      <w:r w:rsidR="00FA6558" w:rsidRPr="001C45D7">
        <w:t xml:space="preserve"> </w:t>
      </w:r>
      <w:r w:rsidR="002712E3" w:rsidRPr="001C45D7">
        <w:t>negative</w:t>
      </w:r>
      <w:r w:rsidR="00FA6558" w:rsidRPr="001C45D7">
        <w:t xml:space="preserve"> </w:t>
      </w:r>
      <w:r w:rsidR="002712E3" w:rsidRPr="001C45D7">
        <w:t>relationship</w:t>
      </w:r>
      <w:r w:rsidR="00FA6558" w:rsidRPr="001C45D7">
        <w:t xml:space="preserve"> </w:t>
      </w:r>
      <w:r w:rsidR="002712E3" w:rsidRPr="001C45D7">
        <w:t>between</w:t>
      </w:r>
      <w:r w:rsidR="00FA6558" w:rsidRPr="001C45D7">
        <w:t xml:space="preserve"> </w:t>
      </w:r>
      <w:r w:rsidR="002712E3" w:rsidRPr="001C45D7">
        <w:t>relational</w:t>
      </w:r>
      <w:r w:rsidR="00FA6558" w:rsidRPr="001C45D7">
        <w:t xml:space="preserve"> </w:t>
      </w:r>
      <w:r w:rsidR="002712E3" w:rsidRPr="001C45D7">
        <w:t>governance</w:t>
      </w:r>
      <w:r w:rsidR="00FA6558" w:rsidRPr="001C45D7">
        <w:t xml:space="preserve"> </w:t>
      </w:r>
      <w:r w:rsidR="002712E3" w:rsidRPr="001C45D7">
        <w:t>and</w:t>
      </w:r>
      <w:r w:rsidR="00FA6558" w:rsidRPr="001C45D7">
        <w:t xml:space="preserve"> </w:t>
      </w:r>
      <w:r w:rsidR="00283A56" w:rsidRPr="001C45D7">
        <w:t xml:space="preserve">a </w:t>
      </w:r>
      <w:r w:rsidR="002712E3" w:rsidRPr="001C45D7">
        <w:t>buyer’s</w:t>
      </w:r>
      <w:r w:rsidR="00FA6558" w:rsidRPr="001C45D7">
        <w:t xml:space="preserve"> </w:t>
      </w:r>
      <w:r w:rsidR="00C77FBB">
        <w:t>opportunism</w:t>
      </w:r>
      <w:r w:rsidR="00FA6558" w:rsidRPr="001C45D7">
        <w:t xml:space="preserve"> </w:t>
      </w:r>
      <w:r w:rsidR="002712E3" w:rsidRPr="001C45D7">
        <w:t>(</w:t>
      </w:r>
      <w:r w:rsidR="00B5176D" w:rsidRPr="001C45D7">
        <w:t>H</w:t>
      </w:r>
      <w:r w:rsidR="00B5176D" w:rsidRPr="001C45D7">
        <w:rPr>
          <w:vertAlign w:val="subscript"/>
        </w:rPr>
        <w:t>3</w:t>
      </w:r>
      <w:r w:rsidR="002712E3" w:rsidRPr="001C45D7">
        <w:t>:</w:t>
      </w:r>
      <w:r w:rsidR="00FA6558" w:rsidRPr="001C45D7">
        <w:t xml:space="preserve"> </w:t>
      </w:r>
      <w:r w:rsidR="002712E3" w:rsidRPr="001C45D7">
        <w:t>unstandardi</w:t>
      </w:r>
      <w:r w:rsidR="00283A56" w:rsidRPr="001C45D7">
        <w:t>s</w:t>
      </w:r>
      <w:r w:rsidR="002712E3" w:rsidRPr="001C45D7">
        <w:t>ed</w:t>
      </w:r>
      <w:r w:rsidR="00FA6558" w:rsidRPr="001C45D7">
        <w:t xml:space="preserve"> </w:t>
      </w:r>
      <w:r w:rsidR="002712E3" w:rsidRPr="001C45D7">
        <w:t>β</w:t>
      </w:r>
      <w:r w:rsidR="0081155C" w:rsidRPr="001C45D7">
        <w:t xml:space="preserve"> </w:t>
      </w:r>
      <w:r w:rsidR="002712E3" w:rsidRPr="001C45D7">
        <w:t>=</w:t>
      </w:r>
      <w:r w:rsidR="0081155C" w:rsidRPr="001C45D7">
        <w:t xml:space="preserve"> −</w:t>
      </w:r>
      <w:r w:rsidR="002712E3" w:rsidRPr="001C45D7">
        <w:t>.663,</w:t>
      </w:r>
      <w:r w:rsidR="00FA6558" w:rsidRPr="001C45D7">
        <w:t xml:space="preserve"> </w:t>
      </w:r>
      <w:r w:rsidR="002712E3" w:rsidRPr="001C45D7">
        <w:t>p</w:t>
      </w:r>
      <w:r w:rsidR="00FA6558" w:rsidRPr="001C45D7">
        <w:t xml:space="preserve"> </w:t>
      </w:r>
      <w:r w:rsidR="002712E3" w:rsidRPr="001C45D7">
        <w:t>&lt;</w:t>
      </w:r>
      <w:r w:rsidR="00FA6558" w:rsidRPr="001C45D7">
        <w:t xml:space="preserve"> </w:t>
      </w:r>
      <w:r w:rsidR="002712E3" w:rsidRPr="001C45D7">
        <w:t>.000)</w:t>
      </w:r>
      <w:r w:rsidR="00944403" w:rsidRPr="001C45D7">
        <w:t>,</w:t>
      </w:r>
      <w:r w:rsidR="00FA6558" w:rsidRPr="001C45D7">
        <w:t xml:space="preserve"> </w:t>
      </w:r>
      <w:r w:rsidR="002712E3" w:rsidRPr="001C45D7">
        <w:t>implying</w:t>
      </w:r>
      <w:r w:rsidR="00FA6558" w:rsidRPr="001C45D7">
        <w:t xml:space="preserve"> </w:t>
      </w:r>
      <w:r w:rsidR="002712E3" w:rsidRPr="001C45D7">
        <w:t>that</w:t>
      </w:r>
      <w:r w:rsidR="00FA6558" w:rsidRPr="001C45D7">
        <w:t xml:space="preserve"> </w:t>
      </w:r>
      <w:r w:rsidR="002712E3" w:rsidRPr="001C45D7">
        <w:t>this</w:t>
      </w:r>
      <w:r w:rsidR="00FA6558" w:rsidRPr="001C45D7">
        <w:t xml:space="preserve"> </w:t>
      </w:r>
      <w:r w:rsidR="002712E3" w:rsidRPr="001C45D7">
        <w:t>type</w:t>
      </w:r>
      <w:r w:rsidR="00FA6558" w:rsidRPr="001C45D7">
        <w:t xml:space="preserve"> </w:t>
      </w:r>
      <w:r w:rsidR="002712E3" w:rsidRPr="001C45D7">
        <w:t>of</w:t>
      </w:r>
      <w:r w:rsidR="00FA6558" w:rsidRPr="001C45D7">
        <w:t xml:space="preserve"> </w:t>
      </w:r>
      <w:r w:rsidR="002712E3" w:rsidRPr="001C45D7">
        <w:t>governance</w:t>
      </w:r>
      <w:r w:rsidR="00FA6558" w:rsidRPr="001C45D7">
        <w:t xml:space="preserve"> </w:t>
      </w:r>
      <w:r w:rsidR="002712E3" w:rsidRPr="001C45D7">
        <w:t>is</w:t>
      </w:r>
      <w:r w:rsidR="00FA6558" w:rsidRPr="001C45D7">
        <w:t xml:space="preserve"> </w:t>
      </w:r>
      <w:r w:rsidR="002712E3" w:rsidRPr="001C45D7">
        <w:t>still</w:t>
      </w:r>
      <w:r w:rsidR="00FA6558" w:rsidRPr="001C45D7">
        <w:t xml:space="preserve"> </w:t>
      </w:r>
      <w:r w:rsidR="002712E3" w:rsidRPr="001C45D7">
        <w:t>effective</w:t>
      </w:r>
      <w:r w:rsidR="00FA6558" w:rsidRPr="001C45D7">
        <w:t xml:space="preserve"> </w:t>
      </w:r>
      <w:r w:rsidR="002712E3" w:rsidRPr="001C45D7">
        <w:t>in</w:t>
      </w:r>
      <w:r w:rsidR="00FA6558" w:rsidRPr="001C45D7">
        <w:t xml:space="preserve"> </w:t>
      </w:r>
      <w:r w:rsidR="002712E3" w:rsidRPr="001C45D7">
        <w:t>controlling</w:t>
      </w:r>
      <w:r w:rsidR="00FA6558" w:rsidRPr="001C45D7">
        <w:t xml:space="preserve"> </w:t>
      </w:r>
      <w:r w:rsidR="002712E3" w:rsidRPr="001C45D7">
        <w:t>buyer</w:t>
      </w:r>
      <w:r w:rsidR="00FA6558" w:rsidRPr="001C45D7">
        <w:t xml:space="preserve"> </w:t>
      </w:r>
      <w:r w:rsidR="002712E3" w:rsidRPr="001C45D7">
        <w:t>opportunism</w:t>
      </w:r>
      <w:r w:rsidR="00FA6558" w:rsidRPr="001C45D7">
        <w:t xml:space="preserve"> </w:t>
      </w:r>
      <w:r w:rsidR="002712E3" w:rsidRPr="001C45D7">
        <w:t>from</w:t>
      </w:r>
      <w:r w:rsidR="00FA6558" w:rsidRPr="001C45D7">
        <w:t xml:space="preserve"> </w:t>
      </w:r>
      <w:r w:rsidR="002712E3" w:rsidRPr="001C45D7">
        <w:t>a</w:t>
      </w:r>
      <w:r w:rsidR="00FA6558" w:rsidRPr="001C45D7">
        <w:t xml:space="preserve"> </w:t>
      </w:r>
      <w:r w:rsidR="002712E3" w:rsidRPr="001C45D7">
        <w:t>new</w:t>
      </w:r>
      <w:r w:rsidR="00FA6558" w:rsidRPr="001C45D7">
        <w:t xml:space="preserve"> </w:t>
      </w:r>
      <w:r w:rsidR="002712E3" w:rsidRPr="001C45D7">
        <w:t>source</w:t>
      </w:r>
      <w:r w:rsidR="00D31F79" w:rsidRPr="001C45D7">
        <w:t xml:space="preserve"> –</w:t>
      </w:r>
      <w:r w:rsidR="00FA6558" w:rsidRPr="001C45D7">
        <w:t xml:space="preserve"> </w:t>
      </w:r>
      <w:r w:rsidR="002712E3" w:rsidRPr="001C45D7">
        <w:t>that</w:t>
      </w:r>
      <w:r w:rsidR="00FA6558" w:rsidRPr="001C45D7">
        <w:t xml:space="preserve"> </w:t>
      </w:r>
      <w:r w:rsidR="002712E3" w:rsidRPr="001C45D7">
        <w:t>is</w:t>
      </w:r>
      <w:r w:rsidR="00283A56" w:rsidRPr="001C45D7">
        <w:t>,</w:t>
      </w:r>
      <w:r w:rsidR="00FA6558" w:rsidRPr="001C45D7">
        <w:t xml:space="preserve"> </w:t>
      </w:r>
      <w:r w:rsidR="005644B1" w:rsidRPr="001C45D7">
        <w:t>digital</w:t>
      </w:r>
      <w:r w:rsidR="00FA6558" w:rsidRPr="001C45D7">
        <w:t xml:space="preserve"> </w:t>
      </w:r>
      <w:r w:rsidR="002712E3" w:rsidRPr="001C45D7">
        <w:t>capability</w:t>
      </w:r>
      <w:r w:rsidR="00FA6558" w:rsidRPr="001C45D7">
        <w:t xml:space="preserve"> </w:t>
      </w:r>
      <w:r w:rsidR="002712E3" w:rsidRPr="001C45D7">
        <w:t>asymmetry.</w:t>
      </w:r>
      <w:r w:rsidR="00FA6558" w:rsidRPr="001C45D7">
        <w:t xml:space="preserve"> </w:t>
      </w:r>
      <w:r w:rsidR="002712E3" w:rsidRPr="001C45D7">
        <w:t>However,</w:t>
      </w:r>
      <w:r w:rsidR="00FA6558" w:rsidRPr="001C45D7">
        <w:t xml:space="preserve"> </w:t>
      </w:r>
      <w:r w:rsidR="002712E3" w:rsidRPr="001C45D7">
        <w:t>the</w:t>
      </w:r>
      <w:r w:rsidR="00FA6558" w:rsidRPr="001C45D7">
        <w:t xml:space="preserve"> </w:t>
      </w:r>
      <w:r w:rsidR="002712E3" w:rsidRPr="001C45D7">
        <w:t>impact</w:t>
      </w:r>
      <w:r w:rsidR="00FA6558" w:rsidRPr="001C45D7">
        <w:t xml:space="preserve"> </w:t>
      </w:r>
      <w:r w:rsidR="002712E3" w:rsidRPr="001C45D7">
        <w:t>of</w:t>
      </w:r>
      <w:r w:rsidR="00FA6558" w:rsidRPr="001C45D7">
        <w:t xml:space="preserve"> </w:t>
      </w:r>
      <w:r w:rsidR="002712E3" w:rsidRPr="001C45D7">
        <w:t>contractual</w:t>
      </w:r>
      <w:r w:rsidR="00FA6558" w:rsidRPr="001C45D7">
        <w:t xml:space="preserve"> </w:t>
      </w:r>
      <w:r w:rsidR="002712E3" w:rsidRPr="001C45D7">
        <w:t>governance</w:t>
      </w:r>
      <w:r w:rsidR="00FA6558" w:rsidRPr="001C45D7">
        <w:t xml:space="preserve"> </w:t>
      </w:r>
      <w:r w:rsidR="002712E3" w:rsidRPr="001C45D7">
        <w:t>on</w:t>
      </w:r>
      <w:r w:rsidR="00FA6558" w:rsidRPr="001C45D7">
        <w:t xml:space="preserve"> </w:t>
      </w:r>
      <w:r w:rsidR="002712E3" w:rsidRPr="001C45D7">
        <w:t>buyer’s</w:t>
      </w:r>
      <w:r w:rsidR="00FA6558" w:rsidRPr="001C45D7">
        <w:t xml:space="preserve"> </w:t>
      </w:r>
      <w:r w:rsidR="002712E3" w:rsidRPr="001C45D7">
        <w:t>opportunism</w:t>
      </w:r>
      <w:r w:rsidR="00FA6558" w:rsidRPr="001C45D7">
        <w:t xml:space="preserve"> </w:t>
      </w:r>
      <w:r w:rsidR="005258DC" w:rsidRPr="001C45D7">
        <w:t>wa</w:t>
      </w:r>
      <w:r w:rsidR="002712E3" w:rsidRPr="001C45D7">
        <w:t>s</w:t>
      </w:r>
      <w:r w:rsidR="00FA6558" w:rsidRPr="001C45D7">
        <w:t xml:space="preserve"> </w:t>
      </w:r>
      <w:r w:rsidR="002712E3" w:rsidRPr="001C45D7">
        <w:t>not</w:t>
      </w:r>
      <w:r w:rsidR="00FA6558" w:rsidRPr="001C45D7">
        <w:t xml:space="preserve"> </w:t>
      </w:r>
      <w:r w:rsidR="002712E3" w:rsidRPr="001C45D7">
        <w:t>significant</w:t>
      </w:r>
      <w:r w:rsidR="00283A56" w:rsidRPr="001C45D7">
        <w:t>,</w:t>
      </w:r>
      <w:r w:rsidR="00FA6558" w:rsidRPr="001C45D7">
        <w:t xml:space="preserve"> </w:t>
      </w:r>
      <w:r w:rsidR="002712E3" w:rsidRPr="001C45D7">
        <w:t>suggesting</w:t>
      </w:r>
      <w:r w:rsidR="00FA6558" w:rsidRPr="001C45D7">
        <w:t xml:space="preserve"> </w:t>
      </w:r>
      <w:r w:rsidR="002712E3" w:rsidRPr="001C45D7">
        <w:t>that</w:t>
      </w:r>
      <w:r w:rsidR="00FA6558" w:rsidRPr="001C45D7">
        <w:t xml:space="preserve"> </w:t>
      </w:r>
      <w:r w:rsidR="002712E3" w:rsidRPr="001C45D7">
        <w:t>the</w:t>
      </w:r>
      <w:r w:rsidR="00FA6558" w:rsidRPr="001C45D7">
        <w:t xml:space="preserve"> </w:t>
      </w:r>
      <w:r w:rsidR="002712E3" w:rsidRPr="001C45D7">
        <w:t>current</w:t>
      </w:r>
      <w:r w:rsidR="00FA6558" w:rsidRPr="001C45D7">
        <w:t xml:space="preserve"> </w:t>
      </w:r>
      <w:r w:rsidR="002712E3" w:rsidRPr="001C45D7">
        <w:t>form</w:t>
      </w:r>
      <w:r w:rsidR="00FA6558" w:rsidRPr="001C45D7">
        <w:t xml:space="preserve"> </w:t>
      </w:r>
      <w:r w:rsidR="002712E3" w:rsidRPr="001C45D7">
        <w:t>of</w:t>
      </w:r>
      <w:r w:rsidR="00FA6558" w:rsidRPr="001C45D7">
        <w:t xml:space="preserve"> </w:t>
      </w:r>
      <w:r w:rsidR="002712E3" w:rsidRPr="001C45D7">
        <w:t>contractual</w:t>
      </w:r>
      <w:r w:rsidR="00FA6558" w:rsidRPr="001C45D7">
        <w:t xml:space="preserve"> </w:t>
      </w:r>
      <w:r w:rsidR="002712E3" w:rsidRPr="001C45D7">
        <w:t>governance</w:t>
      </w:r>
      <w:r w:rsidR="00FA6558" w:rsidRPr="001C45D7">
        <w:t xml:space="preserve"> </w:t>
      </w:r>
      <w:r w:rsidR="002712E3" w:rsidRPr="001C45D7">
        <w:t>may</w:t>
      </w:r>
      <w:r w:rsidR="00FA6558" w:rsidRPr="001C45D7">
        <w:t xml:space="preserve"> </w:t>
      </w:r>
      <w:r w:rsidR="002712E3" w:rsidRPr="001C45D7">
        <w:t>not</w:t>
      </w:r>
      <w:r w:rsidR="00FA6558" w:rsidRPr="001C45D7">
        <w:t xml:space="preserve"> </w:t>
      </w:r>
      <w:r w:rsidR="002712E3" w:rsidRPr="001C45D7">
        <w:t>be</w:t>
      </w:r>
      <w:r w:rsidR="00FA6558" w:rsidRPr="001C45D7">
        <w:t xml:space="preserve"> </w:t>
      </w:r>
      <w:r w:rsidR="002712E3" w:rsidRPr="001C45D7">
        <w:t>suitable</w:t>
      </w:r>
      <w:r w:rsidR="00FA6558" w:rsidRPr="001C45D7">
        <w:t xml:space="preserve"> </w:t>
      </w:r>
      <w:r w:rsidR="00F40A22" w:rsidRPr="001C45D7">
        <w:t xml:space="preserve">for </w:t>
      </w:r>
      <w:r w:rsidR="002712E3" w:rsidRPr="001C45D7">
        <w:t>curbing</w:t>
      </w:r>
      <w:r w:rsidR="00FA6558" w:rsidRPr="001C45D7">
        <w:t xml:space="preserve"> </w:t>
      </w:r>
      <w:r w:rsidR="002712E3" w:rsidRPr="001C45D7">
        <w:t>buyer</w:t>
      </w:r>
      <w:r w:rsidR="00FA6558" w:rsidRPr="001C45D7">
        <w:t xml:space="preserve"> </w:t>
      </w:r>
      <w:r w:rsidR="002712E3" w:rsidRPr="001C45D7">
        <w:t>opportunism.</w:t>
      </w:r>
    </w:p>
    <w:p w14:paraId="1B6B3285" w14:textId="77777777" w:rsidR="00347D08" w:rsidRDefault="00347D08" w:rsidP="00566B02">
      <w:pPr>
        <w:pStyle w:val="BodyText"/>
      </w:pPr>
    </w:p>
    <w:p w14:paraId="66F49000" w14:textId="6A09F790" w:rsidR="00B5176D" w:rsidRPr="001C45D7" w:rsidRDefault="00B5176D" w:rsidP="00716DC1">
      <w:pPr>
        <w:pStyle w:val="BodyText"/>
        <w:jc w:val="center"/>
      </w:pPr>
      <w:r w:rsidRPr="001C45D7">
        <w:t xml:space="preserve">&lt;Insert Table </w:t>
      </w:r>
      <w:r w:rsidRPr="001C45D7">
        <w:rPr>
          <w:rFonts w:eastAsiaTheme="minorEastAsia" w:hint="eastAsia"/>
          <w:lang w:eastAsia="ko-KR"/>
        </w:rPr>
        <w:t>2</w:t>
      </w:r>
      <w:r w:rsidRPr="001C45D7">
        <w:t xml:space="preserve"> here&gt;</w:t>
      </w:r>
    </w:p>
    <w:p w14:paraId="3C97548A" w14:textId="77777777" w:rsidR="00B5176D" w:rsidRPr="001C45D7" w:rsidRDefault="00B5176D" w:rsidP="00566B02">
      <w:pPr>
        <w:pStyle w:val="BodyText"/>
      </w:pPr>
    </w:p>
    <w:p w14:paraId="3AE61FF8" w14:textId="57D61CD6" w:rsidR="002712E3" w:rsidRPr="001C45D7" w:rsidRDefault="002712E3" w:rsidP="00566B02">
      <w:pPr>
        <w:pStyle w:val="BodyText"/>
      </w:pPr>
      <w:r w:rsidRPr="001C45D7">
        <w:t>To</w:t>
      </w:r>
      <w:r w:rsidR="00FA6558" w:rsidRPr="001C45D7">
        <w:t xml:space="preserve"> </w:t>
      </w:r>
      <w:r w:rsidRPr="001C45D7">
        <w:t>evaluate</w:t>
      </w:r>
      <w:r w:rsidR="00FA6558" w:rsidRPr="001C45D7">
        <w:t xml:space="preserve"> </w:t>
      </w:r>
      <w:r w:rsidRPr="001C45D7">
        <w:t>the</w:t>
      </w:r>
      <w:r w:rsidR="00FA6558" w:rsidRPr="001C45D7">
        <w:t xml:space="preserve"> </w:t>
      </w:r>
      <w:r w:rsidRPr="001C45D7">
        <w:t>mediation</w:t>
      </w:r>
      <w:r w:rsidR="00FA6558" w:rsidRPr="001C45D7">
        <w:t xml:space="preserve"> </w:t>
      </w:r>
      <w:r w:rsidRPr="001C45D7">
        <w:t>effect</w:t>
      </w:r>
      <w:r w:rsidR="00FA6558" w:rsidRPr="001C45D7">
        <w:t xml:space="preserve"> </w:t>
      </w:r>
      <w:r w:rsidRPr="001C45D7">
        <w:t>of</w:t>
      </w:r>
      <w:r w:rsidR="00FA6558" w:rsidRPr="001C45D7">
        <w:t xml:space="preserve"> </w:t>
      </w:r>
      <w:r w:rsidRPr="001C45D7">
        <w:t>supplier</w:t>
      </w:r>
      <w:r w:rsidR="00FA6558" w:rsidRPr="001C45D7">
        <w:t xml:space="preserve"> </w:t>
      </w:r>
      <w:r w:rsidRPr="001C45D7">
        <w:t>dependence</w:t>
      </w:r>
      <w:r w:rsidR="00FA6558" w:rsidRPr="001C45D7">
        <w:t xml:space="preserve"> </w:t>
      </w:r>
      <w:r w:rsidRPr="001C45D7">
        <w:t>between</w:t>
      </w:r>
      <w:r w:rsidR="00FA6558" w:rsidRPr="001C45D7">
        <w:t xml:space="preserve"> </w:t>
      </w:r>
      <w:r w:rsidR="00F1761E">
        <w:t>supplier-perceived</w:t>
      </w:r>
      <w:r w:rsidR="00FA6558" w:rsidRPr="001C45D7">
        <w:t xml:space="preserve"> </w:t>
      </w:r>
      <w:r w:rsidRPr="001C45D7">
        <w:t>digital</w:t>
      </w:r>
      <w:r w:rsidR="00FA6558" w:rsidRPr="001C45D7">
        <w:t xml:space="preserve"> </w:t>
      </w:r>
      <w:r w:rsidRPr="001C45D7">
        <w:t>capability</w:t>
      </w:r>
      <w:r w:rsidR="00FA6558" w:rsidRPr="001C45D7">
        <w:t xml:space="preserve"> </w:t>
      </w:r>
      <w:r w:rsidRPr="001C45D7">
        <w:t>asymmetry</w:t>
      </w:r>
      <w:r w:rsidR="00FA6558" w:rsidRPr="001C45D7">
        <w:t xml:space="preserve"> </w:t>
      </w:r>
      <w:r w:rsidRPr="001C45D7">
        <w:t>and</w:t>
      </w:r>
      <w:r w:rsidR="00FA6558" w:rsidRPr="001C45D7">
        <w:t xml:space="preserve"> </w:t>
      </w:r>
      <w:r w:rsidRPr="001C45D7">
        <w:t>buyer</w:t>
      </w:r>
      <w:r w:rsidR="00FA6558" w:rsidRPr="001C45D7">
        <w:t xml:space="preserve"> </w:t>
      </w:r>
      <w:r w:rsidRPr="001C45D7">
        <w:t>opportunism,</w:t>
      </w:r>
      <w:r w:rsidR="00FA6558" w:rsidRPr="001C45D7">
        <w:t xml:space="preserve"> </w:t>
      </w:r>
      <w:r w:rsidRPr="001C45D7">
        <w:t>we</w:t>
      </w:r>
      <w:r w:rsidR="00FA6558" w:rsidRPr="001C45D7">
        <w:t xml:space="preserve"> </w:t>
      </w:r>
      <w:r w:rsidRPr="001C45D7">
        <w:t>employed</w:t>
      </w:r>
      <w:r w:rsidR="00FA6558" w:rsidRPr="001C45D7">
        <w:t xml:space="preserve"> </w:t>
      </w:r>
      <w:r w:rsidRPr="001C45D7">
        <w:t>the</w:t>
      </w:r>
      <w:r w:rsidR="00FA6558" w:rsidRPr="001C45D7">
        <w:t xml:space="preserve"> </w:t>
      </w:r>
      <w:r w:rsidRPr="001C45D7">
        <w:t>causal</w:t>
      </w:r>
      <w:r w:rsidR="00FA6558" w:rsidRPr="001C45D7">
        <w:t xml:space="preserve"> </w:t>
      </w:r>
      <w:r w:rsidRPr="001C45D7">
        <w:t>step</w:t>
      </w:r>
      <w:r w:rsidR="00FA6558" w:rsidRPr="001C45D7">
        <w:t xml:space="preserve"> </w:t>
      </w:r>
      <w:r w:rsidRPr="001C45D7">
        <w:t>approach</w:t>
      </w:r>
      <w:r w:rsidR="00FA6558" w:rsidRPr="001C45D7">
        <w:t xml:space="preserve"> </w:t>
      </w:r>
      <w:r w:rsidRPr="001C45D7">
        <w:t>initially</w:t>
      </w:r>
      <w:r w:rsidR="00FA6558" w:rsidRPr="001C45D7">
        <w:t xml:space="preserve"> </w:t>
      </w:r>
      <w:r w:rsidRPr="001C45D7">
        <w:t>suggested</w:t>
      </w:r>
      <w:r w:rsidR="00FA6558" w:rsidRPr="001C45D7">
        <w:t xml:space="preserve"> </w:t>
      </w:r>
      <w:r w:rsidRPr="001C45D7">
        <w:t>by</w:t>
      </w:r>
      <w:r w:rsidR="00FA6558" w:rsidRPr="001C45D7">
        <w:t xml:space="preserve"> </w:t>
      </w:r>
      <w:r w:rsidRPr="001C45D7">
        <w:fldChar w:fldCharType="begin" w:fldLock="1"/>
      </w:r>
      <w:r w:rsidR="003F2868" w:rsidRPr="001C45D7">
        <w:instrText>ADDIN CSL_CITATION {"citationItems":[{"id":"ITEM-1","itemData":{"DOI":"10.1037/0022-3514.51.6.1173","ISSN":"00223514","PMID":"3806354","abstract":"In this article, we attempt to distinguish between the properties of moderator and mediator variables at a number of levels. First, we seek to make theorists and researchers aware of the importance of not using the terms moderator and mediator interchangeably by carefully elaborating, both conceptually and strategically, the many ways in which moderators and mediators differ. We then go beyond this largely pedagogical function and delineate the conceptual and strategic implications of making use of such distinctions with regard to a wide range of phenomena, including control and stress, attitudes, and personality traits. We also provide a specific compendium of analytic procedures appropriate for making the most effective use of the moderator and mediator distinction, both separately and in terms of a broader causal system that includes both moderators and mediators. © 1986 American Psychological Association.","author":[{"dropping-particle":"","family":"Baron","given":"Reuben M.","non-dropping-particle":"","parse-names":false,"suffix":""},{"dropping-particle":"","family":"Kenny","given":"David A.","non-dropping-particle":"","parse-names":false,"suffix":""}],"container-title":"Journal of Personality and Social Psychology","id":"ITEM-1","issue":"6","issued":{"date-parts":[["1986"]]},"page":"1173-1182","title":"The Moderator-Mediator Variable Distinction in Social Psychological Research. Conceptual, Strategic, and Statistical Considerations","type":"article-journal","volume":"51"},"uris":["http://www.mendeley.com/documents/?uuid=848580f2-67ca-4103-a775-52586722a45f"]}],"mendeley":{"formattedCitation":"(Baron and Kenny, 1986)","manualFormatting":"Baron and Kenny (1986)","plainTextFormattedCitation":"(Baron and Kenny, 1986)","previouslyFormattedCitation":"(Baron and Kenny, 1986)"},"properties":{"noteIndex":0},"schema":"https://github.com/citation-style-language/schema/raw/master/csl-citation.json"}</w:instrText>
      </w:r>
      <w:r w:rsidRPr="001C45D7">
        <w:fldChar w:fldCharType="separate"/>
      </w:r>
      <w:r w:rsidRPr="001C45D7">
        <w:rPr>
          <w:noProof/>
        </w:rPr>
        <w:t>Baron</w:t>
      </w:r>
      <w:r w:rsidR="00FA6558" w:rsidRPr="001C45D7">
        <w:rPr>
          <w:noProof/>
        </w:rPr>
        <w:t xml:space="preserve"> </w:t>
      </w:r>
      <w:r w:rsidRPr="001C45D7">
        <w:rPr>
          <w:noProof/>
        </w:rPr>
        <w:t>and</w:t>
      </w:r>
      <w:r w:rsidR="00FA6558" w:rsidRPr="001C45D7">
        <w:rPr>
          <w:noProof/>
        </w:rPr>
        <w:t xml:space="preserve"> </w:t>
      </w:r>
      <w:r w:rsidRPr="001C45D7">
        <w:rPr>
          <w:noProof/>
        </w:rPr>
        <w:t>Kenny</w:t>
      </w:r>
      <w:r w:rsidR="00FA6558" w:rsidRPr="001C45D7">
        <w:rPr>
          <w:noProof/>
        </w:rPr>
        <w:t xml:space="preserve"> </w:t>
      </w:r>
      <w:r w:rsidR="00390A9B" w:rsidRPr="001C45D7">
        <w:rPr>
          <w:noProof/>
        </w:rPr>
        <w:t>(</w:t>
      </w:r>
      <w:r w:rsidRPr="001C45D7">
        <w:rPr>
          <w:noProof/>
        </w:rPr>
        <w:t>1986)</w:t>
      </w:r>
      <w:r w:rsidRPr="001C45D7">
        <w:fldChar w:fldCharType="end"/>
      </w:r>
      <w:r w:rsidRPr="001C45D7">
        <w:t>.</w:t>
      </w:r>
      <w:r w:rsidR="00FA6558" w:rsidRPr="001C45D7">
        <w:t xml:space="preserve"> </w:t>
      </w:r>
      <w:r w:rsidR="003A10D1" w:rsidRPr="001C45D7">
        <w:t>The</w:t>
      </w:r>
      <w:r w:rsidR="00FA6558" w:rsidRPr="001C45D7">
        <w:t xml:space="preserve"> </w:t>
      </w:r>
      <w:r w:rsidR="003A10D1" w:rsidRPr="001C45D7">
        <w:t>results</w:t>
      </w:r>
      <w:r w:rsidR="00FA6558" w:rsidRPr="001C45D7">
        <w:t xml:space="preserve"> </w:t>
      </w:r>
      <w:r w:rsidR="003A10D1" w:rsidRPr="001C45D7">
        <w:t>satisfy</w:t>
      </w:r>
      <w:r w:rsidR="00FA6558" w:rsidRPr="001C45D7">
        <w:t xml:space="preserve"> </w:t>
      </w:r>
      <w:r w:rsidR="003A10D1" w:rsidRPr="001C45D7">
        <w:t>all</w:t>
      </w:r>
      <w:r w:rsidR="00FA6558" w:rsidRPr="001C45D7">
        <w:t xml:space="preserve"> </w:t>
      </w:r>
      <w:r w:rsidR="003A10D1" w:rsidRPr="001C45D7">
        <w:t>three</w:t>
      </w:r>
      <w:r w:rsidR="00FA6558" w:rsidRPr="001C45D7">
        <w:t xml:space="preserve"> </w:t>
      </w:r>
      <w:r w:rsidR="003A10D1" w:rsidRPr="001C45D7">
        <w:t>conditions</w:t>
      </w:r>
      <w:r w:rsidR="00FA6558" w:rsidRPr="001C45D7">
        <w:t xml:space="preserve"> </w:t>
      </w:r>
      <w:r w:rsidR="003A10D1" w:rsidRPr="001C45D7">
        <w:t>specified</w:t>
      </w:r>
      <w:r w:rsidR="00FA6558" w:rsidRPr="001C45D7">
        <w:t xml:space="preserve"> </w:t>
      </w:r>
      <w:r w:rsidR="003A10D1" w:rsidRPr="001C45D7">
        <w:t>by</w:t>
      </w:r>
      <w:r w:rsidR="00FA6558" w:rsidRPr="001C45D7">
        <w:t xml:space="preserve"> </w:t>
      </w:r>
      <w:r w:rsidR="003A10D1" w:rsidRPr="001C45D7">
        <w:t>this</w:t>
      </w:r>
      <w:r w:rsidR="00FA6558" w:rsidRPr="001C45D7">
        <w:t xml:space="preserve"> </w:t>
      </w:r>
      <w:r w:rsidR="003A10D1" w:rsidRPr="001C45D7">
        <w:t>approach.</w:t>
      </w:r>
      <w:r w:rsidR="00FA6558" w:rsidRPr="001C45D7">
        <w:t xml:space="preserve"> </w:t>
      </w:r>
      <w:r w:rsidRPr="001C45D7">
        <w:t>In</w:t>
      </w:r>
      <w:r w:rsidR="00FA6558" w:rsidRPr="001C45D7">
        <w:t xml:space="preserve"> </w:t>
      </w:r>
      <w:r w:rsidRPr="001C45D7">
        <w:t>addition,</w:t>
      </w:r>
      <w:r w:rsidR="00FA6558" w:rsidRPr="001C45D7">
        <w:t xml:space="preserve"> </w:t>
      </w:r>
      <w:r w:rsidRPr="001C45D7">
        <w:t>to</w:t>
      </w:r>
      <w:r w:rsidR="00FA6558" w:rsidRPr="001C45D7">
        <w:t xml:space="preserve"> </w:t>
      </w:r>
      <w:r w:rsidRPr="001C45D7">
        <w:t>confirm</w:t>
      </w:r>
      <w:r w:rsidR="00FA6558" w:rsidRPr="001C45D7">
        <w:t xml:space="preserve"> </w:t>
      </w:r>
      <w:r w:rsidRPr="001C45D7">
        <w:t>the</w:t>
      </w:r>
      <w:r w:rsidR="00FA6558" w:rsidRPr="001C45D7">
        <w:t xml:space="preserve"> </w:t>
      </w:r>
      <w:r w:rsidRPr="001C45D7">
        <w:t>complete</w:t>
      </w:r>
      <w:r w:rsidR="00FA6558" w:rsidRPr="001C45D7">
        <w:t xml:space="preserve"> </w:t>
      </w:r>
      <w:r w:rsidRPr="001C45D7">
        <w:t>mediation</w:t>
      </w:r>
      <w:r w:rsidR="00FA6558" w:rsidRPr="001C45D7">
        <w:t xml:space="preserve"> </w:t>
      </w:r>
      <w:r w:rsidRPr="001C45D7">
        <w:t>relationship,</w:t>
      </w:r>
      <w:r w:rsidR="00FA6558" w:rsidRPr="001C45D7">
        <w:t xml:space="preserve"> </w:t>
      </w:r>
      <w:r w:rsidR="003A10D1" w:rsidRPr="001C45D7">
        <w:t>we</w:t>
      </w:r>
      <w:r w:rsidR="00FA6558" w:rsidRPr="001C45D7">
        <w:t xml:space="preserve"> </w:t>
      </w:r>
      <w:r w:rsidR="003A10D1" w:rsidRPr="001C45D7">
        <w:t>checked</w:t>
      </w:r>
      <w:r w:rsidR="00FA6558" w:rsidRPr="001C45D7">
        <w:t xml:space="preserve"> </w:t>
      </w:r>
      <w:r w:rsidR="007E230F" w:rsidRPr="001C45D7">
        <w:t xml:space="preserve">whether </w:t>
      </w:r>
      <w:r w:rsidRPr="001C45D7">
        <w:t>the</w:t>
      </w:r>
      <w:r w:rsidR="00FA6558" w:rsidRPr="001C45D7">
        <w:t xml:space="preserve"> </w:t>
      </w:r>
      <w:r w:rsidRPr="001C45D7">
        <w:t>independent</w:t>
      </w:r>
      <w:r w:rsidR="00FA6558" w:rsidRPr="001C45D7">
        <w:t xml:space="preserve"> </w:t>
      </w:r>
      <w:r w:rsidRPr="001C45D7">
        <w:t>variable</w:t>
      </w:r>
      <w:r w:rsidR="00FA6558" w:rsidRPr="001C45D7">
        <w:t xml:space="preserve"> </w:t>
      </w:r>
      <w:r w:rsidRPr="001C45D7">
        <w:t>no</w:t>
      </w:r>
      <w:r w:rsidR="00FA6558" w:rsidRPr="001C45D7">
        <w:t xml:space="preserve"> </w:t>
      </w:r>
      <w:r w:rsidRPr="001C45D7">
        <w:t>longer</w:t>
      </w:r>
      <w:r w:rsidR="00FA6558" w:rsidRPr="001C45D7">
        <w:t xml:space="preserve"> </w:t>
      </w:r>
      <w:r w:rsidRPr="001C45D7">
        <w:t>affect</w:t>
      </w:r>
      <w:r w:rsidR="00390A9B" w:rsidRPr="001C45D7">
        <w:t>ed</w:t>
      </w:r>
      <w:r w:rsidR="00FA6558" w:rsidRPr="001C45D7">
        <w:t xml:space="preserve"> </w:t>
      </w:r>
      <w:r w:rsidRPr="001C45D7">
        <w:t>the</w:t>
      </w:r>
      <w:r w:rsidR="00FA6558" w:rsidRPr="001C45D7">
        <w:t xml:space="preserve"> </w:t>
      </w:r>
      <w:r w:rsidRPr="001C45D7">
        <w:t>dependent</w:t>
      </w:r>
      <w:r w:rsidR="00FA6558" w:rsidRPr="001C45D7">
        <w:t xml:space="preserve"> </w:t>
      </w:r>
      <w:r w:rsidRPr="001C45D7">
        <w:t>variable</w:t>
      </w:r>
      <w:r w:rsidR="00FA6558" w:rsidRPr="001C45D7">
        <w:t xml:space="preserve"> </w:t>
      </w:r>
      <w:r w:rsidRPr="001C45D7">
        <w:t>after</w:t>
      </w:r>
      <w:r w:rsidR="00FA6558" w:rsidRPr="001C45D7">
        <w:t xml:space="preserve"> </w:t>
      </w:r>
      <w:r w:rsidRPr="001C45D7">
        <w:t>the</w:t>
      </w:r>
      <w:r w:rsidR="00FA6558" w:rsidRPr="001C45D7">
        <w:t xml:space="preserve"> </w:t>
      </w:r>
      <w:r w:rsidRPr="001C45D7">
        <w:t>mediation</w:t>
      </w:r>
      <w:r w:rsidR="00FA6558" w:rsidRPr="001C45D7">
        <w:t xml:space="preserve"> </w:t>
      </w:r>
      <w:r w:rsidR="00C63934" w:rsidRPr="001C45D7">
        <w:t>wa</w:t>
      </w:r>
      <w:r w:rsidRPr="001C45D7">
        <w:t>s</w:t>
      </w:r>
      <w:r w:rsidR="00FA6558" w:rsidRPr="001C45D7">
        <w:t xml:space="preserve"> </w:t>
      </w:r>
      <w:r w:rsidRPr="001C45D7">
        <w:t>controlled.</w:t>
      </w:r>
      <w:r w:rsidR="00FA6558" w:rsidRPr="001C45D7">
        <w:t xml:space="preserve"> </w:t>
      </w:r>
      <w:r w:rsidRPr="001C45D7">
        <w:t>Model</w:t>
      </w:r>
      <w:r w:rsidR="00FA6558" w:rsidRPr="001C45D7">
        <w:t xml:space="preserve"> </w:t>
      </w:r>
      <w:r w:rsidR="0002603C" w:rsidRPr="001C45D7">
        <w:rPr>
          <w:rFonts w:eastAsiaTheme="minorEastAsia"/>
          <w:lang w:eastAsia="ko-KR"/>
        </w:rPr>
        <w:t>5</w:t>
      </w:r>
      <w:r w:rsidR="00B865EB" w:rsidRPr="001C45D7">
        <w:rPr>
          <w:rFonts w:eastAsiaTheme="minorEastAsia" w:hint="eastAsia"/>
          <w:lang w:eastAsia="ko-KR"/>
        </w:rPr>
        <w:t xml:space="preserve"> in Table 2</w:t>
      </w:r>
      <w:r w:rsidR="00FA6558" w:rsidRPr="001C45D7">
        <w:t xml:space="preserve"> </w:t>
      </w:r>
      <w:r w:rsidRPr="001C45D7">
        <w:t>shows</w:t>
      </w:r>
      <w:r w:rsidR="00FA6558" w:rsidRPr="001C45D7">
        <w:t xml:space="preserve"> </w:t>
      </w:r>
      <w:r w:rsidRPr="001C45D7">
        <w:t>that</w:t>
      </w:r>
      <w:r w:rsidR="00FA6558" w:rsidRPr="001C45D7">
        <w:t xml:space="preserve"> </w:t>
      </w:r>
      <w:r w:rsidR="003A10D1" w:rsidRPr="001C45D7">
        <w:t>SME</w:t>
      </w:r>
      <w:r w:rsidR="00FA6558" w:rsidRPr="001C45D7">
        <w:t xml:space="preserve"> </w:t>
      </w:r>
      <w:r w:rsidRPr="001C45D7">
        <w:t>suppliers</w:t>
      </w:r>
      <w:r w:rsidR="00D46C96" w:rsidRPr="001C45D7">
        <w:t>’</w:t>
      </w:r>
      <w:r w:rsidR="00FA6558" w:rsidRPr="001C45D7">
        <w:t xml:space="preserve"> </w:t>
      </w:r>
      <w:r w:rsidRPr="001C45D7">
        <w:t>dependence</w:t>
      </w:r>
      <w:r w:rsidR="00FA6558" w:rsidRPr="001C45D7">
        <w:t xml:space="preserve"> </w:t>
      </w:r>
      <w:r w:rsidRPr="001C45D7">
        <w:t>is</w:t>
      </w:r>
      <w:r w:rsidR="00FA6558" w:rsidRPr="001C45D7">
        <w:t xml:space="preserve"> </w:t>
      </w:r>
      <w:r w:rsidRPr="001C45D7">
        <w:t>significantly</w:t>
      </w:r>
      <w:r w:rsidR="00FA6558" w:rsidRPr="001C45D7">
        <w:t xml:space="preserve"> </w:t>
      </w:r>
      <w:r w:rsidRPr="001C45D7">
        <w:t>associated</w:t>
      </w:r>
      <w:r w:rsidR="00FA6558" w:rsidRPr="001C45D7">
        <w:t xml:space="preserve"> </w:t>
      </w:r>
      <w:r w:rsidRPr="001C45D7">
        <w:t>with</w:t>
      </w:r>
      <w:r w:rsidR="00FA6558" w:rsidRPr="001C45D7">
        <w:t xml:space="preserve"> </w:t>
      </w:r>
      <w:r w:rsidRPr="001C45D7">
        <w:t>buyers</w:t>
      </w:r>
      <w:r w:rsidR="00753802" w:rsidRPr="001C45D7">
        <w:t>’</w:t>
      </w:r>
      <w:r w:rsidR="00FA6558" w:rsidRPr="001C45D7">
        <w:t xml:space="preserve"> </w:t>
      </w:r>
      <w:r w:rsidRPr="001C45D7">
        <w:t>opportunism</w:t>
      </w:r>
      <w:r w:rsidR="00FA6558" w:rsidRPr="001C45D7">
        <w:t xml:space="preserve"> </w:t>
      </w:r>
      <w:r w:rsidRPr="001C45D7">
        <w:t>(unstandardi</w:t>
      </w:r>
      <w:r w:rsidR="00390A9B" w:rsidRPr="001C45D7">
        <w:t>s</w:t>
      </w:r>
      <w:r w:rsidRPr="001C45D7">
        <w:t>ed</w:t>
      </w:r>
      <w:r w:rsidR="00FA6558" w:rsidRPr="001C45D7">
        <w:t xml:space="preserve"> </w:t>
      </w:r>
      <w:r w:rsidRPr="001C45D7">
        <w:t>β</w:t>
      </w:r>
      <w:r w:rsidR="0087380D" w:rsidRPr="001C45D7">
        <w:t xml:space="preserve"> </w:t>
      </w:r>
      <w:r w:rsidRPr="001C45D7">
        <w:t>=</w:t>
      </w:r>
      <w:r w:rsidR="0087380D" w:rsidRPr="001C45D7">
        <w:t xml:space="preserve"> </w:t>
      </w:r>
      <w:r w:rsidRPr="001C45D7">
        <w:t>.258,</w:t>
      </w:r>
      <w:r w:rsidR="00FA6558" w:rsidRPr="001C45D7">
        <w:t xml:space="preserve"> </w:t>
      </w:r>
      <w:r w:rsidR="003A10D1" w:rsidRPr="001C45D7">
        <w:t>p</w:t>
      </w:r>
      <w:r w:rsidR="00FA6558" w:rsidRPr="001C45D7">
        <w:t xml:space="preserve"> </w:t>
      </w:r>
      <w:r w:rsidR="003A10D1" w:rsidRPr="001C45D7">
        <w:t>&lt;</w:t>
      </w:r>
      <w:r w:rsidR="00FA6558" w:rsidRPr="001C45D7">
        <w:t xml:space="preserve"> </w:t>
      </w:r>
      <w:r w:rsidR="003A10D1" w:rsidRPr="001C45D7">
        <w:t>.05</w:t>
      </w:r>
      <w:r w:rsidRPr="001C45D7">
        <w:t>),</w:t>
      </w:r>
      <w:r w:rsidR="00FA6558" w:rsidRPr="001C45D7">
        <w:t xml:space="preserve"> </w:t>
      </w:r>
      <w:r w:rsidRPr="001C45D7">
        <w:t>but</w:t>
      </w:r>
      <w:r w:rsidR="00FA6558" w:rsidRPr="001C45D7">
        <w:t xml:space="preserve"> </w:t>
      </w:r>
      <w:r w:rsidR="0074356B" w:rsidRPr="001C45D7">
        <w:t xml:space="preserve">that </w:t>
      </w:r>
      <w:r w:rsidR="00F1761E">
        <w:t xml:space="preserve">supplier-perceived </w:t>
      </w:r>
      <w:r w:rsidRPr="001C45D7">
        <w:t>digital</w:t>
      </w:r>
      <w:r w:rsidR="00FA6558" w:rsidRPr="001C45D7">
        <w:t xml:space="preserve"> </w:t>
      </w:r>
      <w:r w:rsidRPr="001C45D7">
        <w:t>capability</w:t>
      </w:r>
      <w:r w:rsidR="00FA6558" w:rsidRPr="001C45D7">
        <w:t xml:space="preserve"> </w:t>
      </w:r>
      <w:r w:rsidRPr="001C45D7">
        <w:t>asymmetry</w:t>
      </w:r>
      <w:r w:rsidR="00FA6558" w:rsidRPr="001C45D7">
        <w:t xml:space="preserve"> </w:t>
      </w:r>
      <w:r w:rsidRPr="001C45D7">
        <w:t>is</w:t>
      </w:r>
      <w:r w:rsidR="00FA6558" w:rsidRPr="001C45D7">
        <w:t xml:space="preserve"> </w:t>
      </w:r>
      <w:r w:rsidR="003A10D1" w:rsidRPr="001C45D7">
        <w:t>no</w:t>
      </w:r>
      <w:r w:rsidR="00FA6558" w:rsidRPr="001C45D7">
        <w:t xml:space="preserve"> </w:t>
      </w:r>
      <w:r w:rsidR="003A10D1" w:rsidRPr="001C45D7">
        <w:t>longer</w:t>
      </w:r>
      <w:r w:rsidR="00FA6558" w:rsidRPr="001C45D7">
        <w:t xml:space="preserve"> </w:t>
      </w:r>
      <w:r w:rsidRPr="001C45D7">
        <w:t>significant,</w:t>
      </w:r>
      <w:r w:rsidR="00FA6558" w:rsidRPr="001C45D7">
        <w:t xml:space="preserve"> </w:t>
      </w:r>
      <w:r w:rsidRPr="001C45D7">
        <w:t>confirming</w:t>
      </w:r>
      <w:r w:rsidR="00FA6558" w:rsidRPr="001C45D7">
        <w:t xml:space="preserve"> </w:t>
      </w:r>
      <w:r w:rsidRPr="001C45D7">
        <w:t>the</w:t>
      </w:r>
      <w:r w:rsidR="00FA6558" w:rsidRPr="001C45D7">
        <w:t xml:space="preserve"> </w:t>
      </w:r>
      <w:r w:rsidRPr="001C45D7">
        <w:t>complete</w:t>
      </w:r>
      <w:r w:rsidR="00FA6558" w:rsidRPr="001C45D7">
        <w:t xml:space="preserve"> </w:t>
      </w:r>
      <w:r w:rsidRPr="001C45D7">
        <w:t>mediation.</w:t>
      </w:r>
      <w:r w:rsidR="00FA6558" w:rsidRPr="001C45D7">
        <w:t xml:space="preserve"> </w:t>
      </w:r>
      <w:r w:rsidRPr="001C45D7">
        <w:t>We</w:t>
      </w:r>
      <w:r w:rsidR="00FA6558" w:rsidRPr="001C45D7">
        <w:t xml:space="preserve"> </w:t>
      </w:r>
      <w:r w:rsidRPr="001C45D7">
        <w:t>assessed</w:t>
      </w:r>
      <w:r w:rsidR="00FA6558" w:rsidRPr="001C45D7">
        <w:t xml:space="preserve"> </w:t>
      </w:r>
      <w:r w:rsidRPr="001C45D7">
        <w:t>the</w:t>
      </w:r>
      <w:r w:rsidR="00FA6558" w:rsidRPr="001C45D7">
        <w:t xml:space="preserve"> </w:t>
      </w:r>
      <w:r w:rsidRPr="001C45D7">
        <w:t>significance</w:t>
      </w:r>
      <w:r w:rsidR="00FA6558" w:rsidRPr="001C45D7">
        <w:t xml:space="preserve"> </w:t>
      </w:r>
      <w:r w:rsidRPr="001C45D7">
        <w:t>of</w:t>
      </w:r>
      <w:r w:rsidR="00FA6558" w:rsidRPr="001C45D7">
        <w:t xml:space="preserve"> </w:t>
      </w:r>
      <w:r w:rsidRPr="001C45D7">
        <w:t>the</w:t>
      </w:r>
      <w:r w:rsidR="00FA6558" w:rsidRPr="001C45D7">
        <w:t xml:space="preserve"> </w:t>
      </w:r>
      <w:r w:rsidRPr="001C45D7">
        <w:t>indirect</w:t>
      </w:r>
      <w:r w:rsidR="00FA6558" w:rsidRPr="001C45D7">
        <w:t xml:space="preserve"> </w:t>
      </w:r>
      <w:r w:rsidRPr="001C45D7">
        <w:t>effects</w:t>
      </w:r>
      <w:r w:rsidR="00FA6558" w:rsidRPr="001C45D7">
        <w:t xml:space="preserve"> </w:t>
      </w:r>
      <w:r w:rsidRPr="001C45D7">
        <w:t>using</w:t>
      </w:r>
      <w:r w:rsidR="00FA6558" w:rsidRPr="001C45D7">
        <w:t xml:space="preserve"> </w:t>
      </w:r>
      <w:r w:rsidRPr="001C45D7">
        <w:t>the</w:t>
      </w:r>
      <w:r w:rsidR="00FA6558" w:rsidRPr="001C45D7">
        <w:t xml:space="preserve"> </w:t>
      </w:r>
      <w:r w:rsidRPr="001C45D7">
        <w:t>PROCESS</w:t>
      </w:r>
      <w:r w:rsidR="00FA6558" w:rsidRPr="001C45D7">
        <w:t xml:space="preserve"> </w:t>
      </w:r>
      <w:r w:rsidRPr="001C45D7">
        <w:t>macro</w:t>
      </w:r>
      <w:r w:rsidR="00FA6558" w:rsidRPr="001C45D7">
        <w:t xml:space="preserve"> </w:t>
      </w:r>
      <w:r w:rsidRPr="001C45D7">
        <w:t>with</w:t>
      </w:r>
      <w:r w:rsidR="00FA6558" w:rsidRPr="001C45D7">
        <w:t xml:space="preserve"> </w:t>
      </w:r>
      <w:r w:rsidRPr="001C45D7">
        <w:t>bias-corrected</w:t>
      </w:r>
      <w:r w:rsidR="00FA6558" w:rsidRPr="001C45D7">
        <w:t xml:space="preserve"> </w:t>
      </w:r>
      <w:r w:rsidRPr="001C45D7">
        <w:t>bootstrapping</w:t>
      </w:r>
      <w:r w:rsidR="00FA6558" w:rsidRPr="001C45D7">
        <w:t xml:space="preserve"> </w:t>
      </w:r>
      <w:r w:rsidRPr="001C45D7">
        <w:t>(Hayes,</w:t>
      </w:r>
      <w:r w:rsidR="00FA6558" w:rsidRPr="001C45D7">
        <w:t xml:space="preserve"> </w:t>
      </w:r>
      <w:r w:rsidRPr="001C45D7">
        <w:t>2018).</w:t>
      </w:r>
      <w:r w:rsidR="00FA6558" w:rsidRPr="001C45D7">
        <w:t xml:space="preserve"> </w:t>
      </w:r>
      <w:r w:rsidR="00B865EB" w:rsidRPr="001C45D7">
        <w:rPr>
          <w:rFonts w:eastAsiaTheme="minorEastAsia" w:hint="eastAsia"/>
          <w:lang w:eastAsia="ko-KR"/>
        </w:rPr>
        <w:t>T</w:t>
      </w:r>
      <w:r w:rsidRPr="001C45D7">
        <w:t>he</w:t>
      </w:r>
      <w:r w:rsidR="00FA6558" w:rsidRPr="001C45D7">
        <w:t xml:space="preserve"> </w:t>
      </w:r>
      <w:r w:rsidRPr="001C45D7">
        <w:t>indirect</w:t>
      </w:r>
      <w:r w:rsidR="00FA6558" w:rsidRPr="001C45D7">
        <w:t xml:space="preserve"> </w:t>
      </w:r>
      <w:r w:rsidRPr="001C45D7">
        <w:t>effect</w:t>
      </w:r>
      <w:r w:rsidR="00FA6558" w:rsidRPr="001C45D7">
        <w:t xml:space="preserve"> </w:t>
      </w:r>
      <w:r w:rsidRPr="001C45D7">
        <w:t>of</w:t>
      </w:r>
      <w:r w:rsidR="00FA6558" w:rsidRPr="001C45D7">
        <w:t xml:space="preserve"> </w:t>
      </w:r>
      <w:r w:rsidR="00F1761E">
        <w:t xml:space="preserve">supplier-perceived </w:t>
      </w:r>
      <w:r w:rsidRPr="001C45D7">
        <w:t>digital</w:t>
      </w:r>
      <w:r w:rsidR="00FA6558" w:rsidRPr="001C45D7">
        <w:t xml:space="preserve"> </w:t>
      </w:r>
      <w:r w:rsidR="00AA1C3E">
        <w:t xml:space="preserve">capability </w:t>
      </w:r>
      <w:r w:rsidRPr="001C45D7">
        <w:t>asymmetry</w:t>
      </w:r>
      <w:r w:rsidR="00FA6558" w:rsidRPr="001C45D7">
        <w:t xml:space="preserve"> </w:t>
      </w:r>
      <w:r w:rsidRPr="001C45D7">
        <w:t>on</w:t>
      </w:r>
      <w:r w:rsidR="00FA6558" w:rsidRPr="001C45D7">
        <w:t xml:space="preserve"> </w:t>
      </w:r>
      <w:r w:rsidRPr="001C45D7">
        <w:t>buyers</w:t>
      </w:r>
      <w:r w:rsidR="00E00F2F" w:rsidRPr="001C45D7">
        <w:t>’</w:t>
      </w:r>
      <w:r w:rsidR="00FA6558" w:rsidRPr="001C45D7">
        <w:t xml:space="preserve"> </w:t>
      </w:r>
      <w:r w:rsidRPr="001C45D7">
        <w:t>opportunism</w:t>
      </w:r>
      <w:r w:rsidR="00FA6558" w:rsidRPr="001C45D7">
        <w:t xml:space="preserve"> </w:t>
      </w:r>
      <w:r w:rsidRPr="001C45D7">
        <w:t>is</w:t>
      </w:r>
      <w:r w:rsidR="00FA6558" w:rsidRPr="001C45D7">
        <w:t xml:space="preserve"> </w:t>
      </w:r>
      <w:r w:rsidRPr="001C45D7">
        <w:t>statistically</w:t>
      </w:r>
      <w:r w:rsidR="00FA6558" w:rsidRPr="001C45D7">
        <w:t xml:space="preserve"> </w:t>
      </w:r>
      <w:r w:rsidRPr="001C45D7">
        <w:t>significant</w:t>
      </w:r>
      <w:r w:rsidR="00B865EB" w:rsidRPr="001C45D7">
        <w:rPr>
          <w:rFonts w:eastAsiaTheme="minorEastAsia" w:hint="eastAsia"/>
          <w:lang w:eastAsia="ko-KR"/>
        </w:rPr>
        <w:t xml:space="preserve"> (Indirect </w:t>
      </w:r>
      <w:r w:rsidR="00B865EB" w:rsidRPr="001C45D7">
        <w:rPr>
          <w:rFonts w:eastAsiaTheme="minorEastAsia" w:hint="eastAsia"/>
          <w:lang w:eastAsia="ko-KR"/>
        </w:rPr>
        <w:lastRenderedPageBreak/>
        <w:t>effect</w:t>
      </w:r>
      <w:r w:rsidR="009B2D30" w:rsidRPr="001C45D7">
        <w:rPr>
          <w:rFonts w:eastAsiaTheme="minorEastAsia"/>
          <w:lang w:eastAsia="ko-KR"/>
        </w:rPr>
        <w:t xml:space="preserve"> </w:t>
      </w:r>
      <w:r w:rsidR="00B865EB" w:rsidRPr="001C45D7">
        <w:rPr>
          <w:rFonts w:eastAsiaTheme="minorEastAsia" w:hint="eastAsia"/>
          <w:lang w:eastAsia="ko-KR"/>
        </w:rPr>
        <w:t>= .0602, Boot SE</w:t>
      </w:r>
      <w:r w:rsidR="009B2D30" w:rsidRPr="001C45D7">
        <w:rPr>
          <w:rFonts w:eastAsiaTheme="minorEastAsia"/>
          <w:lang w:eastAsia="ko-KR"/>
        </w:rPr>
        <w:t xml:space="preserve"> </w:t>
      </w:r>
      <w:r w:rsidR="00B865EB" w:rsidRPr="001C45D7">
        <w:rPr>
          <w:rFonts w:eastAsiaTheme="minorEastAsia" w:hint="eastAsia"/>
          <w:lang w:eastAsia="ko-KR"/>
        </w:rPr>
        <w:t>= .0395)</w:t>
      </w:r>
      <w:r w:rsidRPr="001C45D7">
        <w:t>,</w:t>
      </w:r>
      <w:r w:rsidR="00FA6558" w:rsidRPr="001C45D7">
        <w:t xml:space="preserve"> </w:t>
      </w:r>
      <w:r w:rsidRPr="001C45D7">
        <w:t>as</w:t>
      </w:r>
      <w:r w:rsidR="00FA6558" w:rsidRPr="001C45D7">
        <w:t xml:space="preserve"> </w:t>
      </w:r>
      <w:r w:rsidRPr="001C45D7">
        <w:t>zero</w:t>
      </w:r>
      <w:r w:rsidR="00FA6558" w:rsidRPr="001C45D7">
        <w:t xml:space="preserve"> </w:t>
      </w:r>
      <w:r w:rsidRPr="001C45D7">
        <w:t>does</w:t>
      </w:r>
      <w:r w:rsidR="00FA6558" w:rsidRPr="001C45D7">
        <w:t xml:space="preserve"> </w:t>
      </w:r>
      <w:r w:rsidRPr="001C45D7">
        <w:t>not</w:t>
      </w:r>
      <w:r w:rsidR="00FA6558" w:rsidRPr="001C45D7">
        <w:t xml:space="preserve"> </w:t>
      </w:r>
      <w:r w:rsidRPr="001C45D7">
        <w:t>fall</w:t>
      </w:r>
      <w:r w:rsidR="00FA6558" w:rsidRPr="001C45D7">
        <w:t xml:space="preserve"> </w:t>
      </w:r>
      <w:r w:rsidRPr="001C45D7">
        <w:t>between</w:t>
      </w:r>
      <w:r w:rsidR="00FA6558" w:rsidRPr="001C45D7">
        <w:t xml:space="preserve"> </w:t>
      </w:r>
      <w:r w:rsidRPr="001C45D7">
        <w:t>the</w:t>
      </w:r>
      <w:r w:rsidR="00FA6558" w:rsidRPr="001C45D7">
        <w:t xml:space="preserve"> </w:t>
      </w:r>
      <w:r w:rsidRPr="001C45D7">
        <w:t>lower</w:t>
      </w:r>
      <w:r w:rsidR="00FA6558" w:rsidRPr="001C45D7">
        <w:t xml:space="preserve"> </w:t>
      </w:r>
      <w:r w:rsidRPr="001C45D7">
        <w:t>and</w:t>
      </w:r>
      <w:r w:rsidR="00FA6558" w:rsidRPr="001C45D7">
        <w:t xml:space="preserve"> </w:t>
      </w:r>
      <w:r w:rsidRPr="001C45D7">
        <w:t>upper</w:t>
      </w:r>
      <w:r w:rsidR="00FA6558" w:rsidRPr="001C45D7">
        <w:t xml:space="preserve"> </w:t>
      </w:r>
      <w:r w:rsidRPr="001C45D7">
        <w:t>bounds</w:t>
      </w:r>
      <w:r w:rsidR="00FA6558" w:rsidRPr="001C45D7">
        <w:t xml:space="preserve"> </w:t>
      </w:r>
      <w:r w:rsidRPr="001C45D7">
        <w:t>of</w:t>
      </w:r>
      <w:r w:rsidR="00FA6558" w:rsidRPr="001C45D7">
        <w:t xml:space="preserve"> </w:t>
      </w:r>
      <w:r w:rsidRPr="001C45D7">
        <w:t>the</w:t>
      </w:r>
      <w:r w:rsidR="00FA6558" w:rsidRPr="001C45D7">
        <w:t xml:space="preserve"> </w:t>
      </w:r>
      <w:r w:rsidRPr="001C45D7">
        <w:t>95%</w:t>
      </w:r>
      <w:r w:rsidR="00FA6558" w:rsidRPr="001C45D7">
        <w:t xml:space="preserve"> </w:t>
      </w:r>
      <w:r w:rsidRPr="001C45D7">
        <w:t>confidence</w:t>
      </w:r>
      <w:r w:rsidR="00FA6558" w:rsidRPr="001C45D7">
        <w:t xml:space="preserve"> </w:t>
      </w:r>
      <w:r w:rsidRPr="001C45D7">
        <w:t>interval</w:t>
      </w:r>
      <w:r w:rsidR="00B865EB" w:rsidRPr="001C45D7">
        <w:rPr>
          <w:rFonts w:eastAsiaTheme="minorEastAsia" w:hint="eastAsia"/>
          <w:lang w:eastAsia="ko-KR"/>
        </w:rPr>
        <w:t xml:space="preserve"> (95% bias-correct confidence interval of indirect effect</w:t>
      </w:r>
      <w:r w:rsidR="005C2A2E" w:rsidRPr="001C45D7">
        <w:rPr>
          <w:rFonts w:eastAsiaTheme="minorEastAsia"/>
          <w:lang w:eastAsia="ko-KR"/>
        </w:rPr>
        <w:t xml:space="preserve"> </w:t>
      </w:r>
      <w:r w:rsidR="00B865EB" w:rsidRPr="001C45D7">
        <w:rPr>
          <w:rFonts w:eastAsiaTheme="minorEastAsia" w:hint="eastAsia"/>
          <w:lang w:eastAsia="ko-KR"/>
        </w:rPr>
        <w:t>= [.0015, .1510])</w:t>
      </w:r>
      <w:r w:rsidRPr="001C45D7">
        <w:t>.</w:t>
      </w:r>
    </w:p>
    <w:p w14:paraId="36C42DC2" w14:textId="77777777" w:rsidR="00764B4F" w:rsidRPr="001C45D7" w:rsidRDefault="00764B4F" w:rsidP="00566B02">
      <w:pPr>
        <w:pStyle w:val="BodyText"/>
      </w:pPr>
    </w:p>
    <w:p w14:paraId="4B156051" w14:textId="565B70A2" w:rsidR="00C67365" w:rsidRDefault="00C67365" w:rsidP="00D61D5C">
      <w:pPr>
        <w:pStyle w:val="Heading1"/>
        <w:keepNext w:val="0"/>
        <w:widowControl/>
      </w:pPr>
      <w:r w:rsidRPr="001C45D7">
        <w:t>Discussion</w:t>
      </w:r>
      <w:r w:rsidR="00390A9B" w:rsidRPr="001C45D7">
        <w:t xml:space="preserve"> and Conclusions</w:t>
      </w:r>
    </w:p>
    <w:p w14:paraId="0CFCD7AA" w14:textId="77777777" w:rsidR="00716DC1" w:rsidRPr="00716DC1" w:rsidRDefault="00716DC1" w:rsidP="00716DC1"/>
    <w:p w14:paraId="1A00C6C9" w14:textId="51F3CC29" w:rsidR="001D4625" w:rsidRPr="001C45D7" w:rsidRDefault="001D4625" w:rsidP="00157836">
      <w:pPr>
        <w:pStyle w:val="Heading2"/>
      </w:pPr>
      <w:r w:rsidRPr="001C45D7">
        <w:t>Theoretical</w:t>
      </w:r>
      <w:r w:rsidR="00FA6558" w:rsidRPr="001C45D7">
        <w:t xml:space="preserve"> </w:t>
      </w:r>
      <w:r w:rsidRPr="001C45D7">
        <w:t>contributions</w:t>
      </w:r>
    </w:p>
    <w:p w14:paraId="5A66E9EF" w14:textId="1013CAA6" w:rsidR="00C67365" w:rsidRPr="001C45D7" w:rsidRDefault="00FB14F3" w:rsidP="00566B02">
      <w:pPr>
        <w:pStyle w:val="BodyText"/>
      </w:pPr>
      <w:bookmarkStart w:id="29" w:name="_Hlk63445688"/>
      <w:r w:rsidRPr="001C45D7">
        <w:t>Using resource dependence theory as a theoretical lens</w:t>
      </w:r>
      <w:bookmarkEnd w:id="29"/>
      <w:r w:rsidRPr="001C45D7">
        <w:t>, o</w:t>
      </w:r>
      <w:r w:rsidR="0009754E" w:rsidRPr="001C45D7">
        <w:t>ur</w:t>
      </w:r>
      <w:r w:rsidR="00FA6558" w:rsidRPr="001C45D7">
        <w:t xml:space="preserve"> </w:t>
      </w:r>
      <w:r w:rsidR="0009754E" w:rsidRPr="001C45D7">
        <w:t>paper</w:t>
      </w:r>
      <w:r w:rsidR="00FA6558" w:rsidRPr="001C45D7">
        <w:t xml:space="preserve"> </w:t>
      </w:r>
      <w:r w:rsidR="0009754E" w:rsidRPr="001C45D7">
        <w:t>contributes</w:t>
      </w:r>
      <w:r w:rsidR="00FA6558" w:rsidRPr="001C45D7">
        <w:t xml:space="preserve"> </w:t>
      </w:r>
      <w:r w:rsidR="0009754E" w:rsidRPr="001C45D7">
        <w:t>to</w:t>
      </w:r>
      <w:r w:rsidR="00FA6558" w:rsidRPr="001C45D7">
        <w:t xml:space="preserve"> </w:t>
      </w:r>
      <w:r w:rsidR="0009754E" w:rsidRPr="001C45D7">
        <w:t>the</w:t>
      </w:r>
      <w:r w:rsidR="00FA6558" w:rsidRPr="001C45D7">
        <w:t xml:space="preserve"> </w:t>
      </w:r>
      <w:r w:rsidR="0009754E" w:rsidRPr="001C45D7">
        <w:t>growing</w:t>
      </w:r>
      <w:r w:rsidR="00FA6558" w:rsidRPr="001C45D7">
        <w:t xml:space="preserve"> </w:t>
      </w:r>
      <w:r w:rsidR="0009754E" w:rsidRPr="001C45D7">
        <w:t>literature</w:t>
      </w:r>
      <w:r w:rsidR="00FA6558" w:rsidRPr="001C45D7">
        <w:t xml:space="preserve"> </w:t>
      </w:r>
      <w:r w:rsidR="0009754E" w:rsidRPr="001C45D7">
        <w:t>on</w:t>
      </w:r>
      <w:r w:rsidR="00FA6558" w:rsidRPr="001C45D7">
        <w:t xml:space="preserve"> </w:t>
      </w:r>
      <w:r w:rsidR="0009754E" w:rsidRPr="001C45D7">
        <w:t>supply</w:t>
      </w:r>
      <w:r w:rsidR="00FA6558" w:rsidRPr="001C45D7">
        <w:t xml:space="preserve"> </w:t>
      </w:r>
      <w:r w:rsidR="0009754E" w:rsidRPr="001C45D7">
        <w:t>chain</w:t>
      </w:r>
      <w:r w:rsidR="00FA6558" w:rsidRPr="001C45D7">
        <w:t xml:space="preserve"> </w:t>
      </w:r>
      <w:r w:rsidR="0009754E" w:rsidRPr="001C45D7">
        <w:t>digitalisation</w:t>
      </w:r>
      <w:r w:rsidR="00FA6558" w:rsidRPr="001C45D7">
        <w:t xml:space="preserve"> </w:t>
      </w:r>
      <w:r w:rsidR="0009754E" w:rsidRPr="001C45D7">
        <w:t>by</w:t>
      </w:r>
      <w:r w:rsidR="00FA6558" w:rsidRPr="001C45D7">
        <w:t xml:space="preserve"> </w:t>
      </w:r>
      <w:r w:rsidR="0009754E" w:rsidRPr="001C45D7">
        <w:t>investigating</w:t>
      </w:r>
      <w:r w:rsidR="00FA6558" w:rsidRPr="001C45D7">
        <w:t xml:space="preserve"> </w:t>
      </w:r>
      <w:r w:rsidR="0009754E" w:rsidRPr="001C45D7">
        <w:t>its</w:t>
      </w:r>
      <w:r w:rsidR="00FA6558" w:rsidRPr="001C45D7">
        <w:t xml:space="preserve"> </w:t>
      </w:r>
      <w:r w:rsidR="0009754E" w:rsidRPr="001C45D7">
        <w:t>potential</w:t>
      </w:r>
      <w:r w:rsidR="00FA6558" w:rsidRPr="001C45D7">
        <w:t xml:space="preserve"> </w:t>
      </w:r>
      <w:r w:rsidR="0009754E" w:rsidRPr="001C45D7">
        <w:t>dark</w:t>
      </w:r>
      <w:r w:rsidR="00FA6558" w:rsidRPr="001C45D7">
        <w:t xml:space="preserve"> </w:t>
      </w:r>
      <w:r w:rsidR="0009754E" w:rsidRPr="001C45D7">
        <w:t>side</w:t>
      </w:r>
      <w:r w:rsidR="00390A9B" w:rsidRPr="001C45D7">
        <w:t>.</w:t>
      </w:r>
      <w:r w:rsidR="00FA6558" w:rsidRPr="001C45D7">
        <w:t xml:space="preserve"> </w:t>
      </w:r>
      <w:r w:rsidR="00390A9B" w:rsidRPr="001C45D7">
        <w:t xml:space="preserve">This </w:t>
      </w:r>
      <w:r w:rsidR="00854418" w:rsidRPr="001C45D7">
        <w:t>refers to the situation in which</w:t>
      </w:r>
      <w:r w:rsidR="00390A9B" w:rsidRPr="001C45D7">
        <w:t xml:space="preserve"> </w:t>
      </w:r>
      <w:r w:rsidR="00AC4734" w:rsidRPr="001C45D7">
        <w:t>less</w:t>
      </w:r>
      <w:r w:rsidR="00FA6558" w:rsidRPr="001C45D7">
        <w:t xml:space="preserve"> </w:t>
      </w:r>
      <w:r w:rsidR="00AC4734" w:rsidRPr="001C45D7">
        <w:t>digitally</w:t>
      </w:r>
      <w:r w:rsidR="00FA6558" w:rsidRPr="001C45D7">
        <w:t xml:space="preserve"> </w:t>
      </w:r>
      <w:r w:rsidR="00AC4734" w:rsidRPr="001C45D7">
        <w:t>capable</w:t>
      </w:r>
      <w:r w:rsidR="00FA6558" w:rsidRPr="001C45D7">
        <w:t xml:space="preserve"> </w:t>
      </w:r>
      <w:r w:rsidR="00AC4734" w:rsidRPr="001C45D7">
        <w:t>companies</w:t>
      </w:r>
      <w:r w:rsidR="00FA6558" w:rsidRPr="001C45D7">
        <w:t xml:space="preserve"> </w:t>
      </w:r>
      <w:r w:rsidR="00AC4734" w:rsidRPr="001C45D7">
        <w:t>become</w:t>
      </w:r>
      <w:r w:rsidR="00FA6558" w:rsidRPr="001C45D7">
        <w:t xml:space="preserve"> </w:t>
      </w:r>
      <w:r w:rsidR="001D4625" w:rsidRPr="001C45D7">
        <w:t>more</w:t>
      </w:r>
      <w:r w:rsidR="00FA6558" w:rsidRPr="001C45D7">
        <w:t xml:space="preserve"> </w:t>
      </w:r>
      <w:r w:rsidR="001D4625" w:rsidRPr="001C45D7">
        <w:t>vulnerable</w:t>
      </w:r>
      <w:r w:rsidR="00FA6558" w:rsidRPr="001C45D7">
        <w:t xml:space="preserve"> </w:t>
      </w:r>
      <w:r w:rsidR="001D4625" w:rsidRPr="001C45D7">
        <w:t>to</w:t>
      </w:r>
      <w:r w:rsidR="00FA6558" w:rsidRPr="001C45D7">
        <w:t xml:space="preserve"> </w:t>
      </w:r>
      <w:r w:rsidR="009E1E7F" w:rsidRPr="001C45D7">
        <w:t xml:space="preserve">the </w:t>
      </w:r>
      <w:r w:rsidR="001D4625" w:rsidRPr="001C45D7">
        <w:t>opportunistic</w:t>
      </w:r>
      <w:r w:rsidR="00FA6558" w:rsidRPr="001C45D7">
        <w:t xml:space="preserve"> </w:t>
      </w:r>
      <w:r w:rsidR="001D4625" w:rsidRPr="001C45D7">
        <w:t>behaviours</w:t>
      </w:r>
      <w:r w:rsidR="00FA6558" w:rsidRPr="001C45D7">
        <w:t xml:space="preserve"> </w:t>
      </w:r>
      <w:r w:rsidR="001D4625" w:rsidRPr="001C45D7">
        <w:t>of</w:t>
      </w:r>
      <w:r w:rsidR="00FA6558" w:rsidRPr="001C45D7">
        <w:t xml:space="preserve"> </w:t>
      </w:r>
      <w:r w:rsidR="001D4625" w:rsidRPr="001C45D7">
        <w:t>more</w:t>
      </w:r>
      <w:r w:rsidR="00FA6558" w:rsidRPr="001C45D7">
        <w:t xml:space="preserve"> </w:t>
      </w:r>
      <w:r w:rsidR="001D4625" w:rsidRPr="001C45D7">
        <w:t>digitally</w:t>
      </w:r>
      <w:r w:rsidR="00FA6558" w:rsidRPr="001C45D7">
        <w:t xml:space="preserve"> </w:t>
      </w:r>
      <w:r w:rsidR="00962332" w:rsidRPr="001C45D7">
        <w:t xml:space="preserve">capable </w:t>
      </w:r>
      <w:r w:rsidR="00AC4734" w:rsidRPr="001C45D7">
        <w:t>partners</w:t>
      </w:r>
      <w:r w:rsidR="001D4625" w:rsidRPr="001C45D7">
        <w:t>.</w:t>
      </w:r>
      <w:r w:rsidR="00FA6558" w:rsidRPr="001C45D7">
        <w:t xml:space="preserve"> </w:t>
      </w:r>
      <w:r w:rsidR="00AC4734" w:rsidRPr="001C45D7">
        <w:t>For</w:t>
      </w:r>
      <w:r w:rsidR="00FA6558" w:rsidRPr="001C45D7">
        <w:t xml:space="preserve"> </w:t>
      </w:r>
      <w:r w:rsidR="00AC4734" w:rsidRPr="001C45D7">
        <w:t>this</w:t>
      </w:r>
      <w:r w:rsidR="00814A33" w:rsidRPr="001C45D7">
        <w:t xml:space="preserve"> purpose</w:t>
      </w:r>
      <w:r w:rsidR="00AC4734" w:rsidRPr="001C45D7">
        <w:t>,</w:t>
      </w:r>
      <w:r w:rsidR="00FA6558" w:rsidRPr="001C45D7">
        <w:t xml:space="preserve"> </w:t>
      </w:r>
      <w:r w:rsidR="00C34124">
        <w:t xml:space="preserve">taking the perspective of SME suppliers, </w:t>
      </w:r>
      <w:r w:rsidR="00AC4734" w:rsidRPr="001C45D7">
        <w:t>we</w:t>
      </w:r>
      <w:r w:rsidR="00FA6558" w:rsidRPr="001C45D7">
        <w:t xml:space="preserve"> </w:t>
      </w:r>
      <w:r w:rsidR="00AC4734" w:rsidRPr="001C45D7">
        <w:t>analysed</w:t>
      </w:r>
      <w:r w:rsidR="00FA6558" w:rsidRPr="001C45D7">
        <w:t xml:space="preserve"> </w:t>
      </w:r>
      <w:r w:rsidR="00AC4734" w:rsidRPr="001C45D7">
        <w:t>survey</w:t>
      </w:r>
      <w:r w:rsidR="00FA6558" w:rsidRPr="001C45D7">
        <w:t xml:space="preserve"> </w:t>
      </w:r>
      <w:r w:rsidR="00AC4734" w:rsidRPr="001C45D7">
        <w:t>data</w:t>
      </w:r>
      <w:r w:rsidR="00FA6558" w:rsidRPr="001C45D7">
        <w:t xml:space="preserve"> </w:t>
      </w:r>
      <w:r w:rsidR="00AC4734" w:rsidRPr="001C45D7">
        <w:t>of</w:t>
      </w:r>
      <w:r w:rsidR="00FA6558" w:rsidRPr="001C45D7">
        <w:t xml:space="preserve"> </w:t>
      </w:r>
      <w:r w:rsidR="005644B1" w:rsidRPr="001C45D7">
        <w:t>12</w:t>
      </w:r>
      <w:r w:rsidR="00323C70" w:rsidRPr="001C45D7">
        <w:rPr>
          <w:rFonts w:eastAsiaTheme="minorEastAsia" w:hint="eastAsia"/>
          <w:lang w:eastAsia="ko-KR"/>
        </w:rPr>
        <w:t>5</w:t>
      </w:r>
      <w:r w:rsidR="00FA6558" w:rsidRPr="001C45D7">
        <w:t xml:space="preserve"> </w:t>
      </w:r>
      <w:r w:rsidR="00AC4734" w:rsidRPr="001C45D7">
        <w:t>relationships</w:t>
      </w:r>
      <w:r w:rsidR="00FA6558" w:rsidRPr="001C45D7">
        <w:t xml:space="preserve"> </w:t>
      </w:r>
      <w:r w:rsidR="00AC4734" w:rsidRPr="001C45D7">
        <w:t>between</w:t>
      </w:r>
      <w:r w:rsidR="00FA6558" w:rsidRPr="001C45D7">
        <w:t xml:space="preserve"> </w:t>
      </w:r>
      <w:r w:rsidR="00AC4734" w:rsidRPr="001C45D7">
        <w:t>SME</w:t>
      </w:r>
      <w:r w:rsidR="00FA6558" w:rsidRPr="001C45D7">
        <w:t xml:space="preserve"> </w:t>
      </w:r>
      <w:r w:rsidR="00AC4734" w:rsidRPr="001C45D7">
        <w:t>suppliers</w:t>
      </w:r>
      <w:r w:rsidR="00FA6558" w:rsidRPr="001C45D7">
        <w:t xml:space="preserve"> </w:t>
      </w:r>
      <w:r w:rsidR="00AC4734" w:rsidRPr="001C45D7">
        <w:t>and</w:t>
      </w:r>
      <w:r w:rsidR="00FA6558" w:rsidRPr="001C45D7">
        <w:t xml:space="preserve"> </w:t>
      </w:r>
      <w:r w:rsidR="00AC4734" w:rsidRPr="001C45D7">
        <w:t>their</w:t>
      </w:r>
      <w:r w:rsidR="00FA6558" w:rsidRPr="001C45D7">
        <w:t xml:space="preserve"> </w:t>
      </w:r>
      <w:r w:rsidR="00AC4734" w:rsidRPr="001C45D7">
        <w:t>larger</w:t>
      </w:r>
      <w:r w:rsidR="00FA6558" w:rsidRPr="001C45D7">
        <w:t xml:space="preserve"> </w:t>
      </w:r>
      <w:r w:rsidR="00AC4734" w:rsidRPr="001C45D7">
        <w:t>buyers.</w:t>
      </w:r>
      <w:r w:rsidR="00FA6558" w:rsidRPr="001C45D7">
        <w:t xml:space="preserve"> </w:t>
      </w:r>
      <w:r w:rsidR="00EC3AE9" w:rsidRPr="001C45D7">
        <w:t>As</w:t>
      </w:r>
      <w:r w:rsidR="00FA6558" w:rsidRPr="001C45D7">
        <w:t xml:space="preserve"> </w:t>
      </w:r>
      <w:r w:rsidR="00EC3AE9" w:rsidRPr="001C45D7">
        <w:t>a</w:t>
      </w:r>
      <w:r w:rsidR="00FA6558" w:rsidRPr="001C45D7">
        <w:t xml:space="preserve"> </w:t>
      </w:r>
      <w:r w:rsidR="00EC3AE9" w:rsidRPr="001C45D7">
        <w:t>first</w:t>
      </w:r>
      <w:r w:rsidR="00FA6558" w:rsidRPr="001C45D7">
        <w:t xml:space="preserve"> </w:t>
      </w:r>
      <w:r w:rsidR="00EC3AE9" w:rsidRPr="001C45D7">
        <w:t>step,</w:t>
      </w:r>
      <w:r w:rsidR="00FA6558" w:rsidRPr="001C45D7">
        <w:t xml:space="preserve"> </w:t>
      </w:r>
      <w:r w:rsidR="00AC4734" w:rsidRPr="001C45D7">
        <w:t>we</w:t>
      </w:r>
      <w:r w:rsidR="00FA6558" w:rsidRPr="001C45D7">
        <w:t xml:space="preserve"> </w:t>
      </w:r>
      <w:r w:rsidR="00AC4734" w:rsidRPr="001C45D7">
        <w:t>investigated</w:t>
      </w:r>
      <w:r w:rsidR="00FA6558" w:rsidRPr="001C45D7">
        <w:t xml:space="preserve"> </w:t>
      </w:r>
      <w:r w:rsidR="00390A9B" w:rsidRPr="001C45D7">
        <w:t xml:space="preserve">whether </w:t>
      </w:r>
      <w:r w:rsidR="00072200" w:rsidRPr="001C45D7">
        <w:t>being</w:t>
      </w:r>
      <w:r w:rsidR="00FA6558" w:rsidRPr="001C45D7">
        <w:t xml:space="preserve"> </w:t>
      </w:r>
      <w:r w:rsidR="00072200" w:rsidRPr="001C45D7">
        <w:t>left</w:t>
      </w:r>
      <w:r w:rsidR="00FA6558" w:rsidRPr="001C45D7">
        <w:t xml:space="preserve"> </w:t>
      </w:r>
      <w:r w:rsidR="00072200" w:rsidRPr="001C45D7">
        <w:t>behind</w:t>
      </w:r>
      <w:r w:rsidR="00FA6558" w:rsidRPr="001C45D7">
        <w:t xml:space="preserve"> </w:t>
      </w:r>
      <w:r w:rsidR="00AC4734" w:rsidRPr="001C45D7">
        <w:t>in</w:t>
      </w:r>
      <w:r w:rsidR="00FA6558" w:rsidRPr="001C45D7">
        <w:t xml:space="preserve"> </w:t>
      </w:r>
      <w:r w:rsidR="00AC4734" w:rsidRPr="001C45D7">
        <w:t>supply</w:t>
      </w:r>
      <w:r w:rsidR="00FA6558" w:rsidRPr="001C45D7">
        <w:t xml:space="preserve"> </w:t>
      </w:r>
      <w:r w:rsidR="00AC4734" w:rsidRPr="001C45D7">
        <w:t>chain</w:t>
      </w:r>
      <w:r w:rsidR="00FA6558" w:rsidRPr="001C45D7">
        <w:t xml:space="preserve"> </w:t>
      </w:r>
      <w:r w:rsidR="00AC4734" w:rsidRPr="001C45D7">
        <w:t>digitalisation</w:t>
      </w:r>
      <w:r w:rsidR="00FA6558" w:rsidRPr="001C45D7">
        <w:t xml:space="preserve"> </w:t>
      </w:r>
      <w:r w:rsidR="00C77FBB">
        <w:t xml:space="preserve">and </w:t>
      </w:r>
      <w:r w:rsidR="00D01320">
        <w:t xml:space="preserve">the </w:t>
      </w:r>
      <w:r w:rsidR="00C77FBB">
        <w:t xml:space="preserve">resulting digital capability asymmetry </w:t>
      </w:r>
      <w:r w:rsidR="00AC4734" w:rsidRPr="001C45D7">
        <w:t>increase</w:t>
      </w:r>
      <w:r w:rsidR="0081204C" w:rsidRPr="001C45D7">
        <w:t>d</w:t>
      </w:r>
      <w:r w:rsidR="00FA6558" w:rsidRPr="001C45D7">
        <w:t xml:space="preserve"> </w:t>
      </w:r>
      <w:r w:rsidR="00DE100D" w:rsidRPr="001C45D7">
        <w:t xml:space="preserve">SME suppliers’ dependence and their </w:t>
      </w:r>
      <w:r w:rsidR="00AC4734" w:rsidRPr="001C45D7">
        <w:t>exposure</w:t>
      </w:r>
      <w:r w:rsidR="00FA6558" w:rsidRPr="001C45D7">
        <w:t xml:space="preserve"> </w:t>
      </w:r>
      <w:r w:rsidR="00AC4734" w:rsidRPr="001C45D7">
        <w:t>to</w:t>
      </w:r>
      <w:r w:rsidR="00FA6558" w:rsidRPr="001C45D7">
        <w:t xml:space="preserve"> </w:t>
      </w:r>
      <w:r w:rsidR="00AC4734" w:rsidRPr="001C45D7">
        <w:t>opportunistic</w:t>
      </w:r>
      <w:r w:rsidR="00FA6558" w:rsidRPr="001C45D7">
        <w:t xml:space="preserve"> </w:t>
      </w:r>
      <w:r w:rsidR="00AC4734" w:rsidRPr="001C45D7">
        <w:t>behaviours</w:t>
      </w:r>
      <w:r w:rsidR="00FA6558" w:rsidRPr="001C45D7">
        <w:t xml:space="preserve"> </w:t>
      </w:r>
      <w:r w:rsidR="005A37B8" w:rsidRPr="001C45D7">
        <w:t xml:space="preserve">from </w:t>
      </w:r>
      <w:r w:rsidR="00AC4734" w:rsidRPr="001C45D7">
        <w:t>more</w:t>
      </w:r>
      <w:r w:rsidR="00FA6558" w:rsidRPr="001C45D7">
        <w:t xml:space="preserve"> </w:t>
      </w:r>
      <w:r w:rsidR="00AC4734" w:rsidRPr="001C45D7">
        <w:t>digitally</w:t>
      </w:r>
      <w:r w:rsidR="00FA6558" w:rsidRPr="001C45D7">
        <w:t xml:space="preserve"> </w:t>
      </w:r>
      <w:r w:rsidR="00AC4734" w:rsidRPr="001C45D7">
        <w:t>capable</w:t>
      </w:r>
      <w:r w:rsidR="00FA6558" w:rsidRPr="001C45D7">
        <w:t xml:space="preserve"> </w:t>
      </w:r>
      <w:r w:rsidR="00AC4734" w:rsidRPr="001C45D7">
        <w:t>buyers.</w:t>
      </w:r>
      <w:r w:rsidR="00FA6558" w:rsidRPr="001C45D7">
        <w:t xml:space="preserve"> </w:t>
      </w:r>
      <w:r w:rsidR="00790C08" w:rsidRPr="001C45D7">
        <w:t xml:space="preserve">Then, we </w:t>
      </w:r>
      <w:r w:rsidR="00CD3BA7" w:rsidRPr="001C45D7">
        <w:t>tested</w:t>
      </w:r>
      <w:r w:rsidR="00790C08" w:rsidRPr="001C45D7">
        <w:t xml:space="preserve"> </w:t>
      </w:r>
      <w:r w:rsidR="005B1F6E" w:rsidRPr="001C45D7">
        <w:t xml:space="preserve">whether </w:t>
      </w:r>
      <w:r w:rsidR="00E92DF7" w:rsidRPr="001C45D7">
        <w:t>governance-based</w:t>
      </w:r>
      <w:r w:rsidR="00FA6558" w:rsidRPr="001C45D7">
        <w:t xml:space="preserve"> </w:t>
      </w:r>
      <w:r w:rsidR="001D4625" w:rsidRPr="001C45D7">
        <w:t>opportunism</w:t>
      </w:r>
      <w:r w:rsidR="00FA6558" w:rsidRPr="001C45D7">
        <w:t xml:space="preserve"> </w:t>
      </w:r>
      <w:r w:rsidR="001D4625" w:rsidRPr="001C45D7">
        <w:t>mitigation</w:t>
      </w:r>
      <w:r w:rsidR="00FA6558" w:rsidRPr="001C45D7">
        <w:t xml:space="preserve"> </w:t>
      </w:r>
      <w:r w:rsidR="001D4625" w:rsidRPr="001C45D7">
        <w:t>mechanism</w:t>
      </w:r>
      <w:r w:rsidR="00390A9B" w:rsidRPr="001C45D7">
        <w:t>s,</w:t>
      </w:r>
      <w:r w:rsidR="00FA6558" w:rsidRPr="001C45D7">
        <w:t xml:space="preserve"> </w:t>
      </w:r>
      <w:r w:rsidR="005644B1" w:rsidRPr="001C45D7">
        <w:t>such</w:t>
      </w:r>
      <w:r w:rsidR="00FA6558" w:rsidRPr="001C45D7">
        <w:t xml:space="preserve"> </w:t>
      </w:r>
      <w:r w:rsidR="005644B1" w:rsidRPr="001C45D7">
        <w:t>as</w:t>
      </w:r>
      <w:r w:rsidR="00FA6558" w:rsidRPr="001C45D7">
        <w:t xml:space="preserve"> </w:t>
      </w:r>
      <w:r w:rsidR="001D4625" w:rsidRPr="001C45D7">
        <w:t>contractual</w:t>
      </w:r>
      <w:r w:rsidR="00FA6558" w:rsidRPr="001C45D7">
        <w:t xml:space="preserve"> </w:t>
      </w:r>
      <w:r w:rsidR="001D4625" w:rsidRPr="001C45D7">
        <w:t>and</w:t>
      </w:r>
      <w:r w:rsidR="00FA6558" w:rsidRPr="001C45D7">
        <w:t xml:space="preserve"> </w:t>
      </w:r>
      <w:r w:rsidR="001D4625" w:rsidRPr="001C45D7">
        <w:t>relational</w:t>
      </w:r>
      <w:r w:rsidR="00FA6558" w:rsidRPr="001C45D7">
        <w:t xml:space="preserve"> </w:t>
      </w:r>
      <w:r w:rsidR="001D4625" w:rsidRPr="001C45D7">
        <w:t>governance,</w:t>
      </w:r>
      <w:r w:rsidR="00FA6558" w:rsidRPr="001C45D7">
        <w:t xml:space="preserve"> </w:t>
      </w:r>
      <w:r w:rsidR="005B1F6E" w:rsidRPr="001C45D7">
        <w:t>were</w:t>
      </w:r>
      <w:r w:rsidR="00FA6558" w:rsidRPr="001C45D7">
        <w:t xml:space="preserve"> </w:t>
      </w:r>
      <w:r w:rsidR="00E92DF7" w:rsidRPr="001C45D7">
        <w:t>still</w:t>
      </w:r>
      <w:r w:rsidR="00FA6558" w:rsidRPr="001C45D7">
        <w:t xml:space="preserve"> </w:t>
      </w:r>
      <w:r w:rsidR="001D4625" w:rsidRPr="001C45D7">
        <w:t>effective</w:t>
      </w:r>
      <w:r w:rsidR="00FA6558" w:rsidRPr="001C45D7">
        <w:t xml:space="preserve"> </w:t>
      </w:r>
      <w:r w:rsidR="001D4625" w:rsidRPr="001C45D7">
        <w:t>in</w:t>
      </w:r>
      <w:r w:rsidR="00FA6558" w:rsidRPr="001C45D7">
        <w:t xml:space="preserve"> </w:t>
      </w:r>
      <w:r w:rsidR="00E92DF7" w:rsidRPr="001C45D7">
        <w:t>suppressing</w:t>
      </w:r>
      <w:r w:rsidR="00FA6558" w:rsidRPr="001C45D7">
        <w:t xml:space="preserve"> </w:t>
      </w:r>
      <w:r w:rsidR="00E92DF7" w:rsidRPr="001C45D7">
        <w:t>such</w:t>
      </w:r>
      <w:r w:rsidR="00FA6558" w:rsidRPr="001C45D7">
        <w:t xml:space="preserve"> </w:t>
      </w:r>
      <w:r w:rsidR="00E92DF7" w:rsidRPr="001C45D7">
        <w:t>behaviours</w:t>
      </w:r>
      <w:r w:rsidR="005B1F6E" w:rsidRPr="001C45D7">
        <w:t>,</w:t>
      </w:r>
      <w:r w:rsidR="00FA6558" w:rsidRPr="001C45D7">
        <w:t xml:space="preserve"> </w:t>
      </w:r>
      <w:r w:rsidR="00E92DF7" w:rsidRPr="001C45D7">
        <w:t>caused</w:t>
      </w:r>
      <w:r w:rsidR="00FA6558" w:rsidRPr="001C45D7">
        <w:t xml:space="preserve"> </w:t>
      </w:r>
      <w:r w:rsidR="00E92DF7" w:rsidRPr="001C45D7">
        <w:t>by</w:t>
      </w:r>
      <w:r w:rsidR="00FA6558" w:rsidRPr="001C45D7">
        <w:t xml:space="preserve"> </w:t>
      </w:r>
      <w:r w:rsidR="00E92DF7" w:rsidRPr="001C45D7">
        <w:t>a</w:t>
      </w:r>
      <w:r w:rsidR="00FA6558" w:rsidRPr="001C45D7">
        <w:t xml:space="preserve"> </w:t>
      </w:r>
      <w:r w:rsidR="00E92DF7" w:rsidRPr="001C45D7">
        <w:t>new</w:t>
      </w:r>
      <w:r w:rsidR="00FA6558" w:rsidRPr="001C45D7">
        <w:t xml:space="preserve"> </w:t>
      </w:r>
      <w:r w:rsidR="00E92DF7" w:rsidRPr="001C45D7">
        <w:t>type</w:t>
      </w:r>
      <w:r w:rsidR="00FA6558" w:rsidRPr="001C45D7">
        <w:t xml:space="preserve"> </w:t>
      </w:r>
      <w:r w:rsidR="00E92DF7" w:rsidRPr="001C45D7">
        <w:t>of</w:t>
      </w:r>
      <w:r w:rsidR="00FA6558" w:rsidRPr="001C45D7">
        <w:t xml:space="preserve"> </w:t>
      </w:r>
      <w:r w:rsidR="001D0FCC" w:rsidRPr="001C45D7">
        <w:t>dependence</w:t>
      </w:r>
      <w:r w:rsidR="00E92DF7" w:rsidRPr="001C45D7">
        <w:t>.</w:t>
      </w:r>
      <w:r w:rsidR="00FA6558" w:rsidRPr="001C45D7">
        <w:t xml:space="preserve"> </w:t>
      </w:r>
    </w:p>
    <w:p w14:paraId="48A1C6AE" w14:textId="77403948" w:rsidR="00390A9B" w:rsidRPr="001C45D7" w:rsidRDefault="00BB4405" w:rsidP="00566B02">
      <w:pPr>
        <w:pStyle w:val="BodyText"/>
        <w:rPr>
          <w:color w:val="auto"/>
        </w:rPr>
      </w:pPr>
      <w:r w:rsidRPr="001C45D7">
        <w:t>Supply</w:t>
      </w:r>
      <w:r w:rsidR="00FA6558" w:rsidRPr="001C45D7">
        <w:t xml:space="preserve"> </w:t>
      </w:r>
      <w:r w:rsidRPr="001C45D7">
        <w:t>chain</w:t>
      </w:r>
      <w:r w:rsidR="00FA6558" w:rsidRPr="001C45D7">
        <w:t xml:space="preserve"> </w:t>
      </w:r>
      <w:r w:rsidRPr="001C45D7">
        <w:t>digitalisation</w:t>
      </w:r>
      <w:r w:rsidR="00FA6558" w:rsidRPr="001C45D7">
        <w:t xml:space="preserve"> </w:t>
      </w:r>
      <w:r w:rsidRPr="001C45D7">
        <w:t>is</w:t>
      </w:r>
      <w:r w:rsidR="00FA6558" w:rsidRPr="001C45D7">
        <w:t xml:space="preserve"> </w:t>
      </w:r>
      <w:r w:rsidRPr="001C45D7">
        <w:t>an</w:t>
      </w:r>
      <w:r w:rsidR="00FA6558" w:rsidRPr="001C45D7">
        <w:t xml:space="preserve"> </w:t>
      </w:r>
      <w:r w:rsidRPr="001C45D7">
        <w:t>emerging</w:t>
      </w:r>
      <w:r w:rsidR="00FA6558" w:rsidRPr="001C45D7">
        <w:t xml:space="preserve"> </w:t>
      </w:r>
      <w:r w:rsidRPr="001C45D7">
        <w:t>field</w:t>
      </w:r>
      <w:r w:rsidR="009B02C1" w:rsidRPr="001C45D7">
        <w:t xml:space="preserve"> and so</w:t>
      </w:r>
      <w:r w:rsidR="004B4225" w:rsidRPr="001C45D7">
        <w:t xml:space="preserve"> far, the overwhelming majority of research has focused on its </w:t>
      </w:r>
      <w:r w:rsidR="00FD3E42" w:rsidRPr="001C45D7">
        <w:t>‘</w:t>
      </w:r>
      <w:r w:rsidR="004B4225" w:rsidRPr="001C45D7">
        <w:t>bright side</w:t>
      </w:r>
      <w:r w:rsidR="00FD3E42" w:rsidRPr="001C45D7">
        <w:t xml:space="preserve">’, </w:t>
      </w:r>
      <w:r w:rsidR="004B4225" w:rsidRPr="001C45D7">
        <w:t xml:space="preserve">while to our best knowledge, there are only a few papers discussing its potential dark side (e.g., </w:t>
      </w:r>
      <w:proofErr w:type="spellStart"/>
      <w:r w:rsidR="004B4225" w:rsidRPr="001C45D7">
        <w:t>Lumineau</w:t>
      </w:r>
      <w:proofErr w:type="spellEnd"/>
      <w:r w:rsidR="004B4225" w:rsidRPr="001C45D7">
        <w:t xml:space="preserve"> and Oliveira, 2020).</w:t>
      </w:r>
      <w:r w:rsidR="009B02C1" w:rsidRPr="001C45D7">
        <w:t xml:space="preserve"> </w:t>
      </w:r>
      <w:r w:rsidR="00795BED" w:rsidRPr="001C45D7">
        <w:t xml:space="preserve">Similarly, with regards to </w:t>
      </w:r>
      <w:r w:rsidR="009B02C1" w:rsidRPr="001C45D7">
        <w:t xml:space="preserve">partner opportunism, </w:t>
      </w:r>
      <w:r w:rsidR="00C226E2" w:rsidRPr="001C45D7">
        <w:t>t</w:t>
      </w:r>
      <w:r w:rsidRPr="001C45D7">
        <w:t>he</w:t>
      </w:r>
      <w:r w:rsidR="00FA6558" w:rsidRPr="001C45D7">
        <w:t xml:space="preserve"> </w:t>
      </w:r>
      <w:r w:rsidRPr="001C45D7">
        <w:t>small</w:t>
      </w:r>
      <w:r w:rsidR="00FA6558" w:rsidRPr="001C45D7">
        <w:t xml:space="preserve"> </w:t>
      </w:r>
      <w:r w:rsidRPr="001C45D7">
        <w:t>number</w:t>
      </w:r>
      <w:r w:rsidR="00FA6558" w:rsidRPr="001C45D7">
        <w:t xml:space="preserve"> </w:t>
      </w:r>
      <w:r w:rsidRPr="001C45D7">
        <w:t>of</w:t>
      </w:r>
      <w:r w:rsidR="00FA6558" w:rsidRPr="001C45D7">
        <w:t xml:space="preserve"> </w:t>
      </w:r>
      <w:r w:rsidRPr="001C45D7">
        <w:t>existing</w:t>
      </w:r>
      <w:r w:rsidR="00FA6558" w:rsidRPr="001C45D7">
        <w:t xml:space="preserve"> </w:t>
      </w:r>
      <w:r w:rsidRPr="001C45D7">
        <w:t>studies,</w:t>
      </w:r>
      <w:r w:rsidR="00FA6558" w:rsidRPr="001C45D7">
        <w:t xml:space="preserve"> </w:t>
      </w:r>
      <w:r w:rsidRPr="001C45D7">
        <w:t>which</w:t>
      </w:r>
      <w:r w:rsidR="00FA6558" w:rsidRPr="001C45D7">
        <w:t xml:space="preserve"> </w:t>
      </w:r>
      <w:r w:rsidRPr="001C45D7">
        <w:t>are</w:t>
      </w:r>
      <w:r w:rsidR="00FA6558" w:rsidRPr="001C45D7">
        <w:t xml:space="preserve"> </w:t>
      </w:r>
      <w:r w:rsidRPr="001C45D7">
        <w:t>mostly</w:t>
      </w:r>
      <w:r w:rsidR="00FA6558" w:rsidRPr="001C45D7">
        <w:t xml:space="preserve"> </w:t>
      </w:r>
      <w:r w:rsidRPr="001C45D7">
        <w:t>conceptual</w:t>
      </w:r>
      <w:r w:rsidR="00FA6558" w:rsidRPr="001C45D7">
        <w:t xml:space="preserve"> </w:t>
      </w:r>
      <w:r w:rsidRPr="001C45D7">
        <w:t>in</w:t>
      </w:r>
      <w:r w:rsidR="00FA6558" w:rsidRPr="001C45D7">
        <w:t xml:space="preserve"> </w:t>
      </w:r>
      <w:r w:rsidRPr="001C45D7">
        <w:t>nature,</w:t>
      </w:r>
      <w:r w:rsidR="00FA6558" w:rsidRPr="001C45D7">
        <w:t xml:space="preserve"> </w:t>
      </w:r>
      <w:r w:rsidR="0055239F" w:rsidRPr="001C45D7">
        <w:t xml:space="preserve">have </w:t>
      </w:r>
      <w:r w:rsidRPr="001C45D7">
        <w:t>suggested</w:t>
      </w:r>
      <w:r w:rsidR="00FA6558" w:rsidRPr="001C45D7">
        <w:t xml:space="preserve"> </w:t>
      </w:r>
      <w:r w:rsidRPr="001C45D7">
        <w:t>that</w:t>
      </w:r>
      <w:r w:rsidR="00FA6558" w:rsidRPr="001C45D7">
        <w:t xml:space="preserve"> </w:t>
      </w:r>
      <w:r w:rsidRPr="001C45D7">
        <w:t>supply</w:t>
      </w:r>
      <w:r w:rsidR="00FA6558" w:rsidRPr="001C45D7">
        <w:t xml:space="preserve"> </w:t>
      </w:r>
      <w:r w:rsidRPr="001C45D7">
        <w:t>chain</w:t>
      </w:r>
      <w:r w:rsidR="00FA6558" w:rsidRPr="001C45D7">
        <w:t xml:space="preserve"> </w:t>
      </w:r>
      <w:r w:rsidRPr="001C45D7">
        <w:t>digitalisation</w:t>
      </w:r>
      <w:r w:rsidR="00FA6558" w:rsidRPr="001C45D7">
        <w:t xml:space="preserve"> </w:t>
      </w:r>
      <w:r w:rsidRPr="001C45D7">
        <w:t>(e.g.,</w:t>
      </w:r>
      <w:r w:rsidR="00FA6558" w:rsidRPr="001C45D7">
        <w:t xml:space="preserve"> </w:t>
      </w:r>
      <w:r w:rsidRPr="001C45D7">
        <w:t>IoT</w:t>
      </w:r>
      <w:r w:rsidR="00FA6558" w:rsidRPr="001C45D7">
        <w:t xml:space="preserve"> </w:t>
      </w:r>
      <w:r w:rsidRPr="001C45D7">
        <w:t>and</w:t>
      </w:r>
      <w:r w:rsidR="00FA6558" w:rsidRPr="001C45D7">
        <w:t xml:space="preserve"> </w:t>
      </w:r>
      <w:r w:rsidRPr="001C45D7">
        <w:t>blockchain)</w:t>
      </w:r>
      <w:r w:rsidR="00FA6558" w:rsidRPr="001C45D7">
        <w:t xml:space="preserve"> </w:t>
      </w:r>
      <w:r w:rsidRPr="001C45D7">
        <w:t>would</w:t>
      </w:r>
      <w:r w:rsidR="00FA6558" w:rsidRPr="001C45D7">
        <w:t xml:space="preserve"> </w:t>
      </w:r>
      <w:r w:rsidRPr="001C45D7">
        <w:t>play</w:t>
      </w:r>
      <w:r w:rsidR="00FA6558" w:rsidRPr="001C45D7">
        <w:t xml:space="preserve"> </w:t>
      </w:r>
      <w:r w:rsidRPr="001C45D7">
        <w:t>a</w:t>
      </w:r>
      <w:r w:rsidR="00FA6558" w:rsidRPr="001C45D7">
        <w:t xml:space="preserve"> </w:t>
      </w:r>
      <w:r w:rsidRPr="001C45D7">
        <w:t>game</w:t>
      </w:r>
      <w:r w:rsidR="007405AD" w:rsidRPr="001C45D7">
        <w:t>-</w:t>
      </w:r>
      <w:r w:rsidRPr="001C45D7">
        <w:t>changing</w:t>
      </w:r>
      <w:r w:rsidR="00FA6558" w:rsidRPr="001C45D7">
        <w:t xml:space="preserve"> </w:t>
      </w:r>
      <w:r w:rsidRPr="001C45D7">
        <w:t>role</w:t>
      </w:r>
      <w:r w:rsidR="00FA6558" w:rsidRPr="001C45D7">
        <w:t xml:space="preserve"> </w:t>
      </w:r>
      <w:r w:rsidRPr="001C45D7">
        <w:t>in</w:t>
      </w:r>
      <w:r w:rsidR="00FA6558" w:rsidRPr="001C45D7">
        <w:t xml:space="preserve"> </w:t>
      </w:r>
      <w:r w:rsidR="00C226E2" w:rsidRPr="001C45D7">
        <w:t xml:space="preserve">controlling </w:t>
      </w:r>
      <w:r w:rsidRPr="001C45D7">
        <w:t>partner</w:t>
      </w:r>
      <w:r w:rsidR="00FA6558" w:rsidRPr="001C45D7">
        <w:t xml:space="preserve"> </w:t>
      </w:r>
      <w:r w:rsidRPr="001C45D7">
        <w:t>opportunism</w:t>
      </w:r>
      <w:r w:rsidR="00FA6558" w:rsidRPr="001C45D7">
        <w:t xml:space="preserve"> </w:t>
      </w:r>
      <w:r w:rsidRPr="001C45D7">
        <w:t>by</w:t>
      </w:r>
      <w:r w:rsidR="00FA6558" w:rsidRPr="001C45D7">
        <w:t xml:space="preserve"> </w:t>
      </w:r>
      <w:r w:rsidRPr="001C45D7">
        <w:t>reducing</w:t>
      </w:r>
      <w:r w:rsidR="00FA6558" w:rsidRPr="001C45D7">
        <w:t xml:space="preserve"> </w:t>
      </w:r>
      <w:r w:rsidRPr="001C45D7">
        <w:t>information</w:t>
      </w:r>
      <w:r w:rsidR="00FA6558" w:rsidRPr="001C45D7">
        <w:t xml:space="preserve"> </w:t>
      </w:r>
      <w:r w:rsidRPr="001C45D7">
        <w:t>asymmetry</w:t>
      </w:r>
      <w:r w:rsidR="00FA6558" w:rsidRPr="001C45D7">
        <w:t xml:space="preserve"> </w:t>
      </w:r>
      <w:r w:rsidR="00BE0B76" w:rsidRPr="001C45D7">
        <w:t>and</w:t>
      </w:r>
      <w:r w:rsidR="00FA6558" w:rsidRPr="001C45D7">
        <w:t xml:space="preserve"> </w:t>
      </w:r>
      <w:r w:rsidRPr="001C45D7">
        <w:t>uncertainty</w:t>
      </w:r>
      <w:r w:rsidR="00FA6558" w:rsidRPr="001C45D7">
        <w:t xml:space="preserve"> </w:t>
      </w:r>
      <w:r w:rsidRPr="001C45D7">
        <w:t>related</w:t>
      </w:r>
      <w:r w:rsidR="00FA6558" w:rsidRPr="001C45D7">
        <w:t xml:space="preserve"> </w:t>
      </w:r>
      <w:r w:rsidRPr="001C45D7">
        <w:t>to</w:t>
      </w:r>
      <w:r w:rsidR="00FA6558" w:rsidRPr="001C45D7">
        <w:t xml:space="preserve"> </w:t>
      </w:r>
      <w:r w:rsidRPr="001C45D7">
        <w:t>exchange</w:t>
      </w:r>
      <w:r w:rsidR="00BB1374" w:rsidRPr="001C45D7">
        <w:t>s</w:t>
      </w:r>
      <w:r w:rsidR="00FA6558" w:rsidRPr="001C45D7">
        <w:t xml:space="preserve"> </w:t>
      </w:r>
      <w:r w:rsidRPr="001C45D7">
        <w:rPr>
          <w:rFonts w:eastAsiaTheme="minorEastAsia"/>
          <w:lang w:eastAsia="ko-KR"/>
        </w:rPr>
        <w:fldChar w:fldCharType="begin" w:fldLock="1"/>
      </w:r>
      <w:r w:rsidR="00433778" w:rsidRPr="001C45D7">
        <w:rPr>
          <w:rFonts w:eastAsiaTheme="minorEastAsia"/>
          <w:lang w:eastAsia="ko-KR"/>
        </w:rPr>
        <w:instrText>ADDIN CSL_CITATION {"citationItems":[{"id":"ITEM-1","itemData":{"DOI":"10.1016/j.pursup.2019.100552","ISSN":"14784092","abstract":"Blockchain is projected to be the latest revolutionary technology and is gaining increasing attention from academics and practitioners. Blockchain is essentially a distributed and immutable database that enables more efficient and transparent transactions. The consensus-based record validation can eliminate the need for a trusted intermediary. We utilize the transaction cost theory to create a better understanding of how blockchain might influence supply chain relations, specifically in terms of transaction costs and governance decisions. Conceptually developing a set of six propositions, we argue that blockchain limits opportunistic behavior, the impact of environmental and behavioral uncertainty. Blockchain reduces transaction costs, as it allows for transparent and valid transactions. We explore several areas for future research on how blockchain might shape supply chain management in the future.","author":[{"dropping-particle":"","family":"Schmidt","given":"Christoph G.","non-dropping-particle":"","parse-names":false,"suffix":""},{"dropping-particle":"","family":"Wagner","given":"Stephan M.","non-dropping-particle":"","parse-names":false,"suffix":""}],"container-title":"Journal of Purchasing and Supply Management","id":"ITEM-1","issue":"4","issued":{"date-parts":[["2019","10","1"]]},"page":"100552","publisher":"Elsevier Ltd","title":"Blockchain and supply chain relations: A transaction cost theory perspective","type":"article-journal","volume":"25"},"uris":["http://www.mendeley.com/documents/?uuid=30e62648-aa95-3de8-ba68-d5f88500fea6"]},{"id":"ITEM-2","itemData":{"DOI":"10.1080/00207543.2018.1533261","ISSN":"1366588X","abstract":"Globalisation of supply chains makes their management and control more difficult. Blockchain technology, as a distributed digital ledger technology which ensures transparency, traceability, and security, is showing promise for easing some global supply chain management problems. In this paper, blockchain technology and smart contracts are critically examined with potential application to supply chain management. Local and global government, community, and consumer pressures to meet sustainability goals prompt us to further investigate how blockchain can address and aid supply chain sustainability. Part of this critical examination is how blockchains, a potentially disruptive technology that is early in its evolution, can overcome many potential barriers. Four blockchain technology adoption barriers categories are introduced; inter-organisational, intra-organisational, technical, and external barriers. True blockchain-led transformation of business and supply chain is still in progress and in its early stages; we propose future research propositions and directions that can provide insights into overcoming barriers and adoption of blockchain technology for supply chain management.","author":[{"dropping-particle":"","family":"Saberi","given":"Sara","non-dropping-particle":"","parse-names":false,"suffix":""},{"dropping-particle":"","family":"Kouhizadeh","given":"Mahtab","non-dropping-particle":"","parse-names":false,"suffix":""},{"dropping-particle":"","family":"Sarkis","given":"Joseph","non-dropping-particle":"","parse-names":false,"suffix":""},{"dropping-particle":"","family":"Shen","given":"Lejia","non-dropping-particle":"","parse-names":false,"suffix":""}],"container-title":"International Journal of Production Research","id":"ITEM-2","issue":"7","issued":{"date-parts":[["2019","4","3"]]},"page":"2117-2135","publisher":"Taylor and Francis Ltd.","title":"Blockchain technology and its relationships to sustainable supply chain management","type":"article-journal","volume":"57"},"uris":["http://www.mendeley.com/documents/?uuid=19a2cb6e-9ffb-4ca9-80ca-14d2615743e4"]},{"id":"ITEM-3","itemData":{"DOI":"10.22434/ifamr2019.0152","ISSN":"1559-2448","abstract":"The fundamental purpose of agri-food supply chain management is to restrict opportunism caused by information asymmetry. Traditional Chinese agri-food supply chain management introduces a contract mechanism and a trust mechanism to manage the uncertainty of the agri-food quasi-organization. However, it is almost impossible to improve the efficiency of transactions and maintain agri-food supply chain stability in the case of asymmetric information. Nowadays, blockchain, Internet of Things technology and big data drive the agri-food supply chain into a vast smart network which would break the information constraints. This paper analyzes the coupling between blockchain-based digital system and the agri-food supply chain. In addition, this paper presents two cases from China, indicating that the proposed blockchain-based system can achieve disruptive transformation in agri-food supply chain management.","author":[{"dropping-particle":"","family":"Fu","given":"Hao","non-dropping-particle":"","parse-names":false,"suffix":""},{"dropping-particle":"","family":"Zhao","given":"Cuiping","non-dropping-particle":"","parse-names":false,"suffix":""},{"dropping-particle":"","family":"Cheng","given":"Chuanxing","non-dropping-particle":"","parse-names":false,"suffix":""},{"dropping-particle":"","family":"Ma","given":"Hengyun","non-dropping-particle":"","parse-names":false,"suffix":""}],"container-title":"International Food and Agribusiness Management Review","id":"ITEM-3","issue":"2","issued":{"date-parts":[["2020","3","5"]]},"page":"1-14","publisher":"Wageningen Academic Publishers","title":"Blockchain-based agri-food supply chain management: case study in China","type":"article-journal","volume":"23"},"uris":["http://www.mendeley.com/documents/?uuid=ab985b1a-f985-3b8c-8147-2b7176e23631"]}],"mendeley":{"formattedCitation":"(Fu &lt;i&gt;et al.&lt;/i&gt;, 2020; Saberi &lt;i&gt;et al.&lt;/i&gt;, 2019; Schmidt and Wagner, 2019)","manualFormatting":"(Saberi et al., 2019; Schmidt and Wagner, 2019)","plainTextFormattedCitation":"(Fu et al., 2020; Saberi et al., 2019; Schmidt and Wagner, 2019)","previouslyFormattedCitation":"(Fu &lt;i&gt;et al.&lt;/i&gt;, 2020; Saberi &lt;i&gt;et al.&lt;/i&gt;, 2019; Schmidt and Wagner, 2019)"},"properties":{"noteIndex":0},"schema":"https://github.com/citation-style-language/schema/raw/master/csl-citation.json"}</w:instrText>
      </w:r>
      <w:r w:rsidRPr="001C45D7">
        <w:rPr>
          <w:rFonts w:eastAsiaTheme="minorEastAsia"/>
          <w:lang w:eastAsia="ko-KR"/>
        </w:rPr>
        <w:fldChar w:fldCharType="separate"/>
      </w:r>
      <w:r w:rsidR="004A2B48" w:rsidRPr="001C45D7">
        <w:rPr>
          <w:rFonts w:eastAsiaTheme="minorEastAsia"/>
          <w:noProof/>
          <w:lang w:eastAsia="ko-KR"/>
        </w:rPr>
        <w:t xml:space="preserve">(Saberi </w:t>
      </w:r>
      <w:r w:rsidR="004A2B48" w:rsidRPr="001C45D7">
        <w:rPr>
          <w:rFonts w:eastAsiaTheme="minorEastAsia"/>
          <w:i/>
          <w:noProof/>
          <w:lang w:eastAsia="ko-KR"/>
        </w:rPr>
        <w:t>et al.</w:t>
      </w:r>
      <w:r w:rsidR="004A2B48" w:rsidRPr="001C45D7">
        <w:rPr>
          <w:rFonts w:eastAsiaTheme="minorEastAsia"/>
          <w:noProof/>
          <w:lang w:eastAsia="ko-KR"/>
        </w:rPr>
        <w:t>, 2019; Schmidt and Wagner, 2019)</w:t>
      </w:r>
      <w:r w:rsidRPr="001C45D7">
        <w:rPr>
          <w:rFonts w:eastAsiaTheme="minorEastAsia"/>
          <w:lang w:eastAsia="ko-KR"/>
        </w:rPr>
        <w:fldChar w:fldCharType="end"/>
      </w:r>
      <w:r w:rsidRPr="001C45D7">
        <w:t>.</w:t>
      </w:r>
      <w:r w:rsidR="00FA6558" w:rsidRPr="001C45D7">
        <w:t xml:space="preserve"> </w:t>
      </w:r>
      <w:r w:rsidR="00DA36C1" w:rsidRPr="001C45D7">
        <w:t>The</w:t>
      </w:r>
      <w:r w:rsidR="00FA6558" w:rsidRPr="001C45D7">
        <w:t xml:space="preserve"> </w:t>
      </w:r>
      <w:r w:rsidR="00C62E1A" w:rsidRPr="001C45D7">
        <w:t>suggestions</w:t>
      </w:r>
      <w:r w:rsidR="00FA6558" w:rsidRPr="001C45D7">
        <w:t xml:space="preserve"> </w:t>
      </w:r>
      <w:r w:rsidR="00C62E1A" w:rsidRPr="001C45D7">
        <w:t>of</w:t>
      </w:r>
      <w:r w:rsidR="00FA6558" w:rsidRPr="001C45D7">
        <w:t xml:space="preserve"> </w:t>
      </w:r>
      <w:r w:rsidR="00DA36C1" w:rsidRPr="001C45D7">
        <w:t>these</w:t>
      </w:r>
      <w:r w:rsidR="00FA6558" w:rsidRPr="001C45D7">
        <w:t xml:space="preserve"> </w:t>
      </w:r>
      <w:r w:rsidR="00DA36C1" w:rsidRPr="001C45D7">
        <w:t>studies</w:t>
      </w:r>
      <w:r w:rsidR="00FA6558" w:rsidRPr="001C45D7">
        <w:t xml:space="preserve"> </w:t>
      </w:r>
      <w:r w:rsidR="00C62E1A" w:rsidRPr="001C45D7">
        <w:t>would</w:t>
      </w:r>
      <w:r w:rsidR="00FA6558" w:rsidRPr="001C45D7">
        <w:t xml:space="preserve"> </w:t>
      </w:r>
      <w:r w:rsidR="002F2D75" w:rsidRPr="001C45D7">
        <w:t xml:space="preserve">only </w:t>
      </w:r>
      <w:r w:rsidR="00C62E1A" w:rsidRPr="001C45D7">
        <w:t>be</w:t>
      </w:r>
      <w:r w:rsidR="00FA6558" w:rsidRPr="001C45D7">
        <w:t xml:space="preserve"> </w:t>
      </w:r>
      <w:r w:rsidR="00C62E1A" w:rsidRPr="001C45D7">
        <w:t>applicable</w:t>
      </w:r>
      <w:r w:rsidR="00FA6558" w:rsidRPr="001C45D7">
        <w:t xml:space="preserve"> </w:t>
      </w:r>
      <w:r w:rsidR="00C62E1A" w:rsidRPr="001C45D7">
        <w:t>to</w:t>
      </w:r>
      <w:r w:rsidR="00FA6558" w:rsidRPr="001C45D7">
        <w:t xml:space="preserve"> </w:t>
      </w:r>
      <w:r w:rsidR="00DA36C1" w:rsidRPr="001C45D7">
        <w:t>those</w:t>
      </w:r>
      <w:r w:rsidR="00FA6558" w:rsidRPr="001C45D7">
        <w:t xml:space="preserve"> </w:t>
      </w:r>
      <w:r w:rsidR="00DA36C1" w:rsidRPr="001C45D7">
        <w:t>well-resourced</w:t>
      </w:r>
      <w:r w:rsidR="00FA6558" w:rsidRPr="001C45D7">
        <w:t xml:space="preserve"> </w:t>
      </w:r>
      <w:r w:rsidR="00DA36C1" w:rsidRPr="001C45D7">
        <w:t>and</w:t>
      </w:r>
      <w:r w:rsidR="00FA6558" w:rsidRPr="001C45D7">
        <w:t xml:space="preserve"> </w:t>
      </w:r>
      <w:r w:rsidR="00DA36C1" w:rsidRPr="001C45D7">
        <w:t>technologically</w:t>
      </w:r>
      <w:r w:rsidR="00FA6558" w:rsidRPr="001C45D7">
        <w:t xml:space="preserve"> </w:t>
      </w:r>
      <w:r w:rsidR="00DA36C1" w:rsidRPr="001C45D7">
        <w:t>capable</w:t>
      </w:r>
      <w:r w:rsidR="00FA6558" w:rsidRPr="001C45D7">
        <w:t xml:space="preserve"> </w:t>
      </w:r>
      <w:r w:rsidR="00DA36C1" w:rsidRPr="001C45D7">
        <w:t>firms</w:t>
      </w:r>
      <w:r w:rsidR="00FA6558" w:rsidRPr="001C45D7">
        <w:rPr>
          <w:color w:val="auto"/>
        </w:rPr>
        <w:t xml:space="preserve"> </w:t>
      </w:r>
      <w:r w:rsidR="00CE7836" w:rsidRPr="001C45D7">
        <w:rPr>
          <w:color w:val="auto"/>
        </w:rPr>
        <w:t xml:space="preserve">that are </w:t>
      </w:r>
      <w:r w:rsidR="00DA36C1" w:rsidRPr="001C45D7">
        <w:rPr>
          <w:color w:val="auto"/>
        </w:rPr>
        <w:t>taking</w:t>
      </w:r>
      <w:r w:rsidR="00FA6558" w:rsidRPr="001C45D7">
        <w:rPr>
          <w:color w:val="auto"/>
        </w:rPr>
        <w:t xml:space="preserve"> </w:t>
      </w:r>
      <w:r w:rsidR="00DA36C1" w:rsidRPr="001C45D7">
        <w:rPr>
          <w:color w:val="auto"/>
        </w:rPr>
        <w:t>advantage</w:t>
      </w:r>
      <w:r w:rsidR="00FA6558" w:rsidRPr="001C45D7">
        <w:rPr>
          <w:color w:val="auto"/>
        </w:rPr>
        <w:t xml:space="preserve"> </w:t>
      </w:r>
      <w:r w:rsidR="00DA36C1" w:rsidRPr="001C45D7">
        <w:rPr>
          <w:color w:val="auto"/>
        </w:rPr>
        <w:t>of</w:t>
      </w:r>
      <w:r w:rsidR="00FA6558" w:rsidRPr="001C45D7">
        <w:rPr>
          <w:color w:val="auto"/>
        </w:rPr>
        <w:t xml:space="preserve"> </w:t>
      </w:r>
      <w:r w:rsidR="00390A9B" w:rsidRPr="001C45D7">
        <w:rPr>
          <w:color w:val="auto"/>
        </w:rPr>
        <w:t xml:space="preserve">the </w:t>
      </w:r>
      <w:r w:rsidR="00DA36C1" w:rsidRPr="001C45D7">
        <w:rPr>
          <w:color w:val="auto"/>
        </w:rPr>
        <w:t>benefits</w:t>
      </w:r>
      <w:r w:rsidR="00FA6558" w:rsidRPr="001C45D7">
        <w:rPr>
          <w:color w:val="auto"/>
        </w:rPr>
        <w:t xml:space="preserve"> </w:t>
      </w:r>
      <w:r w:rsidR="00DA36C1" w:rsidRPr="001C45D7">
        <w:rPr>
          <w:color w:val="auto"/>
        </w:rPr>
        <w:t>of</w:t>
      </w:r>
      <w:r w:rsidR="00FA6558" w:rsidRPr="001C45D7">
        <w:rPr>
          <w:color w:val="auto"/>
        </w:rPr>
        <w:t xml:space="preserve"> </w:t>
      </w:r>
      <w:r w:rsidR="00C226E2" w:rsidRPr="001C45D7">
        <w:rPr>
          <w:color w:val="auto"/>
        </w:rPr>
        <w:t xml:space="preserve">supply chain </w:t>
      </w:r>
      <w:r w:rsidR="00DA36C1" w:rsidRPr="001C45D7">
        <w:rPr>
          <w:color w:val="auto"/>
        </w:rPr>
        <w:t>digitalisation</w:t>
      </w:r>
      <w:r w:rsidR="00FA6558" w:rsidRPr="001C45D7">
        <w:rPr>
          <w:color w:val="auto"/>
        </w:rPr>
        <w:t xml:space="preserve"> </w:t>
      </w:r>
      <w:r w:rsidR="00DA36C1" w:rsidRPr="001C45D7">
        <w:rPr>
          <w:color w:val="auto"/>
        </w:rPr>
        <w:t>to</w:t>
      </w:r>
      <w:r w:rsidR="00FA6558" w:rsidRPr="001C45D7">
        <w:rPr>
          <w:color w:val="auto"/>
        </w:rPr>
        <w:t xml:space="preserve"> </w:t>
      </w:r>
      <w:r w:rsidR="00DA36C1" w:rsidRPr="001C45D7">
        <w:rPr>
          <w:color w:val="auto"/>
        </w:rPr>
        <w:t>reduce</w:t>
      </w:r>
      <w:r w:rsidR="00FA6558" w:rsidRPr="001C45D7">
        <w:rPr>
          <w:color w:val="auto"/>
        </w:rPr>
        <w:t xml:space="preserve"> </w:t>
      </w:r>
      <w:r w:rsidR="00DA36C1" w:rsidRPr="001C45D7">
        <w:rPr>
          <w:color w:val="auto"/>
        </w:rPr>
        <w:t>blind</w:t>
      </w:r>
      <w:r w:rsidR="00FA6558" w:rsidRPr="001C45D7">
        <w:rPr>
          <w:color w:val="auto"/>
        </w:rPr>
        <w:t xml:space="preserve"> </w:t>
      </w:r>
      <w:r w:rsidR="00DA36C1" w:rsidRPr="001C45D7">
        <w:rPr>
          <w:color w:val="auto"/>
        </w:rPr>
        <w:t>spots</w:t>
      </w:r>
      <w:r w:rsidR="00FA6558" w:rsidRPr="001C45D7">
        <w:rPr>
          <w:color w:val="auto"/>
        </w:rPr>
        <w:t xml:space="preserve"> </w:t>
      </w:r>
      <w:r w:rsidR="00DA36C1" w:rsidRPr="001C45D7">
        <w:rPr>
          <w:color w:val="auto"/>
        </w:rPr>
        <w:t>in</w:t>
      </w:r>
      <w:r w:rsidR="00FA6558" w:rsidRPr="001C45D7">
        <w:rPr>
          <w:color w:val="auto"/>
        </w:rPr>
        <w:t xml:space="preserve"> </w:t>
      </w:r>
      <w:r w:rsidR="00DA36C1" w:rsidRPr="001C45D7">
        <w:rPr>
          <w:color w:val="auto"/>
        </w:rPr>
        <w:t>their</w:t>
      </w:r>
      <w:r w:rsidR="00FA6558" w:rsidRPr="001C45D7">
        <w:rPr>
          <w:color w:val="auto"/>
        </w:rPr>
        <w:t xml:space="preserve"> </w:t>
      </w:r>
      <w:r w:rsidR="00DA36C1" w:rsidRPr="001C45D7">
        <w:rPr>
          <w:color w:val="auto"/>
        </w:rPr>
        <w:t>relationships</w:t>
      </w:r>
      <w:r w:rsidR="00FA6558" w:rsidRPr="001C45D7">
        <w:rPr>
          <w:color w:val="auto"/>
        </w:rPr>
        <w:t xml:space="preserve"> </w:t>
      </w:r>
      <w:r w:rsidR="00C62E1A" w:rsidRPr="001C45D7">
        <w:rPr>
          <w:color w:val="auto"/>
        </w:rPr>
        <w:t>so</w:t>
      </w:r>
      <w:r w:rsidR="00FA6558" w:rsidRPr="001C45D7">
        <w:rPr>
          <w:color w:val="auto"/>
        </w:rPr>
        <w:t xml:space="preserve"> </w:t>
      </w:r>
      <w:r w:rsidR="001B155F" w:rsidRPr="001C45D7">
        <w:rPr>
          <w:color w:val="auto"/>
        </w:rPr>
        <w:t>as to</w:t>
      </w:r>
      <w:r w:rsidR="00FA6558" w:rsidRPr="001C45D7">
        <w:rPr>
          <w:color w:val="auto"/>
        </w:rPr>
        <w:t xml:space="preserve"> </w:t>
      </w:r>
      <w:r w:rsidR="00C62E1A" w:rsidRPr="001C45D7">
        <w:rPr>
          <w:color w:val="auto"/>
        </w:rPr>
        <w:t>better</w:t>
      </w:r>
      <w:r w:rsidR="00FA6558" w:rsidRPr="001C45D7">
        <w:rPr>
          <w:color w:val="auto"/>
        </w:rPr>
        <w:t xml:space="preserve"> </w:t>
      </w:r>
      <w:r w:rsidR="00C62E1A" w:rsidRPr="001C45D7">
        <w:rPr>
          <w:color w:val="auto"/>
        </w:rPr>
        <w:t>manage</w:t>
      </w:r>
      <w:r w:rsidR="00FA6558" w:rsidRPr="001C45D7">
        <w:rPr>
          <w:color w:val="auto"/>
        </w:rPr>
        <w:t xml:space="preserve"> </w:t>
      </w:r>
      <w:r w:rsidR="00DA36C1" w:rsidRPr="001C45D7">
        <w:rPr>
          <w:color w:val="auto"/>
        </w:rPr>
        <w:t>partner</w:t>
      </w:r>
      <w:r w:rsidR="00FA6558" w:rsidRPr="001C45D7">
        <w:rPr>
          <w:color w:val="auto"/>
        </w:rPr>
        <w:t xml:space="preserve"> </w:t>
      </w:r>
      <w:r w:rsidR="00DA36C1" w:rsidRPr="001C45D7">
        <w:rPr>
          <w:color w:val="auto"/>
        </w:rPr>
        <w:t>opportunism.</w:t>
      </w:r>
      <w:r w:rsidR="00FA6558" w:rsidRPr="001C45D7">
        <w:rPr>
          <w:color w:val="auto"/>
        </w:rPr>
        <w:t xml:space="preserve"> </w:t>
      </w:r>
    </w:p>
    <w:p w14:paraId="0019FC20" w14:textId="4C1D2AEA" w:rsidR="005C0029" w:rsidRPr="001C45D7" w:rsidRDefault="00DA36C1" w:rsidP="00566B02">
      <w:pPr>
        <w:pStyle w:val="BodyText"/>
      </w:pPr>
      <w:bookmarkStart w:id="30" w:name="_Hlk70000556"/>
      <w:r w:rsidRPr="001C45D7">
        <w:lastRenderedPageBreak/>
        <w:t>Our</w:t>
      </w:r>
      <w:r w:rsidR="00FA6558" w:rsidRPr="001C45D7">
        <w:t xml:space="preserve"> </w:t>
      </w:r>
      <w:r w:rsidRPr="001C45D7">
        <w:t>findings</w:t>
      </w:r>
      <w:r w:rsidR="00FA6558" w:rsidRPr="001C45D7">
        <w:t xml:space="preserve"> </w:t>
      </w:r>
      <w:r w:rsidR="005C0029" w:rsidRPr="001C45D7">
        <w:t>show</w:t>
      </w:r>
      <w:r w:rsidR="00FA6558" w:rsidRPr="001C45D7">
        <w:t xml:space="preserve"> </w:t>
      </w:r>
      <w:r w:rsidR="005C0029" w:rsidRPr="001C45D7">
        <w:t>the</w:t>
      </w:r>
      <w:r w:rsidR="00FA6558" w:rsidRPr="001C45D7">
        <w:t xml:space="preserve"> </w:t>
      </w:r>
      <w:r w:rsidR="005C0029" w:rsidRPr="001C45D7">
        <w:t>other</w:t>
      </w:r>
      <w:r w:rsidR="00FA6558" w:rsidRPr="001C45D7">
        <w:t xml:space="preserve"> </w:t>
      </w:r>
      <w:r w:rsidR="005C0029" w:rsidRPr="001C45D7">
        <w:t>side</w:t>
      </w:r>
      <w:r w:rsidR="00FA6558" w:rsidRPr="001C45D7">
        <w:t xml:space="preserve"> </w:t>
      </w:r>
      <w:r w:rsidR="005C0029" w:rsidRPr="001C45D7">
        <w:t>of</w:t>
      </w:r>
      <w:r w:rsidR="00FA6558" w:rsidRPr="001C45D7">
        <w:t xml:space="preserve"> </w:t>
      </w:r>
      <w:r w:rsidR="005C0029" w:rsidRPr="001C45D7">
        <w:t>the</w:t>
      </w:r>
      <w:r w:rsidR="00FA6558" w:rsidRPr="001C45D7">
        <w:t xml:space="preserve"> </w:t>
      </w:r>
      <w:r w:rsidR="005C0029" w:rsidRPr="001C45D7">
        <w:t>coin</w:t>
      </w:r>
      <w:r w:rsidR="00CB5F17" w:rsidRPr="001C45D7">
        <w:t>:</w:t>
      </w:r>
      <w:r w:rsidR="00FA6558" w:rsidRPr="001C45D7">
        <w:t xml:space="preserve"> </w:t>
      </w:r>
      <w:r w:rsidR="005C0029" w:rsidRPr="001C45D7">
        <w:t>that</w:t>
      </w:r>
      <w:r w:rsidR="00FA6558" w:rsidRPr="001C45D7">
        <w:t xml:space="preserve"> </w:t>
      </w:r>
      <w:r w:rsidR="00C34124">
        <w:t>unbalanced</w:t>
      </w:r>
      <w:r w:rsidR="00FA6558" w:rsidRPr="001C45D7">
        <w:t xml:space="preserve"> </w:t>
      </w:r>
      <w:r w:rsidR="005C0029" w:rsidRPr="001C45D7">
        <w:t>supply</w:t>
      </w:r>
      <w:r w:rsidR="00FA6558" w:rsidRPr="001C45D7">
        <w:t xml:space="preserve"> </w:t>
      </w:r>
      <w:r w:rsidR="005C0029" w:rsidRPr="001C45D7">
        <w:t>chain</w:t>
      </w:r>
      <w:r w:rsidR="00FA6558" w:rsidRPr="001C45D7">
        <w:t xml:space="preserve"> </w:t>
      </w:r>
      <w:r w:rsidR="005C0029" w:rsidRPr="001C45D7">
        <w:t>digitalisation</w:t>
      </w:r>
      <w:r w:rsidR="00FA6558" w:rsidRPr="001C45D7">
        <w:t xml:space="preserve"> </w:t>
      </w:r>
      <w:r w:rsidR="005C0029" w:rsidRPr="001C45D7">
        <w:t>(</w:t>
      </w:r>
      <w:r w:rsidR="000D5982" w:rsidRPr="001C45D7">
        <w:t xml:space="preserve">and </w:t>
      </w:r>
      <w:r w:rsidR="003639F9" w:rsidRPr="001C45D7">
        <w:t xml:space="preserve">the </w:t>
      </w:r>
      <w:r w:rsidR="000D5982" w:rsidRPr="001C45D7">
        <w:t xml:space="preserve">resulting </w:t>
      </w:r>
      <w:r w:rsidRPr="001C45D7">
        <w:t>digital</w:t>
      </w:r>
      <w:r w:rsidR="00FA6558" w:rsidRPr="001C45D7">
        <w:t xml:space="preserve"> </w:t>
      </w:r>
      <w:r w:rsidRPr="001C45D7">
        <w:t>capability</w:t>
      </w:r>
      <w:r w:rsidR="00FA6558" w:rsidRPr="001C45D7">
        <w:t xml:space="preserve"> </w:t>
      </w:r>
      <w:r w:rsidRPr="001C45D7">
        <w:t>asymmetry</w:t>
      </w:r>
      <w:r w:rsidR="005C0029" w:rsidRPr="001C45D7">
        <w:t>)</w:t>
      </w:r>
      <w:r w:rsidR="00FA6558" w:rsidRPr="001C45D7">
        <w:t xml:space="preserve"> </w:t>
      </w:r>
      <w:r w:rsidR="00AD7A1F" w:rsidRPr="001C45D7">
        <w:t xml:space="preserve">can </w:t>
      </w:r>
      <w:r w:rsidR="005C0029" w:rsidRPr="001C45D7">
        <w:t>encourage</w:t>
      </w:r>
      <w:r w:rsidR="00FA6558" w:rsidRPr="001C45D7">
        <w:t xml:space="preserve"> </w:t>
      </w:r>
      <w:r w:rsidRPr="001C45D7">
        <w:t>opportunistic</w:t>
      </w:r>
      <w:r w:rsidR="00FA6558" w:rsidRPr="001C45D7">
        <w:t xml:space="preserve"> </w:t>
      </w:r>
      <w:r w:rsidRPr="001C45D7">
        <w:t>behaviours</w:t>
      </w:r>
      <w:r w:rsidR="00FA6558" w:rsidRPr="001C45D7">
        <w:t xml:space="preserve"> </w:t>
      </w:r>
      <w:r w:rsidR="00691843" w:rsidRPr="001C45D7">
        <w:t>from</w:t>
      </w:r>
      <w:r w:rsidR="00FA6558" w:rsidRPr="001C45D7">
        <w:t xml:space="preserve"> </w:t>
      </w:r>
      <w:r w:rsidRPr="001C45D7">
        <w:t>more</w:t>
      </w:r>
      <w:r w:rsidR="00FA6558" w:rsidRPr="001C45D7">
        <w:t xml:space="preserve"> </w:t>
      </w:r>
      <w:r w:rsidR="00EE4EF4" w:rsidRPr="001C45D7">
        <w:t xml:space="preserve">digitally </w:t>
      </w:r>
      <w:r w:rsidRPr="001C45D7">
        <w:t>capable</w:t>
      </w:r>
      <w:r w:rsidR="00FA6558" w:rsidRPr="001C45D7">
        <w:t xml:space="preserve"> </w:t>
      </w:r>
      <w:r w:rsidR="00EE4EF4" w:rsidRPr="001C45D7">
        <w:t>firms</w:t>
      </w:r>
      <w:r w:rsidR="00C34124">
        <w:t xml:space="preserve"> (large buyers)</w:t>
      </w:r>
      <w:r w:rsidR="00EE4EF4" w:rsidRPr="001C45D7">
        <w:t xml:space="preserve"> </w:t>
      </w:r>
      <w:r w:rsidR="005C0029" w:rsidRPr="001C45D7">
        <w:t>against</w:t>
      </w:r>
      <w:r w:rsidR="00FA6558" w:rsidRPr="001C45D7">
        <w:t xml:space="preserve"> </w:t>
      </w:r>
      <w:r w:rsidR="005C0029" w:rsidRPr="001C45D7">
        <w:t>less</w:t>
      </w:r>
      <w:r w:rsidR="00FA6558" w:rsidRPr="001C45D7">
        <w:t xml:space="preserve"> </w:t>
      </w:r>
      <w:r w:rsidR="00EE4EF4" w:rsidRPr="001C45D7">
        <w:t xml:space="preserve">digitally </w:t>
      </w:r>
      <w:r w:rsidR="005C0029" w:rsidRPr="001C45D7">
        <w:t>capable</w:t>
      </w:r>
      <w:r w:rsidR="00FA6558" w:rsidRPr="001C45D7">
        <w:t xml:space="preserve"> </w:t>
      </w:r>
      <w:bookmarkStart w:id="31" w:name="_Hlk63485601"/>
      <w:r w:rsidR="00275516" w:rsidRPr="001C45D7">
        <w:t>counterparts</w:t>
      </w:r>
      <w:r w:rsidR="00C34124">
        <w:t xml:space="preserve"> (SME suppliers)</w:t>
      </w:r>
      <w:r w:rsidR="005C0029" w:rsidRPr="001C45D7">
        <w:t>.</w:t>
      </w:r>
      <w:r w:rsidR="00FA6558" w:rsidRPr="001C45D7">
        <w:t xml:space="preserve"> </w:t>
      </w:r>
      <w:r w:rsidR="005C0029" w:rsidRPr="001C45D7">
        <w:t>This</w:t>
      </w:r>
      <w:r w:rsidR="00FA6558" w:rsidRPr="001C45D7">
        <w:t xml:space="preserve"> </w:t>
      </w:r>
      <w:r w:rsidR="005C0029" w:rsidRPr="001C45D7">
        <w:t>is</w:t>
      </w:r>
      <w:r w:rsidR="00FA6558" w:rsidRPr="001C45D7">
        <w:t xml:space="preserve"> </w:t>
      </w:r>
      <w:r w:rsidR="005C0029" w:rsidRPr="001C45D7">
        <w:t>because</w:t>
      </w:r>
      <w:r w:rsidR="00FA6558" w:rsidRPr="001C45D7">
        <w:t xml:space="preserve"> </w:t>
      </w:r>
      <w:r w:rsidR="005C0029" w:rsidRPr="001C45D7">
        <w:t>SME</w:t>
      </w:r>
      <w:r w:rsidR="00FA6558" w:rsidRPr="001C45D7">
        <w:t xml:space="preserve"> </w:t>
      </w:r>
      <w:r w:rsidR="005C0029" w:rsidRPr="001C45D7">
        <w:t>suppliers</w:t>
      </w:r>
      <w:r w:rsidR="00C34124">
        <w:t>,</w:t>
      </w:r>
      <w:r w:rsidR="00FA6558" w:rsidRPr="001C45D7">
        <w:t xml:space="preserve"> </w:t>
      </w:r>
      <w:r w:rsidR="005C0029" w:rsidRPr="001C45D7">
        <w:t>driven</w:t>
      </w:r>
      <w:r w:rsidR="00FA6558" w:rsidRPr="001C45D7">
        <w:t xml:space="preserve"> </w:t>
      </w:r>
      <w:r w:rsidR="005C0029" w:rsidRPr="001C45D7">
        <w:t>by</w:t>
      </w:r>
      <w:r w:rsidR="00FA6558" w:rsidRPr="001C45D7">
        <w:t xml:space="preserve"> </w:t>
      </w:r>
      <w:r w:rsidR="00BB3C75" w:rsidRPr="001C45D7">
        <w:t>the</w:t>
      </w:r>
      <w:r w:rsidR="00FA6558" w:rsidRPr="001C45D7">
        <w:t xml:space="preserve"> </w:t>
      </w:r>
      <w:r w:rsidR="00BB3C75" w:rsidRPr="001C45D7">
        <w:t>resulting</w:t>
      </w:r>
      <w:r w:rsidR="00FA6558" w:rsidRPr="001C45D7">
        <w:t xml:space="preserve"> </w:t>
      </w:r>
      <w:r w:rsidR="00BB3C75" w:rsidRPr="001C45D7">
        <w:t>digital</w:t>
      </w:r>
      <w:r w:rsidR="00FA6558" w:rsidRPr="001C45D7">
        <w:t xml:space="preserve"> </w:t>
      </w:r>
      <w:r w:rsidR="005C0029" w:rsidRPr="001C45D7">
        <w:t>capacity</w:t>
      </w:r>
      <w:r w:rsidR="00FA6558" w:rsidRPr="001C45D7">
        <w:t xml:space="preserve"> </w:t>
      </w:r>
      <w:r w:rsidR="00795BED" w:rsidRPr="001C45D7">
        <w:t xml:space="preserve">asymmetry </w:t>
      </w:r>
      <w:r w:rsidR="00BB3C75" w:rsidRPr="001C45D7">
        <w:t>to</w:t>
      </w:r>
      <w:r w:rsidR="00FA6558" w:rsidRPr="001C45D7">
        <w:t xml:space="preserve"> </w:t>
      </w:r>
      <w:bookmarkStart w:id="32" w:name="_Hlk63487221"/>
      <w:r w:rsidR="00BB3C75" w:rsidRPr="001C45D7">
        <w:t>become</w:t>
      </w:r>
      <w:r w:rsidR="00FA6558" w:rsidRPr="001C45D7">
        <w:t xml:space="preserve"> </w:t>
      </w:r>
      <w:r w:rsidR="00BB3C75" w:rsidRPr="001C45D7">
        <w:t>more</w:t>
      </w:r>
      <w:r w:rsidR="00FA6558" w:rsidRPr="001C45D7">
        <w:t xml:space="preserve"> </w:t>
      </w:r>
      <w:r w:rsidR="00BB3C75" w:rsidRPr="001C45D7">
        <w:t>dependent</w:t>
      </w:r>
      <w:r w:rsidR="00FA6558" w:rsidRPr="001C45D7">
        <w:t xml:space="preserve"> </w:t>
      </w:r>
      <w:r w:rsidR="00BB3C75" w:rsidRPr="001C45D7">
        <w:t>on</w:t>
      </w:r>
      <w:r w:rsidR="00FA6558" w:rsidRPr="001C45D7">
        <w:t xml:space="preserve"> </w:t>
      </w:r>
      <w:r w:rsidR="00C60CE0" w:rsidRPr="001C45D7">
        <w:t xml:space="preserve">the buyers’ </w:t>
      </w:r>
      <w:r w:rsidR="00BB3C75" w:rsidRPr="001C45D7">
        <w:t>unique</w:t>
      </w:r>
      <w:r w:rsidR="00FA6558" w:rsidRPr="001C45D7">
        <w:t xml:space="preserve"> </w:t>
      </w:r>
      <w:r w:rsidR="00D01320">
        <w:t xml:space="preserve">and valuable </w:t>
      </w:r>
      <w:r w:rsidR="00BB3C75" w:rsidRPr="001C45D7">
        <w:t>information</w:t>
      </w:r>
      <w:r w:rsidR="00FA6558" w:rsidRPr="001C45D7">
        <w:t xml:space="preserve"> </w:t>
      </w:r>
      <w:r w:rsidR="00BB3C75" w:rsidRPr="001C45D7">
        <w:t>and</w:t>
      </w:r>
      <w:r w:rsidR="00FA6558" w:rsidRPr="001C45D7">
        <w:t xml:space="preserve"> </w:t>
      </w:r>
      <w:r w:rsidR="00BB3C75" w:rsidRPr="001C45D7">
        <w:t>knowledge</w:t>
      </w:r>
      <w:r w:rsidR="00C60CE0" w:rsidRPr="001C45D7">
        <w:t>,</w:t>
      </w:r>
      <w:r w:rsidR="00FA6558" w:rsidRPr="001C45D7">
        <w:t xml:space="preserve"> </w:t>
      </w:r>
      <w:bookmarkStart w:id="33" w:name="_Hlk63487529"/>
      <w:r w:rsidR="006A526D" w:rsidRPr="001C45D7">
        <w:t xml:space="preserve">acquired </w:t>
      </w:r>
      <w:r w:rsidR="00FA1CD5" w:rsidRPr="001C45D7">
        <w:t xml:space="preserve">via </w:t>
      </w:r>
      <w:r w:rsidR="00F97CE5" w:rsidRPr="001C45D7">
        <w:t xml:space="preserve">the latter’s </w:t>
      </w:r>
      <w:r w:rsidR="006A526D" w:rsidRPr="001C45D7">
        <w:t>superior digital capability</w:t>
      </w:r>
      <w:bookmarkEnd w:id="33"/>
      <w:r w:rsidR="00BB3C75" w:rsidRPr="001C45D7">
        <w:t>.</w:t>
      </w:r>
      <w:r w:rsidR="00FA6558" w:rsidRPr="001C45D7">
        <w:t xml:space="preserve"> </w:t>
      </w:r>
      <w:bookmarkEnd w:id="30"/>
      <w:bookmarkEnd w:id="32"/>
      <w:r w:rsidR="00BB4405" w:rsidRPr="001C45D7">
        <w:t>Moreover,</w:t>
      </w:r>
      <w:r w:rsidR="00FA6558" w:rsidRPr="001C45D7">
        <w:t xml:space="preserve"> </w:t>
      </w:r>
      <w:r w:rsidR="00BB4405" w:rsidRPr="001C45D7">
        <w:t>the</w:t>
      </w:r>
      <w:r w:rsidR="00FA6558" w:rsidRPr="001C45D7">
        <w:t xml:space="preserve"> </w:t>
      </w:r>
      <w:r w:rsidR="00BB4405" w:rsidRPr="001C45D7">
        <w:t>SMEs’</w:t>
      </w:r>
      <w:r w:rsidR="00FA6558" w:rsidRPr="001C45D7">
        <w:t xml:space="preserve"> </w:t>
      </w:r>
      <w:r w:rsidR="00BB4405" w:rsidRPr="001C45D7">
        <w:t>increased</w:t>
      </w:r>
      <w:r w:rsidR="00FA6558" w:rsidRPr="001C45D7">
        <w:t xml:space="preserve"> </w:t>
      </w:r>
      <w:r w:rsidR="00BB4405" w:rsidRPr="001C45D7">
        <w:t>dependence</w:t>
      </w:r>
      <w:r w:rsidR="00FA6558" w:rsidRPr="001C45D7">
        <w:t xml:space="preserve"> </w:t>
      </w:r>
      <w:r w:rsidR="00BB4405" w:rsidRPr="001C45D7">
        <w:t>on</w:t>
      </w:r>
      <w:r w:rsidR="00FA6558" w:rsidRPr="001C45D7">
        <w:t xml:space="preserve"> </w:t>
      </w:r>
      <w:r w:rsidR="00BB4405" w:rsidRPr="001C45D7">
        <w:t>the</w:t>
      </w:r>
      <w:r w:rsidR="00FA6558" w:rsidRPr="001C45D7">
        <w:t xml:space="preserve"> </w:t>
      </w:r>
      <w:r w:rsidR="00BB4405" w:rsidRPr="001C45D7">
        <w:t>buyers</w:t>
      </w:r>
      <w:r w:rsidR="005F3801" w:rsidRPr="001C45D7">
        <w:t>’</w:t>
      </w:r>
      <w:r w:rsidR="00FA6558" w:rsidRPr="001C45D7">
        <w:t xml:space="preserve"> </w:t>
      </w:r>
      <w:r w:rsidR="00BB4405" w:rsidRPr="001C45D7">
        <w:t>digital</w:t>
      </w:r>
      <w:r w:rsidR="00FA6558" w:rsidRPr="001C45D7">
        <w:t xml:space="preserve"> </w:t>
      </w:r>
      <w:r w:rsidR="00BB4405" w:rsidRPr="001C45D7">
        <w:t>capability</w:t>
      </w:r>
      <w:r w:rsidR="00FA6558" w:rsidRPr="001C45D7">
        <w:t xml:space="preserve"> </w:t>
      </w:r>
      <w:r w:rsidR="00BB4405" w:rsidRPr="001C45D7">
        <w:t>could</w:t>
      </w:r>
      <w:r w:rsidR="00FA6558" w:rsidRPr="001C45D7">
        <w:t xml:space="preserve"> </w:t>
      </w:r>
      <w:r w:rsidR="00BB4405" w:rsidRPr="001C45D7">
        <w:t>eventually</w:t>
      </w:r>
      <w:r w:rsidR="00FA6558" w:rsidRPr="001C45D7">
        <w:t xml:space="preserve"> </w:t>
      </w:r>
      <w:r w:rsidR="00BB4405" w:rsidRPr="001C45D7">
        <w:t>lead</w:t>
      </w:r>
      <w:r w:rsidR="00FA6558" w:rsidRPr="001C45D7">
        <w:t xml:space="preserve"> </w:t>
      </w:r>
      <w:r w:rsidR="00BB4405" w:rsidRPr="001C45D7">
        <w:t>to</w:t>
      </w:r>
      <w:r w:rsidR="00FA6558" w:rsidRPr="001C45D7">
        <w:t xml:space="preserve"> </w:t>
      </w:r>
      <w:r w:rsidR="00BB4405" w:rsidRPr="001C45D7">
        <w:t>greater</w:t>
      </w:r>
      <w:r w:rsidR="00FA6558" w:rsidRPr="001C45D7">
        <w:t xml:space="preserve"> </w:t>
      </w:r>
      <w:r w:rsidR="00BB4405" w:rsidRPr="001C45D7">
        <w:t>overall</w:t>
      </w:r>
      <w:r w:rsidR="00FA6558" w:rsidRPr="001C45D7">
        <w:t xml:space="preserve"> </w:t>
      </w:r>
      <w:r w:rsidR="00BB4405" w:rsidRPr="001C45D7">
        <w:t>dependence</w:t>
      </w:r>
      <w:r w:rsidR="00390A9B" w:rsidRPr="001C45D7">
        <w:t>;</w:t>
      </w:r>
      <w:r w:rsidR="00FA6558" w:rsidRPr="001C45D7">
        <w:t xml:space="preserve"> </w:t>
      </w:r>
      <w:r w:rsidR="00390A9B" w:rsidRPr="001C45D7">
        <w:t xml:space="preserve">this </w:t>
      </w:r>
      <w:r w:rsidR="00BB4405" w:rsidRPr="001C45D7">
        <w:t>refers</w:t>
      </w:r>
      <w:r w:rsidR="00FA6558" w:rsidRPr="001C45D7">
        <w:t xml:space="preserve"> </w:t>
      </w:r>
      <w:r w:rsidR="00BB4405" w:rsidRPr="001C45D7">
        <w:t>to</w:t>
      </w:r>
      <w:r w:rsidR="00FA6558" w:rsidRPr="001C45D7">
        <w:t xml:space="preserve"> </w:t>
      </w:r>
      <w:r w:rsidR="00655F60" w:rsidRPr="001C45D7">
        <w:t xml:space="preserve">a supplier’s </w:t>
      </w:r>
      <w:r w:rsidR="00BB4405" w:rsidRPr="001C45D7">
        <w:t>reliance</w:t>
      </w:r>
      <w:r w:rsidR="00FA6558" w:rsidRPr="001C45D7">
        <w:t xml:space="preserve"> </w:t>
      </w:r>
      <w:r w:rsidR="00BB4405" w:rsidRPr="001C45D7">
        <w:t>for</w:t>
      </w:r>
      <w:r w:rsidR="00FA6558" w:rsidRPr="001C45D7">
        <w:t xml:space="preserve"> </w:t>
      </w:r>
      <w:r w:rsidR="00BB4405" w:rsidRPr="001C45D7">
        <w:t>revenue</w:t>
      </w:r>
      <w:r w:rsidR="00FA6558" w:rsidRPr="001C45D7">
        <w:t xml:space="preserve"> </w:t>
      </w:r>
      <w:r w:rsidR="00BB4405" w:rsidRPr="001C45D7">
        <w:t>generation</w:t>
      </w:r>
      <w:r w:rsidR="00FA6558" w:rsidRPr="001C45D7">
        <w:t xml:space="preserve"> </w:t>
      </w:r>
      <w:r w:rsidR="00BB4405" w:rsidRPr="001C45D7">
        <w:t>with</w:t>
      </w:r>
      <w:r w:rsidR="00FA6558" w:rsidRPr="001C45D7">
        <w:t xml:space="preserve"> </w:t>
      </w:r>
      <w:r w:rsidR="00BB4405" w:rsidRPr="001C45D7">
        <w:t>the</w:t>
      </w:r>
      <w:r w:rsidR="00FA6558" w:rsidRPr="001C45D7">
        <w:t xml:space="preserve"> </w:t>
      </w:r>
      <w:r w:rsidR="00BB4405" w:rsidRPr="001C45D7">
        <w:t>buyer</w:t>
      </w:r>
      <w:r w:rsidR="00FA6558" w:rsidRPr="001C45D7">
        <w:t xml:space="preserve"> </w:t>
      </w:r>
      <w:r w:rsidR="00BB4405" w:rsidRPr="001C45D7">
        <w:fldChar w:fldCharType="begin" w:fldLock="1"/>
      </w:r>
      <w:r w:rsidR="00433778" w:rsidRPr="001C45D7">
        <w:instrText>ADDIN CSL_CITATION {"citationItems":[{"id":"ITEM-1","itemData":{"DOI":"10.5465/256427","ISSN":"0001-4273","abstract":"This study examines Williamson’s (1975) concept of opportunism in relations between farm and power equipment dealers and their primary supplier organization. Results from a national survey generally support hypotheses predicting that dealer opportunism will be negatively related to dealer dependence on a primary supplier and positively related to supplier control over dealer decisions.","author":[{"dropping-particle":"","family":"Provan","given":"Keith G.","non-dropping-particle":"","parse-names":false,"suffix":""},{"dropping-particle":"","family":"Skinner","given":"Steven J.","non-dropping-particle":"","parse-names":false,"suffix":""}],"container-title":"Academy of Management Journal","id":"ITEM-1","issue":"1","issued":{"date-parts":[["1989","3"]]},"page":"202-212","publisher":"Academy of Management","title":"Interorganizational Dependence and Control as Predictors of Opportunism in Dealer-Supplier Relations","type":"article-journal","volume":"32"},"uris":["http://www.mendeley.com/documents/?uuid=6495a7b4-ed35-4364-8ddc-c68e1ff80bfe"]}],"mendeley":{"formattedCitation":"(Provan and Skinner, 1989)","plainTextFormattedCitation":"(Provan and Skinner, 1989)","previouslyFormattedCitation":"(Provan and Skinner, 1989)"},"properties":{"noteIndex":0},"schema":"https://github.com/citation-style-language/schema/raw/master/csl-citation.json"}</w:instrText>
      </w:r>
      <w:r w:rsidR="00BB4405" w:rsidRPr="001C45D7">
        <w:fldChar w:fldCharType="separate"/>
      </w:r>
      <w:r w:rsidR="00BB4405" w:rsidRPr="001C45D7">
        <w:rPr>
          <w:noProof/>
        </w:rPr>
        <w:t>(Provan</w:t>
      </w:r>
      <w:r w:rsidR="00FA6558" w:rsidRPr="001C45D7">
        <w:rPr>
          <w:noProof/>
        </w:rPr>
        <w:t xml:space="preserve"> </w:t>
      </w:r>
      <w:r w:rsidR="00BB4405" w:rsidRPr="001C45D7">
        <w:rPr>
          <w:noProof/>
        </w:rPr>
        <w:t>and</w:t>
      </w:r>
      <w:r w:rsidR="00FA6558" w:rsidRPr="001C45D7">
        <w:rPr>
          <w:noProof/>
        </w:rPr>
        <w:t xml:space="preserve"> </w:t>
      </w:r>
      <w:r w:rsidR="00BB4405" w:rsidRPr="001C45D7">
        <w:rPr>
          <w:noProof/>
        </w:rPr>
        <w:t>Skinner,</w:t>
      </w:r>
      <w:r w:rsidR="00FA6558" w:rsidRPr="001C45D7">
        <w:rPr>
          <w:noProof/>
        </w:rPr>
        <w:t xml:space="preserve"> </w:t>
      </w:r>
      <w:r w:rsidR="00BB4405" w:rsidRPr="001C45D7">
        <w:rPr>
          <w:noProof/>
        </w:rPr>
        <w:t>1989)</w:t>
      </w:r>
      <w:r w:rsidR="00BB4405" w:rsidRPr="001C45D7">
        <w:fldChar w:fldCharType="end"/>
      </w:r>
      <w:r w:rsidR="00BB4405" w:rsidRPr="001C45D7">
        <w:t>.</w:t>
      </w:r>
      <w:r w:rsidR="00FA6558" w:rsidRPr="001C45D7">
        <w:t xml:space="preserve"> </w:t>
      </w:r>
      <w:bookmarkEnd w:id="31"/>
    </w:p>
    <w:p w14:paraId="16FB76C9" w14:textId="36E5A973" w:rsidR="007F1E48" w:rsidRPr="001C45D7" w:rsidRDefault="00BB4405" w:rsidP="00566B02">
      <w:pPr>
        <w:pStyle w:val="BodyText"/>
      </w:pPr>
      <w:r w:rsidRPr="001C45D7">
        <w:t>As</w:t>
      </w:r>
      <w:r w:rsidR="00FA6558" w:rsidRPr="001C45D7">
        <w:t xml:space="preserve"> </w:t>
      </w:r>
      <w:r w:rsidRPr="001C45D7">
        <w:t>resource</w:t>
      </w:r>
      <w:r w:rsidR="00FA6558" w:rsidRPr="001C45D7">
        <w:t xml:space="preserve"> </w:t>
      </w:r>
      <w:r w:rsidRPr="001C45D7">
        <w:t>dependence</w:t>
      </w:r>
      <w:r w:rsidR="00FA6558" w:rsidRPr="001C45D7">
        <w:t xml:space="preserve"> </w:t>
      </w:r>
      <w:r w:rsidRPr="001C45D7">
        <w:t>theory</w:t>
      </w:r>
      <w:r w:rsidR="00FA6558" w:rsidRPr="001C45D7">
        <w:t xml:space="preserve"> </w:t>
      </w:r>
      <w:r w:rsidRPr="001C45D7">
        <w:t>suggest</w:t>
      </w:r>
      <w:r w:rsidR="000D2D09" w:rsidRPr="001C45D7">
        <w:t>s</w:t>
      </w:r>
      <w:r w:rsidRPr="001C45D7">
        <w:t>,</w:t>
      </w:r>
      <w:r w:rsidR="00FA6558" w:rsidRPr="001C45D7">
        <w:t xml:space="preserve"> </w:t>
      </w:r>
      <w:r w:rsidRPr="001C45D7">
        <w:t>such</w:t>
      </w:r>
      <w:r w:rsidR="00FA6558" w:rsidRPr="001C45D7">
        <w:t xml:space="preserve"> </w:t>
      </w:r>
      <w:r w:rsidR="00390A9B" w:rsidRPr="001C45D7">
        <w:t xml:space="preserve">a </w:t>
      </w:r>
      <w:r w:rsidRPr="001C45D7">
        <w:t>widen</w:t>
      </w:r>
      <w:r w:rsidR="00390A9B" w:rsidRPr="001C45D7">
        <w:t>ing</w:t>
      </w:r>
      <w:r w:rsidR="00FA6558" w:rsidRPr="001C45D7">
        <w:t xml:space="preserve"> </w:t>
      </w:r>
      <w:r w:rsidRPr="001C45D7">
        <w:t>dependence</w:t>
      </w:r>
      <w:r w:rsidR="00FA6558" w:rsidRPr="001C45D7">
        <w:t xml:space="preserve"> </w:t>
      </w:r>
      <w:r w:rsidRPr="001C45D7">
        <w:t>gap</w:t>
      </w:r>
      <w:r w:rsidR="00FA6558" w:rsidRPr="001C45D7">
        <w:t xml:space="preserve"> </w:t>
      </w:r>
      <w:r w:rsidR="0021419D" w:rsidRPr="001C45D7">
        <w:t>c</w:t>
      </w:r>
      <w:r w:rsidR="000B654A" w:rsidRPr="001C45D7">
        <w:t>ould</w:t>
      </w:r>
      <w:r w:rsidR="00FA6558" w:rsidRPr="001C45D7">
        <w:t xml:space="preserve"> </w:t>
      </w:r>
      <w:r w:rsidR="000B654A" w:rsidRPr="001C45D7">
        <w:t>increase</w:t>
      </w:r>
      <w:r w:rsidR="00FA6558" w:rsidRPr="001C45D7">
        <w:t xml:space="preserve"> </w:t>
      </w:r>
      <w:r w:rsidR="000B654A" w:rsidRPr="001C45D7">
        <w:t>SME</w:t>
      </w:r>
      <w:r w:rsidR="00FA6558" w:rsidRPr="001C45D7">
        <w:t xml:space="preserve"> </w:t>
      </w:r>
      <w:r w:rsidR="000B654A" w:rsidRPr="001C45D7">
        <w:t>suppliers</w:t>
      </w:r>
      <w:r w:rsidR="00535953" w:rsidRPr="001C45D7">
        <w:t>’</w:t>
      </w:r>
      <w:r w:rsidR="00FA6558" w:rsidRPr="001C45D7">
        <w:t xml:space="preserve"> </w:t>
      </w:r>
      <w:r w:rsidR="000B654A" w:rsidRPr="001C45D7">
        <w:t>exposure</w:t>
      </w:r>
      <w:r w:rsidR="00FA6558" w:rsidRPr="001C45D7">
        <w:t xml:space="preserve"> </w:t>
      </w:r>
      <w:r w:rsidR="000B654A" w:rsidRPr="001C45D7">
        <w:t>to</w:t>
      </w:r>
      <w:r w:rsidR="00FA6558" w:rsidRPr="001C45D7">
        <w:t xml:space="preserve"> </w:t>
      </w:r>
      <w:r w:rsidR="000B654A" w:rsidRPr="001C45D7">
        <w:t>buyer</w:t>
      </w:r>
      <w:r w:rsidR="00FA6558" w:rsidRPr="001C45D7">
        <w:t xml:space="preserve"> </w:t>
      </w:r>
      <w:r w:rsidR="000B654A" w:rsidRPr="001C45D7">
        <w:t>opportunism</w:t>
      </w:r>
      <w:r w:rsidR="00FA6558" w:rsidRPr="001C45D7">
        <w:t xml:space="preserve"> </w:t>
      </w:r>
      <w:r w:rsidR="00A27DDE" w:rsidRPr="001C45D7">
        <w:fldChar w:fldCharType="begin" w:fldLock="1"/>
      </w:r>
      <w:r w:rsidR="00433778" w:rsidRPr="001C45D7">
        <w:instrText>ADDIN CSL_CITATION {"citationItems":[{"id":"ITEM-1","itemData":{"DOI":"10.1007/s11747-007-0081-x","ISSN":"00920703","abstract":"The potential to engage in opportunism is a central theme in institutional economics, yet prior research has not quantitatively reviewed the role of opportunism in marketing research. This study uses meta-analytic tech- niques to synthesize research on opportunism conducted over the last quarter century. The analysis of 183 effect sizes extracted from 54 publications from the period 1982 to 2005 offers some support to extant channel theory. The research also indicates that the informant's frame of reference and the research design significantly influence the observed effects. Implications of the findings and future research directions are discussed. © Academy of Marketing Science 2007.","author":[{"dropping-particle":"","family":"Crosno","given":"Jody L","non-dropping-particle":"","parse-names":false,"suffix":""},{"dropping-particle":"","family":"Dahlstrom","given":"Robert","non-dropping-particle":"","parse-names":false,"suffix":""}],"container-title":"Journal of the Academy of Marketing Science","id":"ITEM-1","issue":"2","issued":{"date-parts":[["2008"]]},"page":"191-201","title":"A meta-analytic review of opportunism in exchange relationships","type":"article-journal","volume":"36"},"uris":["http://www.mendeley.com/documents/?uuid=f7567af9-39ca-30c6-b5a5-8094095e0f61"]},{"id":"ITEM-2","itemData":{"DOI":"10.1111/j.1467-6486.1996.tb00163.x","ISSN":"00222380","abstract":"This paper is concerned with exploring the degree to which industry structure determines firm performance. Most of the business policy literature follows Porter in arguing that industry structure has an important influence on firm level profit rates. The arguments contained in this paper take a counter position. It is argued that a plausible alternative to the hypothesis that industry structure matters is the hypothesis that (holding demand constant) individual firm differences are the most important determinant of firm profitability.","author":[{"dropping-particle":"","family":"Hill","given":"Charles W.L.","non-dropping-particle":"","parse-names":false,"suffix":""},{"dropping-particle":"","family":"Deeds","given":"David L.","non-dropping-particle":"","parse-names":false,"suffix":""}],"container-title":"Journal of Management Studies","id":"ITEM-2","issue":"4","issued":{"date-parts":[["1996"]]},"page":"429-451","publisher":"Blackwell Publishing Ltd","title":"The importance of industry structure for the determination of firm profitability: A neo-Austrian perspective","type":"article-journal","volume":"33"},"uris":["http://www.mendeley.com/documents/?uuid=f2a238b3-cd1d-3ca9-82d2-cfaec7cba052"]},{"id":"ITEM-3","itemData":{"DOI":"10.1177/0092070399273001","ISSN":"00920703","abstract":"Prior research provides evidence that manufacturer investment of specific assets dedicated to a particular supplier (manufacturer asset specificity) is an antecedent of joint action in manufacturer-supplier relationships. The authors build on prior research to identify several variables that moderate the effect of manufacturer asset specificity on joint action. Drawing from transaction cost analysis and relational exchange theory, the authors propose a conceptual model that explicates the moderating role of three contextual variables: specific asset investments by the supplier (reciprocal asset investments), manufacturer decision-making uncertainty, and manufacturer trust in the supplier. Consistent with their hypotheses, results from a survey affirms in three SIC codes show that decision-making uncertainty and trust enhance the effect of manufacturer asset specificity on joint action. Contrary to expectation, however, the moderating effect of reciprocal asset investments was not significant. Theoretical and managerial implications of the results are discussed. Copyright © 1999 by Academy of Marketing Science.","author":[{"dropping-particle":"","family":"Joshi","given":"Ashwin W.","non-dropping-particle":"","parse-names":false,"suffix":""},{"dropping-particle":"","family":"Stump","given":"Rodney L.","non-dropping-particle":"","parse-names":false,"suffix":""}],"container-title":"Journal of the Academy of Marketing Science","id":"ITEM-3","issue":"3","issued":{"date-parts":[["1999"]]},"page":"291-305","publisher":"Springer New York LLC","title":"The contingent effect of specific asset investments on joint action in manufacturer-supplier relationships: An empirical test of the moderating role of reciprocal asset investments, uncertainty, and trust","type":"article-journal","volume":"27"},"uris":["http://www.mendeley.com/documents/?uuid=17b5032d-b7f6-375c-99c8-9e02ee59cb87"]},{"id":"ITEM-4","itemData":{"DOI":"10.1177/002224379503200309","ISSN":"0022-2437","abstract":"Channels research has consistently argued that asymmetric channel relationships are more dysfunctional than those characterized by symmetric interdependence. The authors propose that the degree of ...","author":[{"dropping-particle":"","family":"Kumar","given":"Nirmalya","non-dropping-particle":"","parse-names":false,"suffix":""},{"dropping-particle":"","family":"Scheer","given":"Lisa K.","non-dropping-particle":"","parse-names":false,"suffix":""},{"dropping-particle":"","family":"Steenkamp","given":"Jan-Benedict E. M.","non-dropping-particle":"","parse-names":false,"suffix":""}],"container-title":"Journal of Marketing Research","id":"ITEM-4","issue":"3","issued":{"date-parts":[["1995","8"]]},"page":"348-356","publisher":"SAGE Publications","title":"The Effects of Perceived Interdependence on Dealer Attitudes","type":"article-journal","volume":"32"},"uris":["http://www.mendeley.com/documents/?uuid=f091783d-7d90-3eaf-bd14-335656e6d5d7"]},{"id":"ITEM-5","itemData":{"ISBN":"0060451939","abstract":"The External Control of Organizations explores how external constraints affect organizations and provides insights for designing and managing organizations to mitigate these constraints. All organizations are dependent on the environment for their survival. As the authors contend, it is the fact of the organizations dependence on the environment that makes the external constraint and control of organizational behavior both possible and almost inevitable. Organizations can either try to change their environments through political means or form interorganizational relationships to control or absorb uncertainty. This seminal book established the resource dependence approach that has informed so many other important organization theories.","author":[{"dropping-particle":"","family":"Pfeffer","given":"Jeffrey","non-dropping-particle":"","parse-names":false,"suffix":""},{"dropping-particle":"","family":"Salancik","given":"Gerald R","non-dropping-particle":"","parse-names":false,"suffix":""}],"id":"ITEM-5","issued":{"date-parts":[["1978"]]},"publisher":"Harper &amp; Row","publisher-place":"New York","title":"The External Control of Organizations: A Resource Dependence Perspective","type":"book"},"uris":["http://www.mendeley.com/documents/?uuid=ff182e2d-9024-41b7-8ce5-d847863e836c"]},{"id":"ITEM-6","itemData":{"DOI":"10.5465/256427","ISSN":"0001-4273","abstract":"This study examines Williamson’s (1975) concept of opportunism in relations between farm and power equipment dealers and their primary supplier organization. Results from a national survey generally support hypotheses predicting that dealer opportunism will be negatively related to dealer dependence on a primary supplier and positively related to supplier control over dealer decisions.","author":[{"dropping-particle":"","family":"Provan","given":"Keith G.","non-dropping-particle":"","parse-names":false,"suffix":""},{"dropping-particle":"","family":"Skinner","given":"Steven J.","non-dropping-particle":"","parse-names":false,"suffix":""}],"container-title":"Academy of Management Journal","id":"ITEM-6","issue":"1","issued":{"date-parts":[["1989","3"]]},"page":"202-212","publisher":"Academy of Management","title":"Interorganizational Dependence and Control as Predictors of Opportunism in Dealer-Supplier Relations","type":"article-journal","volume":"32"},"uris":["http://www.mendeley.com/documents/?uuid=6495a7b4-ed35-4364-8ddc-c68e1ff80bfe"]}],"mendeley":{"formattedCitation":"(Crosno and Dahlstrom, 2008; Hill and Deeds, 1996; Joshi and Stump, 1999; Kumar &lt;i&gt;et al.&lt;/i&gt;, 1995; Pfeffer and Salancik, 1978; Provan and Skinner, 1989)","manualFormatting":"(Pfeffer and Salancik, 1978; Provan and Skinner, 1989; Kumar et al., 1995; Hill and Deeds, 1996; Crosno and Dahlstrom, 2008)","plainTextFormattedCitation":"(Crosno and Dahlstrom, 2008; Hill and Deeds, 1996; Joshi and Stump, 1999; Kumar et al., 1995; Pfeffer and Salancik, 1978; Provan and Skinner, 1989)","previouslyFormattedCitation":"(Crosno and Dahlstrom, 2008; Hill and Deeds, 1996; Joshi and Stump, 1999; Kumar &lt;i&gt;et al.&lt;/i&gt;, 1995; Pfeffer and Salancik, 1978; Provan and Skinner, 1989)"},"properties":{"noteIndex":0},"schema":"https://github.com/citation-style-language/schema/raw/master/csl-citation.json"}</w:instrText>
      </w:r>
      <w:r w:rsidR="00A27DDE" w:rsidRPr="001C45D7">
        <w:fldChar w:fldCharType="separate"/>
      </w:r>
      <w:r w:rsidR="00A27DDE" w:rsidRPr="001C45D7">
        <w:rPr>
          <w:noProof/>
        </w:rPr>
        <w:t>(Pfeffer and Salancik, 1978; Provan and Skinner, 1989; Kumar</w:t>
      </w:r>
      <w:r w:rsidR="00916D0D" w:rsidRPr="001C45D7">
        <w:rPr>
          <w:noProof/>
        </w:rPr>
        <w:t xml:space="preserve"> </w:t>
      </w:r>
      <w:r w:rsidR="00A61A50" w:rsidRPr="001C45D7">
        <w:rPr>
          <w:rFonts w:eastAsiaTheme="minorEastAsia" w:hint="eastAsia"/>
          <w:i/>
          <w:noProof/>
          <w:lang w:eastAsia="ko-KR"/>
        </w:rPr>
        <w:t>et al.</w:t>
      </w:r>
      <w:r w:rsidR="00A27DDE" w:rsidRPr="001C45D7">
        <w:rPr>
          <w:noProof/>
        </w:rPr>
        <w:t>, 1995; Hill and Deeds, 1996; Crosno and Dahlstrom, 2008)</w:t>
      </w:r>
      <w:r w:rsidR="00A27DDE" w:rsidRPr="001C45D7">
        <w:fldChar w:fldCharType="end"/>
      </w:r>
      <w:r w:rsidR="00A27DDE" w:rsidRPr="001C45D7">
        <w:t>.</w:t>
      </w:r>
      <w:r w:rsidR="00FA6558" w:rsidRPr="001C45D7">
        <w:t xml:space="preserve"> </w:t>
      </w:r>
      <w:r w:rsidR="005C0029" w:rsidRPr="001C45D7">
        <w:t>Considering</w:t>
      </w:r>
      <w:r w:rsidR="00FA6558" w:rsidRPr="001C45D7">
        <w:t xml:space="preserve"> </w:t>
      </w:r>
      <w:r w:rsidR="00DC6822" w:rsidRPr="001C45D7">
        <w:t xml:space="preserve">that </w:t>
      </w:r>
      <w:r w:rsidR="000D5982" w:rsidRPr="001C45D7">
        <w:t xml:space="preserve">the majority of supply chain digitalisation research has </w:t>
      </w:r>
      <w:r w:rsidR="00DC6822" w:rsidRPr="001C45D7">
        <w:t>focused on</w:t>
      </w:r>
      <w:r w:rsidR="000D5982" w:rsidRPr="001C45D7">
        <w:t xml:space="preserve"> positive</w:t>
      </w:r>
      <w:r w:rsidR="00DC6822" w:rsidRPr="001C45D7">
        <w:t xml:space="preserve"> aspects</w:t>
      </w:r>
      <w:r w:rsidR="005C0029" w:rsidRPr="001C45D7">
        <w:t>,</w:t>
      </w:r>
      <w:r w:rsidR="00FA6558" w:rsidRPr="001C45D7">
        <w:t xml:space="preserve"> </w:t>
      </w:r>
      <w:r w:rsidR="005C0029" w:rsidRPr="001C45D7">
        <w:t>the</w:t>
      </w:r>
      <w:r w:rsidR="00FA6558" w:rsidRPr="001C45D7">
        <w:t xml:space="preserve"> </w:t>
      </w:r>
      <w:r w:rsidR="005C0029" w:rsidRPr="001C45D7">
        <w:t>major</w:t>
      </w:r>
      <w:r w:rsidR="00FA6558" w:rsidRPr="001C45D7">
        <w:t xml:space="preserve"> </w:t>
      </w:r>
      <w:r w:rsidR="005C0029" w:rsidRPr="001C45D7">
        <w:t>contribution</w:t>
      </w:r>
      <w:r w:rsidR="00FA6558" w:rsidRPr="001C45D7">
        <w:t xml:space="preserve"> </w:t>
      </w:r>
      <w:r w:rsidR="005C0029" w:rsidRPr="001C45D7">
        <w:t>of</w:t>
      </w:r>
      <w:r w:rsidR="00FA6558" w:rsidRPr="001C45D7">
        <w:t xml:space="preserve"> </w:t>
      </w:r>
      <w:r w:rsidR="005C0029" w:rsidRPr="001C45D7">
        <w:t>this</w:t>
      </w:r>
      <w:r w:rsidR="00FA6558" w:rsidRPr="001C45D7">
        <w:t xml:space="preserve"> </w:t>
      </w:r>
      <w:r w:rsidR="005C0029" w:rsidRPr="001C45D7">
        <w:t>paper</w:t>
      </w:r>
      <w:r w:rsidR="00FA6558" w:rsidRPr="001C45D7">
        <w:t xml:space="preserve"> </w:t>
      </w:r>
      <w:r w:rsidR="005C0029" w:rsidRPr="001C45D7">
        <w:t>is</w:t>
      </w:r>
      <w:r w:rsidR="00FA6558" w:rsidRPr="001C45D7">
        <w:t xml:space="preserve"> </w:t>
      </w:r>
      <w:r w:rsidR="005C0029" w:rsidRPr="001C45D7">
        <w:t>to</w:t>
      </w:r>
      <w:r w:rsidR="00FA6558" w:rsidRPr="001C45D7">
        <w:t xml:space="preserve"> </w:t>
      </w:r>
      <w:r w:rsidR="005C0029" w:rsidRPr="001C45D7">
        <w:t>initiate</w:t>
      </w:r>
      <w:r w:rsidR="00FA6558" w:rsidRPr="001C45D7">
        <w:t xml:space="preserve"> </w:t>
      </w:r>
      <w:r w:rsidR="005C0029" w:rsidRPr="001C45D7">
        <w:t>a</w:t>
      </w:r>
      <w:r w:rsidR="00FA6558" w:rsidRPr="001C45D7">
        <w:t xml:space="preserve"> </w:t>
      </w:r>
      <w:r w:rsidR="005C0029" w:rsidRPr="001C45D7">
        <w:t>discussion</w:t>
      </w:r>
      <w:r w:rsidR="00FA6558" w:rsidRPr="001C45D7">
        <w:t xml:space="preserve"> </w:t>
      </w:r>
      <w:r w:rsidR="005C0029" w:rsidRPr="001C45D7">
        <w:t>on</w:t>
      </w:r>
      <w:r w:rsidR="00FA6558" w:rsidRPr="001C45D7">
        <w:t xml:space="preserve"> </w:t>
      </w:r>
      <w:r w:rsidR="00390A9B" w:rsidRPr="001C45D7">
        <w:t xml:space="preserve">the </w:t>
      </w:r>
      <w:r w:rsidR="005C0029" w:rsidRPr="001C45D7">
        <w:t>dark</w:t>
      </w:r>
      <w:r w:rsidR="00FA6558" w:rsidRPr="001C45D7">
        <w:t xml:space="preserve"> </w:t>
      </w:r>
      <w:r w:rsidR="005C0029" w:rsidRPr="001C45D7">
        <w:t>side</w:t>
      </w:r>
      <w:r w:rsidR="00FA6558" w:rsidRPr="001C45D7">
        <w:t xml:space="preserve"> </w:t>
      </w:r>
      <w:r w:rsidR="00C62E1A" w:rsidRPr="001C45D7">
        <w:t>of</w:t>
      </w:r>
      <w:r w:rsidR="00FA6558" w:rsidRPr="001C45D7">
        <w:t xml:space="preserve"> </w:t>
      </w:r>
      <w:r w:rsidR="00781C32" w:rsidRPr="001C45D7">
        <w:t>this phenomenon</w:t>
      </w:r>
      <w:r w:rsidR="00FA6558" w:rsidRPr="001C45D7">
        <w:t xml:space="preserve"> </w:t>
      </w:r>
      <w:r w:rsidR="005C0029" w:rsidRPr="001C45D7">
        <w:t>by</w:t>
      </w:r>
      <w:r w:rsidR="00FA6558" w:rsidRPr="001C45D7">
        <w:t xml:space="preserve"> </w:t>
      </w:r>
      <w:r w:rsidR="005C0029" w:rsidRPr="001C45D7">
        <w:t>providing</w:t>
      </w:r>
      <w:r w:rsidR="00FA6558" w:rsidRPr="001C45D7">
        <w:t xml:space="preserve"> </w:t>
      </w:r>
      <w:r w:rsidR="005C0029" w:rsidRPr="001C45D7">
        <w:t>empirical</w:t>
      </w:r>
      <w:r w:rsidR="00FA6558" w:rsidRPr="001C45D7">
        <w:t xml:space="preserve"> </w:t>
      </w:r>
      <w:r w:rsidR="005C0029" w:rsidRPr="001C45D7">
        <w:t>evidence</w:t>
      </w:r>
      <w:r w:rsidR="00FA6558" w:rsidRPr="001C45D7">
        <w:t xml:space="preserve"> </w:t>
      </w:r>
      <w:r w:rsidR="005C0029" w:rsidRPr="001C45D7">
        <w:t>that</w:t>
      </w:r>
      <w:r w:rsidR="00FA6558" w:rsidRPr="001C45D7">
        <w:t xml:space="preserve"> </w:t>
      </w:r>
      <w:r w:rsidR="00D01320">
        <w:t>unbalanced</w:t>
      </w:r>
      <w:r w:rsidR="00D01320" w:rsidRPr="001C45D7">
        <w:t xml:space="preserve"> </w:t>
      </w:r>
      <w:r w:rsidR="005C0029" w:rsidRPr="001C45D7">
        <w:t>supply</w:t>
      </w:r>
      <w:r w:rsidR="00FA6558" w:rsidRPr="001C45D7">
        <w:t xml:space="preserve"> </w:t>
      </w:r>
      <w:r w:rsidR="005C0029" w:rsidRPr="001C45D7">
        <w:t>chain</w:t>
      </w:r>
      <w:r w:rsidR="00FA6558" w:rsidRPr="001C45D7">
        <w:t xml:space="preserve"> </w:t>
      </w:r>
      <w:r w:rsidR="005C0029" w:rsidRPr="001C45D7">
        <w:t>digitalisation</w:t>
      </w:r>
      <w:r w:rsidR="00FA6558" w:rsidRPr="001C45D7">
        <w:t xml:space="preserve"> </w:t>
      </w:r>
      <w:r w:rsidR="00D01320">
        <w:t xml:space="preserve">and the resulting digital capability asymmetry </w:t>
      </w:r>
      <w:r w:rsidR="005C0029" w:rsidRPr="001C45D7">
        <w:t>could</w:t>
      </w:r>
      <w:r w:rsidR="00FA6558" w:rsidRPr="001C45D7">
        <w:t xml:space="preserve"> </w:t>
      </w:r>
      <w:r w:rsidR="005C0029" w:rsidRPr="001C45D7">
        <w:t>create</w:t>
      </w:r>
      <w:r w:rsidR="00FA6558" w:rsidRPr="001C45D7">
        <w:t xml:space="preserve"> </w:t>
      </w:r>
      <w:r w:rsidR="00390A9B" w:rsidRPr="001C45D7">
        <w:t xml:space="preserve">an </w:t>
      </w:r>
      <w:r w:rsidR="005C0029" w:rsidRPr="001C45D7">
        <w:t>intended</w:t>
      </w:r>
      <w:r w:rsidR="00FA6558" w:rsidRPr="001C45D7">
        <w:t xml:space="preserve"> </w:t>
      </w:r>
      <w:r w:rsidR="005C0029" w:rsidRPr="001C45D7">
        <w:t>or</w:t>
      </w:r>
      <w:r w:rsidR="00FA6558" w:rsidRPr="001C45D7">
        <w:t xml:space="preserve"> </w:t>
      </w:r>
      <w:r w:rsidR="005C0029" w:rsidRPr="001C45D7">
        <w:t>unintended</w:t>
      </w:r>
      <w:r w:rsidR="00FA6558" w:rsidRPr="001C45D7">
        <w:t xml:space="preserve"> </w:t>
      </w:r>
      <w:r w:rsidR="005C0029" w:rsidRPr="001C45D7">
        <w:t>increase</w:t>
      </w:r>
      <w:r w:rsidR="00FA6558" w:rsidRPr="001C45D7">
        <w:t xml:space="preserve"> </w:t>
      </w:r>
      <w:r w:rsidR="00EB3E55" w:rsidRPr="001C45D7">
        <w:t xml:space="preserve">in the </w:t>
      </w:r>
      <w:r w:rsidR="005C0029" w:rsidRPr="001C45D7">
        <w:t>opportunism</w:t>
      </w:r>
      <w:r w:rsidR="00FA6558" w:rsidRPr="001C45D7">
        <w:t xml:space="preserve"> </w:t>
      </w:r>
      <w:r w:rsidR="005C0029" w:rsidRPr="001C45D7">
        <w:t>of</w:t>
      </w:r>
      <w:r w:rsidR="00FA6558" w:rsidRPr="001C45D7">
        <w:t xml:space="preserve"> </w:t>
      </w:r>
      <w:r w:rsidR="005C0029" w:rsidRPr="001C45D7">
        <w:t>more</w:t>
      </w:r>
      <w:r w:rsidR="00FA6558" w:rsidRPr="001C45D7">
        <w:t xml:space="preserve"> </w:t>
      </w:r>
      <w:r w:rsidR="005C0029" w:rsidRPr="001C45D7">
        <w:t>powerful</w:t>
      </w:r>
      <w:r w:rsidR="00FA6558" w:rsidRPr="001C45D7">
        <w:t xml:space="preserve"> </w:t>
      </w:r>
      <w:r w:rsidR="005C0029" w:rsidRPr="001C45D7">
        <w:t>buyers.</w:t>
      </w:r>
      <w:r w:rsidR="00FA6558" w:rsidRPr="001C45D7">
        <w:t xml:space="preserve"> </w:t>
      </w:r>
      <w:r w:rsidR="004B1CF6" w:rsidRPr="001C45D7">
        <w:t>In</w:t>
      </w:r>
      <w:r w:rsidR="00FA6558" w:rsidRPr="001C45D7">
        <w:t xml:space="preserve"> </w:t>
      </w:r>
      <w:r w:rsidR="004B1CF6" w:rsidRPr="001C45D7">
        <w:t>addition,</w:t>
      </w:r>
      <w:r w:rsidR="00FA6558" w:rsidRPr="001C45D7">
        <w:t xml:space="preserve"> </w:t>
      </w:r>
      <w:r w:rsidR="004B1CF6" w:rsidRPr="001C45D7">
        <w:t>this</w:t>
      </w:r>
      <w:r w:rsidR="00FA6558" w:rsidRPr="001C45D7">
        <w:t xml:space="preserve"> </w:t>
      </w:r>
      <w:r w:rsidR="004B1CF6" w:rsidRPr="001C45D7">
        <w:t>paper</w:t>
      </w:r>
      <w:r w:rsidR="00FA6558" w:rsidRPr="001C45D7">
        <w:t xml:space="preserve"> </w:t>
      </w:r>
      <w:r w:rsidR="004B1CF6" w:rsidRPr="001C45D7">
        <w:t>shed</w:t>
      </w:r>
      <w:r w:rsidR="00C62E1A" w:rsidRPr="001C45D7">
        <w:t>s</w:t>
      </w:r>
      <w:r w:rsidR="00FA6558" w:rsidRPr="001C45D7">
        <w:t xml:space="preserve"> </w:t>
      </w:r>
      <w:r w:rsidR="004B1CF6" w:rsidRPr="001C45D7">
        <w:t>light</w:t>
      </w:r>
      <w:r w:rsidR="00FA6558" w:rsidRPr="001C45D7">
        <w:t xml:space="preserve"> </w:t>
      </w:r>
      <w:r w:rsidR="004B1CF6" w:rsidRPr="001C45D7">
        <w:t>on</w:t>
      </w:r>
      <w:r w:rsidR="00FA6558" w:rsidRPr="001C45D7">
        <w:t xml:space="preserve"> </w:t>
      </w:r>
      <w:r w:rsidR="004B1CF6" w:rsidRPr="001C45D7">
        <w:t>the</w:t>
      </w:r>
      <w:r w:rsidR="00FA6558" w:rsidRPr="001C45D7">
        <w:t xml:space="preserve"> </w:t>
      </w:r>
      <w:r w:rsidR="004B1CF6" w:rsidRPr="001C45D7">
        <w:t>mechanism</w:t>
      </w:r>
      <w:r w:rsidR="00FA6558" w:rsidRPr="001C45D7">
        <w:t xml:space="preserve"> </w:t>
      </w:r>
      <w:r w:rsidR="004B1CF6" w:rsidRPr="001C45D7">
        <w:t>of</w:t>
      </w:r>
      <w:r w:rsidR="00FA6558" w:rsidRPr="001C45D7">
        <w:t xml:space="preserve"> </w:t>
      </w:r>
      <w:r w:rsidR="0089541C" w:rsidRPr="001C45D7">
        <w:t>increased</w:t>
      </w:r>
      <w:r w:rsidR="00FA6558" w:rsidRPr="001C45D7">
        <w:t xml:space="preserve"> </w:t>
      </w:r>
      <w:r w:rsidR="0089541C" w:rsidRPr="001C45D7">
        <w:t>buyer</w:t>
      </w:r>
      <w:r w:rsidR="00FA6558" w:rsidRPr="001C45D7">
        <w:t xml:space="preserve"> </w:t>
      </w:r>
      <w:r w:rsidR="0089541C" w:rsidRPr="001C45D7">
        <w:t>opportunism</w:t>
      </w:r>
      <w:r w:rsidR="00FA6558" w:rsidRPr="001C45D7">
        <w:t xml:space="preserve"> </w:t>
      </w:r>
      <w:r w:rsidR="004B1CF6" w:rsidRPr="001C45D7">
        <w:t>from</w:t>
      </w:r>
      <w:r w:rsidR="00FA6558" w:rsidRPr="001C45D7">
        <w:t xml:space="preserve"> </w:t>
      </w:r>
      <w:r w:rsidR="004B1CF6" w:rsidRPr="001C45D7">
        <w:t>the</w:t>
      </w:r>
      <w:r w:rsidR="00FA6558" w:rsidRPr="001C45D7">
        <w:t xml:space="preserve"> </w:t>
      </w:r>
      <w:r w:rsidR="004B1CF6" w:rsidRPr="001C45D7">
        <w:t>resource</w:t>
      </w:r>
      <w:r w:rsidR="00FA6558" w:rsidRPr="001C45D7">
        <w:t xml:space="preserve"> </w:t>
      </w:r>
      <w:r w:rsidR="004B1CF6" w:rsidRPr="001C45D7">
        <w:t>dependence</w:t>
      </w:r>
      <w:r w:rsidR="00FA6558" w:rsidRPr="001C45D7">
        <w:t xml:space="preserve"> </w:t>
      </w:r>
      <w:r w:rsidR="004B1CF6" w:rsidRPr="001C45D7">
        <w:t>theory</w:t>
      </w:r>
      <w:r w:rsidR="00FA6558" w:rsidRPr="001C45D7">
        <w:t xml:space="preserve"> </w:t>
      </w:r>
      <w:r w:rsidR="004B1CF6" w:rsidRPr="001C45D7">
        <w:t>perspective.</w:t>
      </w:r>
      <w:r w:rsidR="00FA6558" w:rsidRPr="001C45D7">
        <w:t xml:space="preserve"> </w:t>
      </w:r>
    </w:p>
    <w:p w14:paraId="73CB02E5" w14:textId="5CC8EADA" w:rsidR="003A0448" w:rsidRPr="001C45D7" w:rsidRDefault="00C34124" w:rsidP="00566B02">
      <w:pPr>
        <w:pStyle w:val="BodyText"/>
      </w:pPr>
      <w:r>
        <w:t>Unless</w:t>
      </w:r>
      <w:r w:rsidRPr="001C45D7">
        <w:t xml:space="preserve"> </w:t>
      </w:r>
      <w:r w:rsidR="00275516" w:rsidRPr="001C45D7">
        <w:t>SME</w:t>
      </w:r>
      <w:r w:rsidR="00FA6558" w:rsidRPr="001C45D7">
        <w:t xml:space="preserve"> </w:t>
      </w:r>
      <w:r w:rsidR="0013051A" w:rsidRPr="001C45D7">
        <w:t>suppliers</w:t>
      </w:r>
      <w:r w:rsidR="00FA6558" w:rsidRPr="001C45D7">
        <w:t xml:space="preserve"> </w:t>
      </w:r>
      <w:r>
        <w:t xml:space="preserve">attempt to </w:t>
      </w:r>
      <w:r w:rsidR="000722E9" w:rsidRPr="001C45D7">
        <w:t>reduce</w:t>
      </w:r>
      <w:r w:rsidR="00FA6558" w:rsidRPr="001C45D7">
        <w:t xml:space="preserve"> </w:t>
      </w:r>
      <w:r w:rsidR="005D6FCA" w:rsidRPr="001C45D7">
        <w:t>the</w:t>
      </w:r>
      <w:r w:rsidR="00FA6558" w:rsidRPr="001C45D7">
        <w:t xml:space="preserve"> </w:t>
      </w:r>
      <w:r w:rsidR="000722E9" w:rsidRPr="001C45D7">
        <w:t>dependence</w:t>
      </w:r>
      <w:r w:rsidR="00FA6558" w:rsidRPr="001C45D7">
        <w:t xml:space="preserve"> </w:t>
      </w:r>
      <w:r w:rsidR="000722E9" w:rsidRPr="001C45D7">
        <w:t>gap</w:t>
      </w:r>
      <w:r w:rsidR="00FA6558" w:rsidRPr="001C45D7">
        <w:t xml:space="preserve"> </w:t>
      </w:r>
      <w:r w:rsidR="000722E9" w:rsidRPr="001C45D7">
        <w:t>by</w:t>
      </w:r>
      <w:r w:rsidR="00FA6558" w:rsidRPr="001C45D7">
        <w:t xml:space="preserve"> </w:t>
      </w:r>
      <w:r w:rsidR="000722E9" w:rsidRPr="001C45D7">
        <w:t>accelerating</w:t>
      </w:r>
      <w:r w:rsidR="00FA6558" w:rsidRPr="001C45D7">
        <w:t xml:space="preserve"> </w:t>
      </w:r>
      <w:r w:rsidR="000722E9" w:rsidRPr="001C45D7">
        <w:t>their</w:t>
      </w:r>
      <w:r w:rsidR="00FA6558" w:rsidRPr="001C45D7">
        <w:t xml:space="preserve"> </w:t>
      </w:r>
      <w:r w:rsidR="000722E9" w:rsidRPr="001C45D7">
        <w:t>own</w:t>
      </w:r>
      <w:r w:rsidR="00FA6558" w:rsidRPr="001C45D7">
        <w:t xml:space="preserve"> </w:t>
      </w:r>
      <w:r w:rsidR="000722E9" w:rsidRPr="001C45D7">
        <w:t>supply</w:t>
      </w:r>
      <w:r w:rsidR="00FA6558" w:rsidRPr="001C45D7">
        <w:t xml:space="preserve"> </w:t>
      </w:r>
      <w:r w:rsidR="000722E9" w:rsidRPr="001C45D7">
        <w:t>chain</w:t>
      </w:r>
      <w:r w:rsidR="00FA6558" w:rsidRPr="001C45D7">
        <w:t xml:space="preserve"> </w:t>
      </w:r>
      <w:r w:rsidR="000722E9" w:rsidRPr="001C45D7">
        <w:t>digitalisation</w:t>
      </w:r>
      <w:r w:rsidR="00FA6558" w:rsidRPr="001C45D7">
        <w:t xml:space="preserve"> </w:t>
      </w:r>
      <w:r w:rsidR="000722E9" w:rsidRPr="001C45D7">
        <w:t>efforts</w:t>
      </w:r>
      <w:r w:rsidR="0044031D" w:rsidRPr="001C45D7">
        <w:t>,</w:t>
      </w:r>
      <w:r w:rsidR="00FA6558" w:rsidRPr="001C45D7">
        <w:t xml:space="preserve"> </w:t>
      </w:r>
      <w:r w:rsidR="00887919">
        <w:t xml:space="preserve">which would be difficult </w:t>
      </w:r>
      <w:r w:rsidR="000722E9" w:rsidRPr="001C45D7">
        <w:t>due</w:t>
      </w:r>
      <w:r w:rsidR="00FA6558" w:rsidRPr="001C45D7">
        <w:t xml:space="preserve"> </w:t>
      </w:r>
      <w:r w:rsidR="000722E9" w:rsidRPr="001C45D7">
        <w:t>to</w:t>
      </w:r>
      <w:r w:rsidR="00FA6558" w:rsidRPr="001C45D7">
        <w:t xml:space="preserve"> </w:t>
      </w:r>
      <w:r w:rsidR="003347EF" w:rsidRPr="001C45D7">
        <w:t xml:space="preserve">their </w:t>
      </w:r>
      <w:r w:rsidR="00BD0BA2" w:rsidRPr="001C45D7">
        <w:t>low</w:t>
      </w:r>
      <w:r w:rsidR="00FA6558" w:rsidRPr="001C45D7">
        <w:t xml:space="preserve"> </w:t>
      </w:r>
      <w:r w:rsidR="000722E9" w:rsidRPr="001C45D7">
        <w:t>resource</w:t>
      </w:r>
      <w:r w:rsidR="00FA6558" w:rsidRPr="001C45D7">
        <w:t xml:space="preserve"> </w:t>
      </w:r>
      <w:r w:rsidR="000722E9" w:rsidRPr="001C45D7">
        <w:t>and</w:t>
      </w:r>
      <w:r w:rsidR="00FA6558" w:rsidRPr="001C45D7">
        <w:t xml:space="preserve"> </w:t>
      </w:r>
      <w:r w:rsidR="000722E9" w:rsidRPr="001C45D7">
        <w:t>competence</w:t>
      </w:r>
      <w:r w:rsidR="00FA6558" w:rsidRPr="001C45D7">
        <w:t xml:space="preserve"> </w:t>
      </w:r>
      <w:r w:rsidR="000722E9" w:rsidRPr="001C45D7">
        <w:t>endowment</w:t>
      </w:r>
      <w:r w:rsidR="00FA6558" w:rsidRPr="001C45D7">
        <w:t xml:space="preserve"> </w:t>
      </w:r>
      <w:r w:rsidR="000722E9" w:rsidRPr="001C45D7">
        <w:fldChar w:fldCharType="begin" w:fldLock="1"/>
      </w:r>
      <w:r w:rsidR="004A2B48" w:rsidRPr="001C45D7">
        <w:instrText>ADDIN CSL_CITATION {"citationItems":[{"id":"ITEM-1","itemData":{"DOI":"10.1007/978-3-030-25425-4_1","ISBN":"9783030254254","abstract":"Industry 4.0 can be the starting point for implementation projects as a low-risk entry into an adapted digitization strategy. In larger companies, comprehensive digitization initiatives are already integrated into the central corporate strategy, while smaller companies often have problems putting the Industry 4.0 paradigms into practice. As the backbone of the economy, small-and medium-sized enterprises (SMEs) have an enormous leverage effect, which is why it is crucial to develop specific concepts for smaller companies. Regardless of the size of a company, a digital transformation strategy offers opportunities for growth and sustainable competitiveness. This chapter will give an introductory overview of Industry 4.0 as the fourth industrial revolution and discuss the role of SMEs in this transition towards the digital transformation.","author":[{"dropping-particle":"","family":"Matt","given":"Dominik T.","non-dropping-particle":"","parse-names":false,"suffix":""},{"dropping-particle":"","family":"Rauch","given":"Erwin","non-dropping-particle":"","parse-names":false,"suffix":""}],"container-title":"Industry 4.0 for SMEs: Challenges, Opportunities and Requirements","id":"ITEM-1","issued":{"date-parts":[["2020","1","1"]]},"page":"3-36","publisher":"Palgrave Macmillan","title":"SME 4.0: The role of small-and medium-sized enterprises in the digital transformation","type":"chapter"},"uris":["http://www.mendeley.com/documents/?uuid=1853048d-2c84-3ecb-a7ae-898aae1bb271"]},{"id":"ITEM-2","itemData":{"DOI":"10.1080/00472778.2020.1780728","ISSN":"1540627X","abstract":"This research, grounded on the organizational information processing theory, studies whether the digital enabling technologies of Industry 4.0 (I4.0) impact innovation in small and medium enterprises (SMEs), and what role innovation strategies play in promoting I4.0 in SMEs. We consider two types of enablers, information and communication digital enabling technologies (IDETs) and advanced robotics and integration digital enabling technologies (ADETs), according to their nature, to demonstrate that different I4.0 enabling technologies play different roles in SME innovations. Results from 109 SMEs show that strategic planning fosters I4.0, and innovation is promoted more intensively by IDETs than by ADETs, with both technologies exerting mediating effects in the relationship between strategy and innovation. Finally, innovation has positive effects on performance.","author":[{"dropping-particle":"","family":"Somohano-Rodríguez","given":"Francisco M.","non-dropping-particle":"","parse-names":false,"suffix":""},{"dropping-particle":"","family":"Madrid-Guijarro","given":"Antonia","non-dropping-particle":"","parse-names":false,"suffix":""},{"dropping-particle":"","family":"López-Fernández","given":"José Manuel","non-dropping-particle":"","parse-names":false,"suffix":""}],"container-title":"Journal of Small Business Management","id":"ITEM-2","issued":{"date-parts":[["2020"]]},"publisher":"Taylor and Francis Ltd.","title":"Does Industry 4.0 really matter for SME innovation?","type":"article-journal"},"uris":["http://www.mendeley.com/documents/?uuid=a767bd9e-bec8-3cd9-81ef-46269c4327f4"]}],"mendeley":{"formattedCitation":"(Matt and Rauch, 2020; Somohano-Rodríguez &lt;i&gt;et al.&lt;/i&gt;, 2020)","manualFormatting":"(Matt and Rauch, 2020; Somohano-Rodríguez et al., 2020)","plainTextFormattedCitation":"(Matt and Rauch, 2020; Somohano-Rodríguez et al., 2020)","previouslyFormattedCitation":"(Matt and Rauch, 2020; Somohano-Rodríguez &lt;i&gt;et al.&lt;/i&gt;, 2020)"},"properties":{"noteIndex":0},"schema":"https://github.com/citation-style-language/schema/raw/master/csl-citation.json"}</w:instrText>
      </w:r>
      <w:r w:rsidR="000722E9" w:rsidRPr="001C45D7">
        <w:fldChar w:fldCharType="separate"/>
      </w:r>
      <w:r w:rsidR="00881C19" w:rsidRPr="001C45D7">
        <w:rPr>
          <w:noProof/>
        </w:rPr>
        <w:t>(Matt</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Rauch,</w:t>
      </w:r>
      <w:r w:rsidR="00FA6558" w:rsidRPr="001C45D7">
        <w:rPr>
          <w:noProof/>
        </w:rPr>
        <w:t xml:space="preserve"> </w:t>
      </w:r>
      <w:r w:rsidR="00881C19" w:rsidRPr="001C45D7">
        <w:rPr>
          <w:noProof/>
        </w:rPr>
        <w:t>2020;</w:t>
      </w:r>
      <w:r w:rsidR="00FA6558" w:rsidRPr="001C45D7">
        <w:rPr>
          <w:noProof/>
        </w:rPr>
        <w:t xml:space="preserve"> </w:t>
      </w:r>
      <w:r w:rsidR="00881C19" w:rsidRPr="001C45D7">
        <w:rPr>
          <w:noProof/>
        </w:rPr>
        <w:t>Somohano-Rodríguez</w:t>
      </w:r>
      <w:r w:rsidR="00390A9B" w:rsidRPr="001C45D7">
        <w:rPr>
          <w:noProof/>
        </w:rPr>
        <w:t xml:space="preserve"> </w:t>
      </w:r>
      <w:r w:rsidR="00390A9B" w:rsidRPr="001C45D7">
        <w:rPr>
          <w:i/>
          <w:noProof/>
        </w:rPr>
        <w:t>et al</w:t>
      </w:r>
      <w:r w:rsidR="00390A9B" w:rsidRPr="001C45D7">
        <w:rPr>
          <w:noProof/>
        </w:rPr>
        <w:t>.</w:t>
      </w:r>
      <w:r w:rsidR="00881C19" w:rsidRPr="001C45D7">
        <w:rPr>
          <w:noProof/>
        </w:rPr>
        <w:t>,</w:t>
      </w:r>
      <w:r w:rsidR="00FA6558" w:rsidRPr="001C45D7">
        <w:rPr>
          <w:noProof/>
        </w:rPr>
        <w:t xml:space="preserve"> </w:t>
      </w:r>
      <w:r w:rsidR="00881C19" w:rsidRPr="001C45D7">
        <w:rPr>
          <w:noProof/>
        </w:rPr>
        <w:t>2020)</w:t>
      </w:r>
      <w:r w:rsidR="000722E9" w:rsidRPr="001C45D7">
        <w:fldChar w:fldCharType="end"/>
      </w:r>
      <w:r w:rsidR="00887919">
        <w:t>,</w:t>
      </w:r>
      <w:r w:rsidR="00FA6558" w:rsidRPr="001C45D7">
        <w:t xml:space="preserve"> </w:t>
      </w:r>
      <w:r w:rsidR="00F64AD5" w:rsidRPr="001C45D7">
        <w:t>this</w:t>
      </w:r>
      <w:r w:rsidR="00FA6558" w:rsidRPr="001C45D7">
        <w:t xml:space="preserve"> </w:t>
      </w:r>
      <w:r w:rsidR="00F64AD5" w:rsidRPr="001C45D7">
        <w:t>gap</w:t>
      </w:r>
      <w:r w:rsidR="00FA6558" w:rsidRPr="001C45D7">
        <w:t xml:space="preserve"> </w:t>
      </w:r>
      <w:r w:rsidR="006C729F" w:rsidRPr="001C45D7">
        <w:t xml:space="preserve">will </w:t>
      </w:r>
      <w:r w:rsidR="00887919" w:rsidRPr="001C45D7">
        <w:t xml:space="preserve">most likely </w:t>
      </w:r>
      <w:r w:rsidR="00F64AD5" w:rsidRPr="001C45D7">
        <w:t>widen</w:t>
      </w:r>
      <w:r w:rsidR="00FA6558" w:rsidRPr="001C45D7">
        <w:t xml:space="preserve"> </w:t>
      </w:r>
      <w:r w:rsidR="00F64AD5" w:rsidRPr="001C45D7">
        <w:t>in</w:t>
      </w:r>
      <w:r w:rsidR="00FA6558" w:rsidRPr="001C45D7">
        <w:t xml:space="preserve"> </w:t>
      </w:r>
      <w:r w:rsidR="00F64AD5" w:rsidRPr="001C45D7">
        <w:t>the</w:t>
      </w:r>
      <w:r w:rsidR="00FA6558" w:rsidRPr="001C45D7">
        <w:t xml:space="preserve"> </w:t>
      </w:r>
      <w:r w:rsidR="00F64AD5" w:rsidRPr="001C45D7">
        <w:t>future.</w:t>
      </w:r>
      <w:r w:rsidR="00FA6558" w:rsidRPr="001C45D7">
        <w:t xml:space="preserve"> </w:t>
      </w:r>
      <w:r w:rsidR="000722E9" w:rsidRPr="001C45D7">
        <w:t>For</w:t>
      </w:r>
      <w:r w:rsidR="00FA6558" w:rsidRPr="001C45D7">
        <w:t xml:space="preserve"> </w:t>
      </w:r>
      <w:r w:rsidR="000722E9" w:rsidRPr="001C45D7">
        <w:t>this</w:t>
      </w:r>
      <w:r w:rsidR="00FA6558" w:rsidRPr="001C45D7">
        <w:t xml:space="preserve"> </w:t>
      </w:r>
      <w:r w:rsidR="000722E9" w:rsidRPr="001C45D7">
        <w:t>reason,</w:t>
      </w:r>
      <w:r w:rsidR="00FA6558" w:rsidRPr="001C45D7">
        <w:t xml:space="preserve"> </w:t>
      </w:r>
      <w:r w:rsidR="000722E9" w:rsidRPr="001C45D7">
        <w:t>this</w:t>
      </w:r>
      <w:r w:rsidR="00FA6558" w:rsidRPr="001C45D7">
        <w:t xml:space="preserve"> </w:t>
      </w:r>
      <w:r w:rsidR="000722E9" w:rsidRPr="001C45D7">
        <w:t>paper</w:t>
      </w:r>
      <w:r w:rsidR="00FA6558" w:rsidRPr="001C45D7">
        <w:t xml:space="preserve"> </w:t>
      </w:r>
      <w:r w:rsidR="0013051A" w:rsidRPr="001C45D7">
        <w:t>investigated</w:t>
      </w:r>
      <w:r w:rsidR="00FA6558" w:rsidRPr="001C45D7">
        <w:t xml:space="preserve"> </w:t>
      </w:r>
      <w:r w:rsidR="006861BE" w:rsidRPr="001C45D7">
        <w:t xml:space="preserve">whether </w:t>
      </w:r>
      <w:r w:rsidR="0013051A" w:rsidRPr="001C45D7">
        <w:t>the</w:t>
      </w:r>
      <w:r w:rsidR="00FA6558" w:rsidRPr="001C45D7">
        <w:t xml:space="preserve"> </w:t>
      </w:r>
      <w:r w:rsidR="0013051A" w:rsidRPr="001C45D7">
        <w:t>existing</w:t>
      </w:r>
      <w:r w:rsidR="00FA6558" w:rsidRPr="001C45D7">
        <w:t xml:space="preserve"> </w:t>
      </w:r>
      <w:r w:rsidR="0013051A" w:rsidRPr="001C45D7">
        <w:t>opportunism</w:t>
      </w:r>
      <w:r w:rsidR="00FA6558" w:rsidRPr="001C45D7">
        <w:t xml:space="preserve"> </w:t>
      </w:r>
      <w:r w:rsidR="00487448" w:rsidRPr="001C45D7">
        <w:t>mitigation</w:t>
      </w:r>
      <w:r w:rsidR="00FA6558" w:rsidRPr="001C45D7">
        <w:t xml:space="preserve"> </w:t>
      </w:r>
      <w:r w:rsidR="0013051A" w:rsidRPr="001C45D7">
        <w:t>mechanism</w:t>
      </w:r>
      <w:r w:rsidR="00FA6558" w:rsidRPr="001C45D7">
        <w:t xml:space="preserve"> </w:t>
      </w:r>
      <w:r w:rsidR="005A5C54" w:rsidRPr="001C45D7">
        <w:t>is</w:t>
      </w:r>
      <w:r w:rsidR="00FA6558" w:rsidRPr="001C45D7">
        <w:t xml:space="preserve"> </w:t>
      </w:r>
      <w:r w:rsidR="0013051A" w:rsidRPr="001C45D7">
        <w:t>sufficient</w:t>
      </w:r>
      <w:r w:rsidR="00FA6558" w:rsidRPr="001C45D7">
        <w:t xml:space="preserve"> </w:t>
      </w:r>
      <w:r w:rsidR="0013051A" w:rsidRPr="001C45D7">
        <w:t>in</w:t>
      </w:r>
      <w:r w:rsidR="00FA6558" w:rsidRPr="001C45D7">
        <w:t xml:space="preserve"> </w:t>
      </w:r>
      <w:r w:rsidR="0013051A" w:rsidRPr="001C45D7">
        <w:t>providing</w:t>
      </w:r>
      <w:r w:rsidR="00FA6558" w:rsidRPr="001C45D7">
        <w:t xml:space="preserve"> </w:t>
      </w:r>
      <w:r w:rsidR="0013051A" w:rsidRPr="001C45D7">
        <w:t>SME</w:t>
      </w:r>
      <w:r w:rsidR="00FA6558" w:rsidRPr="001C45D7">
        <w:t xml:space="preserve"> </w:t>
      </w:r>
      <w:r w:rsidR="0013051A" w:rsidRPr="001C45D7">
        <w:t>suppliers</w:t>
      </w:r>
      <w:r w:rsidR="00FA6558" w:rsidRPr="001C45D7">
        <w:t xml:space="preserve"> </w:t>
      </w:r>
      <w:r w:rsidR="0013051A" w:rsidRPr="001C45D7">
        <w:t>with</w:t>
      </w:r>
      <w:r w:rsidR="00FA6558" w:rsidRPr="001C45D7">
        <w:t xml:space="preserve"> </w:t>
      </w:r>
      <w:r w:rsidR="0013051A" w:rsidRPr="001C45D7">
        <w:t>protection.</w:t>
      </w:r>
      <w:r w:rsidR="00FA6558" w:rsidRPr="001C45D7">
        <w:t xml:space="preserve"> </w:t>
      </w:r>
      <w:r w:rsidR="00390A9B" w:rsidRPr="001C45D7">
        <w:t xml:space="preserve">However, our </w:t>
      </w:r>
      <w:r w:rsidR="00487448" w:rsidRPr="001C45D7">
        <w:t>results</w:t>
      </w:r>
      <w:r w:rsidR="00FA6558" w:rsidRPr="001C45D7">
        <w:t xml:space="preserve"> </w:t>
      </w:r>
      <w:r w:rsidR="00487448" w:rsidRPr="001C45D7">
        <w:t>suggested</w:t>
      </w:r>
      <w:r w:rsidR="00FA6558" w:rsidRPr="001C45D7">
        <w:t xml:space="preserve"> </w:t>
      </w:r>
      <w:r w:rsidR="00487448" w:rsidRPr="001C45D7">
        <w:t>that</w:t>
      </w:r>
      <w:r w:rsidR="00FA6558" w:rsidRPr="001C45D7">
        <w:t xml:space="preserve"> </w:t>
      </w:r>
      <w:r w:rsidR="00487448" w:rsidRPr="001C45D7">
        <w:t>contractual</w:t>
      </w:r>
      <w:r w:rsidR="00FA6558" w:rsidRPr="001C45D7">
        <w:t xml:space="preserve"> </w:t>
      </w:r>
      <w:r w:rsidR="00487448" w:rsidRPr="001C45D7">
        <w:t>governance</w:t>
      </w:r>
      <w:r w:rsidR="00390A9B" w:rsidRPr="001C45D7">
        <w:t xml:space="preserve"> </w:t>
      </w:r>
      <w:r w:rsidR="00487448" w:rsidRPr="001C45D7">
        <w:t>was</w:t>
      </w:r>
      <w:r w:rsidR="00FA6558" w:rsidRPr="001C45D7">
        <w:t xml:space="preserve"> </w:t>
      </w:r>
      <w:r w:rsidR="00487448" w:rsidRPr="001C45D7">
        <w:t>not</w:t>
      </w:r>
      <w:r w:rsidR="00FA6558" w:rsidRPr="001C45D7">
        <w:t xml:space="preserve"> </w:t>
      </w:r>
      <w:r w:rsidR="00487448" w:rsidRPr="001C45D7">
        <w:t>significantly</w:t>
      </w:r>
      <w:r w:rsidR="00FA6558" w:rsidRPr="001C45D7">
        <w:t xml:space="preserve"> </w:t>
      </w:r>
      <w:r w:rsidR="00487448" w:rsidRPr="001C45D7">
        <w:t>related</w:t>
      </w:r>
      <w:r w:rsidR="00FA6558" w:rsidRPr="001C45D7">
        <w:t xml:space="preserve"> </w:t>
      </w:r>
      <w:r w:rsidR="00487448" w:rsidRPr="001C45D7">
        <w:t>to</w:t>
      </w:r>
      <w:r w:rsidR="00FA6558" w:rsidRPr="001C45D7">
        <w:t xml:space="preserve"> </w:t>
      </w:r>
      <w:r w:rsidR="00487448" w:rsidRPr="001C45D7">
        <w:t>the</w:t>
      </w:r>
      <w:r w:rsidR="00FA6558" w:rsidRPr="001C45D7">
        <w:t xml:space="preserve"> </w:t>
      </w:r>
      <w:r w:rsidR="00487448" w:rsidRPr="001C45D7">
        <w:t>level</w:t>
      </w:r>
      <w:r w:rsidR="00FA6558" w:rsidRPr="001C45D7">
        <w:t xml:space="preserve"> </w:t>
      </w:r>
      <w:r w:rsidR="00487448" w:rsidRPr="001C45D7">
        <w:t>of</w:t>
      </w:r>
      <w:r w:rsidR="00FA6558" w:rsidRPr="001C45D7">
        <w:t xml:space="preserve"> </w:t>
      </w:r>
      <w:r w:rsidR="00487448" w:rsidRPr="001C45D7">
        <w:t>buyer</w:t>
      </w:r>
      <w:r w:rsidR="00FA6558" w:rsidRPr="001C45D7">
        <w:t xml:space="preserve"> </w:t>
      </w:r>
      <w:r w:rsidR="00487448" w:rsidRPr="001C45D7">
        <w:t>opportunism.</w:t>
      </w:r>
      <w:r w:rsidR="00FA6558" w:rsidRPr="001C45D7">
        <w:t xml:space="preserve"> </w:t>
      </w:r>
      <w:r w:rsidR="003A0448" w:rsidRPr="001C45D7">
        <w:t>On</w:t>
      </w:r>
      <w:r w:rsidR="00FA6558" w:rsidRPr="001C45D7">
        <w:t xml:space="preserve"> </w:t>
      </w:r>
      <w:r w:rsidR="003A0448" w:rsidRPr="001C45D7">
        <w:t>the</w:t>
      </w:r>
      <w:r w:rsidR="00FA6558" w:rsidRPr="001C45D7">
        <w:t xml:space="preserve"> </w:t>
      </w:r>
      <w:r w:rsidR="003A0448" w:rsidRPr="001C45D7">
        <w:t>other</w:t>
      </w:r>
      <w:r w:rsidR="00FA6558" w:rsidRPr="001C45D7">
        <w:t xml:space="preserve"> </w:t>
      </w:r>
      <w:r w:rsidR="003A0448" w:rsidRPr="001C45D7">
        <w:t>hand,</w:t>
      </w:r>
      <w:r w:rsidR="00FA6558" w:rsidRPr="001C45D7">
        <w:t xml:space="preserve"> </w:t>
      </w:r>
      <w:r w:rsidR="003A0448" w:rsidRPr="001C45D7">
        <w:t>our</w:t>
      </w:r>
      <w:r w:rsidR="00FA6558" w:rsidRPr="001C45D7">
        <w:t xml:space="preserve"> </w:t>
      </w:r>
      <w:r w:rsidR="003A0448" w:rsidRPr="001C45D7">
        <w:t>results</w:t>
      </w:r>
      <w:r w:rsidR="00FA6558" w:rsidRPr="001C45D7">
        <w:t xml:space="preserve"> </w:t>
      </w:r>
      <w:r w:rsidR="003A0448" w:rsidRPr="001C45D7">
        <w:t>supported</w:t>
      </w:r>
      <w:r w:rsidR="00FA6558" w:rsidRPr="001C45D7">
        <w:t xml:space="preserve"> </w:t>
      </w:r>
      <w:r w:rsidR="003A0448" w:rsidRPr="001C45D7">
        <w:t>the</w:t>
      </w:r>
      <w:r w:rsidR="00FA6558" w:rsidRPr="001C45D7">
        <w:t xml:space="preserve"> </w:t>
      </w:r>
      <w:r w:rsidR="003A0448" w:rsidRPr="001C45D7">
        <w:t>hypothesis</w:t>
      </w:r>
      <w:r w:rsidR="00FA6558" w:rsidRPr="001C45D7">
        <w:t xml:space="preserve"> </w:t>
      </w:r>
      <w:r w:rsidR="00DE100D" w:rsidRPr="001C45D7">
        <w:rPr>
          <w:rFonts w:eastAsia="Malgun Gothic"/>
          <w:lang w:eastAsia="ko-KR"/>
        </w:rPr>
        <w:t>of</w:t>
      </w:r>
      <w:r w:rsidR="00DE100D" w:rsidRPr="001C45D7">
        <w:rPr>
          <w:rFonts w:ascii="Malgun Gothic" w:eastAsia="Malgun Gothic" w:hAnsi="Malgun Gothic" w:cs="Malgun Gothic" w:hint="eastAsia"/>
          <w:lang w:eastAsia="ko-KR"/>
        </w:rPr>
        <w:t xml:space="preserve"> </w:t>
      </w:r>
      <w:r w:rsidR="003A0448" w:rsidRPr="001C45D7">
        <w:t>a</w:t>
      </w:r>
      <w:r w:rsidR="00FA6558" w:rsidRPr="001C45D7">
        <w:t xml:space="preserve"> </w:t>
      </w:r>
      <w:r w:rsidR="00C62E1A" w:rsidRPr="001C45D7">
        <w:t>negative</w:t>
      </w:r>
      <w:r w:rsidR="00FA6558" w:rsidRPr="001C45D7">
        <w:rPr>
          <w:color w:val="FF0000"/>
        </w:rPr>
        <w:t xml:space="preserve"> </w:t>
      </w:r>
      <w:r w:rsidR="003A0448" w:rsidRPr="001C45D7">
        <w:t>relationship</w:t>
      </w:r>
      <w:r w:rsidR="00FA6558" w:rsidRPr="001C45D7">
        <w:t xml:space="preserve"> </w:t>
      </w:r>
      <w:r w:rsidR="003A0448" w:rsidRPr="001C45D7">
        <w:t>between</w:t>
      </w:r>
      <w:r w:rsidR="00FA6558" w:rsidRPr="001C45D7">
        <w:t xml:space="preserve"> </w:t>
      </w:r>
      <w:r w:rsidR="003A0448" w:rsidRPr="001C45D7">
        <w:t>the</w:t>
      </w:r>
      <w:r w:rsidR="00FA6558" w:rsidRPr="001C45D7">
        <w:t xml:space="preserve"> </w:t>
      </w:r>
      <w:r w:rsidR="003A0448" w:rsidRPr="001C45D7">
        <w:t>extent</w:t>
      </w:r>
      <w:r w:rsidR="00FA6558" w:rsidRPr="001C45D7">
        <w:t xml:space="preserve"> </w:t>
      </w:r>
      <w:r w:rsidR="003A0448" w:rsidRPr="001C45D7">
        <w:t>of</w:t>
      </w:r>
      <w:r w:rsidR="00FA6558" w:rsidRPr="001C45D7">
        <w:t xml:space="preserve"> </w:t>
      </w:r>
      <w:r w:rsidR="003A0448" w:rsidRPr="001C45D7">
        <w:t>relational</w:t>
      </w:r>
      <w:r w:rsidR="00FA6558" w:rsidRPr="001C45D7">
        <w:t xml:space="preserve"> </w:t>
      </w:r>
      <w:r w:rsidR="003A0448" w:rsidRPr="001C45D7">
        <w:t>governance</w:t>
      </w:r>
      <w:r w:rsidR="00FA6558" w:rsidRPr="001C45D7">
        <w:t xml:space="preserve"> </w:t>
      </w:r>
      <w:r w:rsidR="003A0448" w:rsidRPr="001C45D7">
        <w:t>and</w:t>
      </w:r>
      <w:r w:rsidR="00FA6558" w:rsidRPr="001C45D7">
        <w:t xml:space="preserve"> </w:t>
      </w:r>
      <w:r w:rsidR="003A0448" w:rsidRPr="001C45D7">
        <w:t>buyers</w:t>
      </w:r>
      <w:r w:rsidR="00726205" w:rsidRPr="001C45D7">
        <w:t>’</w:t>
      </w:r>
      <w:r w:rsidR="00FA6558" w:rsidRPr="001C45D7">
        <w:t xml:space="preserve"> </w:t>
      </w:r>
      <w:r w:rsidR="003A0448" w:rsidRPr="001C45D7">
        <w:t>opportunistic</w:t>
      </w:r>
      <w:r w:rsidR="00FA6558" w:rsidRPr="001C45D7">
        <w:t xml:space="preserve"> </w:t>
      </w:r>
      <w:r w:rsidR="003A0448" w:rsidRPr="001C45D7">
        <w:t>behaviours.</w:t>
      </w:r>
      <w:r w:rsidR="00FA6558" w:rsidRPr="001C45D7">
        <w:t xml:space="preserve"> </w:t>
      </w:r>
      <w:r w:rsidR="00595111" w:rsidRPr="001C45D7">
        <w:t>Th</w:t>
      </w:r>
      <w:r w:rsidR="00AA1C3E">
        <w:t xml:space="preserve">e other </w:t>
      </w:r>
      <w:r w:rsidR="00595111" w:rsidRPr="001C45D7">
        <w:t>contribution</w:t>
      </w:r>
      <w:r w:rsidR="00FA6558" w:rsidRPr="001C45D7">
        <w:t xml:space="preserve"> </w:t>
      </w:r>
      <w:r w:rsidR="00595111" w:rsidRPr="001C45D7">
        <w:t>of</w:t>
      </w:r>
      <w:r w:rsidR="00FA6558" w:rsidRPr="001C45D7">
        <w:t xml:space="preserve"> </w:t>
      </w:r>
      <w:r w:rsidR="00AA1C3E">
        <w:t xml:space="preserve">the study is that </w:t>
      </w:r>
      <w:r w:rsidR="00167E49" w:rsidRPr="001C45D7">
        <w:t xml:space="preserve">the finding </w:t>
      </w:r>
      <w:r w:rsidR="00595111" w:rsidRPr="001C45D7">
        <w:t>existing</w:t>
      </w:r>
      <w:r w:rsidR="00FA6558" w:rsidRPr="001C45D7">
        <w:t xml:space="preserve"> </w:t>
      </w:r>
      <w:r w:rsidR="00595111" w:rsidRPr="001C45D7">
        <w:t>governance</w:t>
      </w:r>
      <w:r w:rsidR="00FA6558" w:rsidRPr="001C45D7">
        <w:t xml:space="preserve"> </w:t>
      </w:r>
      <w:r w:rsidR="00595111" w:rsidRPr="001C45D7">
        <w:t>mechanism</w:t>
      </w:r>
      <w:r w:rsidR="00FA6558" w:rsidRPr="001C45D7">
        <w:t xml:space="preserve"> </w:t>
      </w:r>
      <w:r w:rsidR="00595111" w:rsidRPr="001C45D7">
        <w:t>is</w:t>
      </w:r>
      <w:r w:rsidR="00FA6558" w:rsidRPr="001C45D7">
        <w:t xml:space="preserve"> </w:t>
      </w:r>
      <w:r w:rsidR="00595111" w:rsidRPr="001C45D7">
        <w:t>partially</w:t>
      </w:r>
      <w:r w:rsidR="00FA6558" w:rsidRPr="001C45D7">
        <w:t xml:space="preserve"> </w:t>
      </w:r>
      <w:r w:rsidR="00595111" w:rsidRPr="001C45D7">
        <w:t>effective</w:t>
      </w:r>
      <w:r w:rsidR="00FA6558" w:rsidRPr="001C45D7">
        <w:t xml:space="preserve"> </w:t>
      </w:r>
      <w:r w:rsidR="00595111" w:rsidRPr="001C45D7">
        <w:t>in</w:t>
      </w:r>
      <w:r w:rsidR="00FA6558" w:rsidRPr="001C45D7">
        <w:t xml:space="preserve"> </w:t>
      </w:r>
      <w:r w:rsidR="007D7FB3" w:rsidRPr="001C45D7">
        <w:t>mitigating</w:t>
      </w:r>
      <w:r w:rsidR="00FA6558" w:rsidRPr="001C45D7">
        <w:t xml:space="preserve"> </w:t>
      </w:r>
      <w:r w:rsidR="00DE100D" w:rsidRPr="001C45D7">
        <w:t xml:space="preserve">buyer opportunism induced by </w:t>
      </w:r>
      <w:r w:rsidR="007D7FB3" w:rsidRPr="001C45D7">
        <w:t>digital</w:t>
      </w:r>
      <w:r w:rsidR="00FA6558" w:rsidRPr="001C45D7">
        <w:t xml:space="preserve"> </w:t>
      </w:r>
      <w:r w:rsidR="00BB7086" w:rsidRPr="001C45D7">
        <w:t xml:space="preserve">capability </w:t>
      </w:r>
      <w:r w:rsidR="007D7FB3" w:rsidRPr="001C45D7">
        <w:t>asymmetry</w:t>
      </w:r>
      <w:r w:rsidR="001C2026" w:rsidRPr="001C45D7">
        <w:t>.</w:t>
      </w:r>
    </w:p>
    <w:p w14:paraId="141BF329" w14:textId="018A8ACA" w:rsidR="005C2D4A" w:rsidRPr="001C45D7" w:rsidRDefault="007D7FB3" w:rsidP="00566B02">
      <w:pPr>
        <w:pStyle w:val="BodyText"/>
      </w:pPr>
      <w:r w:rsidRPr="001C45D7">
        <w:lastRenderedPageBreak/>
        <w:t>Our</w:t>
      </w:r>
      <w:r w:rsidR="00FA6558" w:rsidRPr="001C45D7">
        <w:t xml:space="preserve"> </w:t>
      </w:r>
      <w:r w:rsidRPr="001C45D7">
        <w:t>findings</w:t>
      </w:r>
      <w:r w:rsidR="00FA6558" w:rsidRPr="001C45D7">
        <w:t xml:space="preserve"> </w:t>
      </w:r>
      <w:r w:rsidRPr="001C45D7">
        <w:t>are</w:t>
      </w:r>
      <w:r w:rsidR="00FA6558" w:rsidRPr="001C45D7">
        <w:t xml:space="preserve"> </w:t>
      </w:r>
      <w:r w:rsidRPr="001C45D7">
        <w:t>in</w:t>
      </w:r>
      <w:r w:rsidR="00FA6558" w:rsidRPr="001C45D7">
        <w:t xml:space="preserve"> </w:t>
      </w:r>
      <w:r w:rsidRPr="001C45D7">
        <w:t>line</w:t>
      </w:r>
      <w:r w:rsidR="00FA6558" w:rsidRPr="001C45D7">
        <w:t xml:space="preserve"> </w:t>
      </w:r>
      <w:r w:rsidRPr="001C45D7">
        <w:t>with</w:t>
      </w:r>
      <w:r w:rsidR="00FA6558" w:rsidRPr="001C45D7">
        <w:t xml:space="preserve"> </w:t>
      </w:r>
      <w:r w:rsidRPr="001C45D7">
        <w:t>e</w:t>
      </w:r>
      <w:r w:rsidR="00F400A7" w:rsidRPr="001C45D7">
        <w:t>xtant</w:t>
      </w:r>
      <w:r w:rsidR="00FA6558" w:rsidRPr="001C45D7">
        <w:t xml:space="preserve"> </w:t>
      </w:r>
      <w:r w:rsidR="00F400A7" w:rsidRPr="001C45D7">
        <w:t>literature</w:t>
      </w:r>
      <w:r w:rsidR="00FA6558" w:rsidRPr="001C45D7">
        <w:t xml:space="preserve"> </w:t>
      </w:r>
      <w:r w:rsidR="00A703F9" w:rsidRPr="001C45D7">
        <w:t>on</w:t>
      </w:r>
      <w:r w:rsidR="00FA6558" w:rsidRPr="001C45D7">
        <w:t xml:space="preserve"> </w:t>
      </w:r>
      <w:r w:rsidR="00A703F9" w:rsidRPr="001C45D7">
        <w:t>contractual</w:t>
      </w:r>
      <w:r w:rsidR="00FA6558" w:rsidRPr="001C45D7">
        <w:t xml:space="preserve"> </w:t>
      </w:r>
      <w:r w:rsidR="00A703F9" w:rsidRPr="001C45D7">
        <w:t>governance</w:t>
      </w:r>
      <w:r w:rsidR="005C2D4A" w:rsidRPr="001C45D7">
        <w:t>,</w:t>
      </w:r>
      <w:r w:rsidR="00FA6558" w:rsidRPr="001C45D7">
        <w:t xml:space="preserve"> </w:t>
      </w:r>
      <w:r w:rsidRPr="001C45D7">
        <w:t>suggesting</w:t>
      </w:r>
      <w:r w:rsidR="00FA6558" w:rsidRPr="001C45D7">
        <w:t xml:space="preserve"> </w:t>
      </w:r>
      <w:r w:rsidR="003B0CCE" w:rsidRPr="001C45D7">
        <w:t xml:space="preserve">the </w:t>
      </w:r>
      <w:r w:rsidR="0074089E">
        <w:t>contractual governance</w:t>
      </w:r>
      <w:r w:rsidR="006925CA">
        <w:t>’</w:t>
      </w:r>
      <w:r w:rsidR="0074089E" w:rsidRPr="001C45D7">
        <w:t xml:space="preserve">s </w:t>
      </w:r>
      <w:r w:rsidR="00BD0BA2" w:rsidRPr="001C45D7">
        <w:t>poor</w:t>
      </w:r>
      <w:r w:rsidR="00FA6558" w:rsidRPr="001C45D7">
        <w:t xml:space="preserve"> </w:t>
      </w:r>
      <w:r w:rsidR="00156201" w:rsidRPr="001C45D7">
        <w:t>suitability for</w:t>
      </w:r>
      <w:r w:rsidR="00FA6558" w:rsidRPr="001C45D7">
        <w:t xml:space="preserve"> </w:t>
      </w:r>
      <w:r w:rsidR="00F64AD5" w:rsidRPr="001C45D7">
        <w:t>mitigating</w:t>
      </w:r>
      <w:r w:rsidR="00FA6558" w:rsidRPr="001C45D7">
        <w:t xml:space="preserve"> </w:t>
      </w:r>
      <w:r w:rsidR="00F64AD5" w:rsidRPr="001C45D7">
        <w:t>opportunism</w:t>
      </w:r>
      <w:r w:rsidR="00FA6558" w:rsidRPr="001C45D7">
        <w:t xml:space="preserve"> </w:t>
      </w:r>
      <w:r w:rsidR="00D44FD5" w:rsidRPr="001C45D7">
        <w:t xml:space="preserve">in high-uncertainty exchanges, </w:t>
      </w:r>
      <w:r w:rsidRPr="001C45D7">
        <w:t>due</w:t>
      </w:r>
      <w:r w:rsidR="00FA6558" w:rsidRPr="001C45D7">
        <w:t xml:space="preserve"> </w:t>
      </w:r>
      <w:r w:rsidRPr="001C45D7">
        <w:t>to</w:t>
      </w:r>
      <w:r w:rsidR="00FA6558" w:rsidRPr="001C45D7">
        <w:t xml:space="preserve"> </w:t>
      </w:r>
      <w:r w:rsidRPr="001C45D7">
        <w:t>(1)</w:t>
      </w:r>
      <w:r w:rsidR="00FA6558" w:rsidRPr="001C45D7">
        <w:t xml:space="preserve"> </w:t>
      </w:r>
      <w:r w:rsidR="00A703F9" w:rsidRPr="001C45D7">
        <w:t>bounded</w:t>
      </w:r>
      <w:r w:rsidR="00FA6558" w:rsidRPr="001C45D7">
        <w:t xml:space="preserve"> </w:t>
      </w:r>
      <w:r w:rsidR="00A703F9" w:rsidRPr="001C45D7">
        <w:t>rationality</w:t>
      </w:r>
      <w:r w:rsidR="00FA6558" w:rsidRPr="001C45D7">
        <w:t xml:space="preserve"> </w:t>
      </w:r>
      <w:r w:rsidR="00A703F9" w:rsidRPr="001C45D7">
        <w:t>prevent</w:t>
      </w:r>
      <w:r w:rsidRPr="001C45D7">
        <w:t>ing</w:t>
      </w:r>
      <w:r w:rsidR="00FA6558" w:rsidRPr="001C45D7">
        <w:t xml:space="preserve"> </w:t>
      </w:r>
      <w:r w:rsidR="005C2D4A" w:rsidRPr="001C45D7">
        <w:t xml:space="preserve">the </w:t>
      </w:r>
      <w:r w:rsidR="00A703F9" w:rsidRPr="001C45D7">
        <w:t>creation</w:t>
      </w:r>
      <w:r w:rsidR="00FA6558" w:rsidRPr="001C45D7">
        <w:t xml:space="preserve"> </w:t>
      </w:r>
      <w:r w:rsidR="00A703F9" w:rsidRPr="001C45D7">
        <w:t>of</w:t>
      </w:r>
      <w:r w:rsidR="00FA6558" w:rsidRPr="001C45D7">
        <w:t xml:space="preserve"> </w:t>
      </w:r>
      <w:r w:rsidR="00A703F9" w:rsidRPr="001C45D7">
        <w:t>comprehensive</w:t>
      </w:r>
      <w:r w:rsidR="00FA6558" w:rsidRPr="001C45D7">
        <w:t xml:space="preserve"> </w:t>
      </w:r>
      <w:r w:rsidR="00A703F9" w:rsidRPr="001C45D7">
        <w:t>contract</w:t>
      </w:r>
      <w:r w:rsidR="00730F18" w:rsidRPr="001C45D7">
        <w:t>s</w:t>
      </w:r>
      <w:r w:rsidR="00FA6558" w:rsidRPr="001C45D7">
        <w:t xml:space="preserve"> </w:t>
      </w:r>
      <w:r w:rsidR="00A703F9" w:rsidRPr="001C45D7">
        <w:fldChar w:fldCharType="begin" w:fldLock="1"/>
      </w:r>
      <w:r w:rsidR="004A2B48" w:rsidRPr="001C45D7">
        <w:instrText>ADDIN CSL_CITATION {"citationItems":[{"id":"ITEM-1","itemData":{"DOI":"10.5465/ambpp.1996.4978070","ISSN":"0065-0668","abstract":"This paper examines the choice between equity and non-equity forms of inter-firm alliances from an integrated risk perspective, which combines relational risk and performance risk in inter-firm alliances. Relational risk relates to co-operation among alliance partners, while performance risk has to do with the hazards of not achieving the performance objectives of an alliance, given co-operation. We suggest that equity alliance is adopted to control relational risk, while non-equity alliance is aimed at minimizing performance risk. Existing studies on the choice of alliance configurations are examined from the proposed risk perspective, and a number of key propositions are advanced for empirical testing and further development of the perspective.","author":[{"dropping-particle":"","family":"Das","given":"T. K.","non-dropping-particle":"","parse-names":false,"suffix":""},{"dropping-particle":"","family":"Teng","given":"B.-S.","non-dropping-particle":"","parse-names":false,"suffix":""}],"container-title":"Academy of Management Proceedings","id":"ITEM-1","issue":"1","issued":{"date-parts":[["1996","8","1"]]},"page":"11-15","publisher":"The Academy of Management","title":"RISK TYPES AND INTERFIRM ALLIANCE STRUCTURES.","type":"article-journal","volume":"1996"},"uris":["http://www.mendeley.com/documents/?uuid=d1d1749d-9874-3937-9315-e88df3acf59d"]},{"id":"ITEM-2","itemData":{"DOI":"10.1016/j.jbusvent.2005.02.003","ISSN":"08839026","abstract":"SME leaders with R&amp;D alliances face significant challenges in balancing the need for resource acquisition in the innovation process and the potential for opportunistic behavior by alliance partners. This study, utilizing a sample of 456 SMEs from eight countries, examines how the resource capacity of the SME and the institutional environment are related to the perceptions that owners and managers have about the opportunistic behavior of alliance partners. The results suggest that firm size moderates the relationship between the technological munificence and the predominant culture of the domestic market of the SME and concerns about the opportunistic behavior of an SME alliance partner. © 2005 Elsevier Inc. All rights reserved.","author":[{"dropping-particle":"","family":"Dickson","given":"Pat H.","non-dropping-particle":"","parse-names":false,"suffix":""},{"dropping-particle":"","family":"Weaver","given":"K. Mark","non-dropping-particle":"","parse-names":false,"suffix":""},{"dropping-particle":"","family":"Hoy","given":"Frank","non-dropping-particle":"","parse-names":false,"suffix":""}],"container-title":"Journal of Business Venturing","id":"ITEM-2","issue":"4","issued":{"date-parts":[["2006","7","1"]]},"page":"487-513","publisher":"Elsevier","title":"Opportunism in the R&amp;D alliances of SMES: The roles of the institutional environment and SME size","type":"article-journal","volume":"21"},"uris":["http://www.mendeley.com/documents/?uuid=b56281e2-d479-346d-8153-acd0cf4d6021"]},{"id":"ITEM-3","itemData":{"DOI":"10.1002/smj.249","ISSN":"01432095","abstract":"Relational exchange arrangements supported by trust are commonly viewed as substitutes for complex contracts in interorganizational exchanges. Many argue that formal contracts actually undermine trust and thereby encourage the opportunistic behavior they are designed to discourage. In this paper, we develop and test an alternative perspective: that formal contracts and relational governance function as complements. Using data from a sample of information service exchanges, we find empirical support for this proposition of complementarity. Managers appear to couple their increasingly customized contracts with high levels of relational governance (and vice versa). Moreover, this interdependence underlies their ability to generate improvements in exchange performance. Our results concerning the determinants of these governance choices show their distinct origins, which further augments their complementarity in practice. Copyright © 2002 John Wiley &amp; Sons, Ltd.","author":[{"dropping-particle":"","family":"Poppo","given":"Laura","non-dropping-particle":"","parse-names":false,"suffix":""},{"dropping-particle":"","family":"Zenger","given":"Todd","non-dropping-particle":"","parse-names":false,"suffix":""}],"container-title":"Strategic Management Journal","id":"ITEM-3","issue":"8","issued":{"date-parts":[["2002","8"]]},"page":"707-725","title":"Do formal contracts and relational governance function as substitutes or complements?","type":"article-journal","volume":"23"},"uris":["http://www.mendeley.com/documents/?uuid=0f5b4bc5-de16-3976-800b-d5afcee477cc"]},{"id":"ITEM-4","itemData":{"DOI":"10.1016/0048-7333(86)90027-2","ISSN":"00487333","abstract":"This paper attempts to explain why innovating firms often fail to obtain significant economic returns from an innovation, while customers, imitators and other industry participants benefit Business strategy - particularly as it relates to the firm's decision to integrate and collaborate - is shown to be an important factor. The paper demonstrates that when imitation is easy, markets don't work well, and the profits from innovation may accrue to the owners of certain complementary assets, rather than to the developers of the intellectual property. This speaks to the need, in certain cases, for the innovating firm to establish a prior position in these complementary assets. The paper also indicates that innovators with new products and processes which provide value to consumers may sometimes be so ill positioned in the market that they necessarily will fail. The analysis provides a theoretical foundation for the proposition that manufacturing often matters, particularly to innovating nations. Innovating firms without the requisite manufacturing and related capacities may die, even though they are the best at innovation. Implications for trade policy and domestic economic policy are examined. © 1986.","author":[{"dropping-particle":"","family":"Teece","given":"David J.","non-dropping-particle":"","parse-names":false,"suffix":""}],"container-title":"Research Policy","id":"ITEM-4","issue":"6","issued":{"date-parts":[["1986","12","1"]]},"page":"285-305","publisher":"North-Holland","title":"Profiting from technological innovation: Implications for integration, collaboration, licensing and public policy","type":"article-journal","volume":"15"},"uris":["http://www.mendeley.com/documents/?uuid=ce26624c-3f55-3d42-b3ff-42f6ebd084b6"]},{"id":"ITEM-5","itemData":{"DOI":"10.1016/j.jom.2012.03.005","ISSN":"02726963","abstract":"This paper theoretically refines and empirically extends the debate on the type of interplay between relational experience and contractual governance in an under-researched area: supply chain disputes. We define relational experience as either cooperative or competitive; distinguish between control and coordination functions of contractual governance; and assess their interplay on the negotiation strategy used in disputes. Using a unique data set of buyer-supplier disputes, we find, in particular that increasing contractual control governance weakens the positive effect of cooperative relational experience on cooperative negotiation strategy. However, increasing contractual control governance for a buyer-supplier dyad with competitive relational experience will increase cooperative negotiation strategy. Contractual coordination governance reinforces the positive effect of cooperative relational experience. Through this study, we reach a better understanding of how and when contractual and relational governance dimensions interact; rather than whether they act as substitutes or complements as has been studied in prior research. We discuss the implications of these findings for the field of supply chain management. © 2012 Elsevier B.V. All rights reserved.","author":[{"dropping-particle":"","family":"Lumineau","given":"Fabrice","non-dropping-particle":"","parse-names":false,"suffix":""},{"dropping-particle":"","family":"Henderson","given":"James E.","non-dropping-particle":"","parse-names":false,"suffix":""}],"container-title":"Journal of Operations Management","id":"ITEM-5","issue":"5","issued":{"date-parts":[["2012","7"]]},"page":"382-395","title":"The influence of relational experience and contractual governance on the negotiation strategy in buyer-supplier disputes","type":"article-journal","volume":"30"},"uris":["http://www.mendeley.com/documents/?uuid=e73b9f24-77c1-3a43-a413-26166676ef38"]}],"mendeley":{"formattedCitation":"(Das and Teng, 1996; Dickson &lt;i&gt;et al.&lt;/i&gt;, 2006; Lumineau and Henderson, 2012; Poppo and Zenger, 2002; Teece, 1986)","manualFormatting":"(Teece, 1986; Das and Teng, 1996; Poppo and Zenger, 2002; Dickson et al., 2006; Lumineau and Henderson, 2012)","plainTextFormattedCitation":"(Das and Teng, 1996; Dickson et al., 2006; Lumineau and Henderson, 2012; Poppo and Zenger, 2002; Teece, 1986)","previouslyFormattedCitation":"(Das and Teng, 1996; Dickson &lt;i&gt;et al.&lt;/i&gt;, 2006; Lumineau and Henderson, 2012; Poppo and Zenger, 2002; Teece, 1986)"},"properties":{"noteIndex":0},"schema":"https://github.com/citation-style-language/schema/raw/master/csl-citation.json"}</w:instrText>
      </w:r>
      <w:r w:rsidR="00A703F9" w:rsidRPr="001C45D7">
        <w:fldChar w:fldCharType="separate"/>
      </w:r>
      <w:r w:rsidR="00881C19" w:rsidRPr="001C45D7">
        <w:rPr>
          <w:noProof/>
        </w:rPr>
        <w:t>(Teece,</w:t>
      </w:r>
      <w:r w:rsidR="00FA6558" w:rsidRPr="001C45D7">
        <w:rPr>
          <w:noProof/>
        </w:rPr>
        <w:t xml:space="preserve"> </w:t>
      </w:r>
      <w:r w:rsidR="00881C19" w:rsidRPr="001C45D7">
        <w:rPr>
          <w:noProof/>
        </w:rPr>
        <w:t>1986;</w:t>
      </w:r>
      <w:r w:rsidR="00FA6558" w:rsidRPr="001C45D7">
        <w:rPr>
          <w:noProof/>
        </w:rPr>
        <w:t xml:space="preserve"> </w:t>
      </w:r>
      <w:r w:rsidR="00881C19" w:rsidRPr="001C45D7">
        <w:rPr>
          <w:noProof/>
        </w:rPr>
        <w:t>Das</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Teng,</w:t>
      </w:r>
      <w:r w:rsidR="00FA6558" w:rsidRPr="001C45D7">
        <w:rPr>
          <w:noProof/>
        </w:rPr>
        <w:t xml:space="preserve"> </w:t>
      </w:r>
      <w:r w:rsidR="00881C19" w:rsidRPr="001C45D7">
        <w:rPr>
          <w:noProof/>
        </w:rPr>
        <w:t>1996;</w:t>
      </w:r>
      <w:r w:rsidR="00FA6558" w:rsidRPr="001C45D7">
        <w:rPr>
          <w:noProof/>
        </w:rPr>
        <w:t xml:space="preserve"> </w:t>
      </w:r>
      <w:r w:rsidR="00881C19" w:rsidRPr="001C45D7">
        <w:rPr>
          <w:noProof/>
        </w:rPr>
        <w:t>Poppo</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Zenger,</w:t>
      </w:r>
      <w:r w:rsidR="00FA6558" w:rsidRPr="001C45D7">
        <w:rPr>
          <w:noProof/>
        </w:rPr>
        <w:t xml:space="preserve"> </w:t>
      </w:r>
      <w:r w:rsidR="00881C19" w:rsidRPr="001C45D7">
        <w:rPr>
          <w:noProof/>
        </w:rPr>
        <w:t>2002;</w:t>
      </w:r>
      <w:r w:rsidR="00FA6558" w:rsidRPr="001C45D7">
        <w:rPr>
          <w:noProof/>
        </w:rPr>
        <w:t xml:space="preserve"> </w:t>
      </w:r>
      <w:r w:rsidR="00881C19" w:rsidRPr="001C45D7">
        <w:rPr>
          <w:noProof/>
        </w:rPr>
        <w:t>Lumineau</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Henderson,</w:t>
      </w:r>
      <w:r w:rsidR="00FA6558" w:rsidRPr="001C45D7">
        <w:rPr>
          <w:noProof/>
        </w:rPr>
        <w:t xml:space="preserve"> </w:t>
      </w:r>
      <w:r w:rsidR="00881C19" w:rsidRPr="001C45D7">
        <w:rPr>
          <w:noProof/>
        </w:rPr>
        <w:t>2012)</w:t>
      </w:r>
      <w:r w:rsidR="00A703F9" w:rsidRPr="001C45D7">
        <w:fldChar w:fldCharType="end"/>
      </w:r>
      <w:r w:rsidR="00FA6558" w:rsidRPr="001C45D7">
        <w:t xml:space="preserve"> </w:t>
      </w:r>
      <w:r w:rsidR="00A703F9" w:rsidRPr="001C45D7">
        <w:t>and</w:t>
      </w:r>
      <w:r w:rsidR="00FA6558" w:rsidRPr="001C45D7">
        <w:t xml:space="preserve"> </w:t>
      </w:r>
      <w:r w:rsidR="00A703F9" w:rsidRPr="001C45D7">
        <w:t>(2)</w:t>
      </w:r>
      <w:r w:rsidR="00FA6558" w:rsidRPr="001C45D7">
        <w:t xml:space="preserve"> </w:t>
      </w:r>
      <w:r w:rsidR="005C2D4A" w:rsidRPr="001C45D7">
        <w:t xml:space="preserve">the </w:t>
      </w:r>
      <w:r w:rsidR="00A703F9" w:rsidRPr="001C45D7">
        <w:t>cost</w:t>
      </w:r>
      <w:r w:rsidR="00FA6558" w:rsidRPr="001C45D7">
        <w:t xml:space="preserve"> </w:t>
      </w:r>
      <w:r w:rsidR="00A703F9" w:rsidRPr="001C45D7">
        <w:t>of</w:t>
      </w:r>
      <w:r w:rsidR="00FA6558" w:rsidRPr="001C45D7">
        <w:t xml:space="preserve"> </w:t>
      </w:r>
      <w:r w:rsidR="00A703F9" w:rsidRPr="001C45D7">
        <w:t>creating</w:t>
      </w:r>
      <w:r w:rsidR="00AB4167" w:rsidRPr="001C45D7">
        <w:t>,</w:t>
      </w:r>
      <w:r w:rsidR="00FA6558" w:rsidRPr="001C45D7">
        <w:t xml:space="preserve"> </w:t>
      </w:r>
      <w:r w:rsidR="00A703F9" w:rsidRPr="001C45D7">
        <w:t>monitoring</w:t>
      </w:r>
      <w:r w:rsidR="00AB4167" w:rsidRPr="001C45D7">
        <w:t xml:space="preserve"> and </w:t>
      </w:r>
      <w:r w:rsidR="00A703F9" w:rsidRPr="001C45D7">
        <w:t>enforcing</w:t>
      </w:r>
      <w:r w:rsidR="00FA6558" w:rsidRPr="001C45D7">
        <w:t xml:space="preserve"> </w:t>
      </w:r>
      <w:r w:rsidRPr="001C45D7">
        <w:t>such</w:t>
      </w:r>
      <w:r w:rsidR="00FA6558" w:rsidRPr="001C45D7">
        <w:t xml:space="preserve"> </w:t>
      </w:r>
      <w:r w:rsidRPr="001C45D7">
        <w:t>complex</w:t>
      </w:r>
      <w:r w:rsidR="00FA6558" w:rsidRPr="001C45D7">
        <w:t xml:space="preserve"> </w:t>
      </w:r>
      <w:r w:rsidRPr="001C45D7">
        <w:t>contracts</w:t>
      </w:r>
      <w:r w:rsidR="00FA6558" w:rsidRPr="001C45D7">
        <w:t xml:space="preserve"> </w:t>
      </w:r>
      <w:r w:rsidR="00A703F9" w:rsidRPr="001C45D7">
        <w:fldChar w:fldCharType="begin" w:fldLock="1"/>
      </w:r>
      <w:r w:rsidR="004A2B48" w:rsidRPr="001C45D7">
        <w:instrText>ADDIN CSL_CITATION {"citationItems":[{"id":"ITEM-1","itemData":{"author":[{"dropping-particle":"","family":"Artz","given":"Kendall W","non-dropping-particle":"","parse-names":false,"suffix":""},{"dropping-particle":"","family":"Brush","given":"Thomas H","non-dropping-particle":"","parse-names":false,"suffix":""}],"container-title":"Journal of Economic Behavior &amp; Organization","id":"ITEM-1","issue":"4","issued":{"date-parts":[["2000"]]},"page":"337-362","title":"Asset specificity, uncertainty and relational norms: an examination of coordination costs in collaborative strategic alliances","type":"article-journal","volume":"41"},"uris":["http://www.mendeley.com/documents/?uuid=96474597-8154-467e-84db-dd7566d76f27"]},{"id":"ITEM-2","itemData":{"DOI":"10.1287/orsc.14.1.45.12811","abstract":"Please scroll down for article-it is on subsequent pages With 12,500 members from nearly 90 countries, INFORMS is the largest international association of operations research (O.R.) and analytics professionals and students. INFORMS provides unique networking and learning opportunities for individual professionals, and organizations of all types and sizes, to better understand and use O.R. and analytics tools and methods to transform strategic visions and achieve better outcomes. For more information on INFORMS, its publications, membership, or meetings visit","author":[{"dropping-particle":"","family":"Carson","given":"Stephen J","non-dropping-particle":"","parse-names":false,"suffix":""},{"dropping-particle":"","family":"Madhok","given":"Anoop","non-dropping-particle":"","parse-names":false,"suffix":""},{"dropping-particle":"","family":"Varman","given":"Rohit","non-dropping-particle":"","parse-names":false,"suffix":""},{"dropping-particle":"","family":"John","given":"George","non-dropping-particle":"","parse-names":false,"suffix":""}],"container-title":"Organization Science","id":"ITEM-2","issue":"1","issued":{"date-parts":[["2003"]]},"page":"45-56","publisher":"Institute for Operations Research and Management Sciences","title":"Information Processing Moderators of the Effectiveness of Trust-Based Governance in Interfirm R&amp;D Collaboration","type":"article-journal","volume":"14"},"uris":["http://www.mendeley.com/documents/?uuid=efde160d-84a5-35b4-bc5a-b0f0408808f5"]},{"id":"ITEM-3","itemData":{"DOI":"10.1016/j.jom.2011.06.001","ISSN":"02726963","abstract":"Service provider opportunism is widely noted as a principal risk with outsourcing. Indeed, economic theory regarding the factors which influence the outsourcing decision, treats opportunism as a core behavioral assumption. It is assumed that if given the opportunity, outsourcing providers will act in a self-serving manner despite the potentially negative impact it may have on their customer. Other researchers have suggested that opportunism is not an unwavering human behavior, but rather can be substantively influenced by the management practices which define the relationship. Building on these arguments, this study investigates the validity of these divergent positions. Hierarchical linear regression is used to examine dyadic data on 102 information technology, logistics, and other business process outsourcing relationships. We test a model which hypothesizes that the buying firm's reliance on different bases of inter-firm power will have differing effects on the risk of opportunism (shirking and poaching). These hypotheses are evaluated while concurrently examining the influence of exchange hazards (relationship-specific investments and technological uncertainty) on provider shirking and poaching. The results offer strong evidence that buyer reliance on mediated forms of power (i.e. rewards, coercive, legal legitimate) enhance the risk of both provider shirking and poaching, while non-mediated power (i.e. expert, referent) is associated with a diminished level of opportunistic behavior. Interestingly, relationship-specific investments have a significant effect on some forms of opportunistic behavior but not on other forms of opportunistic behavior. Technological uncertainty did not have a significant impact on provider opportunism. © 2011 Elsevier B.V. All rights reserved.","author":[{"dropping-particle":"","family":"Handley","given":"Sean M.","non-dropping-particle":"","parse-names":false,"suffix":""},{"dropping-particle":"","family":"Benton","given":"W. C.","non-dropping-particle":"","parse-names":false,"suffix":""}],"container-title":"Journal of Operations Management","id":"ITEM-3","issue":"1-2","issued":{"date-parts":[["2012","1"]]},"page":"55-68","title":"The influence of exchange hazards and power on opportunism in outsourcing relationships","type":"article-journal","volume":"30"},"uris":["http://www.mendeley.com/documents/?uuid=dd85ab59-d3e5-3bb4-b4b1-c59b90b487d5"]},{"id":"ITEM-4","itemData":{"DOI":"10.1016/j.jbusvent.2005.02.003","ISSN":"08839026","abstract":"SME leaders with R&amp;D alliances face significant challenges in balancing the need for resource acquisition in the innovation process and the potential for opportunistic behavior by alliance partners. This study, utilizing a sample of 456 SMEs from eight countries, examines how the resource capacity of the SME and the institutional environment are related to the perceptions that owners and managers have about the opportunistic behavior of alliance partners. The results suggest that firm size moderates the relationship between the technological munificence and the predominant culture of the domestic market of the SME and concerns about the opportunistic behavior of an SME alliance partner. © 2005 Elsevier Inc. All rights reserved.","author":[{"dropping-particle":"","family":"Dickson","given":"Pat H.","non-dropping-particle":"","parse-names":false,"suffix":""},{"dropping-particle":"","family":"Weaver","given":"K. Mark","non-dropping-particle":"","parse-names":false,"suffix":""},{"dropping-particle":"","family":"Hoy","given":"Frank","non-dropping-particle":"","parse-names":false,"suffix":""}],"container-title":"Journal of Business Venturing","id":"ITEM-4","issue":"4","issued":{"date-parts":[["2006","7","1"]]},"page":"487-513","publisher":"Elsevier","title":"Opportunism in the R&amp;D alliances of SMES: The roles of the institutional environment and SME size","type":"article-journal","volume":"21"},"uris":["http://www.mendeley.com/documents/?uuid=b56281e2-d479-346d-8153-acd0cf4d6021"]},{"id":"ITEM-5","itemData":{"DOI":"10.1016/0048-7333(86)90027-2","ISSN":"00487333","abstract":"This paper attempts to explain why innovating firms often fail to obtain significant economic returns from an innovation, while customers, imitators and other industry participants benefit Business strategy - particularly as it relates to the firm's decision to integrate and collaborate - is shown to be an important factor. The paper demonstrates that when imitation is easy, markets don't work well, and the profits from innovation may accrue to the owners of certain complementary assets, rather than to the developers of the intellectual property. This speaks to the need, in certain cases, for the innovating firm to establish a prior position in these complementary assets. The paper also indicates that innovators with new products and processes which provide value to consumers may sometimes be so ill positioned in the market that they necessarily will fail. The analysis provides a theoretical foundation for the proposition that manufacturing often matters, particularly to innovating nations. Innovating firms without the requisite manufacturing and related capacities may die, even though they are the best at innovation. Implications for trade policy and domestic economic policy are examined. © 1986.","author":[{"dropping-particle":"","family":"Teece","given":"David J.","non-dropping-particle":"","parse-names":false,"suffix":""}],"container-title":"Research Policy","id":"ITEM-5","issue":"6","issued":{"date-parts":[["1986","12","1"]]},"page":"285-305","publisher":"North-Holland","title":"Profiting from technological innovation: Implications for integration, collaboration, licensing and public policy","type":"article-journal","volume":"15"},"uris":["http://www.mendeley.com/documents/?uuid=ce26624c-3f55-3d42-b3ff-42f6ebd084b6"]}],"mendeley":{"formattedCitation":"(Artz and Brush, 2000; Carson &lt;i&gt;et al.&lt;/i&gt;, 2003; Dickson &lt;i&gt;et al.&lt;/i&gt;, 2006; Handley and Benton, 2012; Teece, 1986)","manualFormatting":"(Teece, 1986; Artz and Brush, 2000; Carson et al., 2003; Dickson et al., 2006; Handley and Benton, 2012)","plainTextFormattedCitation":"(Artz and Brush, 2000; Carson et al., 2003; Dickson et al., 2006; Handley and Benton, 2012; Teece, 1986)","previouslyFormattedCitation":"(Artz and Brush, 2000; Carson &lt;i&gt;et al.&lt;/i&gt;, 2003; Dickson &lt;i&gt;et al.&lt;/i&gt;, 2006; Handley and Benton, 2012; Teece, 1986)"},"properties":{"noteIndex":0},"schema":"https://github.com/citation-style-language/schema/raw/master/csl-citation.json"}</w:instrText>
      </w:r>
      <w:r w:rsidR="00A703F9" w:rsidRPr="001C45D7">
        <w:fldChar w:fldCharType="separate"/>
      </w:r>
      <w:r w:rsidR="00881C19" w:rsidRPr="001C45D7">
        <w:rPr>
          <w:noProof/>
        </w:rPr>
        <w:t>(Teece,</w:t>
      </w:r>
      <w:r w:rsidR="00FA6558" w:rsidRPr="001C45D7">
        <w:rPr>
          <w:noProof/>
        </w:rPr>
        <w:t xml:space="preserve"> </w:t>
      </w:r>
      <w:r w:rsidR="00881C19" w:rsidRPr="001C45D7">
        <w:rPr>
          <w:noProof/>
        </w:rPr>
        <w:t>1986;</w:t>
      </w:r>
      <w:r w:rsidR="00FA6558" w:rsidRPr="001C45D7">
        <w:rPr>
          <w:noProof/>
        </w:rPr>
        <w:t xml:space="preserve"> </w:t>
      </w:r>
      <w:r w:rsidR="00881C19" w:rsidRPr="001C45D7">
        <w:rPr>
          <w:noProof/>
        </w:rPr>
        <w:t>Artz</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Brush,</w:t>
      </w:r>
      <w:r w:rsidR="00FA6558" w:rsidRPr="001C45D7">
        <w:rPr>
          <w:noProof/>
        </w:rPr>
        <w:t xml:space="preserve"> </w:t>
      </w:r>
      <w:r w:rsidR="00881C19" w:rsidRPr="001C45D7">
        <w:rPr>
          <w:noProof/>
        </w:rPr>
        <w:t>2000;</w:t>
      </w:r>
      <w:r w:rsidR="00FA6558" w:rsidRPr="001C45D7">
        <w:rPr>
          <w:noProof/>
        </w:rPr>
        <w:t xml:space="preserve"> </w:t>
      </w:r>
      <w:r w:rsidR="00881C19" w:rsidRPr="001C45D7">
        <w:rPr>
          <w:noProof/>
        </w:rPr>
        <w:t>Carson</w:t>
      </w:r>
      <w:r w:rsidR="00FA6558" w:rsidRPr="001C45D7">
        <w:rPr>
          <w:noProof/>
        </w:rPr>
        <w:t xml:space="preserve"> </w:t>
      </w:r>
      <w:r w:rsidR="00881C19" w:rsidRPr="001C45D7">
        <w:rPr>
          <w:i/>
          <w:noProof/>
        </w:rPr>
        <w:t>et</w:t>
      </w:r>
      <w:r w:rsidR="00FA6558" w:rsidRPr="001C45D7">
        <w:rPr>
          <w:i/>
          <w:noProof/>
        </w:rPr>
        <w:t xml:space="preserve"> </w:t>
      </w:r>
      <w:r w:rsidR="00881C19" w:rsidRPr="001C45D7">
        <w:rPr>
          <w:i/>
          <w:noProof/>
        </w:rPr>
        <w:t>al.</w:t>
      </w:r>
      <w:r w:rsidR="00881C19" w:rsidRPr="001C45D7">
        <w:rPr>
          <w:noProof/>
        </w:rPr>
        <w:t>,</w:t>
      </w:r>
      <w:r w:rsidR="00FA6558" w:rsidRPr="001C45D7">
        <w:rPr>
          <w:noProof/>
        </w:rPr>
        <w:t xml:space="preserve"> </w:t>
      </w:r>
      <w:r w:rsidR="00881C19" w:rsidRPr="001C45D7">
        <w:rPr>
          <w:noProof/>
        </w:rPr>
        <w:t>2003;</w:t>
      </w:r>
      <w:r w:rsidR="00FA6558" w:rsidRPr="001C45D7">
        <w:rPr>
          <w:noProof/>
        </w:rPr>
        <w:t xml:space="preserve"> </w:t>
      </w:r>
      <w:r w:rsidR="00881C19" w:rsidRPr="001C45D7">
        <w:rPr>
          <w:noProof/>
        </w:rPr>
        <w:t>Handley</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Benton,</w:t>
      </w:r>
      <w:r w:rsidR="00FA6558" w:rsidRPr="001C45D7">
        <w:rPr>
          <w:noProof/>
        </w:rPr>
        <w:t xml:space="preserve"> </w:t>
      </w:r>
      <w:r w:rsidR="00881C19" w:rsidRPr="001C45D7">
        <w:rPr>
          <w:noProof/>
        </w:rPr>
        <w:t>2012)</w:t>
      </w:r>
      <w:r w:rsidR="00A703F9" w:rsidRPr="001C45D7">
        <w:fldChar w:fldCharType="end"/>
      </w:r>
      <w:r w:rsidR="00A703F9" w:rsidRPr="001C45D7">
        <w:t>.</w:t>
      </w:r>
      <w:r w:rsidR="00FA6558" w:rsidRPr="001C45D7">
        <w:t xml:space="preserve"> </w:t>
      </w:r>
    </w:p>
    <w:p w14:paraId="5133BBDF" w14:textId="47CEB45A" w:rsidR="00034ECB" w:rsidRPr="001C45D7" w:rsidRDefault="003A0448" w:rsidP="00566B02">
      <w:pPr>
        <w:pStyle w:val="BodyText"/>
      </w:pPr>
      <w:r w:rsidRPr="001C45D7">
        <w:t>As</w:t>
      </w:r>
      <w:r w:rsidR="00FA6558" w:rsidRPr="001C45D7">
        <w:t xml:space="preserve"> </w:t>
      </w:r>
      <w:r w:rsidRPr="001C45D7">
        <w:t>discussed</w:t>
      </w:r>
      <w:r w:rsidR="00FA6558" w:rsidRPr="001C45D7">
        <w:t xml:space="preserve"> </w:t>
      </w:r>
      <w:r w:rsidRPr="001C45D7">
        <w:t>earlier,</w:t>
      </w:r>
      <w:r w:rsidR="00FA6558" w:rsidRPr="001C45D7">
        <w:t xml:space="preserve"> </w:t>
      </w:r>
      <w:r w:rsidRPr="001C45D7">
        <w:t>a</w:t>
      </w:r>
      <w:r w:rsidR="00FA6558" w:rsidRPr="001C45D7">
        <w:t xml:space="preserve"> </w:t>
      </w:r>
      <w:r w:rsidRPr="001C45D7">
        <w:t>contract</w:t>
      </w:r>
      <w:r w:rsidR="00FA6558" w:rsidRPr="001C45D7">
        <w:t xml:space="preserve"> </w:t>
      </w:r>
      <w:r w:rsidRPr="001C45D7">
        <w:t>containing</w:t>
      </w:r>
      <w:r w:rsidR="00FA6558" w:rsidRPr="001C45D7">
        <w:t xml:space="preserve"> </w:t>
      </w:r>
      <w:r w:rsidRPr="001C45D7">
        <w:t>a</w:t>
      </w:r>
      <w:r w:rsidR="00FA6558" w:rsidRPr="001C45D7">
        <w:t xml:space="preserve"> </w:t>
      </w:r>
      <w:r w:rsidRPr="001C45D7">
        <w:t>clear</w:t>
      </w:r>
      <w:r w:rsidR="00FA6558" w:rsidRPr="001C45D7">
        <w:t xml:space="preserve"> </w:t>
      </w:r>
      <w:r w:rsidRPr="001C45D7">
        <w:t>process</w:t>
      </w:r>
      <w:r w:rsidR="00FA6558" w:rsidRPr="001C45D7">
        <w:t xml:space="preserve"> </w:t>
      </w:r>
      <w:r w:rsidR="00B83F90" w:rsidRPr="001C45D7">
        <w:t xml:space="preserve">for </w:t>
      </w:r>
      <w:r w:rsidRPr="001C45D7">
        <w:t>resolving</w:t>
      </w:r>
      <w:r w:rsidR="00FA6558" w:rsidRPr="001C45D7">
        <w:t xml:space="preserve"> </w:t>
      </w:r>
      <w:r w:rsidRPr="001C45D7">
        <w:t>unforeseen</w:t>
      </w:r>
      <w:r w:rsidR="00FA6558" w:rsidRPr="001C45D7">
        <w:t xml:space="preserve"> </w:t>
      </w:r>
      <w:r w:rsidRPr="001C45D7">
        <w:t>problems</w:t>
      </w:r>
      <w:r w:rsidR="00FA6558" w:rsidRPr="001C45D7">
        <w:t xml:space="preserve"> </w:t>
      </w:r>
      <w:r w:rsidRPr="001C45D7">
        <w:t>could</w:t>
      </w:r>
      <w:r w:rsidR="00FA6558" w:rsidRPr="001C45D7">
        <w:t xml:space="preserve"> </w:t>
      </w:r>
      <w:r w:rsidRPr="001C45D7">
        <w:t>provide</w:t>
      </w:r>
      <w:r w:rsidR="00FA6558" w:rsidRPr="001C45D7">
        <w:t xml:space="preserve"> </w:t>
      </w:r>
      <w:r w:rsidRPr="001C45D7">
        <w:t>some</w:t>
      </w:r>
      <w:r w:rsidR="00FA6558" w:rsidRPr="001C45D7">
        <w:t xml:space="preserve"> </w:t>
      </w:r>
      <w:r w:rsidRPr="001C45D7">
        <w:t>level</w:t>
      </w:r>
      <w:r w:rsidR="00FA6558" w:rsidRPr="001C45D7">
        <w:t xml:space="preserve"> </w:t>
      </w:r>
      <w:r w:rsidRPr="001C45D7">
        <w:t>of</w:t>
      </w:r>
      <w:r w:rsidR="00FA6558" w:rsidRPr="001C45D7">
        <w:t xml:space="preserve"> </w:t>
      </w:r>
      <w:r w:rsidRPr="001C45D7">
        <w:t>protection</w:t>
      </w:r>
      <w:r w:rsidR="00FA6558" w:rsidRPr="001C45D7">
        <w:t xml:space="preserve"> </w:t>
      </w:r>
      <w:r w:rsidRPr="001C45D7">
        <w:t>against</w:t>
      </w:r>
      <w:r w:rsidR="00FA6558" w:rsidRPr="001C45D7">
        <w:t xml:space="preserve"> </w:t>
      </w:r>
      <w:r w:rsidRPr="001C45D7">
        <w:t>opportunism</w:t>
      </w:r>
      <w:r w:rsidR="00FA6558" w:rsidRPr="001C45D7">
        <w:t xml:space="preserve"> </w:t>
      </w:r>
      <w:r w:rsidRPr="001C45D7">
        <w:t>in</w:t>
      </w:r>
      <w:r w:rsidR="00FA6558" w:rsidRPr="001C45D7">
        <w:t xml:space="preserve"> </w:t>
      </w:r>
      <w:r w:rsidR="00397987" w:rsidRPr="001C45D7">
        <w:t>these</w:t>
      </w:r>
      <w:r w:rsidR="00FA6558" w:rsidRPr="001C45D7">
        <w:t xml:space="preserve"> </w:t>
      </w:r>
      <w:r w:rsidRPr="001C45D7">
        <w:t>situation</w:t>
      </w:r>
      <w:r w:rsidR="00397987" w:rsidRPr="001C45D7">
        <w:t>s</w:t>
      </w:r>
      <w:r w:rsidR="00FA6558" w:rsidRPr="001C45D7">
        <w:t xml:space="preserve"> </w:t>
      </w:r>
      <w:r w:rsidRPr="001C45D7">
        <w:t>(Carson</w:t>
      </w:r>
      <w:r w:rsidR="00FA6558" w:rsidRPr="001C45D7">
        <w:t xml:space="preserve"> </w:t>
      </w:r>
      <w:r w:rsidRPr="001C45D7">
        <w:rPr>
          <w:i/>
        </w:rPr>
        <w:t>et</w:t>
      </w:r>
      <w:r w:rsidR="00FA6558" w:rsidRPr="001C45D7">
        <w:rPr>
          <w:i/>
        </w:rPr>
        <w:t xml:space="preserve"> </w:t>
      </w:r>
      <w:r w:rsidRPr="001C45D7">
        <w:rPr>
          <w:i/>
        </w:rPr>
        <w:t>al</w:t>
      </w:r>
      <w:r w:rsidRPr="001C45D7">
        <w:t>.,</w:t>
      </w:r>
      <w:r w:rsidR="00FA6558" w:rsidRPr="001C45D7">
        <w:t xml:space="preserve"> </w:t>
      </w:r>
      <w:r w:rsidRPr="001C45D7">
        <w:t>2003;</w:t>
      </w:r>
      <w:r w:rsidR="00FA6558" w:rsidRPr="001C45D7">
        <w:t xml:space="preserve"> </w:t>
      </w:r>
      <w:proofErr w:type="spellStart"/>
      <w:r w:rsidRPr="001C45D7">
        <w:t>Poppo</w:t>
      </w:r>
      <w:proofErr w:type="spellEnd"/>
      <w:r w:rsidR="00FA6558" w:rsidRPr="001C45D7">
        <w:t xml:space="preserve"> </w:t>
      </w:r>
      <w:r w:rsidRPr="001C45D7">
        <w:t>and</w:t>
      </w:r>
      <w:r w:rsidR="00FA6558" w:rsidRPr="001C45D7">
        <w:t xml:space="preserve"> </w:t>
      </w:r>
      <w:r w:rsidRPr="001C45D7">
        <w:t>Zenger,</w:t>
      </w:r>
      <w:r w:rsidR="00FA6558" w:rsidRPr="001C45D7">
        <w:t xml:space="preserve"> </w:t>
      </w:r>
      <w:r w:rsidRPr="001C45D7">
        <w:t>2002)</w:t>
      </w:r>
      <w:r w:rsidR="000838B1" w:rsidRPr="001C45D7">
        <w:t>.</w:t>
      </w:r>
      <w:r w:rsidR="00FA6558" w:rsidRPr="001C45D7">
        <w:t xml:space="preserve"> </w:t>
      </w:r>
      <w:r w:rsidR="000838B1" w:rsidRPr="001C45D7">
        <w:t>However</w:t>
      </w:r>
      <w:r w:rsidR="007D7FB3" w:rsidRPr="001C45D7">
        <w:t>,</w:t>
      </w:r>
      <w:r w:rsidR="00FA6558" w:rsidRPr="001C45D7">
        <w:t xml:space="preserve"> </w:t>
      </w:r>
      <w:r w:rsidR="007D7FB3" w:rsidRPr="001C45D7">
        <w:t>o</w:t>
      </w:r>
      <w:r w:rsidRPr="001C45D7">
        <w:t>ur</w:t>
      </w:r>
      <w:r w:rsidR="00FA6558" w:rsidRPr="001C45D7">
        <w:t xml:space="preserve"> </w:t>
      </w:r>
      <w:r w:rsidRPr="001C45D7">
        <w:t>results</w:t>
      </w:r>
      <w:r w:rsidR="00FA6558" w:rsidRPr="001C45D7">
        <w:t xml:space="preserve"> </w:t>
      </w:r>
      <w:r w:rsidRPr="001C45D7">
        <w:t>suggested</w:t>
      </w:r>
      <w:r w:rsidR="00FA6558" w:rsidRPr="001C45D7">
        <w:t xml:space="preserve"> </w:t>
      </w:r>
      <w:r w:rsidRPr="001C45D7">
        <w:t>that</w:t>
      </w:r>
      <w:r w:rsidR="00FA6558" w:rsidRPr="001C45D7">
        <w:t xml:space="preserve"> </w:t>
      </w:r>
      <w:r w:rsidRPr="001C45D7">
        <w:t>due</w:t>
      </w:r>
      <w:r w:rsidR="00FA6558" w:rsidRPr="001C45D7">
        <w:t xml:space="preserve"> </w:t>
      </w:r>
      <w:r w:rsidRPr="001C45D7">
        <w:t>to</w:t>
      </w:r>
      <w:r w:rsidR="00FA6558" w:rsidRPr="001C45D7">
        <w:t xml:space="preserve"> </w:t>
      </w:r>
      <w:r w:rsidRPr="001C45D7">
        <w:t>the</w:t>
      </w:r>
      <w:r w:rsidR="00FA6558" w:rsidRPr="001C45D7">
        <w:t xml:space="preserve"> </w:t>
      </w:r>
      <w:r w:rsidRPr="001C45D7">
        <w:t>magnitude</w:t>
      </w:r>
      <w:r w:rsidR="00FA6558" w:rsidRPr="001C45D7">
        <w:t xml:space="preserve"> </w:t>
      </w:r>
      <w:r w:rsidRPr="001C45D7">
        <w:t>of</w:t>
      </w:r>
      <w:r w:rsidR="00FA6558" w:rsidRPr="001C45D7">
        <w:t xml:space="preserve"> </w:t>
      </w:r>
      <w:r w:rsidRPr="001C45D7">
        <w:t>changes</w:t>
      </w:r>
      <w:r w:rsidR="00FA6558" w:rsidRPr="001C45D7">
        <w:t xml:space="preserve"> </w:t>
      </w:r>
      <w:r w:rsidRPr="001C45D7">
        <w:t>brought</w:t>
      </w:r>
      <w:r w:rsidR="00FA6558" w:rsidRPr="001C45D7">
        <w:t xml:space="preserve"> </w:t>
      </w:r>
      <w:r w:rsidRPr="001C45D7">
        <w:t>into</w:t>
      </w:r>
      <w:r w:rsidR="00FA6558" w:rsidRPr="001C45D7">
        <w:t xml:space="preserve"> </w:t>
      </w:r>
      <w:r w:rsidRPr="001C45D7">
        <w:t>the</w:t>
      </w:r>
      <w:r w:rsidR="00FA6558" w:rsidRPr="001C45D7">
        <w:t xml:space="preserve"> </w:t>
      </w:r>
      <w:r w:rsidRPr="001C45D7">
        <w:t>dynamics</w:t>
      </w:r>
      <w:r w:rsidR="00FA6558" w:rsidRPr="001C45D7">
        <w:t xml:space="preserve"> </w:t>
      </w:r>
      <w:r w:rsidRPr="001C45D7">
        <w:t>of</w:t>
      </w:r>
      <w:r w:rsidR="00FA6558" w:rsidRPr="001C45D7">
        <w:t xml:space="preserve"> </w:t>
      </w:r>
      <w:r w:rsidRPr="001C45D7">
        <w:t>a</w:t>
      </w:r>
      <w:r w:rsidR="00FA6558" w:rsidRPr="001C45D7">
        <w:t xml:space="preserve"> </w:t>
      </w:r>
      <w:r w:rsidRPr="001C45D7">
        <w:t>relationship,</w:t>
      </w:r>
      <w:r w:rsidR="00FA6558" w:rsidRPr="001C45D7">
        <w:t xml:space="preserve"> </w:t>
      </w:r>
      <w:r w:rsidRPr="001C45D7">
        <w:t>this</w:t>
      </w:r>
      <w:r w:rsidR="00FA6558" w:rsidRPr="001C45D7">
        <w:t xml:space="preserve"> </w:t>
      </w:r>
      <w:r w:rsidRPr="001C45D7">
        <w:t>argument</w:t>
      </w:r>
      <w:r w:rsidR="00FA6558" w:rsidRPr="001C45D7">
        <w:t xml:space="preserve"> </w:t>
      </w:r>
      <w:r w:rsidRPr="001C45D7">
        <w:t>may</w:t>
      </w:r>
      <w:r w:rsidR="00FA6558" w:rsidRPr="001C45D7">
        <w:t xml:space="preserve"> </w:t>
      </w:r>
      <w:r w:rsidRPr="001C45D7">
        <w:t>not</w:t>
      </w:r>
      <w:r w:rsidR="00FA6558" w:rsidRPr="001C45D7">
        <w:t xml:space="preserve"> </w:t>
      </w:r>
      <w:r w:rsidRPr="001C45D7">
        <w:t>be</w:t>
      </w:r>
      <w:r w:rsidR="00FA6558" w:rsidRPr="001C45D7">
        <w:t xml:space="preserve"> </w:t>
      </w:r>
      <w:r w:rsidRPr="001C45D7">
        <w:t>applicable</w:t>
      </w:r>
      <w:r w:rsidR="00FA6558" w:rsidRPr="001C45D7">
        <w:t xml:space="preserve"> </w:t>
      </w:r>
      <w:r w:rsidRPr="001C45D7">
        <w:t>to</w:t>
      </w:r>
      <w:r w:rsidR="00FA6558" w:rsidRPr="001C45D7">
        <w:t xml:space="preserve"> </w:t>
      </w:r>
      <w:r w:rsidRPr="001C45D7">
        <w:t>supply</w:t>
      </w:r>
      <w:r w:rsidR="00FA6558" w:rsidRPr="001C45D7">
        <w:t xml:space="preserve"> </w:t>
      </w:r>
      <w:r w:rsidRPr="001C45D7">
        <w:t>chain</w:t>
      </w:r>
      <w:r w:rsidR="00FA6558" w:rsidRPr="001C45D7">
        <w:t xml:space="preserve"> </w:t>
      </w:r>
      <w:r w:rsidRPr="001C45D7">
        <w:t>digitalisation.</w:t>
      </w:r>
      <w:r w:rsidR="00FA6558" w:rsidRPr="001C45D7">
        <w:t xml:space="preserve"> </w:t>
      </w:r>
      <w:r w:rsidRPr="001C45D7">
        <w:t>This</w:t>
      </w:r>
      <w:r w:rsidR="00FA6558" w:rsidRPr="001C45D7">
        <w:t xml:space="preserve"> </w:t>
      </w:r>
      <w:r w:rsidRPr="001C45D7">
        <w:t>suggests</w:t>
      </w:r>
      <w:r w:rsidR="00FA6558" w:rsidRPr="001C45D7">
        <w:t xml:space="preserve"> </w:t>
      </w:r>
      <w:r w:rsidRPr="001C45D7">
        <w:t>that</w:t>
      </w:r>
      <w:r w:rsidR="00FA6558" w:rsidRPr="001C45D7">
        <w:t xml:space="preserve"> </w:t>
      </w:r>
      <w:r w:rsidRPr="001C45D7">
        <w:t>the</w:t>
      </w:r>
      <w:r w:rsidR="00FA6558" w:rsidRPr="001C45D7">
        <w:t xml:space="preserve"> </w:t>
      </w:r>
      <w:r w:rsidRPr="001C45D7">
        <w:t>only</w:t>
      </w:r>
      <w:r w:rsidR="00FA6558" w:rsidRPr="001C45D7">
        <w:t xml:space="preserve"> </w:t>
      </w:r>
      <w:r w:rsidRPr="001C45D7">
        <w:t>governance-based</w:t>
      </w:r>
      <w:r w:rsidR="00FA6558" w:rsidRPr="001C45D7">
        <w:t xml:space="preserve"> </w:t>
      </w:r>
      <w:r w:rsidRPr="001C45D7">
        <w:t>mechanism</w:t>
      </w:r>
      <w:r w:rsidR="00FA6558" w:rsidRPr="001C45D7">
        <w:t xml:space="preserve"> </w:t>
      </w:r>
      <w:r w:rsidR="005F1B8A" w:rsidRPr="001C45D7">
        <w:t>fit to tackle</w:t>
      </w:r>
      <w:r w:rsidR="00FA6558" w:rsidRPr="001C45D7">
        <w:t xml:space="preserve"> </w:t>
      </w:r>
      <w:r w:rsidRPr="001C45D7">
        <w:t>opportunism</w:t>
      </w:r>
      <w:r w:rsidR="00FA6558" w:rsidRPr="001C45D7">
        <w:t xml:space="preserve"> </w:t>
      </w:r>
      <w:r w:rsidR="00C62E1A" w:rsidRPr="001C45D7">
        <w:t>of</w:t>
      </w:r>
      <w:r w:rsidR="00FA6558" w:rsidRPr="001C45D7">
        <w:t xml:space="preserve"> </w:t>
      </w:r>
      <w:r w:rsidR="00C62E1A" w:rsidRPr="001C45D7">
        <w:t>this</w:t>
      </w:r>
      <w:r w:rsidR="00FA6558" w:rsidRPr="001C45D7">
        <w:t xml:space="preserve"> </w:t>
      </w:r>
      <w:r w:rsidR="00C62E1A" w:rsidRPr="001C45D7">
        <w:t>nature</w:t>
      </w:r>
      <w:r w:rsidR="00FA6558" w:rsidRPr="001C45D7">
        <w:t xml:space="preserve"> </w:t>
      </w:r>
      <w:r w:rsidR="00882844" w:rsidRPr="001C45D7">
        <w:t>is</w:t>
      </w:r>
      <w:r w:rsidR="000838B1" w:rsidRPr="001C45D7">
        <w:t xml:space="preserve"> </w:t>
      </w:r>
      <w:r w:rsidRPr="001C45D7">
        <w:t>relational</w:t>
      </w:r>
      <w:r w:rsidR="00FA6558" w:rsidRPr="001C45D7">
        <w:t xml:space="preserve"> </w:t>
      </w:r>
      <w:r w:rsidRPr="001C45D7">
        <w:t>governance</w:t>
      </w:r>
      <w:r w:rsidR="00882844" w:rsidRPr="001C45D7">
        <w:t xml:space="preserve">. </w:t>
      </w:r>
      <w:r w:rsidR="00881C19" w:rsidRPr="001C45D7">
        <w:t>As</w:t>
      </w:r>
      <w:r w:rsidR="00FA6558" w:rsidRPr="001C45D7">
        <w:t xml:space="preserve"> </w:t>
      </w:r>
      <w:r w:rsidR="00881C19" w:rsidRPr="001C45D7">
        <w:t>discussed</w:t>
      </w:r>
      <w:r w:rsidR="00FA6558" w:rsidRPr="001C45D7">
        <w:t xml:space="preserve"> </w:t>
      </w:r>
      <w:r w:rsidR="00881C19" w:rsidRPr="001C45D7">
        <w:t>earlier,</w:t>
      </w:r>
      <w:r w:rsidR="00FA6558" w:rsidRPr="001C45D7">
        <w:t xml:space="preserve"> </w:t>
      </w:r>
      <w:r w:rsidR="000838B1" w:rsidRPr="001C45D7">
        <w:t xml:space="preserve">a </w:t>
      </w:r>
      <w:r w:rsidR="00881C19" w:rsidRPr="001C45D7">
        <w:t>sufficient</w:t>
      </w:r>
      <w:r w:rsidR="00FA6558" w:rsidRPr="001C45D7">
        <w:t xml:space="preserve"> </w:t>
      </w:r>
      <w:r w:rsidR="00881C19" w:rsidRPr="001C45D7">
        <w:t>level</w:t>
      </w:r>
      <w:r w:rsidR="00FA6558" w:rsidRPr="001C45D7">
        <w:t xml:space="preserve"> </w:t>
      </w:r>
      <w:r w:rsidR="00881C19" w:rsidRPr="001C45D7">
        <w:t>of</w:t>
      </w:r>
      <w:r w:rsidR="00FA6558" w:rsidRPr="001C45D7">
        <w:t xml:space="preserve"> </w:t>
      </w:r>
      <w:r w:rsidR="00881C19" w:rsidRPr="001C45D7">
        <w:t>relational</w:t>
      </w:r>
      <w:r w:rsidR="00FA6558" w:rsidRPr="001C45D7">
        <w:t xml:space="preserve"> </w:t>
      </w:r>
      <w:r w:rsidR="00881C19" w:rsidRPr="001C45D7">
        <w:t>governance</w:t>
      </w:r>
      <w:r w:rsidR="00FA6558" w:rsidRPr="001C45D7">
        <w:t xml:space="preserve"> </w:t>
      </w:r>
      <w:r w:rsidR="00881C19" w:rsidRPr="001C45D7">
        <w:t>would</w:t>
      </w:r>
      <w:r w:rsidR="00FA6558" w:rsidRPr="001C45D7">
        <w:t xml:space="preserve"> </w:t>
      </w:r>
      <w:r w:rsidR="00881C19" w:rsidRPr="001C45D7">
        <w:t>encourage</w:t>
      </w:r>
      <w:r w:rsidR="00FA6558" w:rsidRPr="001C45D7">
        <w:t xml:space="preserve"> </w:t>
      </w:r>
      <w:r w:rsidR="00881C19" w:rsidRPr="001C45D7">
        <w:t>buyers</w:t>
      </w:r>
      <w:r w:rsidR="00DE100D" w:rsidRPr="001C45D7">
        <w:t xml:space="preserve"> of higher digital capability</w:t>
      </w:r>
      <w:r w:rsidR="00FA6558" w:rsidRPr="001C45D7">
        <w:t xml:space="preserve"> </w:t>
      </w:r>
      <w:r w:rsidR="00DE100D" w:rsidRPr="001C45D7">
        <w:t xml:space="preserve">not </w:t>
      </w:r>
      <w:r w:rsidR="00881C19" w:rsidRPr="001C45D7">
        <w:t>to</w:t>
      </w:r>
      <w:r w:rsidR="00FA6558" w:rsidRPr="001C45D7">
        <w:t xml:space="preserve"> </w:t>
      </w:r>
      <w:r w:rsidR="00881C19" w:rsidRPr="001C45D7">
        <w:t>take</w:t>
      </w:r>
      <w:r w:rsidR="00FA6558" w:rsidRPr="001C45D7">
        <w:t xml:space="preserve"> </w:t>
      </w:r>
      <w:r w:rsidR="00881C19" w:rsidRPr="001C45D7">
        <w:t>advantage</w:t>
      </w:r>
      <w:r w:rsidR="00FA6558" w:rsidRPr="001C45D7">
        <w:t xml:space="preserve"> </w:t>
      </w:r>
      <w:r w:rsidR="00881C19" w:rsidRPr="001C45D7">
        <w:t>of</w:t>
      </w:r>
      <w:r w:rsidR="00FA6558" w:rsidRPr="001C45D7">
        <w:t xml:space="preserve"> </w:t>
      </w:r>
      <w:r w:rsidR="000838B1" w:rsidRPr="001C45D7">
        <w:t xml:space="preserve">the </w:t>
      </w:r>
      <w:r w:rsidR="00881C19" w:rsidRPr="001C45D7">
        <w:t>dependence</w:t>
      </w:r>
      <w:r w:rsidR="00FA6558" w:rsidRPr="001C45D7">
        <w:t xml:space="preserve"> </w:t>
      </w:r>
      <w:r w:rsidR="00881C19" w:rsidRPr="001C45D7">
        <w:t>gap</w:t>
      </w:r>
      <w:r w:rsidR="005844F6" w:rsidRPr="001C45D7">
        <w:t>,</w:t>
      </w:r>
      <w:r w:rsidR="00FA6558" w:rsidRPr="001C45D7">
        <w:t xml:space="preserve"> </w:t>
      </w:r>
      <w:r w:rsidR="000838B1" w:rsidRPr="001C45D7">
        <w:t xml:space="preserve">widened </w:t>
      </w:r>
      <w:r w:rsidR="00881C19" w:rsidRPr="001C45D7">
        <w:t>by</w:t>
      </w:r>
      <w:r w:rsidR="00FA6558" w:rsidRPr="001C45D7">
        <w:t xml:space="preserve"> </w:t>
      </w:r>
      <w:r w:rsidR="00881C19" w:rsidRPr="001C45D7">
        <w:t>digitalisation.</w:t>
      </w:r>
      <w:r w:rsidR="00FA6558" w:rsidRPr="001C45D7">
        <w:t xml:space="preserve"> </w:t>
      </w:r>
      <w:r w:rsidR="00EF73B9" w:rsidRPr="001C45D7">
        <w:t>Relational</w:t>
      </w:r>
      <w:r w:rsidR="00FA6558" w:rsidRPr="001C45D7">
        <w:t xml:space="preserve"> </w:t>
      </w:r>
      <w:r w:rsidRPr="001C45D7">
        <w:t>governance</w:t>
      </w:r>
      <w:r w:rsidR="00FA6558" w:rsidRPr="001C45D7">
        <w:t xml:space="preserve"> </w:t>
      </w:r>
      <w:r w:rsidR="00377A02" w:rsidRPr="001C45D7">
        <w:t>c</w:t>
      </w:r>
      <w:r w:rsidRPr="001C45D7">
        <w:t>ould</w:t>
      </w:r>
      <w:r w:rsidR="00FA6558" w:rsidRPr="001C45D7">
        <w:t xml:space="preserve"> </w:t>
      </w:r>
      <w:r w:rsidRPr="001C45D7">
        <w:t>be</w:t>
      </w:r>
      <w:r w:rsidR="00FA6558" w:rsidRPr="001C45D7">
        <w:t xml:space="preserve"> </w:t>
      </w:r>
      <w:r w:rsidRPr="001C45D7">
        <w:t>a</w:t>
      </w:r>
      <w:r w:rsidR="00EF73B9" w:rsidRPr="001C45D7">
        <w:t>n</w:t>
      </w:r>
      <w:r w:rsidR="00FA6558" w:rsidRPr="001C45D7">
        <w:t xml:space="preserve"> </w:t>
      </w:r>
      <w:r w:rsidR="00EF73B9" w:rsidRPr="001C45D7">
        <w:t>alternative</w:t>
      </w:r>
      <w:r w:rsidR="00FA6558" w:rsidRPr="001C45D7">
        <w:t xml:space="preserve"> </w:t>
      </w:r>
      <w:r w:rsidRPr="001C45D7">
        <w:t>to</w:t>
      </w:r>
      <w:r w:rsidR="00FA6558" w:rsidRPr="001C45D7">
        <w:t xml:space="preserve"> </w:t>
      </w:r>
      <w:r w:rsidRPr="001C45D7">
        <w:t>complex</w:t>
      </w:r>
      <w:r w:rsidR="00FA6558" w:rsidRPr="001C45D7">
        <w:t xml:space="preserve"> </w:t>
      </w:r>
      <w:r w:rsidRPr="001C45D7">
        <w:t>and</w:t>
      </w:r>
      <w:r w:rsidR="00FA6558" w:rsidRPr="001C45D7">
        <w:t xml:space="preserve"> </w:t>
      </w:r>
      <w:r w:rsidRPr="001C45D7">
        <w:t>inflexible</w:t>
      </w:r>
      <w:r w:rsidR="00FA6558" w:rsidRPr="001C45D7">
        <w:t xml:space="preserve"> </w:t>
      </w:r>
      <w:r w:rsidRPr="001C45D7">
        <w:t>legal</w:t>
      </w:r>
      <w:r w:rsidR="00FA6558" w:rsidRPr="001C45D7">
        <w:t xml:space="preserve"> </w:t>
      </w:r>
      <w:r w:rsidRPr="001C45D7">
        <w:t>contract</w:t>
      </w:r>
      <w:r w:rsidR="00EF12B1" w:rsidRPr="001C45D7">
        <w:t>s</w:t>
      </w:r>
      <w:r w:rsidR="00FA6558" w:rsidRPr="001C45D7">
        <w:t xml:space="preserve"> </w:t>
      </w:r>
      <w:r w:rsidRPr="001C45D7">
        <w:t>in</w:t>
      </w:r>
      <w:r w:rsidR="00FA6558" w:rsidRPr="001C45D7">
        <w:t xml:space="preserve"> </w:t>
      </w:r>
      <w:r w:rsidRPr="001C45D7">
        <w:t>reducing</w:t>
      </w:r>
      <w:r w:rsidR="00FA6558" w:rsidRPr="001C45D7">
        <w:t xml:space="preserve"> </w:t>
      </w:r>
      <w:r w:rsidRPr="001C45D7">
        <w:t>partner</w:t>
      </w:r>
      <w:r w:rsidR="00FA6558" w:rsidRPr="001C45D7">
        <w:t xml:space="preserve"> </w:t>
      </w:r>
      <w:r w:rsidRPr="001C45D7">
        <w:t>opportunism</w:t>
      </w:r>
      <w:r w:rsidR="00FA6558" w:rsidRPr="001C45D7">
        <w:t xml:space="preserve"> </w:t>
      </w:r>
      <w:r w:rsidRPr="001C45D7">
        <w:t>(</w:t>
      </w:r>
      <w:proofErr w:type="spellStart"/>
      <w:r w:rsidRPr="001C45D7">
        <w:t>Granovetter</w:t>
      </w:r>
      <w:proofErr w:type="spellEnd"/>
      <w:r w:rsidRPr="001C45D7">
        <w:t>,</w:t>
      </w:r>
      <w:r w:rsidR="00FA6558" w:rsidRPr="001C45D7">
        <w:t xml:space="preserve"> </w:t>
      </w:r>
      <w:r w:rsidRPr="001C45D7">
        <w:t>1985;</w:t>
      </w:r>
      <w:r w:rsidR="00FA6558" w:rsidRPr="001C45D7">
        <w:t xml:space="preserve"> </w:t>
      </w:r>
      <w:r w:rsidRPr="001C45D7">
        <w:t>Gulati,</w:t>
      </w:r>
      <w:r w:rsidR="00FA6558" w:rsidRPr="001C45D7">
        <w:t xml:space="preserve"> </w:t>
      </w:r>
      <w:r w:rsidRPr="001C45D7">
        <w:t>1995;</w:t>
      </w:r>
      <w:r w:rsidR="00FA6558" w:rsidRPr="001C45D7">
        <w:t xml:space="preserve"> </w:t>
      </w:r>
      <w:r w:rsidRPr="001C45D7">
        <w:t>Hill,</w:t>
      </w:r>
      <w:r w:rsidR="00FA6558" w:rsidRPr="001C45D7">
        <w:t xml:space="preserve"> </w:t>
      </w:r>
      <w:r w:rsidRPr="001C45D7">
        <w:t>1990;</w:t>
      </w:r>
      <w:r w:rsidR="00FA6558" w:rsidRPr="001C45D7">
        <w:t xml:space="preserve"> </w:t>
      </w:r>
      <w:proofErr w:type="spellStart"/>
      <w:r w:rsidRPr="001C45D7">
        <w:t>Uzzi</w:t>
      </w:r>
      <w:proofErr w:type="spellEnd"/>
      <w:r w:rsidRPr="001C45D7">
        <w:t>,</w:t>
      </w:r>
      <w:r w:rsidR="00FA6558" w:rsidRPr="001C45D7">
        <w:t xml:space="preserve"> </w:t>
      </w:r>
      <w:r w:rsidRPr="001C45D7">
        <w:t>1997)</w:t>
      </w:r>
      <w:r w:rsidR="00EF73B9" w:rsidRPr="001C45D7">
        <w:t>,</w:t>
      </w:r>
      <w:r w:rsidR="00FA6558" w:rsidRPr="001C45D7">
        <w:t xml:space="preserve"> </w:t>
      </w:r>
      <w:r w:rsidR="00EF73B9" w:rsidRPr="001C45D7">
        <w:t>especially</w:t>
      </w:r>
      <w:r w:rsidR="00FA6558" w:rsidRPr="001C45D7">
        <w:t xml:space="preserve"> </w:t>
      </w:r>
      <w:r w:rsidR="00EF73B9" w:rsidRPr="001C45D7">
        <w:t>for</w:t>
      </w:r>
      <w:r w:rsidR="00FA6558" w:rsidRPr="001C45D7">
        <w:t xml:space="preserve"> </w:t>
      </w:r>
      <w:r w:rsidR="00EF73B9" w:rsidRPr="001C45D7">
        <w:t>high</w:t>
      </w:r>
      <w:r w:rsidR="00085B63" w:rsidRPr="001C45D7">
        <w:t>-</w:t>
      </w:r>
      <w:r w:rsidR="00EF73B9" w:rsidRPr="001C45D7">
        <w:t>uncertainty</w:t>
      </w:r>
      <w:r w:rsidR="00FA6558" w:rsidRPr="001C45D7">
        <w:t xml:space="preserve"> </w:t>
      </w:r>
      <w:r w:rsidR="00EF73B9" w:rsidRPr="001C45D7">
        <w:t>situations</w:t>
      </w:r>
      <w:r w:rsidR="00FA6558" w:rsidRPr="001C45D7">
        <w:t xml:space="preserve"> </w:t>
      </w:r>
      <w:r w:rsidR="00EF73B9" w:rsidRPr="001C45D7">
        <w:fldChar w:fldCharType="begin" w:fldLock="1"/>
      </w:r>
      <w:r w:rsidR="00881C19" w:rsidRPr="001C45D7">
        <w:instrText>ADDIN CSL_CITATION {"citationItems":[{"id":"ITEM-1","itemData":{"DOI":"10.1287/orsc.14.1.45.12811","abstract":"Please scroll down for article-it is on subsequent pages With 12,500 members from nearly 90 countries, INFORMS is the largest international association of operations research (O.R.) and analytics professionals and students. INFORMS provides unique networking and learning opportunities for individual professionals, and organizations of all types and sizes, to better understand and use O.R. and analytics tools and methods to transform strategic visions and achieve better outcomes. For more information on INFORMS, its publications, membership, or meetings visit","author":[{"dropping-particle":"","family":"Carson","given":"Stephen J","non-dropping-particle":"","parse-names":false,"suffix":""},{"dropping-particle":"","family":"Madhok","given":"Anoop","non-dropping-particle":"","parse-names":false,"suffix":""},{"dropping-particle":"","family":"Varman","given":"Rohit","non-dropping-particle":"","parse-names":false,"suffix":""},{"dropping-particle":"","family":"John","given":"George","non-dropping-particle":"","parse-names":false,"suffix":""}],"container-title":"Organization Science","id":"ITEM-1","issue":"1","issued":{"date-parts":[["2003"]]},"page":"45-56","publisher":"Institute for Operations Research and Management Sciences","title":"Information Processing Moderators of the Effectiveness of Trust-Based Governance in Interfirm R&amp;D Collaboration","type":"article-journal","volume":"14"},"uris":["http://www.mendeley.com/documents/?uuid=efde160d-84a5-35b4-bc5a-b0f0408808f5"]},{"id":"ITEM-2","itemData":{"DOI":"10.1016/j.jom.2012.03.005","ISSN":"02726963","abstract":"This paper theoretically refines and empirically extends the debate on the type of interplay between relational experience and contractual governance in an under-researched area: supply chain disputes. We define relational experience as either cooperative or competitive; distinguish between control and coordination functions of contractual governance; and assess their interplay on the negotiation strategy used in disputes. Using a unique data set of buyer-supplier disputes, we find, in particular that increasing contractual control governance weakens the positive effect of cooperative relational experience on cooperative negotiation strategy. However, increasing contractual control governance for a buyer-supplier dyad with competitive relational experience will increase cooperative negotiation strategy. Contractual coordination governance reinforces the positive effect of cooperative relational experience. Through this study, we reach a better understanding of how and when contractual and relational governance dimensions interact; rather than whether they act as substitutes or complements as has been studied in prior research. We discuss the implications of these findings for the field of supply chain management. © 2012 Elsevier B.V. All rights reserved.","author":[{"dropping-particle":"","family":"Lumineau","given":"Fabrice","non-dropping-particle":"","parse-names":false,"suffix":""},{"dropping-particle":"","family":"Henderson","given":"James E.","non-dropping-particle":"","parse-names":false,"suffix":""}],"container-title":"Journal of Operations Management","id":"ITEM-2","issue":"5","issued":{"date-parts":[["2012","7"]]},"page":"382-395","title":"The influence of relational experience and contractual governance on the negotiation strategy in buyer-supplier disputes","type":"article-journal","volume":"30"},"uris":["http://www.mendeley.com/documents/?uuid=e73b9f24-77c1-3a43-a413-26166676ef38"]}],"mendeley":{"formattedCitation":"(Carson &lt;i&gt;et al.&lt;/i&gt;, 2003; Lumineau and Henderson, 2012)","plainTextFormattedCitation":"(Carson et al., 2003; Lumineau and Henderson, 2012)","previouslyFormattedCitation":"(Carson &lt;i&gt;et al.&lt;/i&gt;, 2003; Lumineau and Henderson, 2012)"},"properties":{"noteIndex":0},"schema":"https://github.com/citation-style-language/schema/raw/master/csl-citation.json"}</w:instrText>
      </w:r>
      <w:r w:rsidR="00EF73B9" w:rsidRPr="001C45D7">
        <w:fldChar w:fldCharType="separate"/>
      </w:r>
      <w:r w:rsidR="00881C19" w:rsidRPr="001C45D7">
        <w:rPr>
          <w:noProof/>
        </w:rPr>
        <w:t>(Carson</w:t>
      </w:r>
      <w:r w:rsidR="00FA6558" w:rsidRPr="001C45D7">
        <w:rPr>
          <w:noProof/>
        </w:rPr>
        <w:t xml:space="preserve"> </w:t>
      </w:r>
      <w:r w:rsidR="00881C19" w:rsidRPr="001C45D7">
        <w:rPr>
          <w:i/>
          <w:noProof/>
        </w:rPr>
        <w:t>et</w:t>
      </w:r>
      <w:r w:rsidR="00FA6558" w:rsidRPr="001C45D7">
        <w:rPr>
          <w:i/>
          <w:noProof/>
        </w:rPr>
        <w:t xml:space="preserve"> </w:t>
      </w:r>
      <w:r w:rsidR="00881C19" w:rsidRPr="001C45D7">
        <w:rPr>
          <w:i/>
          <w:noProof/>
        </w:rPr>
        <w:t>al.</w:t>
      </w:r>
      <w:r w:rsidR="00881C19" w:rsidRPr="001C45D7">
        <w:rPr>
          <w:noProof/>
        </w:rPr>
        <w:t>,</w:t>
      </w:r>
      <w:r w:rsidR="00FA6558" w:rsidRPr="001C45D7">
        <w:rPr>
          <w:noProof/>
        </w:rPr>
        <w:t xml:space="preserve"> </w:t>
      </w:r>
      <w:r w:rsidR="00881C19" w:rsidRPr="001C45D7">
        <w:rPr>
          <w:noProof/>
        </w:rPr>
        <w:t>2003;</w:t>
      </w:r>
      <w:r w:rsidR="00FA6558" w:rsidRPr="001C45D7">
        <w:rPr>
          <w:noProof/>
        </w:rPr>
        <w:t xml:space="preserve"> </w:t>
      </w:r>
      <w:r w:rsidR="00881C19" w:rsidRPr="001C45D7">
        <w:rPr>
          <w:noProof/>
        </w:rPr>
        <w:t>Lumineau</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Henderson,</w:t>
      </w:r>
      <w:r w:rsidR="00FA6558" w:rsidRPr="001C45D7">
        <w:rPr>
          <w:noProof/>
        </w:rPr>
        <w:t xml:space="preserve"> </w:t>
      </w:r>
      <w:r w:rsidR="00881C19" w:rsidRPr="001C45D7">
        <w:rPr>
          <w:noProof/>
        </w:rPr>
        <w:t>2012)</w:t>
      </w:r>
      <w:r w:rsidR="00EF73B9" w:rsidRPr="001C45D7">
        <w:fldChar w:fldCharType="end"/>
      </w:r>
      <w:r w:rsidR="00EF73B9" w:rsidRPr="001C45D7">
        <w:t>.</w:t>
      </w:r>
      <w:r w:rsidR="00FA6558" w:rsidRPr="001C45D7">
        <w:t xml:space="preserve"> </w:t>
      </w:r>
      <w:r w:rsidR="006707A7" w:rsidRPr="001C45D7">
        <w:t>R</w:t>
      </w:r>
      <w:r w:rsidR="00CF17C0" w:rsidRPr="001C45D7">
        <w:t>elational</w:t>
      </w:r>
      <w:r w:rsidR="00FA6558" w:rsidRPr="001C45D7">
        <w:t xml:space="preserve"> </w:t>
      </w:r>
      <w:r w:rsidR="00CF17C0" w:rsidRPr="001C45D7">
        <w:t>governance</w:t>
      </w:r>
      <w:r w:rsidR="00FA6558" w:rsidRPr="001C45D7">
        <w:t xml:space="preserve"> </w:t>
      </w:r>
      <w:r w:rsidR="00EF73B9" w:rsidRPr="001C45D7">
        <w:t>is</w:t>
      </w:r>
      <w:r w:rsidR="00FA6558" w:rsidRPr="001C45D7">
        <w:t xml:space="preserve"> </w:t>
      </w:r>
      <w:r w:rsidR="006707A7" w:rsidRPr="001C45D7">
        <w:t xml:space="preserve">also </w:t>
      </w:r>
      <w:r w:rsidR="00EF73B9" w:rsidRPr="001C45D7">
        <w:t>less</w:t>
      </w:r>
      <w:r w:rsidR="00FA6558" w:rsidRPr="001C45D7">
        <w:t xml:space="preserve"> </w:t>
      </w:r>
      <w:r w:rsidR="00EF73B9" w:rsidRPr="001C45D7">
        <w:t>costly</w:t>
      </w:r>
      <w:r w:rsidR="00FA6558" w:rsidRPr="001C45D7">
        <w:t xml:space="preserve"> </w:t>
      </w:r>
      <w:r w:rsidR="00EF73B9" w:rsidRPr="001C45D7">
        <w:t>than</w:t>
      </w:r>
      <w:r w:rsidR="00FA6558" w:rsidRPr="001C45D7">
        <w:t xml:space="preserve"> </w:t>
      </w:r>
      <w:r w:rsidR="00EF73B9" w:rsidRPr="001C45D7">
        <w:t>contractual</w:t>
      </w:r>
      <w:r w:rsidR="00FA6558" w:rsidRPr="001C45D7">
        <w:t xml:space="preserve"> </w:t>
      </w:r>
      <w:r w:rsidR="00EF73B9" w:rsidRPr="001C45D7">
        <w:t>governance</w:t>
      </w:r>
      <w:r w:rsidR="00FA6558" w:rsidRPr="001C45D7">
        <w:t xml:space="preserve"> </w:t>
      </w:r>
      <w:r w:rsidR="00CF17C0" w:rsidRPr="001C45D7">
        <w:fldChar w:fldCharType="begin" w:fldLock="1"/>
      </w:r>
      <w:r w:rsidR="00CF17C0" w:rsidRPr="001C45D7">
        <w:instrText>ADDIN CSL_CITATION {"citationItems":[{"id":"ITEM-1","itemData":{"DOI":"10.5465/amr.1990.4309111","ISSN":"0363-7425","abstract":"Transaction cost theorists have generally neglected to consider the implications that the invisible hand of the market mechanism can have for the risk of opportunism. In the long run, the invisible hand deletes actors whose behaviors are habitually opportunistic. Consequently, as markets move toward the state of competitive equilibrium, the risk of opportunism will be low, even for transactions supported by specific asset investments. Therefore, in many contexts the transaction cost rationale for internalization has been overstated.","author":[{"dropping-particle":"","family":"Hill","given":"Charles W. L.","non-dropping-particle":"","parse-names":false,"suffix":""}],"container-title":"Academy of Management Review","id":"ITEM-1","issue":"3","issued":{"date-parts":[["1990","7"]]},"page":"500-513","publisher":"Academy of Management","title":"Cooperation, Opportunism, and the Invisible Hand: Implications for Transaction Cost Theory","type":"article-journal","volume":"15"},"uris":["http://www.mendeley.com/documents/?uuid=b2ff78ba-e23e-3fac-986d-23adc46d7d97"]}],"mendeley":{"formattedCitation":"(Hill, 1990)","plainTextFormattedCitation":"(Hill, 1990)","previouslyFormattedCitation":"(Hill, 1990)"},"properties":{"noteIndex":0},"schema":"https://github.com/citation-style-language/schema/raw/master/csl-citation.json"}</w:instrText>
      </w:r>
      <w:r w:rsidR="00CF17C0" w:rsidRPr="001C45D7">
        <w:fldChar w:fldCharType="separate"/>
      </w:r>
      <w:r w:rsidR="00CF17C0" w:rsidRPr="001C45D7">
        <w:rPr>
          <w:noProof/>
        </w:rPr>
        <w:t>(Hill,</w:t>
      </w:r>
      <w:r w:rsidR="00FA6558" w:rsidRPr="001C45D7">
        <w:rPr>
          <w:noProof/>
        </w:rPr>
        <w:t xml:space="preserve"> </w:t>
      </w:r>
      <w:r w:rsidR="00CF17C0" w:rsidRPr="001C45D7">
        <w:rPr>
          <w:noProof/>
        </w:rPr>
        <w:t>1990)</w:t>
      </w:r>
      <w:r w:rsidR="00CF17C0" w:rsidRPr="001C45D7">
        <w:fldChar w:fldCharType="end"/>
      </w:r>
      <w:r w:rsidR="00260F77" w:rsidRPr="001C45D7">
        <w:t>;</w:t>
      </w:r>
      <w:r w:rsidR="00FA6558" w:rsidRPr="001C45D7">
        <w:t xml:space="preserve"> </w:t>
      </w:r>
      <w:r w:rsidR="00CF17C0" w:rsidRPr="001C45D7">
        <w:t>therefore,</w:t>
      </w:r>
      <w:r w:rsidR="00FA6558" w:rsidRPr="001C45D7">
        <w:t xml:space="preserve"> </w:t>
      </w:r>
      <w:r w:rsidR="00CF17C0" w:rsidRPr="001C45D7">
        <w:t>SMEs</w:t>
      </w:r>
      <w:r w:rsidR="00FA6558" w:rsidRPr="001C45D7">
        <w:t xml:space="preserve"> </w:t>
      </w:r>
      <w:r w:rsidR="00CF17C0" w:rsidRPr="001C45D7">
        <w:t>with</w:t>
      </w:r>
      <w:r w:rsidR="00FA6558" w:rsidRPr="001C45D7">
        <w:t xml:space="preserve"> </w:t>
      </w:r>
      <w:r w:rsidR="00CF17C0" w:rsidRPr="001C45D7">
        <w:t>limited</w:t>
      </w:r>
      <w:r w:rsidR="00FA6558" w:rsidRPr="001C45D7">
        <w:t xml:space="preserve"> </w:t>
      </w:r>
      <w:r w:rsidR="00CF17C0" w:rsidRPr="001C45D7">
        <w:t>resources</w:t>
      </w:r>
      <w:r w:rsidR="00FA6558" w:rsidRPr="001C45D7">
        <w:t xml:space="preserve"> </w:t>
      </w:r>
      <w:r w:rsidR="00CF17C0" w:rsidRPr="001C45D7">
        <w:t>and</w:t>
      </w:r>
      <w:r w:rsidR="00FA6558" w:rsidRPr="001C45D7">
        <w:t xml:space="preserve"> </w:t>
      </w:r>
      <w:r w:rsidR="00CF17C0" w:rsidRPr="001C45D7">
        <w:t>knowledge</w:t>
      </w:r>
      <w:r w:rsidR="00FA6558" w:rsidRPr="001C45D7">
        <w:t xml:space="preserve"> </w:t>
      </w:r>
      <w:r w:rsidR="00CF17C0" w:rsidRPr="001C45D7">
        <w:t>(both</w:t>
      </w:r>
      <w:r w:rsidR="00FA6558" w:rsidRPr="001C45D7">
        <w:t xml:space="preserve"> </w:t>
      </w:r>
      <w:r w:rsidR="00CF17C0" w:rsidRPr="001C45D7">
        <w:t>technical</w:t>
      </w:r>
      <w:r w:rsidR="00FA6558" w:rsidRPr="001C45D7">
        <w:t xml:space="preserve"> </w:t>
      </w:r>
      <w:r w:rsidR="00CF17C0" w:rsidRPr="001C45D7">
        <w:t>and</w:t>
      </w:r>
      <w:r w:rsidR="00FA6558" w:rsidRPr="001C45D7">
        <w:t xml:space="preserve"> </w:t>
      </w:r>
      <w:r w:rsidR="00CF17C0" w:rsidRPr="001C45D7">
        <w:t>legal)</w:t>
      </w:r>
      <w:r w:rsidR="00FA6558" w:rsidRPr="001C45D7">
        <w:t xml:space="preserve"> </w:t>
      </w:r>
      <w:r w:rsidR="001622CE" w:rsidRPr="001C45D7">
        <w:t xml:space="preserve">may </w:t>
      </w:r>
      <w:r w:rsidR="007D7FB3" w:rsidRPr="001C45D7">
        <w:t>prefer</w:t>
      </w:r>
      <w:r w:rsidR="00FA6558" w:rsidRPr="001C45D7">
        <w:t xml:space="preserve"> </w:t>
      </w:r>
      <w:r w:rsidR="000838B1" w:rsidRPr="001C45D7">
        <w:t xml:space="preserve">to </w:t>
      </w:r>
      <w:r w:rsidR="00CF17C0" w:rsidRPr="001C45D7">
        <w:t>rely</w:t>
      </w:r>
      <w:r w:rsidR="00FA6558" w:rsidRPr="001C45D7">
        <w:t xml:space="preserve"> </w:t>
      </w:r>
      <w:r w:rsidR="00CF17C0" w:rsidRPr="001C45D7">
        <w:t>on</w:t>
      </w:r>
      <w:r w:rsidR="00FA6558" w:rsidRPr="001C45D7">
        <w:t xml:space="preserve"> </w:t>
      </w:r>
      <w:r w:rsidR="00CF17C0" w:rsidRPr="001C45D7">
        <w:t>this</w:t>
      </w:r>
      <w:r w:rsidR="00FA6558" w:rsidRPr="001C45D7">
        <w:t xml:space="preserve"> </w:t>
      </w:r>
      <w:r w:rsidR="001622CE" w:rsidRPr="001C45D7">
        <w:t xml:space="preserve">form of governance </w:t>
      </w:r>
      <w:r w:rsidR="00102423" w:rsidRPr="001C45D7">
        <w:t xml:space="preserve">rather than </w:t>
      </w:r>
      <w:r w:rsidR="007D7FB3" w:rsidRPr="001C45D7">
        <w:t>committing</w:t>
      </w:r>
      <w:r w:rsidR="00FA6558" w:rsidRPr="001C45D7">
        <w:t xml:space="preserve"> </w:t>
      </w:r>
      <w:r w:rsidR="00881C19" w:rsidRPr="001C45D7">
        <w:t>significant</w:t>
      </w:r>
      <w:r w:rsidR="00FA6558" w:rsidRPr="001C45D7">
        <w:t xml:space="preserve"> </w:t>
      </w:r>
      <w:r w:rsidR="007D7FB3" w:rsidRPr="001C45D7">
        <w:t>resources</w:t>
      </w:r>
      <w:r w:rsidR="00FA6558" w:rsidRPr="001C45D7">
        <w:t xml:space="preserve"> </w:t>
      </w:r>
      <w:r w:rsidR="001622CE" w:rsidRPr="001C45D7">
        <w:t>to</w:t>
      </w:r>
      <w:r w:rsidR="00FA6558" w:rsidRPr="001C45D7">
        <w:t xml:space="preserve"> </w:t>
      </w:r>
      <w:r w:rsidR="007D7FB3" w:rsidRPr="001C45D7">
        <w:t>legal</w:t>
      </w:r>
      <w:r w:rsidR="00FA6558" w:rsidRPr="001C45D7">
        <w:t xml:space="preserve"> </w:t>
      </w:r>
      <w:r w:rsidR="007D7FB3" w:rsidRPr="001C45D7">
        <w:t>mean</w:t>
      </w:r>
      <w:r w:rsidR="001622CE" w:rsidRPr="001C45D7">
        <w:t>s</w:t>
      </w:r>
      <w:r w:rsidR="00FA6558" w:rsidRPr="001C45D7">
        <w:t xml:space="preserve"> </w:t>
      </w:r>
      <w:r w:rsidR="00CF17C0" w:rsidRPr="001C45D7">
        <w:fldChar w:fldCharType="begin" w:fldLock="1"/>
      </w:r>
      <w:r w:rsidR="004A2B48" w:rsidRPr="001C45D7">
        <w:instrText>ADDIN CSL_CITATION {"citationItems":[{"id":"ITEM-1","itemData":{"DOI":"10.1111/jsbm.12423","ISSN":"1540627X","abstract":"Boundary-spanning individuals (BSIs) play a critical role in supply chain management, especially in small and medium-sized enterprises (SMEs) where interactions with buyers and suppliers can depend heavily on just a few individuals. This study, utilizing data from Korean manufacturing-sector SMEs, explores whether cooperative social value orientations of SMEs' BSIs influence the effects of collaborative buyer-supplier initiatives. The results suggested that the performance implication of decision-sharing initiative increases when BSIs have a high level of cooperative social value orientation. However, it also negatively moderates the relationship between risk/benefit sharing (involving financial losses or gains) and performance suggesting possible negative side effects. However, we found that such orientation also negatively moderates the relationship between risk/benefit sharing (involving direct financial losses or gains) and relationship performance suggesting possible negative side effects.","author":[{"dropping-particle":"","family":"Son","given":"Byung Gak","non-dropping-particle":"","parse-names":false,"suffix":""},{"dropping-particle":"","family":"Ha","given":"Byoung Chun","non-dropping-particle":"","parse-names":false,"suffix":""},{"dropping-particle":"","family":"Lee","given":"Tae Hee","non-dropping-particle":"","parse-names":false,"suffix":""}],"container-title":"Journal of Small Business Management","id":"ITEM-1","issue":"3","issued":{"date-parts":[["2019","7","1"]]},"page":"966-988","publisher":"Blackwell Publishing Ltd","title":"Small and Medium-Sized Enterprises' Collaborative Buyer–Supplier Relationships: Boundary Spanning Individual Perspectives","type":"article-journal","volume":"57"},"uris":["http://www.mendeley.com/documents/?uuid=e5cc64d9-810d-3847-8592-53fc403f3e16"]}],"mendeley":{"formattedCitation":"(Son &lt;i&gt;et al.&lt;/i&gt;, 2019)","manualFormatting":"(Son et al., 2019)","plainTextFormattedCitation":"(Son et al., 2019)","previouslyFormattedCitation":"(Son &lt;i&gt;et al.&lt;/i&gt;, 2019)"},"properties":{"noteIndex":0},"schema":"https://github.com/citation-style-language/schema/raw/master/csl-citation.json"}</w:instrText>
      </w:r>
      <w:r w:rsidR="00CF17C0" w:rsidRPr="001C45D7">
        <w:fldChar w:fldCharType="separate"/>
      </w:r>
      <w:r w:rsidR="00881C19" w:rsidRPr="001C45D7">
        <w:rPr>
          <w:noProof/>
        </w:rPr>
        <w:t>(Son</w:t>
      </w:r>
      <w:r w:rsidR="000838B1" w:rsidRPr="001C45D7">
        <w:rPr>
          <w:noProof/>
        </w:rPr>
        <w:t xml:space="preserve"> </w:t>
      </w:r>
      <w:r w:rsidR="000838B1" w:rsidRPr="001C45D7">
        <w:rPr>
          <w:i/>
          <w:noProof/>
        </w:rPr>
        <w:t>et al</w:t>
      </w:r>
      <w:r w:rsidR="000838B1" w:rsidRPr="001C45D7">
        <w:rPr>
          <w:noProof/>
        </w:rPr>
        <w:t>.</w:t>
      </w:r>
      <w:r w:rsidR="00881C19" w:rsidRPr="001C45D7">
        <w:rPr>
          <w:noProof/>
        </w:rPr>
        <w:t>,</w:t>
      </w:r>
      <w:r w:rsidR="00FA6558" w:rsidRPr="001C45D7">
        <w:rPr>
          <w:noProof/>
        </w:rPr>
        <w:t xml:space="preserve"> </w:t>
      </w:r>
      <w:r w:rsidR="00881C19" w:rsidRPr="001C45D7">
        <w:rPr>
          <w:noProof/>
        </w:rPr>
        <w:t>2019)</w:t>
      </w:r>
      <w:r w:rsidR="00CF17C0" w:rsidRPr="001C45D7">
        <w:fldChar w:fldCharType="end"/>
      </w:r>
      <w:r w:rsidR="00CF17C0" w:rsidRPr="001C45D7">
        <w:t>.</w:t>
      </w:r>
      <w:r w:rsidR="00FA6558" w:rsidRPr="001C45D7">
        <w:t xml:space="preserve"> </w:t>
      </w:r>
    </w:p>
    <w:p w14:paraId="208BA1B1" w14:textId="1AF6AAC5" w:rsidR="000838B1" w:rsidRDefault="00E109DD" w:rsidP="00566B02">
      <w:pPr>
        <w:pStyle w:val="BodyText"/>
        <w:rPr>
          <w:rFonts w:eastAsia="Symbol"/>
          <w:lang w:eastAsia="ko-KR"/>
        </w:rPr>
      </w:pPr>
      <w:r w:rsidRPr="001C45D7">
        <w:t xml:space="preserve">However, it takes time </w:t>
      </w:r>
      <w:r w:rsidR="004864ED" w:rsidRPr="001C45D7">
        <w:t xml:space="preserve">for </w:t>
      </w:r>
      <w:r w:rsidRPr="001C45D7">
        <w:t>the</w:t>
      </w:r>
      <w:r w:rsidR="00FA6558" w:rsidRPr="001C45D7">
        <w:t xml:space="preserve"> </w:t>
      </w:r>
      <w:r w:rsidR="00CF17C0" w:rsidRPr="001C45D7">
        <w:t>sufficient</w:t>
      </w:r>
      <w:r w:rsidR="00FA6558" w:rsidRPr="001C45D7">
        <w:t xml:space="preserve"> </w:t>
      </w:r>
      <w:r w:rsidR="00CF17C0" w:rsidRPr="001C45D7">
        <w:t>level</w:t>
      </w:r>
      <w:r w:rsidR="00FA6558" w:rsidRPr="001C45D7">
        <w:t xml:space="preserve"> </w:t>
      </w:r>
      <w:r w:rsidR="00CF17C0" w:rsidRPr="001C45D7">
        <w:t>of</w:t>
      </w:r>
      <w:r w:rsidR="00FA6558" w:rsidRPr="001C45D7">
        <w:t xml:space="preserve"> </w:t>
      </w:r>
      <w:r w:rsidR="00CF17C0" w:rsidRPr="001C45D7">
        <w:t>relational</w:t>
      </w:r>
      <w:r w:rsidR="00FA6558" w:rsidRPr="001C45D7">
        <w:t xml:space="preserve"> </w:t>
      </w:r>
      <w:r w:rsidR="00CF17C0" w:rsidRPr="001C45D7">
        <w:t>governance</w:t>
      </w:r>
      <w:r w:rsidR="00FA6558" w:rsidRPr="001C45D7">
        <w:t xml:space="preserve"> </w:t>
      </w:r>
      <w:r w:rsidR="00034ECB" w:rsidRPr="001C45D7">
        <w:t>for</w:t>
      </w:r>
      <w:r w:rsidR="00FA6558" w:rsidRPr="001C45D7">
        <w:t xml:space="preserve"> </w:t>
      </w:r>
      <w:r w:rsidR="00034ECB" w:rsidRPr="001C45D7">
        <w:t>this</w:t>
      </w:r>
      <w:r w:rsidR="00FA6558" w:rsidRPr="001C45D7">
        <w:t xml:space="preserve"> </w:t>
      </w:r>
      <w:r w:rsidR="00034ECB" w:rsidRPr="001C45D7">
        <w:t>purpose</w:t>
      </w:r>
      <w:r w:rsidR="004864ED" w:rsidRPr="001C45D7">
        <w:t xml:space="preserve"> to develop</w:t>
      </w:r>
      <w:r w:rsidR="00CF17C0" w:rsidRPr="001C45D7">
        <w:t>,</w:t>
      </w:r>
      <w:r w:rsidR="00FA6558" w:rsidRPr="001C45D7">
        <w:t xml:space="preserve"> </w:t>
      </w:r>
      <w:r w:rsidR="00034ECB" w:rsidRPr="001C45D7">
        <w:t>since</w:t>
      </w:r>
      <w:r w:rsidR="00FA6558" w:rsidRPr="001C45D7">
        <w:t xml:space="preserve"> </w:t>
      </w:r>
      <w:r w:rsidR="00CF17C0" w:rsidRPr="001C45D7">
        <w:t>a</w:t>
      </w:r>
      <w:r w:rsidR="00FA6558" w:rsidRPr="001C45D7">
        <w:t xml:space="preserve"> </w:t>
      </w:r>
      <w:r w:rsidR="00CF17C0" w:rsidRPr="001C45D7">
        <w:t>history</w:t>
      </w:r>
      <w:r w:rsidR="00FA6558" w:rsidRPr="001C45D7">
        <w:t xml:space="preserve"> </w:t>
      </w:r>
      <w:r w:rsidR="00CF17C0" w:rsidRPr="001C45D7">
        <w:t>of</w:t>
      </w:r>
      <w:r w:rsidR="00FA6558" w:rsidRPr="001C45D7">
        <w:t xml:space="preserve"> </w:t>
      </w:r>
      <w:r w:rsidR="00CF17C0" w:rsidRPr="001C45D7">
        <w:t>repeated</w:t>
      </w:r>
      <w:r w:rsidR="001C2026" w:rsidRPr="001C45D7">
        <w:t xml:space="preserve"> and </w:t>
      </w:r>
      <w:r w:rsidR="00CF17C0" w:rsidRPr="001C45D7">
        <w:t>positive</w:t>
      </w:r>
      <w:r w:rsidR="00FA6558" w:rsidRPr="001C45D7">
        <w:t xml:space="preserve"> </w:t>
      </w:r>
      <w:r w:rsidR="00CF17C0" w:rsidRPr="001C45D7">
        <w:t>interactions</w:t>
      </w:r>
      <w:r w:rsidR="00FA6558" w:rsidRPr="001C45D7">
        <w:t xml:space="preserve"> </w:t>
      </w:r>
      <w:r w:rsidR="00CF17C0" w:rsidRPr="001C45D7">
        <w:t>between</w:t>
      </w:r>
      <w:r w:rsidR="00FA6558" w:rsidRPr="001C45D7">
        <w:t xml:space="preserve"> </w:t>
      </w:r>
      <w:r w:rsidR="00CF17C0" w:rsidRPr="001C45D7">
        <w:t>actors</w:t>
      </w:r>
      <w:r w:rsidR="00DE100D" w:rsidRPr="001C45D7">
        <w:t xml:space="preserve"> is necessary</w:t>
      </w:r>
      <w:r w:rsidR="00FA6558" w:rsidRPr="001C45D7">
        <w:t xml:space="preserve"> </w:t>
      </w:r>
      <w:r w:rsidR="00CF17C0" w:rsidRPr="001C45D7">
        <w:t>(Heide</w:t>
      </w:r>
      <w:r w:rsidR="00FA6558" w:rsidRPr="001C45D7">
        <w:t xml:space="preserve"> </w:t>
      </w:r>
      <w:r w:rsidR="00CF17C0" w:rsidRPr="001C45D7">
        <w:t>and</w:t>
      </w:r>
      <w:r w:rsidR="00FA6558" w:rsidRPr="001C45D7">
        <w:t xml:space="preserve"> </w:t>
      </w:r>
      <w:r w:rsidR="00CF17C0" w:rsidRPr="001C45D7">
        <w:t>John,</w:t>
      </w:r>
      <w:r w:rsidR="00FA6558" w:rsidRPr="001C45D7">
        <w:t xml:space="preserve"> </w:t>
      </w:r>
      <w:r w:rsidR="00CF17C0" w:rsidRPr="001C45D7">
        <w:t>1990;</w:t>
      </w:r>
      <w:r w:rsidR="00FA6558" w:rsidRPr="001C45D7">
        <w:t xml:space="preserve"> </w:t>
      </w:r>
      <w:proofErr w:type="spellStart"/>
      <w:r w:rsidR="00CF17C0" w:rsidRPr="001C45D7">
        <w:t>Poppo</w:t>
      </w:r>
      <w:proofErr w:type="spellEnd"/>
      <w:r w:rsidR="00FA6558" w:rsidRPr="001C45D7">
        <w:t xml:space="preserve"> </w:t>
      </w:r>
      <w:r w:rsidR="00CF17C0" w:rsidRPr="001C45D7">
        <w:t>and</w:t>
      </w:r>
      <w:r w:rsidR="00FA6558" w:rsidRPr="001C45D7">
        <w:t xml:space="preserve"> </w:t>
      </w:r>
      <w:r w:rsidR="00CF17C0" w:rsidRPr="001C45D7">
        <w:t>Zenger,</w:t>
      </w:r>
      <w:r w:rsidR="00FA6558" w:rsidRPr="001C45D7">
        <w:t xml:space="preserve"> </w:t>
      </w:r>
      <w:r w:rsidR="00CF17C0" w:rsidRPr="001C45D7">
        <w:t>2002)</w:t>
      </w:r>
      <w:r w:rsidR="00034ECB" w:rsidRPr="001C45D7">
        <w:t>.</w:t>
      </w:r>
      <w:r w:rsidR="00FA6558" w:rsidRPr="001C45D7">
        <w:t xml:space="preserve"> </w:t>
      </w:r>
      <w:r w:rsidR="000838B1" w:rsidRPr="001C45D7">
        <w:t>In addition</w:t>
      </w:r>
      <w:r w:rsidR="00034ECB" w:rsidRPr="001C45D7">
        <w:t>,</w:t>
      </w:r>
      <w:r w:rsidR="00FA6558" w:rsidRPr="001C45D7">
        <w:t xml:space="preserve"> </w:t>
      </w:r>
      <w:r w:rsidR="00034ECB" w:rsidRPr="001C45D7">
        <w:t>its</w:t>
      </w:r>
      <w:r w:rsidR="00FA6558" w:rsidRPr="001C45D7">
        <w:t xml:space="preserve"> </w:t>
      </w:r>
      <w:r w:rsidR="00CB496F" w:rsidRPr="001C45D7">
        <w:t>development</w:t>
      </w:r>
      <w:r w:rsidR="00FA6558" w:rsidRPr="001C45D7">
        <w:t xml:space="preserve"> </w:t>
      </w:r>
      <w:r w:rsidR="00CB496F" w:rsidRPr="001C45D7">
        <w:t>is</w:t>
      </w:r>
      <w:r w:rsidR="00FA6558" w:rsidRPr="001C45D7">
        <w:t xml:space="preserve"> </w:t>
      </w:r>
      <w:r w:rsidR="00CB496F" w:rsidRPr="001C45D7">
        <w:t>a</w:t>
      </w:r>
      <w:r w:rsidR="00FA6558" w:rsidRPr="001C45D7">
        <w:t xml:space="preserve"> </w:t>
      </w:r>
      <w:r w:rsidR="00CB496F" w:rsidRPr="001C45D7">
        <w:t>joint</w:t>
      </w:r>
      <w:r w:rsidR="00FA6558" w:rsidRPr="001C45D7">
        <w:t xml:space="preserve"> </w:t>
      </w:r>
      <w:r w:rsidR="00CB496F" w:rsidRPr="001C45D7">
        <w:t>effort</w:t>
      </w:r>
      <w:r w:rsidR="00FA6558" w:rsidRPr="001C45D7">
        <w:t xml:space="preserve"> </w:t>
      </w:r>
      <w:r w:rsidR="00CB496F" w:rsidRPr="001C45D7">
        <w:fldChar w:fldCharType="begin" w:fldLock="1"/>
      </w:r>
      <w:r w:rsidR="00433778" w:rsidRPr="001C45D7">
        <w:instrText>ADDIN CSL_CITATION {"citationItems":[{"id":"ITEM-1","itemData":{"DOI":"10.5465/AMR.2002.5922314","ISSN":"03637425","abstract":"A growing number of sociologists, political scientists, economists, and organizational theorists have invoked the concept of social capital in the search for answers to a broadening range of questions being confronted in their own fields. Seeking to clarify the concept and help assess its utility for organizational theory, we synthesize the theoretical research undertaken in these various disciplines and develop a common conceptual framework that identifies the sources, benefits, risks, and contingencies of social capital.","author":[{"dropping-particle":"","family":"Adler","given":"Paul S.","non-dropping-particle":"","parse-names":false,"suffix":""},{"dropping-particle":"","family":"Kwon","given":"Seok Woo","non-dropping-particle":"","parse-names":false,"suffix":""}],"container-title":"Academy of Management Review","id":"ITEM-1","issue":"1","issued":{"date-parts":[["2002"]]},"page":"17-40","publisher":"Academy of Management","title":"Social capital: Prospects for a new concept","type":"article-journal","volume":"27"},"uris":["http://www.mendeley.com/documents/?uuid=c4af8bc6-14ed-3975-ab21-a9fd9dd0aa96"]},{"id":"ITEM-2","itemData":{"DOI":"10.1016/j.ijpe.2016.05.005","ISSN":"09255273","abstract":"Social capital theory has received increasing attention as a lens through which to examine supply chain relationships and the value creation process. Despite the growing application of social capital and its three dimensions, namely cognitive, structural and relational capital, to inter-organizational research, few studies in reality have taken a dyadic perspective. Using a paired sample of retailer-supplier relationships from Korean fast-moving consumer goods sector, we explore the configuration of social capital dimensions, and the impact on strategic and operational performance. The results suggest three clusters of relationships, which differ significantly on at least two of the dimensions of social capital. Furthermore, these clusters show considerable differences with respect to both operational and strategic performance, particularly at the lower levels of social capital. We also examine the impact of a disparity between the retailer and supplier with respect to different dimensions of social capital, henceforth called dissonance. Of the four clusters that emerge, interestingly, only dissonance on the cognitive dimension is related to lower operational and strategic relationship performance. In investigating the implications of dissonance for the retailer and supplier individually, our results suggest that performance differs based on the magnitude and direction of the dissonance. Our results show that consequences of having social capital or not are not necessarily the same for the retailer and the supplier.","author":[{"dropping-particle":"","family":"Son","given":"Byung Gak","non-dropping-particle":"","parse-names":false,"suffix":""},{"dropping-particle":"","family":"Kocabasoglu-Hillmer","given":"Canan","non-dropping-particle":"","parse-names":false,"suffix":""},{"dropping-particle":"","family":"Roden","given":"Sinéad","non-dropping-particle":"","parse-names":false,"suffix":""}],"container-title":"International Journal of Production Economics","id":"ITEM-2","issued":{"date-parts":[["2016","8","1"]]},"page":"120-131","publisher":"Elsevier B.V.","title":"A dyadic perspective on retailer-supplier relationships through the lens of social capital","type":"article-journal","volume":"178"},"uris":["http://www.mendeley.com/documents/?uuid=e98a8038-1c07-3ff4-850f-df2acc8dec1f"]}],"mendeley":{"formattedCitation":"(Adler and Kwon, 2002; Son &lt;i&gt;et al.&lt;/i&gt;, 2016)","manualFormatting":"(Adler and Kwon, 2002; Son et al., 2016)","plainTextFormattedCitation":"(Adler and Kwon, 2002; Son et al., 2016)","previouslyFormattedCitation":"(Adler and Kwon, 2002; Son &lt;i&gt;et al.&lt;/i&gt;, 2016)"},"properties":{"noteIndex":0},"schema":"https://github.com/citation-style-language/schema/raw/master/csl-citation.json"}</w:instrText>
      </w:r>
      <w:r w:rsidR="00CB496F" w:rsidRPr="001C45D7">
        <w:fldChar w:fldCharType="separate"/>
      </w:r>
      <w:r w:rsidR="00881C19" w:rsidRPr="001C45D7">
        <w:rPr>
          <w:noProof/>
        </w:rPr>
        <w:t>(Adler</w:t>
      </w:r>
      <w:r w:rsidR="00FA6558" w:rsidRPr="001C45D7">
        <w:rPr>
          <w:noProof/>
        </w:rPr>
        <w:t xml:space="preserve"> </w:t>
      </w:r>
      <w:r w:rsidR="00881C19" w:rsidRPr="001C45D7">
        <w:rPr>
          <w:noProof/>
        </w:rPr>
        <w:t>and</w:t>
      </w:r>
      <w:r w:rsidR="00FA6558" w:rsidRPr="001C45D7">
        <w:rPr>
          <w:noProof/>
        </w:rPr>
        <w:t xml:space="preserve"> </w:t>
      </w:r>
      <w:r w:rsidR="00881C19" w:rsidRPr="001C45D7">
        <w:rPr>
          <w:noProof/>
        </w:rPr>
        <w:t>Kwon,</w:t>
      </w:r>
      <w:r w:rsidR="00FA6558" w:rsidRPr="001C45D7">
        <w:rPr>
          <w:noProof/>
        </w:rPr>
        <w:t xml:space="preserve"> </w:t>
      </w:r>
      <w:r w:rsidR="00881C19" w:rsidRPr="001C45D7">
        <w:rPr>
          <w:noProof/>
        </w:rPr>
        <w:t>2002;</w:t>
      </w:r>
      <w:r w:rsidR="00FA6558" w:rsidRPr="001C45D7">
        <w:rPr>
          <w:noProof/>
        </w:rPr>
        <w:t xml:space="preserve"> </w:t>
      </w:r>
      <w:r w:rsidR="00881C19" w:rsidRPr="001C45D7">
        <w:rPr>
          <w:noProof/>
        </w:rPr>
        <w:t>Son</w:t>
      </w:r>
      <w:r w:rsidR="000838B1" w:rsidRPr="001C45D7">
        <w:rPr>
          <w:noProof/>
        </w:rPr>
        <w:t xml:space="preserve"> </w:t>
      </w:r>
      <w:r w:rsidR="000838B1" w:rsidRPr="001C45D7">
        <w:rPr>
          <w:i/>
          <w:noProof/>
        </w:rPr>
        <w:t>et al</w:t>
      </w:r>
      <w:r w:rsidR="000838B1" w:rsidRPr="001C45D7">
        <w:rPr>
          <w:noProof/>
        </w:rPr>
        <w:t>.</w:t>
      </w:r>
      <w:r w:rsidR="00881C19" w:rsidRPr="001C45D7">
        <w:rPr>
          <w:noProof/>
        </w:rPr>
        <w:t>,</w:t>
      </w:r>
      <w:r w:rsidR="00FA6558" w:rsidRPr="001C45D7">
        <w:rPr>
          <w:noProof/>
        </w:rPr>
        <w:t xml:space="preserve"> </w:t>
      </w:r>
      <w:r w:rsidR="00881C19" w:rsidRPr="001C45D7">
        <w:rPr>
          <w:noProof/>
        </w:rPr>
        <w:t>2016)</w:t>
      </w:r>
      <w:r w:rsidR="00CB496F" w:rsidRPr="001C45D7">
        <w:fldChar w:fldCharType="end"/>
      </w:r>
      <w:r w:rsidR="00FA6558" w:rsidRPr="001C45D7">
        <w:t xml:space="preserve"> </w:t>
      </w:r>
      <w:r w:rsidR="00CB496F" w:rsidRPr="001C45D7">
        <w:t>and</w:t>
      </w:r>
      <w:r w:rsidR="00FA6558" w:rsidRPr="001C45D7">
        <w:t xml:space="preserve"> </w:t>
      </w:r>
      <w:r w:rsidR="003E75AC" w:rsidRPr="001C45D7">
        <w:t>cannot</w:t>
      </w:r>
      <w:r w:rsidR="00FA6558" w:rsidRPr="001C45D7">
        <w:t xml:space="preserve"> </w:t>
      </w:r>
      <w:r w:rsidR="003E75AC" w:rsidRPr="001C45D7">
        <w:t>be</w:t>
      </w:r>
      <w:r w:rsidR="00FA6558" w:rsidRPr="001C45D7">
        <w:t xml:space="preserve"> </w:t>
      </w:r>
      <w:r w:rsidR="003E75AC" w:rsidRPr="001C45D7">
        <w:t>achieved</w:t>
      </w:r>
      <w:r w:rsidR="00FA6558" w:rsidRPr="001C45D7">
        <w:t xml:space="preserve"> </w:t>
      </w:r>
      <w:r w:rsidR="003E75AC" w:rsidRPr="001C45D7">
        <w:t>by</w:t>
      </w:r>
      <w:r w:rsidR="00FA6558" w:rsidRPr="001C45D7">
        <w:t xml:space="preserve"> </w:t>
      </w:r>
      <w:r w:rsidR="003E75AC" w:rsidRPr="001C45D7">
        <w:t>suppliers</w:t>
      </w:r>
      <w:r w:rsidR="00FA6558" w:rsidRPr="001C45D7">
        <w:t xml:space="preserve"> </w:t>
      </w:r>
      <w:r w:rsidR="003E75AC" w:rsidRPr="001C45D7">
        <w:t>alone.</w:t>
      </w:r>
      <w:r w:rsidR="00FA6558" w:rsidRPr="001C45D7">
        <w:t xml:space="preserve"> </w:t>
      </w:r>
      <w:r w:rsidR="00CF17C0" w:rsidRPr="001C45D7">
        <w:t>Moreover,</w:t>
      </w:r>
      <w:r w:rsidR="00FA6558" w:rsidRPr="001C45D7">
        <w:t xml:space="preserve"> </w:t>
      </w:r>
      <w:r w:rsidR="00CF17C0" w:rsidRPr="001C45D7">
        <w:rPr>
          <w:rFonts w:eastAsia="Symbol"/>
          <w:lang w:eastAsia="ko-KR"/>
        </w:rPr>
        <w:t>over-reliance</w:t>
      </w:r>
      <w:r w:rsidR="00FA6558" w:rsidRPr="001C45D7">
        <w:rPr>
          <w:rFonts w:eastAsia="Symbol"/>
          <w:lang w:eastAsia="ko-KR"/>
        </w:rPr>
        <w:t xml:space="preserve"> </w:t>
      </w:r>
      <w:r w:rsidR="00CF17C0" w:rsidRPr="001C45D7">
        <w:rPr>
          <w:rFonts w:eastAsia="Symbol"/>
          <w:lang w:eastAsia="ko-KR"/>
        </w:rPr>
        <w:t>on</w:t>
      </w:r>
      <w:r w:rsidR="00FA6558" w:rsidRPr="001C45D7">
        <w:rPr>
          <w:rFonts w:eastAsia="Symbol"/>
          <w:lang w:eastAsia="ko-KR"/>
        </w:rPr>
        <w:t xml:space="preserve"> </w:t>
      </w:r>
      <w:r w:rsidR="00F32A94" w:rsidRPr="001C45D7">
        <w:rPr>
          <w:rFonts w:eastAsia="Symbol"/>
          <w:lang w:eastAsia="ko-KR"/>
        </w:rPr>
        <w:t xml:space="preserve">relational governance </w:t>
      </w:r>
      <w:r w:rsidR="00CF17C0" w:rsidRPr="001C45D7">
        <w:rPr>
          <w:rFonts w:eastAsia="Symbol"/>
          <w:lang w:eastAsia="ko-KR"/>
        </w:rPr>
        <w:t>for</w:t>
      </w:r>
      <w:r w:rsidR="00FA6558" w:rsidRPr="001C45D7">
        <w:rPr>
          <w:rFonts w:eastAsia="Symbol"/>
          <w:lang w:eastAsia="ko-KR"/>
        </w:rPr>
        <w:t xml:space="preserve"> </w:t>
      </w:r>
      <w:r w:rsidR="00CF17C0" w:rsidRPr="001C45D7">
        <w:rPr>
          <w:rFonts w:eastAsia="Symbol"/>
          <w:lang w:eastAsia="ko-KR"/>
        </w:rPr>
        <w:t>mitigation</w:t>
      </w:r>
      <w:r w:rsidR="00FA6558" w:rsidRPr="001C45D7">
        <w:rPr>
          <w:rFonts w:eastAsia="Symbol"/>
          <w:lang w:eastAsia="ko-KR"/>
        </w:rPr>
        <w:t xml:space="preserve"> </w:t>
      </w:r>
      <w:r w:rsidR="00CF17C0" w:rsidRPr="001C45D7">
        <w:rPr>
          <w:rFonts w:eastAsia="Symbol"/>
          <w:lang w:eastAsia="ko-KR"/>
        </w:rPr>
        <w:t>might</w:t>
      </w:r>
      <w:r w:rsidR="00FA6558" w:rsidRPr="001C45D7">
        <w:rPr>
          <w:rFonts w:eastAsia="Symbol"/>
          <w:lang w:eastAsia="ko-KR"/>
        </w:rPr>
        <w:t xml:space="preserve"> </w:t>
      </w:r>
      <w:r w:rsidR="00CF17C0" w:rsidRPr="001C45D7">
        <w:rPr>
          <w:rFonts w:eastAsia="Symbol"/>
          <w:lang w:eastAsia="ko-KR"/>
        </w:rPr>
        <w:t>give</w:t>
      </w:r>
      <w:r w:rsidR="00FA6558" w:rsidRPr="001C45D7">
        <w:rPr>
          <w:rFonts w:eastAsia="Symbol"/>
          <w:lang w:eastAsia="ko-KR"/>
        </w:rPr>
        <w:t xml:space="preserve"> </w:t>
      </w:r>
      <w:r w:rsidR="00CF17C0" w:rsidRPr="001C45D7">
        <w:rPr>
          <w:rFonts w:eastAsia="Symbol"/>
          <w:lang w:eastAsia="ko-KR"/>
        </w:rPr>
        <w:t>SMEs</w:t>
      </w:r>
      <w:r w:rsidR="00FA6558" w:rsidRPr="001C45D7">
        <w:rPr>
          <w:rFonts w:eastAsia="Symbol"/>
          <w:lang w:eastAsia="ko-KR"/>
        </w:rPr>
        <w:t xml:space="preserve"> </w:t>
      </w:r>
      <w:r w:rsidR="00CF17C0" w:rsidRPr="001C45D7">
        <w:rPr>
          <w:rFonts w:eastAsia="Symbol"/>
          <w:lang w:eastAsia="ko-KR"/>
        </w:rPr>
        <w:t>a</w:t>
      </w:r>
      <w:r w:rsidR="00FA6558" w:rsidRPr="001C45D7">
        <w:rPr>
          <w:rFonts w:eastAsia="Symbol"/>
          <w:lang w:eastAsia="ko-KR"/>
        </w:rPr>
        <w:t xml:space="preserve"> </w:t>
      </w:r>
      <w:r w:rsidR="00CF17C0" w:rsidRPr="001C45D7">
        <w:rPr>
          <w:rFonts w:eastAsia="Symbol"/>
          <w:lang w:eastAsia="ko-KR"/>
        </w:rPr>
        <w:t>false</w:t>
      </w:r>
      <w:r w:rsidR="00FA6558" w:rsidRPr="001C45D7">
        <w:rPr>
          <w:rFonts w:eastAsia="Symbol"/>
          <w:lang w:eastAsia="ko-KR"/>
        </w:rPr>
        <w:t xml:space="preserve"> </w:t>
      </w:r>
      <w:r w:rsidR="00CF17C0" w:rsidRPr="001C45D7">
        <w:rPr>
          <w:rFonts w:eastAsia="Symbol"/>
          <w:lang w:eastAsia="ko-KR"/>
        </w:rPr>
        <w:t>sense</w:t>
      </w:r>
      <w:r w:rsidR="00FA6558" w:rsidRPr="001C45D7">
        <w:rPr>
          <w:rFonts w:eastAsia="Symbol"/>
          <w:lang w:eastAsia="ko-KR"/>
        </w:rPr>
        <w:t xml:space="preserve"> </w:t>
      </w:r>
      <w:r w:rsidR="00CF17C0" w:rsidRPr="001C45D7">
        <w:rPr>
          <w:rFonts w:eastAsia="Symbol"/>
          <w:lang w:eastAsia="ko-KR"/>
        </w:rPr>
        <w:t>of</w:t>
      </w:r>
      <w:r w:rsidR="00FA6558" w:rsidRPr="001C45D7">
        <w:rPr>
          <w:rFonts w:eastAsia="Symbol"/>
          <w:lang w:eastAsia="ko-KR"/>
        </w:rPr>
        <w:t xml:space="preserve"> </w:t>
      </w:r>
      <w:r w:rsidR="00CF17C0" w:rsidRPr="001C45D7">
        <w:rPr>
          <w:rFonts w:eastAsia="Symbol"/>
          <w:lang w:eastAsia="ko-KR"/>
        </w:rPr>
        <w:t>security</w:t>
      </w:r>
      <w:r w:rsidR="00E31BD4" w:rsidRPr="001C45D7">
        <w:rPr>
          <w:rFonts w:eastAsia="Symbol"/>
          <w:lang w:eastAsia="ko-KR"/>
        </w:rPr>
        <w:t>,</w:t>
      </w:r>
      <w:r w:rsidR="00FA6558" w:rsidRPr="001C45D7">
        <w:rPr>
          <w:rFonts w:eastAsia="Symbol"/>
          <w:lang w:eastAsia="ko-KR"/>
        </w:rPr>
        <w:t xml:space="preserve"> </w:t>
      </w:r>
      <w:r w:rsidR="00CF17C0" w:rsidRPr="001C45D7">
        <w:rPr>
          <w:rFonts w:eastAsia="Symbol"/>
          <w:lang w:eastAsia="ko-KR"/>
        </w:rPr>
        <w:t>and</w:t>
      </w:r>
      <w:r w:rsidR="00E31BD4" w:rsidRPr="001C45D7">
        <w:rPr>
          <w:rFonts w:eastAsia="Batang"/>
          <w:lang w:eastAsia="ko-KR"/>
        </w:rPr>
        <w:t xml:space="preserve"> thus</w:t>
      </w:r>
      <w:r w:rsidR="00FA6558" w:rsidRPr="001C45D7">
        <w:rPr>
          <w:rFonts w:eastAsia="Symbol"/>
          <w:lang w:eastAsia="ko-KR"/>
        </w:rPr>
        <w:t xml:space="preserve"> </w:t>
      </w:r>
      <w:r w:rsidR="00CF17C0" w:rsidRPr="001C45D7">
        <w:rPr>
          <w:rFonts w:eastAsia="Symbol"/>
          <w:lang w:eastAsia="ko-KR"/>
        </w:rPr>
        <w:t>deter</w:t>
      </w:r>
      <w:r w:rsidR="00FA6558" w:rsidRPr="001C45D7">
        <w:rPr>
          <w:rFonts w:eastAsia="Symbol"/>
          <w:lang w:eastAsia="ko-KR"/>
        </w:rPr>
        <w:t xml:space="preserve"> </w:t>
      </w:r>
      <w:r w:rsidR="00CF17C0" w:rsidRPr="001C45D7">
        <w:rPr>
          <w:rFonts w:eastAsia="Symbol"/>
          <w:lang w:eastAsia="ko-KR"/>
        </w:rPr>
        <w:t>them</w:t>
      </w:r>
      <w:r w:rsidR="00FA6558" w:rsidRPr="001C45D7">
        <w:rPr>
          <w:rFonts w:eastAsia="Symbol"/>
          <w:lang w:eastAsia="ko-KR"/>
        </w:rPr>
        <w:t xml:space="preserve"> </w:t>
      </w:r>
      <w:r w:rsidR="00CF17C0" w:rsidRPr="001C45D7">
        <w:rPr>
          <w:rFonts w:eastAsia="Symbol"/>
          <w:lang w:eastAsia="ko-KR"/>
        </w:rPr>
        <w:t>from</w:t>
      </w:r>
      <w:r w:rsidR="00FA6558" w:rsidRPr="001C45D7">
        <w:rPr>
          <w:rFonts w:eastAsia="Symbol"/>
          <w:lang w:eastAsia="ko-KR"/>
        </w:rPr>
        <w:t xml:space="preserve"> </w:t>
      </w:r>
      <w:r w:rsidR="00CF17C0" w:rsidRPr="001C45D7">
        <w:rPr>
          <w:rFonts w:eastAsia="Symbol"/>
          <w:lang w:eastAsia="ko-KR"/>
        </w:rPr>
        <w:t>seeking</w:t>
      </w:r>
      <w:r w:rsidR="00FA6558" w:rsidRPr="001C45D7">
        <w:rPr>
          <w:rFonts w:eastAsia="Symbol"/>
          <w:lang w:eastAsia="ko-KR"/>
        </w:rPr>
        <w:t xml:space="preserve"> </w:t>
      </w:r>
      <w:r w:rsidR="00CF17C0" w:rsidRPr="001C45D7">
        <w:rPr>
          <w:rFonts w:eastAsia="Symbol"/>
          <w:lang w:eastAsia="ko-KR"/>
        </w:rPr>
        <w:t>other</w:t>
      </w:r>
      <w:r w:rsidR="00FA6558" w:rsidRPr="001C45D7">
        <w:rPr>
          <w:rFonts w:eastAsia="Symbol"/>
          <w:lang w:eastAsia="ko-KR"/>
        </w:rPr>
        <w:t xml:space="preserve"> </w:t>
      </w:r>
      <w:r w:rsidR="00CF17C0" w:rsidRPr="001C45D7">
        <w:rPr>
          <w:rFonts w:eastAsia="Symbol"/>
          <w:lang w:eastAsia="ko-KR"/>
        </w:rPr>
        <w:t>means</w:t>
      </w:r>
      <w:r w:rsidR="00FA6558" w:rsidRPr="001C45D7">
        <w:rPr>
          <w:rFonts w:eastAsia="Symbol"/>
          <w:lang w:eastAsia="ko-KR"/>
        </w:rPr>
        <w:t xml:space="preserve"> </w:t>
      </w:r>
      <w:r w:rsidR="000838B1" w:rsidRPr="001C45D7">
        <w:rPr>
          <w:rFonts w:eastAsia="Symbol"/>
          <w:lang w:eastAsia="ko-KR"/>
        </w:rPr>
        <w:t xml:space="preserve">of </w:t>
      </w:r>
      <w:r w:rsidR="00CF17C0" w:rsidRPr="001C45D7">
        <w:rPr>
          <w:rFonts w:eastAsia="Symbol"/>
          <w:lang w:eastAsia="ko-KR"/>
        </w:rPr>
        <w:t>safeguard</w:t>
      </w:r>
      <w:r w:rsidR="000838B1" w:rsidRPr="001C45D7">
        <w:rPr>
          <w:rFonts w:eastAsia="Symbol"/>
          <w:lang w:eastAsia="ko-KR"/>
        </w:rPr>
        <w:t>ing</w:t>
      </w:r>
      <w:r w:rsidR="00FA6558" w:rsidRPr="001C45D7">
        <w:rPr>
          <w:rFonts w:eastAsia="Symbol"/>
          <w:lang w:eastAsia="ko-KR"/>
        </w:rPr>
        <w:t xml:space="preserve"> </w:t>
      </w:r>
      <w:r w:rsidR="00CF17C0" w:rsidRPr="001C45D7">
        <w:rPr>
          <w:rFonts w:eastAsia="Symbol"/>
          <w:lang w:eastAsia="ko-KR"/>
        </w:rPr>
        <w:fldChar w:fldCharType="begin" w:fldLock="1"/>
      </w:r>
      <w:r w:rsidR="004A2B48" w:rsidRPr="001C45D7">
        <w:rPr>
          <w:rFonts w:eastAsia="Symbol"/>
          <w:lang w:eastAsia="ko-KR"/>
        </w:rPr>
        <w:instrText>ADDIN CSL_CITATION {"citationItems":[{"id":"ITEM-1","itemData":{"DOI":"10.1111/jsbm.12423","ISSN":"1540627X","abstract":"Boundary-spanning individuals (BSIs) play a critical role in supply chain management, especially in small and medium-sized enterprises (SMEs) where interactions with buyers and suppliers can depend heavily on just a few individuals. This study, utilizing data from Korean manufacturing-sector SMEs, explores whether cooperative social value orientations of SMEs' BSIs influence the effects of collaborative buyer-supplier initiatives. The results suggested that the performance implication of decision-sharing initiative increases when BSIs have a high level of cooperative social value orientation. However, it also negatively moderates the relationship between risk/benefit sharing (involving financial losses or gains) and performance suggesting possible negative side effects. However, we found that such orientation also negatively moderates the relationship between risk/benefit sharing (involving direct financial losses or gains) and relationship performance suggesting possible negative side effects.","author":[{"dropping-particle":"","family":"Son","given":"Byung Gak","non-dropping-particle":"","parse-names":false,"suffix":""},{"dropping-particle":"","family":"Ha","given":"Byoung Chun","non-dropping-particle":"","parse-names":false,"suffix":""},{"dropping-particle":"","family":"Lee","given":"Tae Hee","non-dropping-particle":"","parse-names":false,"suffix":""}],"container-title":"Journal of Small Business Management","id":"ITEM-1","issue":"3","issued":{"date-parts":[["2019","7","1"]]},"page":"966-988","publisher":"Blackwell Publishing Ltd","title":"Small and Medium-Sized Enterprises' Collaborative Buyer–Supplier Relationships: Boundary Spanning Individual Perspectives","type":"article-journal","volume":"57"},"uris":["http://www.mendeley.com/documents/?uuid=e5cc64d9-810d-3847-8592-53fc403f3e16"]}],"mendeley":{"formattedCitation":"(Son &lt;i&gt;et al.&lt;/i&gt;, 2019)","manualFormatting":"(Son et al., 2019)","plainTextFormattedCitation":"(Son et al., 2019)","previouslyFormattedCitation":"(Son &lt;i&gt;et al.&lt;/i&gt;, 2019)"},"properties":{"noteIndex":0},"schema":"https://github.com/citation-style-language/schema/raw/master/csl-citation.json"}</w:instrText>
      </w:r>
      <w:r w:rsidR="00CF17C0" w:rsidRPr="001C45D7">
        <w:rPr>
          <w:rFonts w:eastAsia="Symbol"/>
          <w:lang w:eastAsia="ko-KR"/>
        </w:rPr>
        <w:fldChar w:fldCharType="separate"/>
      </w:r>
      <w:r w:rsidR="00881C19" w:rsidRPr="001C45D7">
        <w:rPr>
          <w:rFonts w:eastAsia="Symbol"/>
          <w:noProof/>
          <w:lang w:eastAsia="ko-KR"/>
        </w:rPr>
        <w:t>(Son</w:t>
      </w:r>
      <w:r w:rsidR="000838B1" w:rsidRPr="001C45D7">
        <w:rPr>
          <w:rFonts w:eastAsia="Symbol"/>
          <w:noProof/>
          <w:lang w:eastAsia="ko-KR"/>
        </w:rPr>
        <w:t xml:space="preserve"> </w:t>
      </w:r>
      <w:r w:rsidR="000838B1" w:rsidRPr="001C45D7">
        <w:rPr>
          <w:rFonts w:eastAsia="Symbol"/>
          <w:i/>
          <w:noProof/>
          <w:lang w:eastAsia="ko-KR"/>
        </w:rPr>
        <w:t>et al</w:t>
      </w:r>
      <w:r w:rsidR="000838B1" w:rsidRPr="001C45D7">
        <w:rPr>
          <w:rFonts w:eastAsia="Symbol"/>
          <w:noProof/>
          <w:lang w:eastAsia="ko-KR"/>
        </w:rPr>
        <w:t>.</w:t>
      </w:r>
      <w:r w:rsidR="00881C19" w:rsidRPr="001C45D7">
        <w:rPr>
          <w:rFonts w:eastAsia="Symbol"/>
          <w:noProof/>
          <w:lang w:eastAsia="ko-KR"/>
        </w:rPr>
        <w:t>,</w:t>
      </w:r>
      <w:r w:rsidR="00FA6558" w:rsidRPr="001C45D7">
        <w:rPr>
          <w:rFonts w:eastAsia="Symbol"/>
          <w:noProof/>
          <w:lang w:eastAsia="ko-KR"/>
        </w:rPr>
        <w:t xml:space="preserve"> </w:t>
      </w:r>
      <w:r w:rsidR="00881C19" w:rsidRPr="001C45D7">
        <w:rPr>
          <w:rFonts w:eastAsia="Symbol"/>
          <w:noProof/>
          <w:lang w:eastAsia="ko-KR"/>
        </w:rPr>
        <w:t>2019)</w:t>
      </w:r>
      <w:r w:rsidR="00CF17C0" w:rsidRPr="001C45D7">
        <w:rPr>
          <w:rFonts w:eastAsia="Symbol"/>
          <w:lang w:eastAsia="ko-KR"/>
        </w:rPr>
        <w:fldChar w:fldCharType="end"/>
      </w:r>
      <w:r w:rsidR="00CF17C0" w:rsidRPr="001C45D7">
        <w:rPr>
          <w:rFonts w:eastAsia="Symbol"/>
          <w:lang w:eastAsia="ko-KR"/>
        </w:rPr>
        <w:t>.</w:t>
      </w:r>
      <w:r w:rsidR="00FA6558" w:rsidRPr="001C45D7">
        <w:rPr>
          <w:rFonts w:eastAsia="Symbol"/>
          <w:lang w:eastAsia="ko-KR"/>
        </w:rPr>
        <w:t xml:space="preserve"> </w:t>
      </w:r>
    </w:p>
    <w:p w14:paraId="0401FE45" w14:textId="77777777" w:rsidR="00AF433A" w:rsidRPr="001C45D7" w:rsidRDefault="00AF433A" w:rsidP="00566B02">
      <w:pPr>
        <w:pStyle w:val="BodyText"/>
        <w:rPr>
          <w:rFonts w:eastAsia="Symbol"/>
          <w:lang w:eastAsia="ko-KR"/>
        </w:rPr>
      </w:pPr>
    </w:p>
    <w:p w14:paraId="563B1343" w14:textId="112D86F5" w:rsidR="004B2E50" w:rsidRPr="001C45D7" w:rsidRDefault="004B2E50" w:rsidP="00157836">
      <w:pPr>
        <w:pStyle w:val="Heading2"/>
      </w:pPr>
      <w:r w:rsidRPr="001C45D7">
        <w:t>Managerial</w:t>
      </w:r>
      <w:r w:rsidR="00FA6558" w:rsidRPr="001C45D7">
        <w:t xml:space="preserve"> </w:t>
      </w:r>
      <w:r w:rsidRPr="001C45D7">
        <w:t>implications</w:t>
      </w:r>
    </w:p>
    <w:p w14:paraId="790DFBC3" w14:textId="22E6919A" w:rsidR="00F224AD" w:rsidRPr="00F224AD" w:rsidRDefault="00F224AD" w:rsidP="00716DC1">
      <w:pPr>
        <w:pStyle w:val="BodyText"/>
      </w:pPr>
      <w:r w:rsidRPr="00F224AD">
        <w:lastRenderedPageBreak/>
        <w:t>Overall, our results indicate that the inequality of digital capability between buyers and SME suppliers intensifies supplier’s dependence on valuable information buyer has, which increases their exposure of buyer’s opportunistic behaviours. As resource dependence theory suggests, one fundamental way to safeguard against opportunism is to address its very source, that is, the dependence gap (</w:t>
      </w:r>
      <w:proofErr w:type="spellStart"/>
      <w:r w:rsidRPr="00F224AD">
        <w:t>Crosno</w:t>
      </w:r>
      <w:proofErr w:type="spellEnd"/>
      <w:r w:rsidRPr="00F224AD">
        <w:t xml:space="preserve"> and Dahlstrom, 2008).  This would entail an SME supplier ramping up its investment to enhance its own digital capability to catch up, however, it would be difficult due to the various reasons discussed earlier, for example, the lack of resources and technical know-hows. Nevertheless, SME suppliers can’t be free from the shift of digitalization and need to consider that supply chain digital technology could provide them with real-time visibility and traceability also increasing buyers’ dependence on them, reducing the dependence gap. Thus, basing on past research which found that top management support is the most important determinant of SMEs’ adoption of enterprise systems such as ERP, SCM and CRM (</w:t>
      </w:r>
      <w:proofErr w:type="spellStart"/>
      <w:r w:rsidRPr="00F224AD">
        <w:t>Ramdani</w:t>
      </w:r>
      <w:proofErr w:type="spellEnd"/>
      <w:r w:rsidRPr="00F224AD">
        <w:t xml:space="preserve"> </w:t>
      </w:r>
      <w:r w:rsidRPr="00523A08">
        <w:rPr>
          <w:i/>
          <w:iCs/>
        </w:rPr>
        <w:t>et al</w:t>
      </w:r>
      <w:r w:rsidRPr="00F224AD">
        <w:t xml:space="preserve">. 2009; Newby </w:t>
      </w:r>
      <w:r w:rsidRPr="00523A08">
        <w:rPr>
          <w:i/>
          <w:iCs/>
        </w:rPr>
        <w:t>et al</w:t>
      </w:r>
      <w:r w:rsidRPr="00F224AD">
        <w:t>. 2014), an effort of top management in SMEs to broaden a perspective on supply chain digitalisation and its impact on the balance of buyer–supplier dependence can be a good start. In addition, as other means of closing the dependence gap, SME suppliers can try customer diversification, by searching for additional sources of knowledge and information (</w:t>
      </w:r>
      <w:proofErr w:type="spellStart"/>
      <w:r w:rsidRPr="00F224AD">
        <w:t>Bruyaka</w:t>
      </w:r>
      <w:proofErr w:type="spellEnd"/>
      <w:r w:rsidRPr="00F224AD">
        <w:t xml:space="preserve"> and Durand, 2012), and a coalition with other weak suppliers (Choi and Linton, 2011; </w:t>
      </w:r>
      <w:proofErr w:type="spellStart"/>
      <w:r w:rsidRPr="00F224AD">
        <w:t>Kalaitzi</w:t>
      </w:r>
      <w:proofErr w:type="spellEnd"/>
      <w:r w:rsidRPr="00F224AD">
        <w:t xml:space="preserve"> </w:t>
      </w:r>
      <w:r w:rsidRPr="00523A08">
        <w:rPr>
          <w:i/>
          <w:iCs/>
        </w:rPr>
        <w:t>et al</w:t>
      </w:r>
      <w:r w:rsidRPr="00F224AD">
        <w:t xml:space="preserve">., 2018). Meanwhile, buyers have been realising that true digitalisation comes when every bits of its supply chain becomes digitalised. This is because, total visibility cannot be achieved without SME supplier sufficiently digitalised. Recently, to build complete supply chain digitalisation and maximize benefits, buyers have been creating and offering a supplier development program specific to digital capability such as training for digital technology, managerial counselling, and loan for IT infrastructure deployment (Kim </w:t>
      </w:r>
      <w:r w:rsidRPr="00523A08">
        <w:rPr>
          <w:i/>
          <w:iCs/>
        </w:rPr>
        <w:t>et al</w:t>
      </w:r>
      <w:r w:rsidRPr="00F224AD">
        <w:t>., 2020). This is also an important opportunity for SME suppliers to ramp up their digital capabilities and thus they need to take full advantage of it.</w:t>
      </w:r>
    </w:p>
    <w:p w14:paraId="4A034002" w14:textId="77777777" w:rsidR="005F2985" w:rsidRPr="001C45D7" w:rsidRDefault="005F2985" w:rsidP="00566B02">
      <w:pPr>
        <w:pStyle w:val="BodyText"/>
      </w:pPr>
    </w:p>
    <w:p w14:paraId="1C5BE3A0" w14:textId="797ABB52" w:rsidR="005F2985" w:rsidRPr="001C45D7" w:rsidRDefault="005F2985" w:rsidP="00157836">
      <w:pPr>
        <w:pStyle w:val="Heading2"/>
      </w:pPr>
      <w:r w:rsidRPr="001C45D7">
        <w:t>Limitations and further research</w:t>
      </w:r>
    </w:p>
    <w:p w14:paraId="716A5ED3" w14:textId="59646B83" w:rsidR="00E31DEB" w:rsidRPr="00036132" w:rsidRDefault="003F2513" w:rsidP="00566B02">
      <w:pPr>
        <w:pStyle w:val="BodyText"/>
        <w:rPr>
          <w:color w:val="000000" w:themeColor="text1"/>
        </w:rPr>
      </w:pPr>
      <w:r w:rsidRPr="001C45D7">
        <w:rPr>
          <w:rFonts w:eastAsia="Batang"/>
        </w:rPr>
        <w:t xml:space="preserve">Despite </w:t>
      </w:r>
      <w:r w:rsidR="003E5997" w:rsidRPr="001C45D7">
        <w:rPr>
          <w:rFonts w:eastAsia="Batang"/>
        </w:rPr>
        <w:t xml:space="preserve">its </w:t>
      </w:r>
      <w:r w:rsidR="00B65A07" w:rsidRPr="001C45D7">
        <w:rPr>
          <w:rFonts w:eastAsia="Batang"/>
        </w:rPr>
        <w:t>theoretical and managerial contributions</w:t>
      </w:r>
      <w:r w:rsidRPr="001C45D7">
        <w:rPr>
          <w:rFonts w:eastAsia="Batang"/>
        </w:rPr>
        <w:t>, t</w:t>
      </w:r>
      <w:r w:rsidR="00B86458" w:rsidRPr="001C45D7">
        <w:t>his study ha</w:t>
      </w:r>
      <w:r w:rsidR="00B65A07" w:rsidRPr="001C45D7">
        <w:t>s</w:t>
      </w:r>
      <w:r w:rsidR="00B86458" w:rsidRPr="001C45D7">
        <w:t xml:space="preserve"> several limitations. </w:t>
      </w:r>
      <w:r w:rsidR="00680E85" w:rsidRPr="001C45D7">
        <w:t>Therefore, we would like to summari</w:t>
      </w:r>
      <w:r w:rsidR="006E5F4E" w:rsidRPr="001C45D7">
        <w:t>s</w:t>
      </w:r>
      <w:r w:rsidR="00680E85" w:rsidRPr="001C45D7">
        <w:t xml:space="preserve">e </w:t>
      </w:r>
      <w:r w:rsidR="00354DD6" w:rsidRPr="001C45D7">
        <w:t>these</w:t>
      </w:r>
      <w:r w:rsidR="004B2264" w:rsidRPr="001C45D7">
        <w:t xml:space="preserve"> limitations and suggest future research measures to </w:t>
      </w:r>
      <w:r w:rsidR="004B2264" w:rsidRPr="001C45D7">
        <w:lastRenderedPageBreak/>
        <w:t>overcome the</w:t>
      </w:r>
      <w:r w:rsidR="00B40920" w:rsidRPr="001C45D7">
        <w:t>m</w:t>
      </w:r>
      <w:r w:rsidR="004B2264" w:rsidRPr="001C45D7">
        <w:t xml:space="preserve">. </w:t>
      </w:r>
      <w:r w:rsidR="0015342A" w:rsidRPr="001C45D7">
        <w:t xml:space="preserve">First, </w:t>
      </w:r>
      <w:r w:rsidR="006D4C43" w:rsidRPr="001C45D7">
        <w:rPr>
          <w:color w:val="000000" w:themeColor="text1"/>
        </w:rPr>
        <w:t>this study collected data from suppliers only</w:t>
      </w:r>
      <w:r w:rsidR="00820494">
        <w:rPr>
          <w:color w:val="000000" w:themeColor="text1"/>
        </w:rPr>
        <w:t xml:space="preserve">. </w:t>
      </w:r>
      <w:bookmarkStart w:id="34" w:name="_Hlk71553919"/>
      <w:r w:rsidR="00820494">
        <w:rPr>
          <w:color w:val="000000" w:themeColor="text1"/>
        </w:rPr>
        <w:t xml:space="preserve">As discussed earlier, we followed the suggestions by </w:t>
      </w:r>
      <w:r w:rsidR="00820494" w:rsidRPr="00820494">
        <w:rPr>
          <w:color w:val="000000" w:themeColor="text1"/>
        </w:rPr>
        <w:t>(</w:t>
      </w:r>
      <w:proofErr w:type="spellStart"/>
      <w:r w:rsidR="00820494" w:rsidRPr="00820494">
        <w:rPr>
          <w:color w:val="000000" w:themeColor="text1"/>
        </w:rPr>
        <w:t>Roh</w:t>
      </w:r>
      <w:proofErr w:type="spellEnd"/>
      <w:r w:rsidR="00820494" w:rsidRPr="00820494">
        <w:rPr>
          <w:color w:val="000000" w:themeColor="text1"/>
        </w:rPr>
        <w:t xml:space="preserve"> </w:t>
      </w:r>
      <w:r w:rsidR="00820494" w:rsidRPr="00933EF5">
        <w:rPr>
          <w:i/>
          <w:iCs/>
          <w:color w:val="000000" w:themeColor="text1"/>
        </w:rPr>
        <w:t>et al.,</w:t>
      </w:r>
      <w:r w:rsidR="00820494" w:rsidRPr="00820494">
        <w:rPr>
          <w:color w:val="000000" w:themeColor="text1"/>
        </w:rPr>
        <w:t xml:space="preserve"> 2013)</w:t>
      </w:r>
      <w:r w:rsidR="00820494">
        <w:rPr>
          <w:color w:val="000000" w:themeColor="text1"/>
        </w:rPr>
        <w:t xml:space="preserve"> to reduce </w:t>
      </w:r>
      <w:r w:rsidR="00933B5E">
        <w:rPr>
          <w:color w:val="000000" w:themeColor="text1"/>
        </w:rPr>
        <w:t xml:space="preserve">the possibility of </w:t>
      </w:r>
      <w:r w:rsidR="00820494">
        <w:rPr>
          <w:color w:val="000000" w:themeColor="text1"/>
        </w:rPr>
        <w:t>exception fallacy</w:t>
      </w:r>
      <w:r w:rsidR="00933B5E" w:rsidRPr="00933B5E">
        <w:t xml:space="preserve"> </w:t>
      </w:r>
      <w:r w:rsidR="00933B5E">
        <w:rPr>
          <w:color w:val="000000" w:themeColor="text1"/>
        </w:rPr>
        <w:t>by</w:t>
      </w:r>
      <w:r w:rsidR="00933B5E" w:rsidRPr="00933B5E">
        <w:rPr>
          <w:color w:val="000000" w:themeColor="text1"/>
        </w:rPr>
        <w:t xml:space="preserve"> clearly positioning </w:t>
      </w:r>
      <w:r w:rsidR="00933B5E">
        <w:rPr>
          <w:color w:val="000000" w:themeColor="text1"/>
        </w:rPr>
        <w:t>this</w:t>
      </w:r>
      <w:r w:rsidR="00933B5E" w:rsidRPr="00933B5E">
        <w:rPr>
          <w:color w:val="000000" w:themeColor="text1"/>
        </w:rPr>
        <w:t xml:space="preserve"> study </w:t>
      </w:r>
      <w:r w:rsidR="00933B5E">
        <w:rPr>
          <w:color w:val="000000" w:themeColor="text1"/>
        </w:rPr>
        <w:t>from the supplier’s perspective</w:t>
      </w:r>
      <w:bookmarkEnd w:id="34"/>
      <w:r w:rsidR="00AB4292">
        <w:rPr>
          <w:color w:val="000000" w:themeColor="text1"/>
        </w:rPr>
        <w:t>.</w:t>
      </w:r>
      <w:r w:rsidR="00933B5E">
        <w:rPr>
          <w:color w:val="000000" w:themeColor="text1"/>
        </w:rPr>
        <w:t xml:space="preserve"> </w:t>
      </w:r>
      <w:bookmarkStart w:id="35" w:name="_Hlk71553792"/>
      <w:r w:rsidR="00AB4292">
        <w:rPr>
          <w:color w:val="000000" w:themeColor="text1"/>
        </w:rPr>
        <w:t>W</w:t>
      </w:r>
      <w:r w:rsidR="006D4C43" w:rsidRPr="001C45D7">
        <w:rPr>
          <w:color w:val="000000" w:themeColor="text1"/>
        </w:rPr>
        <w:t>e</w:t>
      </w:r>
      <w:r w:rsidR="00AB4292">
        <w:rPr>
          <w:color w:val="000000" w:themeColor="text1"/>
        </w:rPr>
        <w:t xml:space="preserve"> must</w:t>
      </w:r>
      <w:r w:rsidR="006D4C43" w:rsidRPr="001C45D7">
        <w:rPr>
          <w:color w:val="000000" w:themeColor="text1"/>
        </w:rPr>
        <w:t xml:space="preserve"> acknowledge</w:t>
      </w:r>
      <w:r w:rsidR="00933B5E">
        <w:rPr>
          <w:color w:val="000000" w:themeColor="text1"/>
        </w:rPr>
        <w:t>, however,</w:t>
      </w:r>
      <w:r w:rsidR="006D4C43" w:rsidRPr="001C45D7">
        <w:rPr>
          <w:color w:val="000000" w:themeColor="text1"/>
        </w:rPr>
        <w:t xml:space="preserve"> </w:t>
      </w:r>
      <w:r w:rsidR="00AB4292">
        <w:rPr>
          <w:color w:val="000000" w:themeColor="text1"/>
        </w:rPr>
        <w:t xml:space="preserve">that </w:t>
      </w:r>
      <w:bookmarkStart w:id="36" w:name="_Hlk71550409"/>
      <w:r w:rsidR="003E4BEA">
        <w:rPr>
          <w:color w:val="000000" w:themeColor="text1"/>
        </w:rPr>
        <w:t>the contract</w:t>
      </w:r>
      <w:r w:rsidR="0040582C">
        <w:rPr>
          <w:color w:val="000000" w:themeColor="text1"/>
        </w:rPr>
        <w:t>ual</w:t>
      </w:r>
      <w:r w:rsidR="00AB4292">
        <w:rPr>
          <w:color w:val="000000" w:themeColor="text1"/>
        </w:rPr>
        <w:t xml:space="preserve"> and relational governance</w:t>
      </w:r>
      <w:r w:rsidR="003E4BEA">
        <w:rPr>
          <w:color w:val="000000" w:themeColor="text1"/>
        </w:rPr>
        <w:t xml:space="preserve"> constructs</w:t>
      </w:r>
      <w:r w:rsidR="00AB4292">
        <w:rPr>
          <w:color w:val="000000" w:themeColor="text1"/>
        </w:rPr>
        <w:t xml:space="preserve"> </w:t>
      </w:r>
      <w:r w:rsidR="003E4BEA">
        <w:rPr>
          <w:color w:val="000000" w:themeColor="text1"/>
        </w:rPr>
        <w:t xml:space="preserve">could have been better measured using dyadic data. </w:t>
      </w:r>
      <w:bookmarkEnd w:id="36"/>
      <w:r w:rsidR="003E4BEA">
        <w:rPr>
          <w:color w:val="000000" w:themeColor="text1"/>
        </w:rPr>
        <w:t xml:space="preserve">We suggest </w:t>
      </w:r>
      <w:r w:rsidR="005255BA">
        <w:rPr>
          <w:color w:val="000000" w:themeColor="text1"/>
        </w:rPr>
        <w:t xml:space="preserve">a </w:t>
      </w:r>
      <w:r w:rsidR="003E4BEA" w:rsidRPr="00036132">
        <w:rPr>
          <w:rFonts w:eastAsia="Malgun Gothic"/>
          <w:color w:val="000000" w:themeColor="text1"/>
          <w:lang w:eastAsia="ko-KR"/>
        </w:rPr>
        <w:t>future</w:t>
      </w:r>
      <w:r w:rsidR="006D4C43" w:rsidRPr="00036132">
        <w:rPr>
          <w:rFonts w:eastAsia="Malgun Gothic"/>
          <w:color w:val="000000" w:themeColor="text1"/>
          <w:lang w:eastAsia="ko-KR"/>
        </w:rPr>
        <w:t xml:space="preserve"> research employ</w:t>
      </w:r>
      <w:r w:rsidR="00AB4292" w:rsidRPr="00036132">
        <w:rPr>
          <w:rFonts w:eastAsia="Malgun Gothic"/>
          <w:color w:val="000000" w:themeColor="text1"/>
          <w:lang w:eastAsia="ko-KR"/>
        </w:rPr>
        <w:t>ing</w:t>
      </w:r>
      <w:r w:rsidR="006D4C43" w:rsidRPr="00036132">
        <w:rPr>
          <w:rFonts w:eastAsia="Malgun Gothic"/>
          <w:color w:val="000000" w:themeColor="text1"/>
          <w:lang w:eastAsia="ko-KR"/>
        </w:rPr>
        <w:t xml:space="preserve"> dyadic data</w:t>
      </w:r>
      <w:r w:rsidR="00AB4292" w:rsidRPr="00036132">
        <w:rPr>
          <w:rFonts w:eastAsia="Malgun Gothic"/>
          <w:color w:val="000000" w:themeColor="text1"/>
          <w:lang w:eastAsia="ko-KR"/>
        </w:rPr>
        <w:t xml:space="preserve"> </w:t>
      </w:r>
      <w:bookmarkEnd w:id="35"/>
      <w:r w:rsidR="005255BA" w:rsidRPr="00036132">
        <w:rPr>
          <w:rFonts w:eastAsia="Malgun Gothic"/>
          <w:color w:val="000000" w:themeColor="text1"/>
          <w:lang w:eastAsia="ko-KR"/>
        </w:rPr>
        <w:t>on this</w:t>
      </w:r>
      <w:r w:rsidR="00AB4292" w:rsidRPr="00036132">
        <w:rPr>
          <w:color w:val="000000" w:themeColor="text1"/>
        </w:rPr>
        <w:t>. Second</w:t>
      </w:r>
      <w:r w:rsidR="005E463C" w:rsidRPr="00036132">
        <w:rPr>
          <w:color w:val="000000" w:themeColor="text1"/>
        </w:rPr>
        <w:t xml:space="preserve">, </w:t>
      </w:r>
      <w:r w:rsidR="004C6967" w:rsidRPr="00036132">
        <w:rPr>
          <w:color w:val="000000" w:themeColor="text1"/>
        </w:rPr>
        <w:t>w</w:t>
      </w:r>
      <w:r w:rsidR="000430D7" w:rsidRPr="00036132">
        <w:rPr>
          <w:color w:val="000000" w:themeColor="text1"/>
        </w:rPr>
        <w:t xml:space="preserve">e </w:t>
      </w:r>
      <w:r w:rsidR="00D4461E" w:rsidRPr="00036132">
        <w:rPr>
          <w:color w:val="000000" w:themeColor="text1"/>
        </w:rPr>
        <w:t xml:space="preserve">collected survey data </w:t>
      </w:r>
      <w:r w:rsidR="0078590B" w:rsidRPr="00036132">
        <w:rPr>
          <w:color w:val="000000" w:themeColor="text1"/>
        </w:rPr>
        <w:t xml:space="preserve">only </w:t>
      </w:r>
      <w:r w:rsidR="00D4461E" w:rsidRPr="00036132">
        <w:rPr>
          <w:color w:val="000000" w:themeColor="text1"/>
        </w:rPr>
        <w:t>from supplier</w:t>
      </w:r>
      <w:r w:rsidR="0078590B" w:rsidRPr="00036132">
        <w:rPr>
          <w:color w:val="000000" w:themeColor="text1"/>
        </w:rPr>
        <w:t>s</w:t>
      </w:r>
      <w:r w:rsidR="00067176" w:rsidRPr="00036132">
        <w:rPr>
          <w:color w:val="000000" w:themeColor="text1"/>
        </w:rPr>
        <w:t xml:space="preserve"> who </w:t>
      </w:r>
      <w:r w:rsidR="00727119" w:rsidRPr="00036132">
        <w:rPr>
          <w:rFonts w:eastAsia="Batang"/>
          <w:color w:val="000000" w:themeColor="text1"/>
        </w:rPr>
        <w:t>accepted our survey requests</w:t>
      </w:r>
      <w:r w:rsidR="00067176" w:rsidRPr="00036132">
        <w:rPr>
          <w:color w:val="000000" w:themeColor="text1"/>
        </w:rPr>
        <w:t xml:space="preserve">. </w:t>
      </w:r>
      <w:r w:rsidR="00901658" w:rsidRPr="00036132">
        <w:rPr>
          <w:rFonts w:eastAsia="Batang"/>
          <w:color w:val="000000" w:themeColor="text1"/>
        </w:rPr>
        <w:t xml:space="preserve">As with all other survey studies, </w:t>
      </w:r>
      <w:r w:rsidR="00901658" w:rsidRPr="00036132">
        <w:rPr>
          <w:color w:val="000000" w:themeColor="text1"/>
        </w:rPr>
        <w:t>w</w:t>
      </w:r>
      <w:r w:rsidR="00067176" w:rsidRPr="00036132">
        <w:rPr>
          <w:color w:val="000000" w:themeColor="text1"/>
        </w:rPr>
        <w:t xml:space="preserve">e </w:t>
      </w:r>
      <w:r w:rsidR="000430D7" w:rsidRPr="00036132">
        <w:rPr>
          <w:color w:val="000000" w:themeColor="text1"/>
        </w:rPr>
        <w:t xml:space="preserve">acknowledge that </w:t>
      </w:r>
      <w:r w:rsidR="00B70592" w:rsidRPr="00036132">
        <w:rPr>
          <w:color w:val="000000" w:themeColor="text1"/>
        </w:rPr>
        <w:t>our</w:t>
      </w:r>
      <w:r w:rsidR="008D6D81" w:rsidRPr="00036132">
        <w:rPr>
          <w:color w:val="000000" w:themeColor="text1"/>
        </w:rPr>
        <w:t xml:space="preserve"> </w:t>
      </w:r>
      <w:r w:rsidR="000430D7" w:rsidRPr="00036132">
        <w:rPr>
          <w:color w:val="000000" w:themeColor="text1"/>
        </w:rPr>
        <w:t xml:space="preserve">self-reporting survey method may raise concerns about selection bias </w:t>
      </w:r>
      <w:r w:rsidR="00625BCA" w:rsidRPr="00036132">
        <w:rPr>
          <w:color w:val="000000" w:themeColor="text1"/>
        </w:rPr>
        <w:t>(</w:t>
      </w:r>
      <w:proofErr w:type="spellStart"/>
      <w:r w:rsidR="00625BCA" w:rsidRPr="00036132">
        <w:rPr>
          <w:color w:val="000000" w:themeColor="text1"/>
        </w:rPr>
        <w:t>Durach</w:t>
      </w:r>
      <w:proofErr w:type="spellEnd"/>
      <w:r w:rsidR="00625BCA" w:rsidRPr="00036132">
        <w:rPr>
          <w:color w:val="000000" w:themeColor="text1"/>
        </w:rPr>
        <w:t xml:space="preserve"> </w:t>
      </w:r>
      <w:r w:rsidR="00625BCA" w:rsidRPr="00036132">
        <w:rPr>
          <w:i/>
          <w:iCs/>
          <w:color w:val="000000" w:themeColor="text1"/>
        </w:rPr>
        <w:t>et al</w:t>
      </w:r>
      <w:r w:rsidR="00625BCA" w:rsidRPr="00036132">
        <w:rPr>
          <w:color w:val="000000" w:themeColor="text1"/>
        </w:rPr>
        <w:t xml:space="preserve">., 2020; Pu </w:t>
      </w:r>
      <w:r w:rsidR="00625BCA" w:rsidRPr="00036132">
        <w:rPr>
          <w:i/>
          <w:iCs/>
          <w:color w:val="000000" w:themeColor="text1"/>
        </w:rPr>
        <w:t>et al</w:t>
      </w:r>
      <w:r w:rsidR="00625BCA" w:rsidRPr="00036132">
        <w:rPr>
          <w:color w:val="000000" w:themeColor="text1"/>
        </w:rPr>
        <w:t xml:space="preserve">., 2019; </w:t>
      </w:r>
      <w:proofErr w:type="spellStart"/>
      <w:r w:rsidR="00625BCA" w:rsidRPr="00036132">
        <w:rPr>
          <w:color w:val="000000" w:themeColor="text1"/>
        </w:rPr>
        <w:t>Golini</w:t>
      </w:r>
      <w:proofErr w:type="spellEnd"/>
      <w:r w:rsidR="00625BCA" w:rsidRPr="00036132">
        <w:rPr>
          <w:color w:val="000000" w:themeColor="text1"/>
        </w:rPr>
        <w:t xml:space="preserve"> </w:t>
      </w:r>
      <w:r w:rsidR="0067153C" w:rsidRPr="00036132">
        <w:rPr>
          <w:color w:val="000000" w:themeColor="text1"/>
        </w:rPr>
        <w:t xml:space="preserve">and </w:t>
      </w:r>
      <w:proofErr w:type="spellStart"/>
      <w:r w:rsidR="00625BCA" w:rsidRPr="00036132">
        <w:rPr>
          <w:color w:val="000000" w:themeColor="text1"/>
        </w:rPr>
        <w:t>Gualandris</w:t>
      </w:r>
      <w:proofErr w:type="spellEnd"/>
      <w:r w:rsidR="00625BCA" w:rsidRPr="00036132">
        <w:rPr>
          <w:color w:val="000000" w:themeColor="text1"/>
        </w:rPr>
        <w:t>, 2017)</w:t>
      </w:r>
      <w:r w:rsidR="000430D7" w:rsidRPr="00036132">
        <w:rPr>
          <w:color w:val="000000" w:themeColor="text1"/>
        </w:rPr>
        <w:t xml:space="preserve">. </w:t>
      </w:r>
      <w:r w:rsidR="00E36941" w:rsidRPr="00036132">
        <w:rPr>
          <w:color w:val="000000" w:themeColor="text1"/>
        </w:rPr>
        <w:t>Future research</w:t>
      </w:r>
      <w:r w:rsidR="00C808CA" w:rsidRPr="00036132">
        <w:rPr>
          <w:color w:val="000000" w:themeColor="text1"/>
        </w:rPr>
        <w:t xml:space="preserve"> </w:t>
      </w:r>
      <w:r w:rsidR="00AA7039" w:rsidRPr="00036132">
        <w:rPr>
          <w:color w:val="000000" w:themeColor="text1"/>
        </w:rPr>
        <w:t>should</w:t>
      </w:r>
      <w:r w:rsidR="004D53E0" w:rsidRPr="00036132">
        <w:rPr>
          <w:color w:val="000000" w:themeColor="text1"/>
        </w:rPr>
        <w:t xml:space="preserve"> consider </w:t>
      </w:r>
      <w:r w:rsidR="00363977" w:rsidRPr="00036132">
        <w:rPr>
          <w:color w:val="000000" w:themeColor="text1"/>
        </w:rPr>
        <w:t xml:space="preserve">using </w:t>
      </w:r>
      <w:r w:rsidR="00E92877" w:rsidRPr="00036132">
        <w:rPr>
          <w:color w:val="000000" w:themeColor="text1"/>
        </w:rPr>
        <w:t xml:space="preserve">the </w:t>
      </w:r>
      <w:r w:rsidR="004D53E0" w:rsidRPr="00036132">
        <w:rPr>
          <w:color w:val="000000" w:themeColor="text1"/>
        </w:rPr>
        <w:t>matching model</w:t>
      </w:r>
      <w:r w:rsidR="00516B29" w:rsidRPr="00036132">
        <w:rPr>
          <w:color w:val="000000" w:themeColor="text1"/>
        </w:rPr>
        <w:t xml:space="preserve"> method</w:t>
      </w:r>
      <w:r w:rsidR="004D53E0" w:rsidRPr="00036132">
        <w:rPr>
          <w:color w:val="000000" w:themeColor="text1"/>
        </w:rPr>
        <w:t>,</w:t>
      </w:r>
      <w:r w:rsidR="00516B29" w:rsidRPr="00036132">
        <w:rPr>
          <w:color w:val="000000" w:themeColor="text1"/>
        </w:rPr>
        <w:t xml:space="preserve"> </w:t>
      </w:r>
      <w:r w:rsidR="00E92877" w:rsidRPr="00036132">
        <w:rPr>
          <w:color w:val="000000" w:themeColor="text1"/>
        </w:rPr>
        <w:t>the</w:t>
      </w:r>
      <w:r w:rsidR="00937938" w:rsidRPr="00036132">
        <w:rPr>
          <w:color w:val="000000" w:themeColor="text1"/>
        </w:rPr>
        <w:t xml:space="preserve"> regression discon</w:t>
      </w:r>
      <w:r w:rsidR="00C54007" w:rsidRPr="00036132">
        <w:rPr>
          <w:color w:val="000000" w:themeColor="text1"/>
        </w:rPr>
        <w:t>ti</w:t>
      </w:r>
      <w:r w:rsidR="00E92877" w:rsidRPr="00036132">
        <w:rPr>
          <w:color w:val="000000" w:themeColor="text1"/>
        </w:rPr>
        <w:t>nuity design method and the difference</w:t>
      </w:r>
      <w:r w:rsidR="007C4D49" w:rsidRPr="00036132">
        <w:rPr>
          <w:color w:val="000000" w:themeColor="text1"/>
        </w:rPr>
        <w:t>s</w:t>
      </w:r>
      <w:r w:rsidR="00E92877" w:rsidRPr="00036132">
        <w:rPr>
          <w:color w:val="000000" w:themeColor="text1"/>
        </w:rPr>
        <w:t xml:space="preserve">-in-differences method </w:t>
      </w:r>
      <w:r w:rsidR="003E150D" w:rsidRPr="00036132">
        <w:rPr>
          <w:color w:val="000000" w:themeColor="text1"/>
        </w:rPr>
        <w:t xml:space="preserve">in order to </w:t>
      </w:r>
      <w:r w:rsidR="00CB4C21" w:rsidRPr="00036132">
        <w:rPr>
          <w:color w:val="000000" w:themeColor="text1"/>
        </w:rPr>
        <w:t>alleviat</w:t>
      </w:r>
      <w:r w:rsidR="003E150D" w:rsidRPr="00036132">
        <w:rPr>
          <w:color w:val="000000" w:themeColor="text1"/>
        </w:rPr>
        <w:t>e</w:t>
      </w:r>
      <w:r w:rsidR="00FF7917" w:rsidRPr="00036132">
        <w:rPr>
          <w:color w:val="000000" w:themeColor="text1"/>
        </w:rPr>
        <w:t xml:space="preserve"> </w:t>
      </w:r>
      <w:r w:rsidR="003E150D" w:rsidRPr="00036132">
        <w:rPr>
          <w:color w:val="000000" w:themeColor="text1"/>
        </w:rPr>
        <w:t xml:space="preserve">concerns over </w:t>
      </w:r>
      <w:r w:rsidR="00F044AB" w:rsidRPr="00036132">
        <w:rPr>
          <w:color w:val="000000" w:themeColor="text1"/>
        </w:rPr>
        <w:t>self-selection (</w:t>
      </w:r>
      <w:proofErr w:type="spellStart"/>
      <w:r w:rsidR="006F4E24" w:rsidRPr="00036132">
        <w:rPr>
          <w:noProof/>
          <w:color w:val="000000" w:themeColor="text1"/>
          <w:szCs w:val="24"/>
        </w:rPr>
        <w:t>Hernán</w:t>
      </w:r>
      <w:proofErr w:type="spellEnd"/>
      <w:r w:rsidR="006F4E24" w:rsidRPr="00036132">
        <w:rPr>
          <w:color w:val="000000" w:themeColor="text1"/>
        </w:rPr>
        <w:t xml:space="preserve"> </w:t>
      </w:r>
      <w:r w:rsidR="006F4E24" w:rsidRPr="00036132">
        <w:rPr>
          <w:i/>
          <w:iCs/>
          <w:color w:val="000000" w:themeColor="text1"/>
        </w:rPr>
        <w:t>et al</w:t>
      </w:r>
      <w:r w:rsidR="006F4E24" w:rsidRPr="00036132">
        <w:rPr>
          <w:color w:val="000000" w:themeColor="text1"/>
        </w:rPr>
        <w:t xml:space="preserve">., 2004; </w:t>
      </w:r>
      <w:r w:rsidR="00F044AB" w:rsidRPr="00036132">
        <w:rPr>
          <w:color w:val="000000" w:themeColor="text1"/>
        </w:rPr>
        <w:t xml:space="preserve">Ho </w:t>
      </w:r>
      <w:r w:rsidR="00F044AB" w:rsidRPr="00036132">
        <w:rPr>
          <w:i/>
          <w:iCs/>
          <w:color w:val="000000" w:themeColor="text1"/>
        </w:rPr>
        <w:t>et al</w:t>
      </w:r>
      <w:r w:rsidR="00F044AB" w:rsidRPr="00036132">
        <w:rPr>
          <w:color w:val="000000" w:themeColor="text1"/>
        </w:rPr>
        <w:t>., 2017)</w:t>
      </w:r>
      <w:r w:rsidR="0098313D" w:rsidRPr="00036132">
        <w:rPr>
          <w:color w:val="000000" w:themeColor="text1"/>
        </w:rPr>
        <w:t>.</w:t>
      </w:r>
      <w:r w:rsidR="00CB4C21" w:rsidRPr="00036132">
        <w:rPr>
          <w:color w:val="000000" w:themeColor="text1"/>
        </w:rPr>
        <w:t xml:space="preserve"> </w:t>
      </w:r>
      <w:r w:rsidR="0098313D" w:rsidRPr="00036132">
        <w:rPr>
          <w:rFonts w:eastAsia="Batang"/>
          <w:color w:val="000000" w:themeColor="text1"/>
        </w:rPr>
        <w:t>Third</w:t>
      </w:r>
      <w:r w:rsidR="003C4C29" w:rsidRPr="00036132">
        <w:rPr>
          <w:color w:val="000000" w:themeColor="text1"/>
        </w:rPr>
        <w:t xml:space="preserve">, </w:t>
      </w:r>
      <w:r w:rsidR="006D4C43" w:rsidRPr="00036132">
        <w:rPr>
          <w:color w:val="000000" w:themeColor="text1"/>
        </w:rPr>
        <w:t>in the case of the potential endogeneity of relational and contractual governance mechanisms, we could only identify weak instrumental variables</w:t>
      </w:r>
      <w:r w:rsidR="009F6210" w:rsidRPr="00036132">
        <w:rPr>
          <w:color w:val="000000" w:themeColor="text1"/>
        </w:rPr>
        <w:t>, which ma</w:t>
      </w:r>
      <w:r w:rsidR="007501EE" w:rsidRPr="00036132">
        <w:rPr>
          <w:color w:val="000000" w:themeColor="text1"/>
        </w:rPr>
        <w:t>d</w:t>
      </w:r>
      <w:r w:rsidR="009F6210" w:rsidRPr="00036132">
        <w:rPr>
          <w:color w:val="000000" w:themeColor="text1"/>
        </w:rPr>
        <w:t>e IV estimation and subsequent regression analysis impossible</w:t>
      </w:r>
      <w:r w:rsidR="006D4C43" w:rsidRPr="00036132">
        <w:rPr>
          <w:color w:val="000000" w:themeColor="text1"/>
        </w:rPr>
        <w:t>. We acknowledge that the possibility of endogeneity between governance mechanisms and suppliers</w:t>
      </w:r>
      <w:r w:rsidR="00210000" w:rsidRPr="00036132">
        <w:rPr>
          <w:color w:val="000000" w:themeColor="text1"/>
        </w:rPr>
        <w:t>’</w:t>
      </w:r>
      <w:r w:rsidR="006D4C43" w:rsidRPr="00036132">
        <w:rPr>
          <w:color w:val="000000" w:themeColor="text1"/>
        </w:rPr>
        <w:t xml:space="preserve"> perception</w:t>
      </w:r>
      <w:r w:rsidR="00210000" w:rsidRPr="00036132">
        <w:rPr>
          <w:color w:val="000000" w:themeColor="text1"/>
        </w:rPr>
        <w:t>s</w:t>
      </w:r>
      <w:r w:rsidR="006D4C43" w:rsidRPr="00036132">
        <w:rPr>
          <w:color w:val="000000" w:themeColor="text1"/>
        </w:rPr>
        <w:t xml:space="preserve"> of buyers</w:t>
      </w:r>
      <w:r w:rsidR="00210000" w:rsidRPr="00036132">
        <w:rPr>
          <w:color w:val="000000" w:themeColor="text1"/>
        </w:rPr>
        <w:t>’</w:t>
      </w:r>
      <w:r w:rsidR="006D4C43" w:rsidRPr="00036132">
        <w:rPr>
          <w:color w:val="000000" w:themeColor="text1"/>
        </w:rPr>
        <w:t xml:space="preserve"> opportunism cannot be completely excluded.</w:t>
      </w:r>
      <w:r w:rsidR="006D4C43" w:rsidRPr="00036132">
        <w:rPr>
          <w:rFonts w:eastAsia="Batang"/>
          <w:color w:val="000000" w:themeColor="text1"/>
          <w:lang w:eastAsia="ko-KR"/>
        </w:rPr>
        <w:t xml:space="preserve"> Thus, future research needs to develop and test strong instrumental variables for governance mechanism</w:t>
      </w:r>
      <w:r w:rsidR="0077593B" w:rsidRPr="00036132">
        <w:rPr>
          <w:rFonts w:eastAsia="Batang"/>
          <w:color w:val="000000" w:themeColor="text1"/>
          <w:lang w:eastAsia="ko-KR"/>
        </w:rPr>
        <w:t>s</w:t>
      </w:r>
      <w:r w:rsidR="00A470B8" w:rsidRPr="00036132">
        <w:rPr>
          <w:rFonts w:eastAsia="Batang"/>
          <w:color w:val="000000" w:themeColor="text1"/>
        </w:rPr>
        <w:t>.</w:t>
      </w:r>
      <w:r w:rsidR="00486C3A" w:rsidRPr="00036132">
        <w:rPr>
          <w:color w:val="000000" w:themeColor="text1"/>
        </w:rPr>
        <w:t xml:space="preserve"> </w:t>
      </w:r>
      <w:r w:rsidR="00A470B8" w:rsidRPr="00036132">
        <w:rPr>
          <w:rFonts w:eastAsia="Batang"/>
          <w:color w:val="000000" w:themeColor="text1"/>
        </w:rPr>
        <w:t xml:space="preserve">Fourth, </w:t>
      </w:r>
      <w:r w:rsidR="006D4C43" w:rsidRPr="00036132">
        <w:rPr>
          <w:color w:val="000000" w:themeColor="text1"/>
        </w:rPr>
        <w:t>since this study collect</w:t>
      </w:r>
      <w:r w:rsidR="003A077B" w:rsidRPr="00036132">
        <w:rPr>
          <w:color w:val="000000" w:themeColor="text1"/>
        </w:rPr>
        <w:t>ed</w:t>
      </w:r>
      <w:r w:rsidR="006D4C43" w:rsidRPr="00036132">
        <w:rPr>
          <w:color w:val="000000" w:themeColor="text1"/>
        </w:rPr>
        <w:t xml:space="preserve"> data from SME suppliers in Korea, </w:t>
      </w:r>
      <w:r w:rsidR="003A077B" w:rsidRPr="00036132">
        <w:rPr>
          <w:color w:val="000000" w:themeColor="text1"/>
        </w:rPr>
        <w:t xml:space="preserve">its </w:t>
      </w:r>
      <w:r w:rsidR="006D4C43" w:rsidRPr="00036132">
        <w:rPr>
          <w:color w:val="000000" w:themeColor="text1"/>
        </w:rPr>
        <w:t xml:space="preserve">research findings may be applicable to comparable social and economic settings in Asia. </w:t>
      </w:r>
      <w:r w:rsidR="00AE2746" w:rsidRPr="00036132">
        <w:rPr>
          <w:color w:val="000000" w:themeColor="text1"/>
        </w:rPr>
        <w:t>However</w:t>
      </w:r>
      <w:r w:rsidR="006D4C43" w:rsidRPr="00036132">
        <w:rPr>
          <w:color w:val="000000" w:themeColor="text1"/>
        </w:rPr>
        <w:t>, the findings may not be readily generali</w:t>
      </w:r>
      <w:r w:rsidR="00AE2746" w:rsidRPr="00036132">
        <w:rPr>
          <w:color w:val="000000" w:themeColor="text1"/>
        </w:rPr>
        <w:t>s</w:t>
      </w:r>
      <w:r w:rsidR="006D4C43" w:rsidRPr="00036132">
        <w:rPr>
          <w:color w:val="000000" w:themeColor="text1"/>
        </w:rPr>
        <w:t>ed to buyer</w:t>
      </w:r>
      <w:r w:rsidR="00A92F41" w:rsidRPr="00036132">
        <w:rPr>
          <w:color w:val="000000" w:themeColor="text1"/>
        </w:rPr>
        <w:t>–</w:t>
      </w:r>
      <w:r w:rsidR="006D4C43" w:rsidRPr="00036132">
        <w:rPr>
          <w:color w:val="000000" w:themeColor="text1"/>
        </w:rPr>
        <w:t xml:space="preserve">supplier relationships in developed economies. To increase the external validity of this research, we suggest that future studies extend the sampling framework to cover </w:t>
      </w:r>
      <w:r w:rsidR="00C440EA" w:rsidRPr="00036132">
        <w:rPr>
          <w:color w:val="000000" w:themeColor="text1"/>
        </w:rPr>
        <w:t xml:space="preserve">firms of </w:t>
      </w:r>
      <w:r w:rsidR="006D4C43" w:rsidRPr="00036132">
        <w:rPr>
          <w:color w:val="000000" w:themeColor="text1"/>
        </w:rPr>
        <w:t>various sizes across multiple countries</w:t>
      </w:r>
      <w:r w:rsidR="00A470B8" w:rsidRPr="00036132">
        <w:rPr>
          <w:color w:val="000000" w:themeColor="text1"/>
        </w:rPr>
        <w:t>.</w:t>
      </w:r>
      <w:r w:rsidR="00486C3A" w:rsidRPr="00036132">
        <w:rPr>
          <w:color w:val="000000" w:themeColor="text1"/>
        </w:rPr>
        <w:t xml:space="preserve"> </w:t>
      </w:r>
      <w:r w:rsidR="00682310" w:rsidRPr="00036132">
        <w:rPr>
          <w:color w:val="000000" w:themeColor="text1"/>
        </w:rPr>
        <w:t>Fi</w:t>
      </w:r>
      <w:r w:rsidR="0093701B" w:rsidRPr="00036132">
        <w:rPr>
          <w:color w:val="000000" w:themeColor="text1"/>
        </w:rPr>
        <w:t>fth</w:t>
      </w:r>
      <w:r w:rsidR="00682310" w:rsidRPr="00036132">
        <w:rPr>
          <w:color w:val="000000" w:themeColor="text1"/>
        </w:rPr>
        <w:t>,</w:t>
      </w:r>
      <w:r w:rsidR="00C803F4" w:rsidRPr="00036132">
        <w:rPr>
          <w:color w:val="000000" w:themeColor="text1"/>
        </w:rPr>
        <w:t xml:space="preserve"> f</w:t>
      </w:r>
      <w:r w:rsidR="002E2BC1" w:rsidRPr="00036132">
        <w:rPr>
          <w:color w:val="000000" w:themeColor="text1"/>
        </w:rPr>
        <w:t>uture</w:t>
      </w:r>
      <w:r w:rsidR="00FA6558" w:rsidRPr="00036132">
        <w:rPr>
          <w:color w:val="000000" w:themeColor="text1"/>
        </w:rPr>
        <w:t xml:space="preserve"> </w:t>
      </w:r>
      <w:r w:rsidR="002E2BC1" w:rsidRPr="00036132">
        <w:rPr>
          <w:color w:val="000000" w:themeColor="text1"/>
        </w:rPr>
        <w:t>studies</w:t>
      </w:r>
      <w:r w:rsidR="00FA6558" w:rsidRPr="00036132">
        <w:rPr>
          <w:color w:val="000000" w:themeColor="text1"/>
        </w:rPr>
        <w:t xml:space="preserve"> </w:t>
      </w:r>
      <w:r w:rsidR="002E2BC1" w:rsidRPr="00036132">
        <w:rPr>
          <w:color w:val="000000" w:themeColor="text1"/>
        </w:rPr>
        <w:t>could</w:t>
      </w:r>
      <w:r w:rsidR="00FA6558" w:rsidRPr="00036132">
        <w:rPr>
          <w:color w:val="000000" w:themeColor="text1"/>
        </w:rPr>
        <w:t xml:space="preserve"> </w:t>
      </w:r>
      <w:r w:rsidR="002E2BC1" w:rsidRPr="00036132">
        <w:rPr>
          <w:color w:val="000000" w:themeColor="text1"/>
        </w:rPr>
        <w:t>integrate</w:t>
      </w:r>
      <w:r w:rsidR="00FA6558" w:rsidRPr="00036132">
        <w:rPr>
          <w:color w:val="000000" w:themeColor="text1"/>
        </w:rPr>
        <w:t xml:space="preserve"> </w:t>
      </w:r>
      <w:r w:rsidR="002E2BC1" w:rsidRPr="00036132">
        <w:rPr>
          <w:color w:val="000000" w:themeColor="text1"/>
        </w:rPr>
        <w:t>resource</w:t>
      </w:r>
      <w:r w:rsidR="00FA6558" w:rsidRPr="00036132">
        <w:rPr>
          <w:color w:val="000000" w:themeColor="text1"/>
        </w:rPr>
        <w:t xml:space="preserve"> </w:t>
      </w:r>
      <w:r w:rsidR="002E2BC1" w:rsidRPr="00036132">
        <w:rPr>
          <w:color w:val="000000" w:themeColor="text1"/>
        </w:rPr>
        <w:t>dependence</w:t>
      </w:r>
      <w:r w:rsidR="00FA6558" w:rsidRPr="00036132">
        <w:rPr>
          <w:color w:val="000000" w:themeColor="text1"/>
        </w:rPr>
        <w:t xml:space="preserve"> </w:t>
      </w:r>
      <w:r w:rsidR="002E2BC1" w:rsidRPr="00036132">
        <w:rPr>
          <w:color w:val="000000" w:themeColor="text1"/>
        </w:rPr>
        <w:t>theory</w:t>
      </w:r>
      <w:r w:rsidR="00FA6558" w:rsidRPr="00036132">
        <w:rPr>
          <w:color w:val="000000" w:themeColor="text1"/>
        </w:rPr>
        <w:t xml:space="preserve"> </w:t>
      </w:r>
      <w:r w:rsidR="002E2BC1" w:rsidRPr="00036132">
        <w:rPr>
          <w:color w:val="000000" w:themeColor="text1"/>
        </w:rPr>
        <w:t>with</w:t>
      </w:r>
      <w:r w:rsidR="00FA6558" w:rsidRPr="00036132">
        <w:rPr>
          <w:color w:val="000000" w:themeColor="text1"/>
        </w:rPr>
        <w:t xml:space="preserve"> </w:t>
      </w:r>
      <w:r w:rsidR="002E2BC1" w:rsidRPr="00036132">
        <w:rPr>
          <w:color w:val="000000" w:themeColor="text1"/>
        </w:rPr>
        <w:t>contingency</w:t>
      </w:r>
      <w:r w:rsidR="00FA6558" w:rsidRPr="00036132">
        <w:rPr>
          <w:color w:val="000000" w:themeColor="text1"/>
        </w:rPr>
        <w:t xml:space="preserve"> </w:t>
      </w:r>
      <w:r w:rsidR="002E2BC1" w:rsidRPr="00036132">
        <w:rPr>
          <w:color w:val="000000" w:themeColor="text1"/>
        </w:rPr>
        <w:t>theory</w:t>
      </w:r>
      <w:r w:rsidR="00105F4F" w:rsidRPr="00036132">
        <w:rPr>
          <w:color w:val="000000" w:themeColor="text1"/>
        </w:rPr>
        <w:t>,</w:t>
      </w:r>
      <w:r w:rsidR="00FA6558" w:rsidRPr="00036132">
        <w:rPr>
          <w:color w:val="000000" w:themeColor="text1"/>
        </w:rPr>
        <w:t xml:space="preserve"> </w:t>
      </w:r>
      <w:r w:rsidR="00CD2033" w:rsidRPr="00036132">
        <w:rPr>
          <w:color w:val="000000" w:themeColor="text1"/>
        </w:rPr>
        <w:t xml:space="preserve">which </w:t>
      </w:r>
      <w:r w:rsidR="002E2BC1" w:rsidRPr="00036132">
        <w:rPr>
          <w:color w:val="000000" w:themeColor="text1"/>
        </w:rPr>
        <w:t>identifies</w:t>
      </w:r>
      <w:r w:rsidR="00FA6558" w:rsidRPr="00036132">
        <w:rPr>
          <w:color w:val="000000" w:themeColor="text1"/>
        </w:rPr>
        <w:t xml:space="preserve"> </w:t>
      </w:r>
      <w:r w:rsidR="002E2BC1" w:rsidRPr="00036132">
        <w:rPr>
          <w:color w:val="000000" w:themeColor="text1"/>
        </w:rPr>
        <w:t>and</w:t>
      </w:r>
      <w:r w:rsidR="00FA6558" w:rsidRPr="00036132">
        <w:rPr>
          <w:color w:val="000000" w:themeColor="text1"/>
        </w:rPr>
        <w:t xml:space="preserve"> </w:t>
      </w:r>
      <w:r w:rsidR="002E2BC1" w:rsidRPr="00036132">
        <w:rPr>
          <w:color w:val="000000" w:themeColor="text1"/>
        </w:rPr>
        <w:t>matches</w:t>
      </w:r>
      <w:r w:rsidR="00FA6558" w:rsidRPr="00036132">
        <w:rPr>
          <w:color w:val="000000" w:themeColor="text1"/>
        </w:rPr>
        <w:t xml:space="preserve"> </w:t>
      </w:r>
      <w:r w:rsidR="002E2BC1" w:rsidRPr="00036132">
        <w:rPr>
          <w:color w:val="000000" w:themeColor="text1"/>
        </w:rPr>
        <w:t>context</w:t>
      </w:r>
      <w:r w:rsidR="00CD2033" w:rsidRPr="00036132">
        <w:rPr>
          <w:color w:val="000000" w:themeColor="text1"/>
        </w:rPr>
        <w:t>ual</w:t>
      </w:r>
      <w:r w:rsidR="00FA6558" w:rsidRPr="00036132">
        <w:rPr>
          <w:color w:val="000000" w:themeColor="text1"/>
        </w:rPr>
        <w:t xml:space="preserve"> </w:t>
      </w:r>
      <w:r w:rsidR="002E2BC1" w:rsidRPr="00036132">
        <w:rPr>
          <w:color w:val="000000" w:themeColor="text1"/>
        </w:rPr>
        <w:t>settings</w:t>
      </w:r>
      <w:r w:rsidR="00FA6558" w:rsidRPr="00036132">
        <w:rPr>
          <w:color w:val="000000" w:themeColor="text1"/>
        </w:rPr>
        <w:t xml:space="preserve"> </w:t>
      </w:r>
      <w:r w:rsidR="002E2BC1" w:rsidRPr="00036132">
        <w:rPr>
          <w:color w:val="000000" w:themeColor="text1"/>
        </w:rPr>
        <w:t>with</w:t>
      </w:r>
      <w:r w:rsidR="00FA6558" w:rsidRPr="00036132">
        <w:rPr>
          <w:color w:val="000000" w:themeColor="text1"/>
        </w:rPr>
        <w:t xml:space="preserve"> </w:t>
      </w:r>
      <w:r w:rsidR="002E2BC1" w:rsidRPr="00036132">
        <w:rPr>
          <w:color w:val="000000" w:themeColor="text1"/>
        </w:rPr>
        <w:t>organisational</w:t>
      </w:r>
      <w:r w:rsidR="00FA6558" w:rsidRPr="00036132">
        <w:rPr>
          <w:color w:val="000000" w:themeColor="text1"/>
        </w:rPr>
        <w:t xml:space="preserve"> </w:t>
      </w:r>
      <w:r w:rsidR="002E2BC1" w:rsidRPr="00036132">
        <w:rPr>
          <w:color w:val="000000" w:themeColor="text1"/>
        </w:rPr>
        <w:t>settings.</w:t>
      </w:r>
      <w:r w:rsidR="00FA6558" w:rsidRPr="00036132">
        <w:rPr>
          <w:color w:val="000000" w:themeColor="text1"/>
        </w:rPr>
        <w:t xml:space="preserve"> </w:t>
      </w:r>
      <w:r w:rsidR="002E2BC1" w:rsidRPr="00036132">
        <w:rPr>
          <w:color w:val="000000" w:themeColor="text1"/>
        </w:rPr>
        <w:t>Appropriate</w:t>
      </w:r>
      <w:r w:rsidR="00FA6558" w:rsidRPr="00036132">
        <w:rPr>
          <w:color w:val="000000" w:themeColor="text1"/>
        </w:rPr>
        <w:t xml:space="preserve"> </w:t>
      </w:r>
      <w:r w:rsidR="00712AF9" w:rsidRPr="00036132">
        <w:rPr>
          <w:color w:val="000000" w:themeColor="text1"/>
        </w:rPr>
        <w:t xml:space="preserve">relational governance </w:t>
      </w:r>
      <w:r w:rsidR="002E2BC1" w:rsidRPr="00036132">
        <w:rPr>
          <w:color w:val="000000" w:themeColor="text1"/>
        </w:rPr>
        <w:t>depends</w:t>
      </w:r>
      <w:r w:rsidR="00FA6558" w:rsidRPr="00036132">
        <w:rPr>
          <w:color w:val="000000" w:themeColor="text1"/>
        </w:rPr>
        <w:t xml:space="preserve"> </w:t>
      </w:r>
      <w:r w:rsidR="002E2BC1" w:rsidRPr="00036132">
        <w:rPr>
          <w:color w:val="000000" w:themeColor="text1"/>
        </w:rPr>
        <w:t>on</w:t>
      </w:r>
      <w:r w:rsidR="00FA6558" w:rsidRPr="00036132">
        <w:rPr>
          <w:color w:val="000000" w:themeColor="text1"/>
        </w:rPr>
        <w:t xml:space="preserve"> </w:t>
      </w:r>
      <w:r w:rsidR="002E2BC1" w:rsidRPr="00036132">
        <w:rPr>
          <w:color w:val="000000" w:themeColor="text1"/>
        </w:rPr>
        <w:t>contingency</w:t>
      </w:r>
      <w:r w:rsidR="00FA6558" w:rsidRPr="00036132">
        <w:rPr>
          <w:color w:val="000000" w:themeColor="text1"/>
        </w:rPr>
        <w:t xml:space="preserve"> </w:t>
      </w:r>
      <w:r w:rsidR="002E2BC1" w:rsidRPr="00036132">
        <w:rPr>
          <w:color w:val="000000" w:themeColor="text1"/>
        </w:rPr>
        <w:t>factors</w:t>
      </w:r>
      <w:r w:rsidR="005C044D" w:rsidRPr="00036132">
        <w:rPr>
          <w:color w:val="000000" w:themeColor="text1"/>
        </w:rPr>
        <w:t>,</w:t>
      </w:r>
      <w:r w:rsidR="00FA6558" w:rsidRPr="00036132">
        <w:rPr>
          <w:color w:val="000000" w:themeColor="text1"/>
        </w:rPr>
        <w:t xml:space="preserve"> </w:t>
      </w:r>
      <w:r w:rsidR="002E2BC1" w:rsidRPr="00036132">
        <w:rPr>
          <w:color w:val="000000" w:themeColor="text1"/>
        </w:rPr>
        <w:t>such</w:t>
      </w:r>
      <w:r w:rsidR="00FA6558" w:rsidRPr="00036132">
        <w:rPr>
          <w:color w:val="000000" w:themeColor="text1"/>
        </w:rPr>
        <w:t xml:space="preserve"> </w:t>
      </w:r>
      <w:r w:rsidR="002E2BC1" w:rsidRPr="00036132">
        <w:rPr>
          <w:color w:val="000000" w:themeColor="text1"/>
        </w:rPr>
        <w:t>as</w:t>
      </w:r>
      <w:r w:rsidR="00FA6558" w:rsidRPr="00036132">
        <w:rPr>
          <w:color w:val="000000" w:themeColor="text1"/>
        </w:rPr>
        <w:t xml:space="preserve"> </w:t>
      </w:r>
      <w:r w:rsidR="002F2390" w:rsidRPr="00036132">
        <w:rPr>
          <w:color w:val="000000" w:themeColor="text1"/>
        </w:rPr>
        <w:t xml:space="preserve">the condition of </w:t>
      </w:r>
      <w:r w:rsidR="005C044D" w:rsidRPr="00036132">
        <w:rPr>
          <w:color w:val="000000" w:themeColor="text1"/>
        </w:rPr>
        <w:t xml:space="preserve">a </w:t>
      </w:r>
      <w:r w:rsidR="002E2BC1" w:rsidRPr="00036132">
        <w:rPr>
          <w:color w:val="000000" w:themeColor="text1"/>
        </w:rPr>
        <w:t>firm’s</w:t>
      </w:r>
      <w:r w:rsidR="00FA6558" w:rsidRPr="00036132">
        <w:rPr>
          <w:color w:val="000000" w:themeColor="text1"/>
        </w:rPr>
        <w:t xml:space="preserve"> </w:t>
      </w:r>
      <w:r w:rsidR="002E2BC1" w:rsidRPr="00036132">
        <w:rPr>
          <w:color w:val="000000" w:themeColor="text1"/>
        </w:rPr>
        <w:t>task</w:t>
      </w:r>
      <w:r w:rsidR="00FA6558" w:rsidRPr="00036132">
        <w:rPr>
          <w:color w:val="000000" w:themeColor="text1"/>
        </w:rPr>
        <w:t xml:space="preserve"> </w:t>
      </w:r>
      <w:r w:rsidR="002E2BC1" w:rsidRPr="00036132">
        <w:rPr>
          <w:color w:val="000000" w:themeColor="text1"/>
        </w:rPr>
        <w:t>environment.</w:t>
      </w:r>
      <w:r w:rsidR="00FA6558" w:rsidRPr="00036132">
        <w:rPr>
          <w:color w:val="000000" w:themeColor="text1"/>
        </w:rPr>
        <w:t xml:space="preserve"> </w:t>
      </w:r>
      <w:r w:rsidR="002E2BC1" w:rsidRPr="00036132">
        <w:rPr>
          <w:color w:val="000000" w:themeColor="text1"/>
        </w:rPr>
        <w:t>One</w:t>
      </w:r>
      <w:r w:rsidR="00FA6558" w:rsidRPr="00036132">
        <w:rPr>
          <w:color w:val="000000" w:themeColor="text1"/>
        </w:rPr>
        <w:t xml:space="preserve"> </w:t>
      </w:r>
      <w:r w:rsidR="002E2BC1" w:rsidRPr="00036132">
        <w:rPr>
          <w:color w:val="000000" w:themeColor="text1"/>
        </w:rPr>
        <w:t>variation</w:t>
      </w:r>
      <w:r w:rsidR="00FA6558" w:rsidRPr="00036132">
        <w:rPr>
          <w:color w:val="000000" w:themeColor="text1"/>
        </w:rPr>
        <w:t xml:space="preserve"> </w:t>
      </w:r>
      <w:r w:rsidR="002E2BC1" w:rsidRPr="00036132">
        <w:rPr>
          <w:color w:val="000000" w:themeColor="text1"/>
        </w:rPr>
        <w:t>in</w:t>
      </w:r>
      <w:r w:rsidR="00FA6558" w:rsidRPr="00036132">
        <w:rPr>
          <w:color w:val="000000" w:themeColor="text1"/>
        </w:rPr>
        <w:t xml:space="preserve"> </w:t>
      </w:r>
      <w:r w:rsidR="005C044D" w:rsidRPr="00036132">
        <w:rPr>
          <w:color w:val="000000" w:themeColor="text1"/>
        </w:rPr>
        <w:t xml:space="preserve">a </w:t>
      </w:r>
      <w:r w:rsidR="002E2BC1" w:rsidRPr="00036132">
        <w:rPr>
          <w:color w:val="000000" w:themeColor="text1"/>
        </w:rPr>
        <w:t>firm’s</w:t>
      </w:r>
      <w:r w:rsidR="00FA6558" w:rsidRPr="00036132">
        <w:rPr>
          <w:color w:val="000000" w:themeColor="text1"/>
        </w:rPr>
        <w:t xml:space="preserve"> </w:t>
      </w:r>
      <w:r w:rsidR="002E2BC1" w:rsidRPr="00036132">
        <w:rPr>
          <w:color w:val="000000" w:themeColor="text1"/>
        </w:rPr>
        <w:t>task</w:t>
      </w:r>
      <w:r w:rsidR="00FA6558" w:rsidRPr="00036132">
        <w:rPr>
          <w:color w:val="000000" w:themeColor="text1"/>
        </w:rPr>
        <w:t xml:space="preserve"> </w:t>
      </w:r>
      <w:r w:rsidR="002E2BC1" w:rsidRPr="00036132">
        <w:rPr>
          <w:color w:val="000000" w:themeColor="text1"/>
        </w:rPr>
        <w:t>environment</w:t>
      </w:r>
      <w:r w:rsidR="00FA6558" w:rsidRPr="00036132">
        <w:rPr>
          <w:color w:val="000000" w:themeColor="text1"/>
        </w:rPr>
        <w:t xml:space="preserve"> </w:t>
      </w:r>
      <w:r w:rsidR="002E2BC1" w:rsidRPr="00036132">
        <w:rPr>
          <w:color w:val="000000" w:themeColor="text1"/>
        </w:rPr>
        <w:t>could</w:t>
      </w:r>
      <w:r w:rsidR="00FA6558" w:rsidRPr="00036132">
        <w:rPr>
          <w:color w:val="000000" w:themeColor="text1"/>
        </w:rPr>
        <w:t xml:space="preserve"> </w:t>
      </w:r>
      <w:r w:rsidR="002E2BC1" w:rsidRPr="00036132">
        <w:rPr>
          <w:color w:val="000000" w:themeColor="text1"/>
        </w:rPr>
        <w:t>be</w:t>
      </w:r>
      <w:r w:rsidR="00FA6558" w:rsidRPr="00036132">
        <w:rPr>
          <w:color w:val="000000" w:themeColor="text1"/>
        </w:rPr>
        <w:t xml:space="preserve"> </w:t>
      </w:r>
      <w:r w:rsidR="00ED28B7" w:rsidRPr="00036132">
        <w:rPr>
          <w:color w:val="000000" w:themeColor="text1"/>
        </w:rPr>
        <w:t xml:space="preserve">its </w:t>
      </w:r>
      <w:r w:rsidR="002E2BC1" w:rsidRPr="00036132">
        <w:rPr>
          <w:color w:val="000000" w:themeColor="text1"/>
        </w:rPr>
        <w:t>rate</w:t>
      </w:r>
      <w:r w:rsidR="00FA6558" w:rsidRPr="00036132">
        <w:rPr>
          <w:color w:val="000000" w:themeColor="text1"/>
        </w:rPr>
        <w:t xml:space="preserve"> </w:t>
      </w:r>
      <w:r w:rsidR="002E2BC1" w:rsidRPr="00036132">
        <w:rPr>
          <w:color w:val="000000" w:themeColor="text1"/>
        </w:rPr>
        <w:t>of</w:t>
      </w:r>
      <w:r w:rsidR="00FA6558" w:rsidRPr="00036132">
        <w:rPr>
          <w:color w:val="000000" w:themeColor="text1"/>
        </w:rPr>
        <w:t xml:space="preserve"> </w:t>
      </w:r>
      <w:r w:rsidR="002E2BC1" w:rsidRPr="00036132">
        <w:rPr>
          <w:color w:val="000000" w:themeColor="text1"/>
        </w:rPr>
        <w:t>digital</w:t>
      </w:r>
      <w:r w:rsidR="00FA6558" w:rsidRPr="00036132">
        <w:rPr>
          <w:color w:val="000000" w:themeColor="text1"/>
        </w:rPr>
        <w:t xml:space="preserve"> </w:t>
      </w:r>
      <w:r w:rsidR="002E2BC1" w:rsidRPr="00036132">
        <w:rPr>
          <w:color w:val="000000" w:themeColor="text1"/>
        </w:rPr>
        <w:t>technological</w:t>
      </w:r>
      <w:r w:rsidR="00FA6558" w:rsidRPr="00036132">
        <w:rPr>
          <w:color w:val="000000" w:themeColor="text1"/>
        </w:rPr>
        <w:t xml:space="preserve"> </w:t>
      </w:r>
      <w:r w:rsidR="002E2BC1" w:rsidRPr="00036132">
        <w:rPr>
          <w:color w:val="000000" w:themeColor="text1"/>
        </w:rPr>
        <w:t>innovation</w:t>
      </w:r>
      <w:r w:rsidR="004A2B48" w:rsidRPr="00036132">
        <w:rPr>
          <w:color w:val="000000" w:themeColor="text1"/>
        </w:rPr>
        <w:t xml:space="preserve"> </w:t>
      </w:r>
      <w:r w:rsidR="00195926" w:rsidRPr="00036132">
        <w:rPr>
          <w:color w:val="000000" w:themeColor="text1"/>
        </w:rPr>
        <w:fldChar w:fldCharType="begin" w:fldLock="1"/>
      </w:r>
      <w:r w:rsidR="00433778" w:rsidRPr="00036132">
        <w:rPr>
          <w:color w:val="000000" w:themeColor="text1"/>
        </w:rPr>
        <w:instrText>ADDIN CSL_CITATION {"citationItems":[{"id":"ITEM-1","itemData":{"DOI":"10.1287/orsc.1110.0687","ISSN":"10477039","abstract":"In this paper, we attempt to reconcile contingency and institutional fit approaches concerning the organization-environment relationship. Whereas prior scholarly research has examined both theories and compared their impacts on organizational fit and performance, we lay the groundwork for a metafit approach by investigating how contingency and institutional fit interact to influence firm performance. We test our theoretical framework using a data set of 3,259 respondents from 1,904 companies, examining task environmental demands and institutional demands on organizational design across a broad range of industries and firm size classes. Our results show that contingency and institutional fit provide complementary and interdependent explanations of firm performance. Importantly, our findings indicate that for firms under conditions of \" quasi fit\" rather than perfect contingency fit or optimal institutional fit, improvements in contingency and/or institutional fit will result in better performance. However, firms with high contingency fit are less vulnerable to deviation from institutional fit in the formation of firm performance, whereas firms with perfect institutional fit will slightly decrease their performance when they strive to achieve contingency fit. © 2012 Informs.","author":[{"dropping-particle":"","family":"Volberda","given":"Henk W.","non-dropping-particle":"","parse-names":false,"suffix":""},{"dropping-particle":"","family":"Weerdt","given":"Niels","non-dropping-particle":"van der","parse-names":false,"suffix":""},{"dropping-particle":"","family":"Verwaal","given":"Ernst","non-dropping-particle":"","parse-names":false,"suffix":""},{"dropping-particle":"","family":"Stienstra","given":"Marten","non-dropping-particle":"","parse-names":false,"suffix":""},{"dropping-particle":"","family":"Verdu","given":"Antonio J.","non-dropping-particle":"","parse-names":false,"suffix":""}],"container-title":"Organization Science","id":"ITEM-1","issue":"4","issued":{"date-parts":[["2012","7"]]},"page":"1040-1054","title":"Contingency fit, institutional fit, and firm performance: A metafit approach to organization-environment relationships","type":"article-journal","volume":"23"},"uris":["http://www.mendeley.com/documents/?uuid=50f944db-d0e8-4772-b4cc-d949f3b77f7e"]}],"mendeley":{"formattedCitation":"(Volberda &lt;i&gt;et al.&lt;/i&gt;, 2012)","plainTextFormattedCitation":"(Volberda et al., 2012)","previouslyFormattedCitation":"(Volberda &lt;i&gt;et al.&lt;/i&gt;, 2012)"},"properties":{"noteIndex":0},"schema":"https://github.com/citation-style-language/schema/raw/master/csl-citation.json"}</w:instrText>
      </w:r>
      <w:r w:rsidR="00195926" w:rsidRPr="00036132">
        <w:rPr>
          <w:color w:val="000000" w:themeColor="text1"/>
        </w:rPr>
        <w:fldChar w:fldCharType="separate"/>
      </w:r>
      <w:r w:rsidR="00195926" w:rsidRPr="00036132">
        <w:rPr>
          <w:noProof/>
          <w:color w:val="000000" w:themeColor="text1"/>
        </w:rPr>
        <w:t xml:space="preserve">(Volberda </w:t>
      </w:r>
      <w:r w:rsidR="00195926" w:rsidRPr="00036132">
        <w:rPr>
          <w:i/>
          <w:noProof/>
          <w:color w:val="000000" w:themeColor="text1"/>
        </w:rPr>
        <w:t>et al.</w:t>
      </w:r>
      <w:r w:rsidR="00195926" w:rsidRPr="00036132">
        <w:rPr>
          <w:noProof/>
          <w:color w:val="000000" w:themeColor="text1"/>
        </w:rPr>
        <w:t>, 2012)</w:t>
      </w:r>
      <w:r w:rsidR="00195926" w:rsidRPr="00036132">
        <w:rPr>
          <w:color w:val="000000" w:themeColor="text1"/>
        </w:rPr>
        <w:fldChar w:fldCharType="end"/>
      </w:r>
      <w:r w:rsidR="00195926" w:rsidRPr="00036132">
        <w:rPr>
          <w:color w:val="000000" w:themeColor="text1"/>
        </w:rPr>
        <w:t>.</w:t>
      </w:r>
      <w:r w:rsidR="00FA6558" w:rsidRPr="00036132">
        <w:rPr>
          <w:color w:val="000000" w:themeColor="text1"/>
        </w:rPr>
        <w:t xml:space="preserve"> </w:t>
      </w:r>
      <w:r w:rsidR="005E1FAB" w:rsidRPr="00036132">
        <w:rPr>
          <w:color w:val="000000" w:themeColor="text1"/>
        </w:rPr>
        <w:t>Finally, f</w:t>
      </w:r>
      <w:r w:rsidR="00351FD1" w:rsidRPr="00036132">
        <w:rPr>
          <w:rFonts w:eastAsia="Batang"/>
          <w:color w:val="000000" w:themeColor="text1"/>
        </w:rPr>
        <w:t>utur</w:t>
      </w:r>
      <w:r w:rsidR="00A50999" w:rsidRPr="00036132">
        <w:rPr>
          <w:rFonts w:eastAsia="Batang"/>
          <w:color w:val="000000" w:themeColor="text1"/>
        </w:rPr>
        <w:t>e</w:t>
      </w:r>
      <w:r w:rsidR="00351FD1" w:rsidRPr="00036132">
        <w:rPr>
          <w:rFonts w:eastAsia="Batang"/>
          <w:color w:val="000000" w:themeColor="text1"/>
        </w:rPr>
        <w:t xml:space="preserve"> research c</w:t>
      </w:r>
      <w:r w:rsidR="00AE3A94" w:rsidRPr="00036132">
        <w:rPr>
          <w:rFonts w:eastAsia="Batang"/>
          <w:color w:val="000000" w:themeColor="text1"/>
        </w:rPr>
        <w:t>ould</w:t>
      </w:r>
      <w:r w:rsidR="00351FD1" w:rsidRPr="00036132">
        <w:rPr>
          <w:rFonts w:eastAsia="Batang"/>
          <w:color w:val="000000" w:themeColor="text1"/>
        </w:rPr>
        <w:t xml:space="preserve"> </w:t>
      </w:r>
      <w:r w:rsidR="006C2076" w:rsidRPr="00036132">
        <w:rPr>
          <w:rFonts w:eastAsia="Batang"/>
          <w:color w:val="000000" w:themeColor="text1"/>
        </w:rPr>
        <w:t>show more specific results on buyer</w:t>
      </w:r>
      <w:r w:rsidR="00FC0AF1" w:rsidRPr="00036132">
        <w:rPr>
          <w:rFonts w:eastAsia="Batang"/>
          <w:color w:val="000000" w:themeColor="text1"/>
        </w:rPr>
        <w:t>–</w:t>
      </w:r>
      <w:r w:rsidR="006C2076" w:rsidRPr="00036132">
        <w:rPr>
          <w:rFonts w:eastAsia="Batang"/>
          <w:color w:val="000000" w:themeColor="text1"/>
        </w:rPr>
        <w:t xml:space="preserve">supplier asymmetry in digital capability by </w:t>
      </w:r>
      <w:r w:rsidR="00351FD1" w:rsidRPr="00036132">
        <w:rPr>
          <w:rFonts w:eastAsia="Batang"/>
          <w:color w:val="000000" w:themeColor="text1"/>
        </w:rPr>
        <w:t>further refin</w:t>
      </w:r>
      <w:r w:rsidR="00EA2489" w:rsidRPr="00036132">
        <w:rPr>
          <w:rFonts w:eastAsia="Batang"/>
          <w:color w:val="000000" w:themeColor="text1"/>
        </w:rPr>
        <w:t>ing</w:t>
      </w:r>
      <w:r w:rsidR="00351FD1" w:rsidRPr="00036132">
        <w:rPr>
          <w:rFonts w:eastAsia="Batang"/>
          <w:color w:val="000000" w:themeColor="text1"/>
        </w:rPr>
        <w:t xml:space="preserve"> </w:t>
      </w:r>
      <w:r w:rsidR="00B47A72" w:rsidRPr="00036132">
        <w:rPr>
          <w:color w:val="000000" w:themeColor="text1"/>
        </w:rPr>
        <w:t>opportunism (</w:t>
      </w:r>
      <w:r w:rsidR="00486C3A" w:rsidRPr="00036132">
        <w:rPr>
          <w:color w:val="000000" w:themeColor="text1"/>
        </w:rPr>
        <w:t xml:space="preserve">e.g., </w:t>
      </w:r>
      <w:r w:rsidR="00B47A72" w:rsidRPr="00036132">
        <w:rPr>
          <w:color w:val="000000" w:themeColor="text1"/>
        </w:rPr>
        <w:t>passive</w:t>
      </w:r>
      <w:r w:rsidR="00486C3A" w:rsidRPr="00036132">
        <w:rPr>
          <w:color w:val="000000" w:themeColor="text1"/>
        </w:rPr>
        <w:t xml:space="preserve"> and</w:t>
      </w:r>
      <w:r w:rsidR="00B47A72" w:rsidRPr="00036132">
        <w:rPr>
          <w:color w:val="000000" w:themeColor="text1"/>
        </w:rPr>
        <w:t xml:space="preserve"> proactive)</w:t>
      </w:r>
      <w:r w:rsidR="00486C3A" w:rsidRPr="00036132">
        <w:rPr>
          <w:color w:val="000000" w:themeColor="text1"/>
        </w:rPr>
        <w:t>.</w:t>
      </w:r>
    </w:p>
    <w:p w14:paraId="7E720A35" w14:textId="65630238" w:rsidR="00165ADC" w:rsidRPr="00036132" w:rsidRDefault="00165ADC" w:rsidP="00D96251">
      <w:pPr>
        <w:adjustRightInd w:val="0"/>
        <w:spacing w:before="140"/>
        <w:ind w:left="480" w:hanging="480"/>
        <w:rPr>
          <w:color w:val="000000" w:themeColor="text1"/>
          <w:lang w:eastAsia="en-IE"/>
        </w:rPr>
      </w:pPr>
    </w:p>
    <w:p w14:paraId="2258FA82" w14:textId="766877AC" w:rsidR="00723080" w:rsidRPr="00036132" w:rsidRDefault="00723080" w:rsidP="00D96251">
      <w:pPr>
        <w:adjustRightInd w:val="0"/>
        <w:spacing w:before="140"/>
        <w:ind w:left="480" w:hanging="480"/>
        <w:rPr>
          <w:color w:val="000000" w:themeColor="text1"/>
          <w:lang w:eastAsia="en-IE"/>
        </w:rPr>
      </w:pPr>
    </w:p>
    <w:p w14:paraId="20C3EB10" w14:textId="7E84E0D2" w:rsidR="00A27B3C" w:rsidRDefault="00A27B3C" w:rsidP="00D96251">
      <w:pPr>
        <w:adjustRightInd w:val="0"/>
        <w:spacing w:before="140"/>
        <w:ind w:left="480" w:hanging="480"/>
        <w:rPr>
          <w:color w:val="000000" w:themeColor="text1"/>
          <w:lang w:eastAsia="en-IE"/>
        </w:rPr>
      </w:pPr>
    </w:p>
    <w:p w14:paraId="4AB1D68B" w14:textId="23806EE2" w:rsidR="00036132" w:rsidRDefault="00036132" w:rsidP="00D96251">
      <w:pPr>
        <w:adjustRightInd w:val="0"/>
        <w:spacing w:before="140"/>
        <w:ind w:left="480" w:hanging="480"/>
        <w:rPr>
          <w:color w:val="000000" w:themeColor="text1"/>
          <w:lang w:eastAsia="en-IE"/>
        </w:rPr>
      </w:pPr>
    </w:p>
    <w:p w14:paraId="112AAC85" w14:textId="2D292AAE" w:rsidR="00036132" w:rsidRDefault="00036132" w:rsidP="00D96251">
      <w:pPr>
        <w:adjustRightInd w:val="0"/>
        <w:spacing w:before="140"/>
        <w:ind w:left="480" w:hanging="480"/>
        <w:rPr>
          <w:color w:val="000000" w:themeColor="text1"/>
          <w:lang w:eastAsia="en-IE"/>
        </w:rPr>
      </w:pPr>
    </w:p>
    <w:p w14:paraId="1F57302D" w14:textId="6EDFF574" w:rsidR="00036132" w:rsidRDefault="00036132" w:rsidP="00D96251">
      <w:pPr>
        <w:adjustRightInd w:val="0"/>
        <w:spacing w:before="140"/>
        <w:ind w:left="480" w:hanging="480"/>
        <w:rPr>
          <w:color w:val="000000" w:themeColor="text1"/>
          <w:lang w:eastAsia="en-IE"/>
        </w:rPr>
      </w:pPr>
    </w:p>
    <w:p w14:paraId="20D84B71" w14:textId="77777777" w:rsidR="00036132" w:rsidRPr="00036132" w:rsidRDefault="00036132" w:rsidP="00D96251">
      <w:pPr>
        <w:adjustRightInd w:val="0"/>
        <w:spacing w:before="140"/>
        <w:ind w:left="480" w:hanging="480"/>
        <w:rPr>
          <w:color w:val="000000" w:themeColor="text1"/>
          <w:lang w:eastAsia="en-IE"/>
        </w:rPr>
      </w:pPr>
    </w:p>
    <w:p w14:paraId="7F8FC0C2"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Adams, J.H., Khoja, F.M. and Kauffman, R. (2012), “An empirical study of buyer-supplier relationships within small business organizations”, </w:t>
      </w:r>
      <w:r w:rsidRPr="00036132">
        <w:rPr>
          <w:i/>
          <w:iCs/>
          <w:noProof/>
          <w:color w:val="000000" w:themeColor="text1"/>
          <w:szCs w:val="24"/>
        </w:rPr>
        <w:t>Journal of Small Business Management</w:t>
      </w:r>
      <w:r w:rsidRPr="00036132">
        <w:rPr>
          <w:noProof/>
          <w:color w:val="000000" w:themeColor="text1"/>
          <w:szCs w:val="24"/>
        </w:rPr>
        <w:t>, Vol. 50</w:t>
      </w:r>
      <w:r w:rsidRPr="00036132">
        <w:rPr>
          <w:rFonts w:hint="eastAsia"/>
          <w:noProof/>
          <w:color w:val="000000" w:themeColor="text1"/>
          <w:szCs w:val="24"/>
        </w:rPr>
        <w:t>,</w:t>
      </w:r>
      <w:r w:rsidRPr="00036132">
        <w:rPr>
          <w:noProof/>
          <w:color w:val="000000" w:themeColor="text1"/>
          <w:szCs w:val="24"/>
        </w:rPr>
        <w:t xml:space="preserve"> No. 1, pp. 20–40.</w:t>
      </w:r>
    </w:p>
    <w:p w14:paraId="48E2C544"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Adler, P.S. and Kwon, S.W. (2002), “Social capital: Prospects for a new concept”, </w:t>
      </w:r>
      <w:r w:rsidRPr="00036132">
        <w:rPr>
          <w:i/>
          <w:iCs/>
          <w:noProof/>
          <w:color w:val="000000" w:themeColor="text1"/>
          <w:szCs w:val="24"/>
        </w:rPr>
        <w:t>Academy of Management Review</w:t>
      </w:r>
      <w:r w:rsidRPr="00036132">
        <w:rPr>
          <w:noProof/>
          <w:color w:val="000000" w:themeColor="text1"/>
          <w:szCs w:val="24"/>
        </w:rPr>
        <w:t>,</w:t>
      </w:r>
      <w:r w:rsidRPr="00036132">
        <w:rPr>
          <w:rFonts w:hint="eastAsia"/>
          <w:noProof/>
          <w:color w:val="000000" w:themeColor="text1"/>
          <w:szCs w:val="24"/>
        </w:rPr>
        <w:t xml:space="preserve"> Vol.27, No.1, pp.17-40</w:t>
      </w:r>
      <w:r w:rsidRPr="00036132">
        <w:rPr>
          <w:noProof/>
          <w:color w:val="000000" w:themeColor="text1"/>
          <w:szCs w:val="24"/>
        </w:rPr>
        <w:t>.</w:t>
      </w:r>
    </w:p>
    <w:p w14:paraId="3EB6A608"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Akdil, K.Y., Ustundag, A. and Cevikcan, E. (2018), “Maturity and Readiness Model for Industry 4.0 Strategy”, Uatundan, A. and Cevikcan, E. (Ed.), </w:t>
      </w:r>
      <w:r w:rsidRPr="00036132">
        <w:rPr>
          <w:rFonts w:hint="eastAsia"/>
          <w:i/>
          <w:noProof/>
          <w:color w:val="000000" w:themeColor="text1"/>
          <w:szCs w:val="24"/>
        </w:rPr>
        <w:t>Industry 4.0: Managing the digital transformation</w:t>
      </w:r>
      <w:r w:rsidRPr="00036132">
        <w:rPr>
          <w:rFonts w:hint="eastAsia"/>
          <w:noProof/>
          <w:color w:val="000000" w:themeColor="text1"/>
          <w:szCs w:val="24"/>
        </w:rPr>
        <w:t>,</w:t>
      </w:r>
      <w:r w:rsidRPr="00036132">
        <w:rPr>
          <w:i/>
          <w:iCs/>
          <w:noProof/>
          <w:color w:val="000000" w:themeColor="text1"/>
          <w:szCs w:val="24"/>
        </w:rPr>
        <w:t xml:space="preserve"> Springer Series in Advanced Manufacturing</w:t>
      </w:r>
      <w:r w:rsidRPr="00036132">
        <w:rPr>
          <w:noProof/>
          <w:color w:val="000000" w:themeColor="text1"/>
          <w:szCs w:val="24"/>
        </w:rPr>
        <w:t xml:space="preserve">, Springer, </w:t>
      </w:r>
      <w:r w:rsidRPr="00036132">
        <w:rPr>
          <w:rFonts w:hint="eastAsia"/>
          <w:noProof/>
          <w:color w:val="000000" w:themeColor="text1"/>
          <w:szCs w:val="24"/>
        </w:rPr>
        <w:t>Switzerland</w:t>
      </w:r>
      <w:r w:rsidRPr="00036132">
        <w:rPr>
          <w:noProof/>
          <w:color w:val="000000" w:themeColor="text1"/>
          <w:szCs w:val="24"/>
        </w:rPr>
        <w:t>, pp. 61–94.</w:t>
      </w:r>
    </w:p>
    <w:p w14:paraId="000C6311"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Alicke, K., Rachor, J. and Seyfert, A. (2016), “Supply Chain 4.0 – the next-generation digital supply chain”, </w:t>
      </w:r>
      <w:r w:rsidRPr="00036132">
        <w:rPr>
          <w:i/>
          <w:iCs/>
          <w:noProof/>
          <w:color w:val="000000" w:themeColor="text1"/>
          <w:szCs w:val="24"/>
        </w:rPr>
        <w:t>McKinsey &amp; Company</w:t>
      </w:r>
      <w:r w:rsidRPr="00036132">
        <w:rPr>
          <w:noProof/>
          <w:color w:val="000000" w:themeColor="text1"/>
          <w:szCs w:val="24"/>
        </w:rPr>
        <w:t>, No. June, pp. 1–16.</w:t>
      </w:r>
    </w:p>
    <w:p w14:paraId="764134B3"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Anderson, J.C. and Gerbing, D.W. (1988), “</w:t>
      </w:r>
      <w:r w:rsidRPr="00036132">
        <w:rPr>
          <w:iCs/>
          <w:noProof/>
          <w:color w:val="000000" w:themeColor="text1"/>
          <w:szCs w:val="24"/>
        </w:rPr>
        <w:t>Structural Equation Modeling in Practice: A Review and Recommended Two-Step Approach”</w:t>
      </w:r>
      <w:r w:rsidRPr="00036132">
        <w:rPr>
          <w:noProof/>
          <w:color w:val="000000" w:themeColor="text1"/>
          <w:szCs w:val="24"/>
        </w:rPr>
        <w:t xml:space="preserve">, </w:t>
      </w:r>
      <w:r w:rsidRPr="00036132">
        <w:rPr>
          <w:i/>
          <w:iCs/>
          <w:noProof/>
          <w:color w:val="000000" w:themeColor="text1"/>
          <w:szCs w:val="24"/>
        </w:rPr>
        <w:t>Psychological Bulletin</w:t>
      </w:r>
      <w:r w:rsidRPr="00036132">
        <w:rPr>
          <w:noProof/>
          <w:color w:val="000000" w:themeColor="text1"/>
          <w:szCs w:val="24"/>
        </w:rPr>
        <w:t xml:space="preserve">, Vol. 103, </w:t>
      </w:r>
      <w:r w:rsidRPr="00036132">
        <w:rPr>
          <w:rFonts w:hint="eastAsia"/>
          <w:noProof/>
          <w:color w:val="000000" w:themeColor="text1"/>
          <w:szCs w:val="24"/>
        </w:rPr>
        <w:t>No.3, pp.411-423.</w:t>
      </w:r>
    </w:p>
    <w:p w14:paraId="3E8FB9B4"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Artz, K.W. and Brush, T.H. (2000), “Asset specificity, uncertainty and relational norms: an examination of coordination costs in collaborative strategic alliances”, </w:t>
      </w:r>
      <w:r w:rsidRPr="00036132">
        <w:rPr>
          <w:i/>
          <w:iCs/>
          <w:noProof/>
          <w:color w:val="000000" w:themeColor="text1"/>
          <w:szCs w:val="24"/>
        </w:rPr>
        <w:t>Journal of Economic Behavior &amp; Organization</w:t>
      </w:r>
      <w:r w:rsidRPr="00036132">
        <w:rPr>
          <w:noProof/>
          <w:color w:val="000000" w:themeColor="text1"/>
          <w:szCs w:val="24"/>
        </w:rPr>
        <w:t>, Vol. 41</w:t>
      </w:r>
      <w:r w:rsidRPr="00036132">
        <w:rPr>
          <w:rFonts w:hint="eastAsia"/>
          <w:noProof/>
          <w:color w:val="000000" w:themeColor="text1"/>
          <w:szCs w:val="24"/>
        </w:rPr>
        <w:t>,</w:t>
      </w:r>
      <w:r w:rsidRPr="00036132">
        <w:rPr>
          <w:noProof/>
          <w:color w:val="000000" w:themeColor="text1"/>
          <w:szCs w:val="24"/>
        </w:rPr>
        <w:t xml:space="preserve"> No. 4, pp. 337–362.</w:t>
      </w:r>
    </w:p>
    <w:p w14:paraId="2AD40DA0"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Baron, R.M. and Kenny, D.A. (1986), “The moderator-mediator variable distinction in social psychological research. conceptual, strategic, and statistical considerations”, </w:t>
      </w:r>
      <w:r w:rsidRPr="00036132">
        <w:rPr>
          <w:i/>
          <w:iCs/>
          <w:noProof/>
          <w:color w:val="000000" w:themeColor="text1"/>
          <w:szCs w:val="24"/>
        </w:rPr>
        <w:t>Journal of Personality and Social Psychology</w:t>
      </w:r>
      <w:r w:rsidRPr="00036132">
        <w:rPr>
          <w:noProof/>
          <w:color w:val="000000" w:themeColor="text1"/>
          <w:szCs w:val="24"/>
        </w:rPr>
        <w:t>, Vol. 51</w:t>
      </w:r>
      <w:r w:rsidRPr="00036132">
        <w:rPr>
          <w:rFonts w:hint="eastAsia"/>
          <w:noProof/>
          <w:color w:val="000000" w:themeColor="text1"/>
          <w:szCs w:val="24"/>
        </w:rPr>
        <w:t>,</w:t>
      </w:r>
      <w:r w:rsidRPr="00036132">
        <w:rPr>
          <w:noProof/>
          <w:color w:val="000000" w:themeColor="text1"/>
          <w:szCs w:val="24"/>
        </w:rPr>
        <w:t xml:space="preserve"> No. 6, pp. 1173–1182.</w:t>
      </w:r>
    </w:p>
    <w:p w14:paraId="241B87CC"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Bjorkdahl J (2020), “Strategies for digitalisation in manufacturing firms”, </w:t>
      </w:r>
      <w:r w:rsidRPr="00036132">
        <w:rPr>
          <w:i/>
          <w:noProof/>
          <w:color w:val="000000" w:themeColor="text1"/>
          <w:szCs w:val="24"/>
        </w:rPr>
        <w:t>California Management Review</w:t>
      </w:r>
      <w:r w:rsidRPr="00036132">
        <w:rPr>
          <w:noProof/>
          <w:color w:val="000000" w:themeColor="text1"/>
          <w:szCs w:val="24"/>
        </w:rPr>
        <w:t xml:space="preserve">, Vol. 62(4), pp. 17-36. </w:t>
      </w:r>
    </w:p>
    <w:p w14:paraId="4F355A53"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Bokrantz, J., Skoogh, A., Berlin, C. and Stahre, J. (2017), “Maintenance in digitalised manufacturing: Delphi-based scenarios for 2030”, </w:t>
      </w:r>
      <w:r w:rsidRPr="00036132">
        <w:rPr>
          <w:i/>
          <w:iCs/>
          <w:noProof/>
          <w:color w:val="000000" w:themeColor="text1"/>
          <w:szCs w:val="24"/>
        </w:rPr>
        <w:t>International Journal of Production Economics</w:t>
      </w:r>
      <w:r w:rsidRPr="00036132">
        <w:rPr>
          <w:noProof/>
          <w:color w:val="000000" w:themeColor="text1"/>
          <w:szCs w:val="24"/>
        </w:rPr>
        <w:t>, Vol. 191, pp. 154–169.</w:t>
      </w:r>
    </w:p>
    <w:p w14:paraId="4CD70B5A"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Bruyaka, O. and Durand, R. (2012), “Sell-off or shut-down? alliance portfolio diversity and two types of high tech firms’ exit”, </w:t>
      </w:r>
      <w:r w:rsidRPr="00036132">
        <w:rPr>
          <w:i/>
          <w:iCs/>
          <w:noProof/>
          <w:color w:val="000000" w:themeColor="text1"/>
          <w:szCs w:val="24"/>
        </w:rPr>
        <w:t>Strategic Organization</w:t>
      </w:r>
      <w:r w:rsidRPr="00036132">
        <w:rPr>
          <w:noProof/>
          <w:color w:val="000000" w:themeColor="text1"/>
          <w:szCs w:val="24"/>
        </w:rPr>
        <w:t>, Vol. 10</w:t>
      </w:r>
      <w:r w:rsidRPr="00036132">
        <w:rPr>
          <w:rFonts w:hint="eastAsia"/>
          <w:noProof/>
          <w:color w:val="000000" w:themeColor="text1"/>
          <w:szCs w:val="24"/>
        </w:rPr>
        <w:t>,</w:t>
      </w:r>
      <w:r w:rsidRPr="00036132">
        <w:rPr>
          <w:noProof/>
          <w:color w:val="000000" w:themeColor="text1"/>
          <w:szCs w:val="24"/>
        </w:rPr>
        <w:t xml:space="preserve"> No. 1, pp. 7–30.</w:t>
      </w:r>
    </w:p>
    <w:p w14:paraId="70DB566E"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Cao, Z. and Lumineau, F. (2015), “Revisiting the interplay between contractual and relational governance: A qualitative and meta-analytic investigation”, </w:t>
      </w:r>
      <w:r w:rsidRPr="00036132">
        <w:rPr>
          <w:i/>
          <w:iCs/>
          <w:noProof/>
          <w:color w:val="000000" w:themeColor="text1"/>
          <w:szCs w:val="24"/>
        </w:rPr>
        <w:t>Journal of Operations Management</w:t>
      </w:r>
      <w:r w:rsidRPr="00036132">
        <w:rPr>
          <w:noProof/>
          <w:color w:val="000000" w:themeColor="text1"/>
          <w:szCs w:val="24"/>
        </w:rPr>
        <w:t>, Vol. 33–34,</w:t>
      </w:r>
      <w:r w:rsidRPr="00036132">
        <w:rPr>
          <w:rFonts w:hint="eastAsia"/>
          <w:noProof/>
          <w:color w:val="000000" w:themeColor="text1"/>
          <w:szCs w:val="24"/>
        </w:rPr>
        <w:t xml:space="preserve"> January,</w:t>
      </w:r>
      <w:r w:rsidRPr="00036132">
        <w:rPr>
          <w:noProof/>
          <w:color w:val="000000" w:themeColor="text1"/>
          <w:szCs w:val="24"/>
        </w:rPr>
        <w:t xml:space="preserve"> pp. 15–42.</w:t>
      </w:r>
    </w:p>
    <w:p w14:paraId="298FB8E4"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Carey, S., Lawson, B. and Krause, D.R. (2011), “Social capital configuration, legal bonds and performance in buyer-supplier relationships”, </w:t>
      </w:r>
      <w:r w:rsidRPr="00036132">
        <w:rPr>
          <w:i/>
          <w:iCs/>
          <w:noProof/>
          <w:color w:val="000000" w:themeColor="text1"/>
          <w:szCs w:val="24"/>
        </w:rPr>
        <w:t>Journal of Operations Management</w:t>
      </w:r>
      <w:r w:rsidRPr="00036132">
        <w:rPr>
          <w:noProof/>
          <w:color w:val="000000" w:themeColor="text1"/>
          <w:szCs w:val="24"/>
        </w:rPr>
        <w:t>, Vol. 29</w:t>
      </w:r>
      <w:r w:rsidRPr="00036132">
        <w:rPr>
          <w:rFonts w:hint="eastAsia"/>
          <w:noProof/>
          <w:color w:val="000000" w:themeColor="text1"/>
          <w:szCs w:val="24"/>
        </w:rPr>
        <w:t>,</w:t>
      </w:r>
      <w:r w:rsidRPr="00036132">
        <w:rPr>
          <w:noProof/>
          <w:color w:val="000000" w:themeColor="text1"/>
          <w:szCs w:val="24"/>
        </w:rPr>
        <w:t xml:space="preserve"> No. 4, pp. 277–288.</w:t>
      </w:r>
    </w:p>
    <w:p w14:paraId="09B4D148"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Carson, S.J., Madhok, A. and Tao, W. (2006), “Uncertainty, opportunism, and governance: The effects of volatility and ambiguity on formal and relational contracting”, </w:t>
      </w:r>
      <w:r w:rsidRPr="00036132">
        <w:rPr>
          <w:i/>
          <w:iCs/>
          <w:noProof/>
          <w:color w:val="000000" w:themeColor="text1"/>
          <w:szCs w:val="24"/>
        </w:rPr>
        <w:t>Academy of Management Journal</w:t>
      </w:r>
      <w:r w:rsidRPr="00036132">
        <w:rPr>
          <w:noProof/>
          <w:color w:val="000000" w:themeColor="text1"/>
          <w:szCs w:val="24"/>
        </w:rPr>
        <w:t>, Vol. 49</w:t>
      </w:r>
      <w:r w:rsidRPr="00036132">
        <w:rPr>
          <w:rFonts w:hint="eastAsia"/>
          <w:noProof/>
          <w:color w:val="000000" w:themeColor="text1"/>
          <w:szCs w:val="24"/>
        </w:rPr>
        <w:t>,</w:t>
      </w:r>
      <w:r w:rsidRPr="00036132">
        <w:rPr>
          <w:noProof/>
          <w:color w:val="000000" w:themeColor="text1"/>
          <w:szCs w:val="24"/>
        </w:rPr>
        <w:t xml:space="preserve"> No. 5, pp. 1058–1077.</w:t>
      </w:r>
    </w:p>
    <w:p w14:paraId="78CD7173"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Carson, S.J., Madhok, A., Varman, R. and John, G. (2003), “Information processing moderators of the effectiveness of trust-based governance in interfirm </w:t>
      </w:r>
      <w:r w:rsidRPr="00036132">
        <w:rPr>
          <w:rFonts w:hint="eastAsia"/>
          <w:noProof/>
          <w:color w:val="000000" w:themeColor="text1"/>
          <w:szCs w:val="24"/>
        </w:rPr>
        <w:t>R</w:t>
      </w:r>
      <w:r w:rsidRPr="00036132">
        <w:rPr>
          <w:noProof/>
          <w:color w:val="000000" w:themeColor="text1"/>
          <w:szCs w:val="24"/>
        </w:rPr>
        <w:t>&amp;</w:t>
      </w:r>
      <w:r w:rsidRPr="00036132">
        <w:rPr>
          <w:rFonts w:hint="eastAsia"/>
          <w:noProof/>
          <w:color w:val="000000" w:themeColor="text1"/>
          <w:szCs w:val="24"/>
        </w:rPr>
        <w:t>D</w:t>
      </w:r>
      <w:r w:rsidRPr="00036132">
        <w:rPr>
          <w:noProof/>
          <w:color w:val="000000" w:themeColor="text1"/>
          <w:szCs w:val="24"/>
        </w:rPr>
        <w:t xml:space="preserve"> collaboration”, </w:t>
      </w:r>
      <w:r w:rsidRPr="00036132">
        <w:rPr>
          <w:i/>
          <w:iCs/>
          <w:noProof/>
          <w:color w:val="000000" w:themeColor="text1"/>
          <w:szCs w:val="24"/>
        </w:rPr>
        <w:t>Organization Science</w:t>
      </w:r>
      <w:r w:rsidRPr="00036132">
        <w:rPr>
          <w:noProof/>
          <w:color w:val="000000" w:themeColor="text1"/>
          <w:szCs w:val="24"/>
        </w:rPr>
        <w:t>, Vol. 14</w:t>
      </w:r>
      <w:r w:rsidRPr="00036132">
        <w:rPr>
          <w:rFonts w:hint="eastAsia"/>
          <w:noProof/>
          <w:color w:val="000000" w:themeColor="text1"/>
          <w:szCs w:val="24"/>
        </w:rPr>
        <w:t>,</w:t>
      </w:r>
      <w:r w:rsidRPr="00036132">
        <w:rPr>
          <w:noProof/>
          <w:color w:val="000000" w:themeColor="text1"/>
          <w:szCs w:val="24"/>
        </w:rPr>
        <w:t xml:space="preserve"> No. 1, pp. 45–56.</w:t>
      </w:r>
    </w:p>
    <w:p w14:paraId="7C862EC0"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Casciaro, T. and Piskorski, M.J. (2005), “Power imbalance, mutual dependence, and constraint </w:t>
      </w:r>
      <w:r w:rsidRPr="00036132">
        <w:rPr>
          <w:noProof/>
          <w:color w:val="000000" w:themeColor="text1"/>
          <w:szCs w:val="24"/>
        </w:rPr>
        <w:lastRenderedPageBreak/>
        <w:t xml:space="preserve">absorption: A closer look at resource dependence theory”, </w:t>
      </w:r>
      <w:r w:rsidRPr="00036132">
        <w:rPr>
          <w:i/>
          <w:iCs/>
          <w:noProof/>
          <w:color w:val="000000" w:themeColor="text1"/>
          <w:szCs w:val="24"/>
        </w:rPr>
        <w:t>Administrative Science Quarterly</w:t>
      </w:r>
      <w:r w:rsidRPr="00036132">
        <w:rPr>
          <w:noProof/>
          <w:color w:val="000000" w:themeColor="text1"/>
          <w:szCs w:val="24"/>
        </w:rPr>
        <w:t xml:space="preserve">, </w:t>
      </w:r>
      <w:r w:rsidRPr="00036132">
        <w:rPr>
          <w:rFonts w:hint="eastAsia"/>
          <w:noProof/>
          <w:color w:val="000000" w:themeColor="text1"/>
          <w:szCs w:val="24"/>
        </w:rPr>
        <w:t>Vol.50, No.2, pp.167-199.</w:t>
      </w:r>
    </w:p>
    <w:p w14:paraId="42BC8432"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Chae, S., Choi, T.Y. and Hur, D. (2017), “Buyer power and supplier relationship commitment: a cognitive evaluation theory perspective”,</w:t>
      </w:r>
      <w:r w:rsidRPr="00036132">
        <w:rPr>
          <w:i/>
          <w:noProof/>
          <w:color w:val="000000" w:themeColor="text1"/>
          <w:szCs w:val="24"/>
        </w:rPr>
        <w:t xml:space="preserve"> </w:t>
      </w:r>
      <w:r w:rsidRPr="00036132">
        <w:rPr>
          <w:i/>
          <w:iCs/>
          <w:noProof/>
          <w:color w:val="000000" w:themeColor="text1"/>
          <w:szCs w:val="24"/>
        </w:rPr>
        <w:t>Journal of Supply Chain Management</w:t>
      </w:r>
      <w:r w:rsidRPr="00036132">
        <w:rPr>
          <w:i/>
          <w:noProof/>
          <w:color w:val="000000" w:themeColor="text1"/>
          <w:szCs w:val="24"/>
        </w:rPr>
        <w:t xml:space="preserve">, </w:t>
      </w:r>
      <w:r w:rsidRPr="00036132">
        <w:rPr>
          <w:noProof/>
          <w:color w:val="000000" w:themeColor="text1"/>
          <w:szCs w:val="24"/>
        </w:rPr>
        <w:t>Vol. 53</w:t>
      </w:r>
      <w:r w:rsidRPr="00036132">
        <w:rPr>
          <w:rFonts w:hint="eastAsia"/>
          <w:noProof/>
          <w:color w:val="000000" w:themeColor="text1"/>
          <w:szCs w:val="24"/>
        </w:rPr>
        <w:t>,</w:t>
      </w:r>
      <w:r w:rsidRPr="00036132">
        <w:rPr>
          <w:noProof/>
          <w:color w:val="000000" w:themeColor="text1"/>
          <w:szCs w:val="24"/>
        </w:rPr>
        <w:t xml:space="preserve"> No. 2, pp. 39–60.</w:t>
      </w:r>
    </w:p>
    <w:p w14:paraId="55284329"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Choi, T.</w:t>
      </w:r>
      <w:r w:rsidRPr="00036132">
        <w:rPr>
          <w:rFonts w:hint="eastAsia"/>
          <w:noProof/>
          <w:color w:val="000000" w:themeColor="text1"/>
          <w:szCs w:val="24"/>
        </w:rPr>
        <w:t>Y.</w:t>
      </w:r>
      <w:r w:rsidRPr="00036132">
        <w:rPr>
          <w:noProof/>
          <w:color w:val="000000" w:themeColor="text1"/>
          <w:szCs w:val="24"/>
        </w:rPr>
        <w:t xml:space="preserve"> and Linton, T. (2011), “Don’t let your supply chain control your business”, </w:t>
      </w:r>
      <w:r w:rsidRPr="00036132">
        <w:rPr>
          <w:i/>
          <w:iCs/>
          <w:noProof/>
          <w:color w:val="000000" w:themeColor="text1"/>
          <w:szCs w:val="24"/>
        </w:rPr>
        <w:t>Harvard Business Review</w:t>
      </w:r>
      <w:r w:rsidRPr="00036132">
        <w:rPr>
          <w:noProof/>
          <w:color w:val="000000" w:themeColor="text1"/>
          <w:szCs w:val="24"/>
        </w:rPr>
        <w:t>, No. December, pp. 112–119.</w:t>
      </w:r>
    </w:p>
    <w:p w14:paraId="04A5634D"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Coleman, D.F., Irving, G.P. and Cooper, C.L. (1999), “Another look at the locus of control - organizational commitment relationship: It depends on the form of commitment”, </w:t>
      </w:r>
      <w:r w:rsidRPr="00036132">
        <w:rPr>
          <w:i/>
          <w:iCs/>
          <w:noProof/>
          <w:color w:val="000000" w:themeColor="text1"/>
          <w:szCs w:val="24"/>
        </w:rPr>
        <w:t>Journal of Organizational Behavior</w:t>
      </w:r>
      <w:r w:rsidRPr="00036132">
        <w:rPr>
          <w:noProof/>
          <w:color w:val="000000" w:themeColor="text1"/>
          <w:szCs w:val="24"/>
        </w:rPr>
        <w:t>, Vol. 20</w:t>
      </w:r>
      <w:r w:rsidRPr="00036132">
        <w:rPr>
          <w:rFonts w:hint="eastAsia"/>
          <w:noProof/>
          <w:color w:val="000000" w:themeColor="text1"/>
          <w:szCs w:val="24"/>
        </w:rPr>
        <w:t>,</w:t>
      </w:r>
      <w:r w:rsidRPr="00036132">
        <w:rPr>
          <w:noProof/>
          <w:color w:val="000000" w:themeColor="text1"/>
          <w:szCs w:val="24"/>
        </w:rPr>
        <w:t xml:space="preserve"> No. 6, pp. 995–1001.</w:t>
      </w:r>
    </w:p>
    <w:p w14:paraId="57DF278F"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Coleman, J.S. (1988), “Social capital in the creation of human capital”, </w:t>
      </w:r>
      <w:r w:rsidRPr="00036132">
        <w:rPr>
          <w:i/>
          <w:iCs/>
          <w:noProof/>
          <w:color w:val="000000" w:themeColor="text1"/>
          <w:szCs w:val="24"/>
        </w:rPr>
        <w:t>American Journal of Sociology</w:t>
      </w:r>
      <w:r w:rsidRPr="00036132">
        <w:rPr>
          <w:noProof/>
          <w:color w:val="000000" w:themeColor="text1"/>
          <w:szCs w:val="24"/>
        </w:rPr>
        <w:t>, Vol. 94, pp. S95–S120.</w:t>
      </w:r>
    </w:p>
    <w:p w14:paraId="26FD87B2"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Corsten, D.</w:t>
      </w:r>
      <w:r w:rsidRPr="00036132">
        <w:rPr>
          <w:rFonts w:hint="eastAsia"/>
          <w:noProof/>
          <w:color w:val="000000" w:themeColor="text1"/>
          <w:szCs w:val="24"/>
        </w:rPr>
        <w:t xml:space="preserve"> and </w:t>
      </w:r>
      <w:r w:rsidRPr="00036132">
        <w:rPr>
          <w:noProof/>
          <w:color w:val="000000" w:themeColor="text1"/>
          <w:szCs w:val="24"/>
        </w:rPr>
        <w:t xml:space="preserve">Kumar, N. </w:t>
      </w:r>
      <w:r w:rsidRPr="00036132">
        <w:rPr>
          <w:rFonts w:hint="eastAsia"/>
          <w:noProof/>
          <w:color w:val="000000" w:themeColor="text1"/>
          <w:szCs w:val="24"/>
        </w:rPr>
        <w:t>(</w:t>
      </w:r>
      <w:r w:rsidRPr="00036132">
        <w:rPr>
          <w:noProof/>
          <w:color w:val="000000" w:themeColor="text1"/>
          <w:szCs w:val="24"/>
        </w:rPr>
        <w:t>2005</w:t>
      </w:r>
      <w:r w:rsidRPr="00036132">
        <w:rPr>
          <w:rFonts w:hint="eastAsia"/>
          <w:noProof/>
          <w:color w:val="000000" w:themeColor="text1"/>
          <w:szCs w:val="24"/>
        </w:rPr>
        <w:t>).</w:t>
      </w:r>
      <w:r w:rsidRPr="00036132">
        <w:rPr>
          <w:noProof/>
          <w:color w:val="000000" w:themeColor="text1"/>
          <w:szCs w:val="24"/>
        </w:rPr>
        <w:t xml:space="preserve"> “Do suppliers benefit from collaborative relationships with large retailers? </w:t>
      </w:r>
      <w:r w:rsidRPr="00036132">
        <w:rPr>
          <w:rFonts w:hint="eastAsia"/>
          <w:noProof/>
          <w:color w:val="000000" w:themeColor="text1"/>
          <w:szCs w:val="24"/>
        </w:rPr>
        <w:t>A</w:t>
      </w:r>
      <w:r w:rsidRPr="00036132">
        <w:rPr>
          <w:noProof/>
          <w:color w:val="000000" w:themeColor="text1"/>
          <w:szCs w:val="24"/>
        </w:rPr>
        <w:t>n empirical investigation of efficient consumer response adoption”</w:t>
      </w:r>
      <w:r w:rsidRPr="00036132">
        <w:rPr>
          <w:rFonts w:hint="eastAsia"/>
          <w:noProof/>
          <w:color w:val="000000" w:themeColor="text1"/>
          <w:szCs w:val="24"/>
        </w:rPr>
        <w:t>.</w:t>
      </w:r>
      <w:r w:rsidRPr="00036132">
        <w:rPr>
          <w:noProof/>
          <w:color w:val="000000" w:themeColor="text1"/>
          <w:szCs w:val="24"/>
        </w:rPr>
        <w:t xml:space="preserve"> </w:t>
      </w:r>
      <w:r w:rsidRPr="00036132">
        <w:rPr>
          <w:i/>
          <w:noProof/>
          <w:color w:val="000000" w:themeColor="text1"/>
          <w:szCs w:val="24"/>
        </w:rPr>
        <w:t>Journal of Marketing</w:t>
      </w:r>
      <w:r w:rsidRPr="00036132">
        <w:rPr>
          <w:noProof/>
          <w:color w:val="000000" w:themeColor="text1"/>
          <w:szCs w:val="24"/>
        </w:rPr>
        <w:t xml:space="preserve">, </w:t>
      </w:r>
      <w:r w:rsidRPr="00036132">
        <w:rPr>
          <w:rFonts w:hint="eastAsia"/>
          <w:noProof/>
          <w:color w:val="000000" w:themeColor="text1"/>
          <w:szCs w:val="24"/>
        </w:rPr>
        <w:t>Vol.</w:t>
      </w:r>
      <w:r w:rsidRPr="00036132">
        <w:rPr>
          <w:noProof/>
          <w:color w:val="000000" w:themeColor="text1"/>
          <w:szCs w:val="24"/>
        </w:rPr>
        <w:t>69</w:t>
      </w:r>
      <w:r w:rsidRPr="00036132">
        <w:rPr>
          <w:rFonts w:hint="eastAsia"/>
          <w:noProof/>
          <w:color w:val="000000" w:themeColor="text1"/>
          <w:szCs w:val="24"/>
        </w:rPr>
        <w:t>, No.</w:t>
      </w:r>
      <w:r w:rsidRPr="00036132">
        <w:rPr>
          <w:noProof/>
          <w:color w:val="000000" w:themeColor="text1"/>
          <w:szCs w:val="24"/>
        </w:rPr>
        <w:t xml:space="preserve">3, </w:t>
      </w:r>
      <w:r w:rsidRPr="00036132">
        <w:rPr>
          <w:rFonts w:hint="eastAsia"/>
          <w:noProof/>
          <w:color w:val="000000" w:themeColor="text1"/>
          <w:szCs w:val="24"/>
        </w:rPr>
        <w:t>pp.</w:t>
      </w:r>
      <w:r w:rsidRPr="00036132">
        <w:rPr>
          <w:noProof/>
          <w:color w:val="000000" w:themeColor="text1"/>
          <w:szCs w:val="24"/>
        </w:rPr>
        <w:t>80–94.</w:t>
      </w:r>
    </w:p>
    <w:p w14:paraId="674B7CF8"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Crosno, J.L. and Dahlstrom, R. (2008), “A meta-analytic review of opportunism in exchange relationships”, </w:t>
      </w:r>
      <w:r w:rsidRPr="00036132">
        <w:rPr>
          <w:i/>
          <w:iCs/>
          <w:noProof/>
          <w:color w:val="000000" w:themeColor="text1"/>
          <w:szCs w:val="24"/>
        </w:rPr>
        <w:t>Journal of the Academy of Marketing Science</w:t>
      </w:r>
      <w:r w:rsidRPr="00036132">
        <w:rPr>
          <w:noProof/>
          <w:color w:val="000000" w:themeColor="text1"/>
          <w:szCs w:val="24"/>
        </w:rPr>
        <w:t>, Vol. 36</w:t>
      </w:r>
      <w:r w:rsidRPr="00036132">
        <w:rPr>
          <w:rFonts w:hint="eastAsia"/>
          <w:noProof/>
          <w:color w:val="000000" w:themeColor="text1"/>
          <w:szCs w:val="24"/>
        </w:rPr>
        <w:t>,</w:t>
      </w:r>
      <w:r w:rsidRPr="00036132">
        <w:rPr>
          <w:noProof/>
          <w:color w:val="000000" w:themeColor="text1"/>
          <w:szCs w:val="24"/>
        </w:rPr>
        <w:t xml:space="preserve"> No. 2, pp. 191–201.</w:t>
      </w:r>
    </w:p>
    <w:p w14:paraId="560636F8"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Culot, G., Nassimbeni, G., Orzes, G. and Sartor, M. (2020), “Behind the definition of Industry 4.0: Analysis and open questions”, </w:t>
      </w:r>
      <w:r w:rsidRPr="00036132">
        <w:rPr>
          <w:i/>
          <w:iCs/>
          <w:noProof/>
          <w:color w:val="000000" w:themeColor="text1"/>
          <w:szCs w:val="24"/>
        </w:rPr>
        <w:t>International Journal of Production Economics</w:t>
      </w:r>
      <w:r w:rsidRPr="00036132">
        <w:rPr>
          <w:noProof/>
          <w:color w:val="000000" w:themeColor="text1"/>
          <w:szCs w:val="24"/>
        </w:rPr>
        <w:t xml:space="preserve">, </w:t>
      </w:r>
      <w:r w:rsidRPr="00036132">
        <w:rPr>
          <w:rFonts w:hint="eastAsia"/>
          <w:noProof/>
          <w:color w:val="000000" w:themeColor="text1"/>
          <w:szCs w:val="24"/>
        </w:rPr>
        <w:t>Vol.226, Augutst, 107617.</w:t>
      </w:r>
    </w:p>
    <w:p w14:paraId="4777B21E"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Dalenogare, L.S., Benitez, G.B., Ayala, N.F. and Frank, A.G. (2018), “The expected contribution of Industry 4.0 technologies for industrial performance”, </w:t>
      </w:r>
      <w:r w:rsidRPr="00036132">
        <w:rPr>
          <w:i/>
          <w:iCs/>
          <w:noProof/>
          <w:color w:val="000000" w:themeColor="text1"/>
          <w:szCs w:val="24"/>
        </w:rPr>
        <w:t>International Journal of Production Economics</w:t>
      </w:r>
      <w:r w:rsidRPr="00036132">
        <w:rPr>
          <w:noProof/>
          <w:color w:val="000000" w:themeColor="text1"/>
          <w:szCs w:val="24"/>
        </w:rPr>
        <w:t xml:space="preserve">, Vol. 204, </w:t>
      </w:r>
      <w:r w:rsidRPr="00036132">
        <w:rPr>
          <w:rFonts w:hint="eastAsia"/>
          <w:noProof/>
          <w:color w:val="000000" w:themeColor="text1"/>
          <w:szCs w:val="24"/>
        </w:rPr>
        <w:t xml:space="preserve">October, </w:t>
      </w:r>
      <w:r w:rsidRPr="00036132">
        <w:rPr>
          <w:noProof/>
          <w:color w:val="000000" w:themeColor="text1"/>
          <w:szCs w:val="24"/>
        </w:rPr>
        <w:t>pp. 383–394.</w:t>
      </w:r>
    </w:p>
    <w:p w14:paraId="55F90390"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Das, T.K. and Teng, B.-S. (1996), “Risk types and interfirm alliance structures”, </w:t>
      </w:r>
      <w:r w:rsidRPr="00036132">
        <w:rPr>
          <w:i/>
          <w:iCs/>
          <w:noProof/>
          <w:color w:val="000000" w:themeColor="text1"/>
          <w:szCs w:val="24"/>
        </w:rPr>
        <w:t>Academy of Management Proceedings</w:t>
      </w:r>
      <w:r w:rsidRPr="00036132">
        <w:rPr>
          <w:noProof/>
          <w:color w:val="000000" w:themeColor="text1"/>
          <w:szCs w:val="24"/>
        </w:rPr>
        <w:t>, Vol. 1996</w:t>
      </w:r>
      <w:r w:rsidRPr="00036132">
        <w:rPr>
          <w:rFonts w:hint="eastAsia"/>
          <w:noProof/>
          <w:color w:val="000000" w:themeColor="text1"/>
          <w:szCs w:val="24"/>
        </w:rPr>
        <w:t>,</w:t>
      </w:r>
      <w:r w:rsidRPr="00036132">
        <w:rPr>
          <w:noProof/>
          <w:color w:val="000000" w:themeColor="text1"/>
          <w:szCs w:val="24"/>
        </w:rPr>
        <w:t xml:space="preserve"> No. 1, pp. 11–15.</w:t>
      </w:r>
    </w:p>
    <w:p w14:paraId="4D0A7CE9"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Deeds, D.L. and Hill, C.W.L. (1999), “An examination of opportunistic action within research alliances: Evidence from the biotechnology industry”, </w:t>
      </w:r>
      <w:r w:rsidRPr="00036132">
        <w:rPr>
          <w:i/>
          <w:noProof/>
          <w:color w:val="000000" w:themeColor="text1"/>
          <w:szCs w:val="24"/>
        </w:rPr>
        <w:t>Journal of Business Venturing</w:t>
      </w:r>
      <w:r w:rsidRPr="00036132">
        <w:rPr>
          <w:noProof/>
          <w:color w:val="000000" w:themeColor="text1"/>
          <w:szCs w:val="24"/>
        </w:rPr>
        <w:t>, Vol. 14 No. 2, pp. 141–163.</w:t>
      </w:r>
    </w:p>
    <w:p w14:paraId="2666C911"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Durach, C.F., Wiengarten, F., and Choi, T.Y. (2020), “Supplier-supplier cooperation and supply chain disruption: first-tier supplier resilience in the tetradic context”, </w:t>
      </w:r>
      <w:r w:rsidRPr="00036132">
        <w:rPr>
          <w:i/>
          <w:iCs/>
          <w:noProof/>
          <w:color w:val="000000" w:themeColor="text1"/>
          <w:szCs w:val="24"/>
        </w:rPr>
        <w:t>International Journal of Operations and Production Management</w:t>
      </w:r>
      <w:r w:rsidRPr="00036132">
        <w:rPr>
          <w:noProof/>
          <w:color w:val="000000" w:themeColor="text1"/>
          <w:szCs w:val="24"/>
        </w:rPr>
        <w:t>, Vol.40, No.(7/8), pp.1041-1065.</w:t>
      </w:r>
    </w:p>
    <w:p w14:paraId="503C6385"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Dyer, J.H. (1997), “Effective interfirm collaboration: How firms minimize transaction costs and maximize transaction value”, </w:t>
      </w:r>
      <w:r w:rsidRPr="00036132">
        <w:rPr>
          <w:i/>
          <w:iCs/>
          <w:noProof/>
          <w:color w:val="000000" w:themeColor="text1"/>
          <w:szCs w:val="24"/>
        </w:rPr>
        <w:t>Strategic Management Journal</w:t>
      </w:r>
      <w:r w:rsidRPr="00036132">
        <w:rPr>
          <w:noProof/>
          <w:color w:val="000000" w:themeColor="text1"/>
          <w:szCs w:val="24"/>
        </w:rPr>
        <w:t>, Vol. 18</w:t>
      </w:r>
      <w:r w:rsidRPr="00036132">
        <w:rPr>
          <w:rFonts w:hint="eastAsia"/>
          <w:noProof/>
          <w:color w:val="000000" w:themeColor="text1"/>
          <w:szCs w:val="24"/>
        </w:rPr>
        <w:t>,</w:t>
      </w:r>
      <w:r w:rsidRPr="00036132">
        <w:rPr>
          <w:noProof/>
          <w:color w:val="000000" w:themeColor="text1"/>
          <w:szCs w:val="24"/>
        </w:rPr>
        <w:t xml:space="preserve"> No. 7, pp. 535–556.</w:t>
      </w:r>
    </w:p>
    <w:p w14:paraId="37C2D70F"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Dyer, J.H. and Singh, H. (1998), “The relational view: Cooperative strategy and sources of interorganizational competitive advantage”, </w:t>
      </w:r>
      <w:r w:rsidRPr="00036132">
        <w:rPr>
          <w:i/>
          <w:iCs/>
          <w:noProof/>
          <w:color w:val="000000" w:themeColor="text1"/>
          <w:szCs w:val="24"/>
        </w:rPr>
        <w:t>Academy of Management Review</w:t>
      </w:r>
      <w:r w:rsidRPr="00036132">
        <w:rPr>
          <w:noProof/>
          <w:color w:val="000000" w:themeColor="text1"/>
          <w:szCs w:val="24"/>
        </w:rPr>
        <w:t>, Vol. 23</w:t>
      </w:r>
      <w:r w:rsidRPr="00036132">
        <w:rPr>
          <w:rFonts w:hint="eastAsia"/>
          <w:noProof/>
          <w:color w:val="000000" w:themeColor="text1"/>
          <w:szCs w:val="24"/>
        </w:rPr>
        <w:t>,</w:t>
      </w:r>
      <w:r w:rsidRPr="00036132">
        <w:rPr>
          <w:noProof/>
          <w:color w:val="000000" w:themeColor="text1"/>
          <w:szCs w:val="24"/>
        </w:rPr>
        <w:t xml:space="preserve"> No. 4, pp. 660–679.</w:t>
      </w:r>
    </w:p>
    <w:p w14:paraId="48C129F3"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Eisenhardt, K.M. (1989), “Agency theory: an assessment and review”, </w:t>
      </w:r>
      <w:r w:rsidRPr="00036132">
        <w:rPr>
          <w:i/>
          <w:iCs/>
          <w:noProof/>
          <w:color w:val="000000" w:themeColor="text1"/>
          <w:szCs w:val="24"/>
        </w:rPr>
        <w:t>Academy of Management Review</w:t>
      </w:r>
      <w:r w:rsidRPr="00036132">
        <w:rPr>
          <w:noProof/>
          <w:color w:val="000000" w:themeColor="text1"/>
          <w:szCs w:val="24"/>
        </w:rPr>
        <w:t xml:space="preserve">, </w:t>
      </w:r>
      <w:r w:rsidRPr="00036132">
        <w:rPr>
          <w:rFonts w:hint="eastAsia"/>
          <w:noProof/>
          <w:color w:val="000000" w:themeColor="text1"/>
          <w:szCs w:val="24"/>
        </w:rPr>
        <w:t>Vol.14, No.1, pp.57-74.</w:t>
      </w:r>
    </w:p>
    <w:p w14:paraId="35731E67"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Ellram, L.M. and Hendrick, T.E. (1995), “Partnering Characteristics: A Dyadic Perspective”, </w:t>
      </w:r>
      <w:r w:rsidRPr="00036132">
        <w:rPr>
          <w:i/>
          <w:iCs/>
          <w:noProof/>
          <w:color w:val="000000" w:themeColor="text1"/>
          <w:szCs w:val="24"/>
        </w:rPr>
        <w:t>Journal of Business Logistics</w:t>
      </w:r>
      <w:r w:rsidRPr="00036132">
        <w:rPr>
          <w:noProof/>
          <w:color w:val="000000" w:themeColor="text1"/>
          <w:szCs w:val="24"/>
        </w:rPr>
        <w:t>, Vol. 16 No. 1, pp. 41–64.</w:t>
      </w:r>
    </w:p>
    <w:p w14:paraId="1C622811"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Emerson, R.M. (1962), “Power-dependence relations”, </w:t>
      </w:r>
      <w:r w:rsidRPr="00036132">
        <w:rPr>
          <w:i/>
          <w:iCs/>
          <w:noProof/>
          <w:color w:val="000000" w:themeColor="text1"/>
          <w:szCs w:val="24"/>
        </w:rPr>
        <w:t>American Sociological Review</w:t>
      </w:r>
      <w:r w:rsidRPr="00036132">
        <w:rPr>
          <w:noProof/>
          <w:color w:val="000000" w:themeColor="text1"/>
          <w:szCs w:val="24"/>
        </w:rPr>
        <w:t>, Vol. 27</w:t>
      </w:r>
      <w:r w:rsidRPr="00036132">
        <w:rPr>
          <w:rFonts w:hint="eastAsia"/>
          <w:noProof/>
          <w:color w:val="000000" w:themeColor="text1"/>
          <w:szCs w:val="24"/>
        </w:rPr>
        <w:t>,</w:t>
      </w:r>
      <w:r w:rsidRPr="00036132">
        <w:rPr>
          <w:noProof/>
          <w:color w:val="000000" w:themeColor="text1"/>
          <w:szCs w:val="24"/>
        </w:rPr>
        <w:t xml:space="preserve"> No. 1, p. 31.</w:t>
      </w:r>
    </w:p>
    <w:p w14:paraId="7CA7D50F"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Fornell, C. and Larcker, D.F. (1981), “Evaluating structural equation models with unobservable variables and measurement error”, </w:t>
      </w:r>
      <w:r w:rsidRPr="00036132">
        <w:rPr>
          <w:i/>
          <w:iCs/>
          <w:noProof/>
          <w:color w:val="000000" w:themeColor="text1"/>
          <w:szCs w:val="24"/>
        </w:rPr>
        <w:t>Journal of Marketing Research</w:t>
      </w:r>
      <w:r w:rsidRPr="00036132">
        <w:rPr>
          <w:noProof/>
          <w:color w:val="000000" w:themeColor="text1"/>
          <w:szCs w:val="24"/>
        </w:rPr>
        <w:t>, Vol. 18</w:t>
      </w:r>
      <w:r w:rsidRPr="00036132">
        <w:rPr>
          <w:rFonts w:hint="eastAsia"/>
          <w:noProof/>
          <w:color w:val="000000" w:themeColor="text1"/>
          <w:szCs w:val="24"/>
        </w:rPr>
        <w:t>,</w:t>
      </w:r>
      <w:r w:rsidRPr="00036132">
        <w:rPr>
          <w:noProof/>
          <w:color w:val="000000" w:themeColor="text1"/>
          <w:szCs w:val="24"/>
        </w:rPr>
        <w:t xml:space="preserve"> No. 1, pp. 39–50.</w:t>
      </w:r>
    </w:p>
    <w:p w14:paraId="4DA5AC31"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lastRenderedPageBreak/>
        <w:t xml:space="preserve">Fosso Wamba, S., Gunasekaran, A., Papadopoulos, T. and Ngai, E. (2018), “Big data analytics in logistics and supply chain management”, </w:t>
      </w:r>
      <w:r w:rsidRPr="00036132">
        <w:rPr>
          <w:i/>
          <w:iCs/>
          <w:noProof/>
          <w:color w:val="000000" w:themeColor="text1"/>
          <w:szCs w:val="24"/>
        </w:rPr>
        <w:t>International Journal of Logistics Management</w:t>
      </w:r>
      <w:r w:rsidRPr="00036132">
        <w:rPr>
          <w:noProof/>
          <w:color w:val="000000" w:themeColor="text1"/>
          <w:szCs w:val="24"/>
        </w:rPr>
        <w:t xml:space="preserve">, </w:t>
      </w:r>
      <w:r w:rsidRPr="00036132">
        <w:rPr>
          <w:rFonts w:hint="eastAsia"/>
          <w:noProof/>
          <w:color w:val="000000" w:themeColor="text1"/>
          <w:szCs w:val="24"/>
        </w:rPr>
        <w:t>Vol.29, No.2, pp.478-484.</w:t>
      </w:r>
    </w:p>
    <w:p w14:paraId="67CBA47F"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Frank, A.G., Dalenogare, L.S. and Ayala, N.F. (2019), “Industry 4.0 technologies: Implementation patterns in manufacturing companies”, </w:t>
      </w:r>
      <w:r w:rsidRPr="00036132">
        <w:rPr>
          <w:i/>
          <w:iCs/>
          <w:noProof/>
          <w:color w:val="000000" w:themeColor="text1"/>
          <w:szCs w:val="24"/>
        </w:rPr>
        <w:t>International Journal of Production Economics</w:t>
      </w:r>
      <w:r w:rsidRPr="00036132">
        <w:rPr>
          <w:noProof/>
          <w:color w:val="000000" w:themeColor="text1"/>
          <w:szCs w:val="24"/>
        </w:rPr>
        <w:t xml:space="preserve">, </w:t>
      </w:r>
      <w:r w:rsidRPr="00036132">
        <w:rPr>
          <w:rFonts w:hint="eastAsia"/>
          <w:noProof/>
          <w:color w:val="000000" w:themeColor="text1"/>
          <w:szCs w:val="24"/>
        </w:rPr>
        <w:t>Vol.210, April, pp.15-26.</w:t>
      </w:r>
    </w:p>
    <w:p w14:paraId="0A728E08"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Gobble M.M. (2018), “Digitalization, Digitization, and Innovation”, </w:t>
      </w:r>
      <w:r w:rsidRPr="00036132">
        <w:rPr>
          <w:i/>
          <w:iCs/>
          <w:noProof/>
          <w:color w:val="000000" w:themeColor="text1"/>
          <w:szCs w:val="24"/>
        </w:rPr>
        <w:t>Research-Technology Management</w:t>
      </w:r>
      <w:r w:rsidRPr="00036132">
        <w:rPr>
          <w:noProof/>
          <w:color w:val="000000" w:themeColor="text1"/>
          <w:szCs w:val="24"/>
        </w:rPr>
        <w:t>, Vol. 61, No.4, pp. 56-59.</w:t>
      </w:r>
    </w:p>
    <w:p w14:paraId="67BF7FFA"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Golini, R. and Gualandris, J. (2017)</w:t>
      </w:r>
      <w:r w:rsidRPr="00036132">
        <w:rPr>
          <w:rFonts w:hint="eastAsia"/>
          <w:noProof/>
          <w:color w:val="000000" w:themeColor="text1"/>
          <w:szCs w:val="24"/>
        </w:rPr>
        <w:t>,</w:t>
      </w:r>
      <w:r w:rsidRPr="00036132">
        <w:rPr>
          <w:noProof/>
          <w:color w:val="000000" w:themeColor="text1"/>
          <w:szCs w:val="24"/>
        </w:rPr>
        <w:t xml:space="preserve"> “An empirical examination of the relationship between globalization, integration and sustainable innovation within manufacturing network”, </w:t>
      </w:r>
      <w:r w:rsidRPr="00036132">
        <w:rPr>
          <w:i/>
          <w:noProof/>
          <w:color w:val="000000" w:themeColor="text1"/>
          <w:szCs w:val="24"/>
        </w:rPr>
        <w:t>International Journal of Operations and Production Management</w:t>
      </w:r>
      <w:r w:rsidRPr="00036132">
        <w:rPr>
          <w:noProof/>
          <w:color w:val="000000" w:themeColor="text1"/>
          <w:szCs w:val="24"/>
        </w:rPr>
        <w:t xml:space="preserve">, </w:t>
      </w:r>
      <w:r w:rsidRPr="00036132">
        <w:rPr>
          <w:rFonts w:hint="eastAsia"/>
          <w:noProof/>
          <w:color w:val="000000" w:themeColor="text1"/>
          <w:szCs w:val="24"/>
        </w:rPr>
        <w:t>Vol.</w:t>
      </w:r>
      <w:r w:rsidRPr="00036132">
        <w:rPr>
          <w:noProof/>
          <w:color w:val="000000" w:themeColor="text1"/>
          <w:szCs w:val="24"/>
        </w:rPr>
        <w:t>38</w:t>
      </w:r>
      <w:r w:rsidRPr="00036132">
        <w:rPr>
          <w:rFonts w:hint="eastAsia"/>
          <w:noProof/>
          <w:color w:val="000000" w:themeColor="text1"/>
          <w:szCs w:val="24"/>
        </w:rPr>
        <w:t>, No.</w:t>
      </w:r>
      <w:r w:rsidRPr="00036132">
        <w:rPr>
          <w:noProof/>
          <w:color w:val="000000" w:themeColor="text1"/>
          <w:szCs w:val="24"/>
        </w:rPr>
        <w:t xml:space="preserve">3, </w:t>
      </w:r>
      <w:r w:rsidRPr="00036132">
        <w:rPr>
          <w:rFonts w:hint="eastAsia"/>
          <w:noProof/>
          <w:color w:val="000000" w:themeColor="text1"/>
          <w:szCs w:val="24"/>
        </w:rPr>
        <w:t>p</w:t>
      </w:r>
      <w:r w:rsidRPr="00036132">
        <w:rPr>
          <w:noProof/>
          <w:color w:val="000000" w:themeColor="text1"/>
          <w:szCs w:val="24"/>
        </w:rPr>
        <w:t>p.874-894.</w:t>
      </w:r>
    </w:p>
    <w:p w14:paraId="389D8711"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Granovetter, M. (1985), “Economic action and social structure: The problem of embeddedness”, </w:t>
      </w:r>
      <w:r w:rsidRPr="00036132">
        <w:rPr>
          <w:i/>
          <w:iCs/>
          <w:noProof/>
          <w:color w:val="000000" w:themeColor="text1"/>
          <w:szCs w:val="24"/>
        </w:rPr>
        <w:t>American Journal of Sociology</w:t>
      </w:r>
      <w:r w:rsidRPr="00036132">
        <w:rPr>
          <w:noProof/>
          <w:color w:val="000000" w:themeColor="text1"/>
          <w:szCs w:val="24"/>
        </w:rPr>
        <w:t>, Vol. 91</w:t>
      </w:r>
      <w:r w:rsidRPr="00036132">
        <w:rPr>
          <w:rFonts w:hint="eastAsia"/>
          <w:noProof/>
          <w:color w:val="000000" w:themeColor="text1"/>
          <w:szCs w:val="24"/>
        </w:rPr>
        <w:t>,</w:t>
      </w:r>
      <w:r w:rsidRPr="00036132">
        <w:rPr>
          <w:noProof/>
          <w:color w:val="000000" w:themeColor="text1"/>
          <w:szCs w:val="24"/>
        </w:rPr>
        <w:t xml:space="preserve"> No. 3, pp. 481–510.</w:t>
      </w:r>
    </w:p>
    <w:p w14:paraId="0E536A93"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Granovetter, M. (1992), “Economic Institutions as Social Constructions: A Framework for Analysis”, </w:t>
      </w:r>
      <w:r w:rsidRPr="00036132">
        <w:rPr>
          <w:i/>
          <w:iCs/>
          <w:noProof/>
          <w:color w:val="000000" w:themeColor="text1"/>
          <w:szCs w:val="24"/>
        </w:rPr>
        <w:t>Acta Sociologica</w:t>
      </w:r>
      <w:r w:rsidRPr="00036132">
        <w:rPr>
          <w:noProof/>
          <w:color w:val="000000" w:themeColor="text1"/>
          <w:szCs w:val="24"/>
        </w:rPr>
        <w:t>, Vol. 35</w:t>
      </w:r>
      <w:r w:rsidRPr="00036132">
        <w:rPr>
          <w:rFonts w:hint="eastAsia"/>
          <w:noProof/>
          <w:color w:val="000000" w:themeColor="text1"/>
          <w:szCs w:val="24"/>
        </w:rPr>
        <w:t>,</w:t>
      </w:r>
      <w:r w:rsidRPr="00036132">
        <w:rPr>
          <w:noProof/>
          <w:color w:val="000000" w:themeColor="text1"/>
          <w:szCs w:val="24"/>
        </w:rPr>
        <w:t xml:space="preserve"> No. 1, pp. 3–11.</w:t>
      </w:r>
    </w:p>
    <w:p w14:paraId="312C4340"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Gulati, R. (1995), “Does familiarity breed trust? the implications of repeated ties for contractual choice in alliances”, </w:t>
      </w:r>
      <w:r w:rsidRPr="00036132">
        <w:rPr>
          <w:i/>
          <w:iCs/>
          <w:noProof/>
          <w:color w:val="000000" w:themeColor="text1"/>
          <w:szCs w:val="24"/>
        </w:rPr>
        <w:t>Academy of Management Journal</w:t>
      </w:r>
      <w:r w:rsidRPr="00036132">
        <w:rPr>
          <w:noProof/>
          <w:color w:val="000000" w:themeColor="text1"/>
          <w:szCs w:val="24"/>
        </w:rPr>
        <w:t>, Vol. 38</w:t>
      </w:r>
      <w:r w:rsidRPr="00036132">
        <w:rPr>
          <w:rFonts w:hint="eastAsia"/>
          <w:noProof/>
          <w:color w:val="000000" w:themeColor="text1"/>
          <w:szCs w:val="24"/>
        </w:rPr>
        <w:t>,</w:t>
      </w:r>
      <w:r w:rsidRPr="00036132">
        <w:rPr>
          <w:noProof/>
          <w:color w:val="000000" w:themeColor="text1"/>
          <w:szCs w:val="24"/>
        </w:rPr>
        <w:t xml:space="preserve"> No. 1, pp. 85–112.</w:t>
      </w:r>
    </w:p>
    <w:p w14:paraId="0A1CAA6C"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Gulati, R. and Sytch, M. (2007), “Dependence asymmetry and joint dependence in interorganizational relationships: Effects of embeddedness on a manufacturer’s performance in procurement relationships”, </w:t>
      </w:r>
      <w:r w:rsidRPr="00036132">
        <w:rPr>
          <w:i/>
          <w:iCs/>
          <w:noProof/>
          <w:color w:val="000000" w:themeColor="text1"/>
          <w:szCs w:val="24"/>
        </w:rPr>
        <w:t>Administrative Science Quarterly</w:t>
      </w:r>
      <w:r w:rsidRPr="00036132">
        <w:rPr>
          <w:noProof/>
          <w:color w:val="000000" w:themeColor="text1"/>
          <w:szCs w:val="24"/>
        </w:rPr>
        <w:t>, Vol. 52</w:t>
      </w:r>
      <w:r w:rsidRPr="00036132">
        <w:rPr>
          <w:rFonts w:hint="eastAsia"/>
          <w:noProof/>
          <w:color w:val="000000" w:themeColor="text1"/>
          <w:szCs w:val="24"/>
        </w:rPr>
        <w:t>,</w:t>
      </w:r>
      <w:r w:rsidRPr="00036132">
        <w:rPr>
          <w:noProof/>
          <w:color w:val="000000" w:themeColor="text1"/>
          <w:szCs w:val="24"/>
        </w:rPr>
        <w:t xml:space="preserve"> No. 1, pp. 32–69.</w:t>
      </w:r>
    </w:p>
    <w:p w14:paraId="08C29F3E"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Handley, S.M. and Benton, W.C. (2012), “The influence of exchange hazards and power on opportunism in outsourcing relationships”, </w:t>
      </w:r>
      <w:r w:rsidRPr="00036132">
        <w:rPr>
          <w:i/>
          <w:iCs/>
          <w:noProof/>
          <w:color w:val="000000" w:themeColor="text1"/>
          <w:szCs w:val="24"/>
        </w:rPr>
        <w:t>Journal of Operations Management</w:t>
      </w:r>
      <w:r w:rsidRPr="00036132">
        <w:rPr>
          <w:noProof/>
          <w:color w:val="000000" w:themeColor="text1"/>
          <w:szCs w:val="24"/>
        </w:rPr>
        <w:t>, Vol. 30</w:t>
      </w:r>
      <w:r w:rsidRPr="00036132">
        <w:rPr>
          <w:rFonts w:hint="eastAsia"/>
          <w:noProof/>
          <w:color w:val="000000" w:themeColor="text1"/>
          <w:szCs w:val="24"/>
        </w:rPr>
        <w:t>,</w:t>
      </w:r>
      <w:r w:rsidRPr="00036132">
        <w:rPr>
          <w:noProof/>
          <w:color w:val="000000" w:themeColor="text1"/>
          <w:szCs w:val="24"/>
        </w:rPr>
        <w:t xml:space="preserve"> No. 1–2, pp. 55–68.</w:t>
      </w:r>
    </w:p>
    <w:p w14:paraId="2D63D53B"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Harrison, V. (2019), “5G: World’s first commercial services promise ‘great leap’”, </w:t>
      </w:r>
      <w:r w:rsidRPr="00036132">
        <w:rPr>
          <w:i/>
          <w:iCs/>
          <w:noProof/>
          <w:color w:val="000000" w:themeColor="text1"/>
          <w:szCs w:val="24"/>
        </w:rPr>
        <w:t>BBC News</w:t>
      </w:r>
      <w:r w:rsidRPr="00036132">
        <w:rPr>
          <w:noProof/>
          <w:color w:val="000000" w:themeColor="text1"/>
          <w:szCs w:val="24"/>
        </w:rPr>
        <w:t>, available at: https://www.bbc.co.uk/news/business-47796528 (accessed 20 September 2020).</w:t>
      </w:r>
    </w:p>
    <w:p w14:paraId="69F80BC0"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Hartley, J.L. and Sawaya, W.J. (2019), “Tortoise, not the hare: Digital transformation of supply chain business processes”, </w:t>
      </w:r>
      <w:r w:rsidRPr="00036132">
        <w:rPr>
          <w:i/>
          <w:iCs/>
          <w:noProof/>
          <w:color w:val="000000" w:themeColor="text1"/>
          <w:szCs w:val="24"/>
        </w:rPr>
        <w:t>Business Horizons</w:t>
      </w:r>
      <w:r w:rsidRPr="00036132">
        <w:rPr>
          <w:noProof/>
          <w:color w:val="000000" w:themeColor="text1"/>
          <w:szCs w:val="24"/>
        </w:rPr>
        <w:t>, Vol. 62</w:t>
      </w:r>
      <w:r w:rsidRPr="00036132">
        <w:rPr>
          <w:rFonts w:hint="eastAsia"/>
          <w:noProof/>
          <w:color w:val="000000" w:themeColor="text1"/>
          <w:szCs w:val="24"/>
        </w:rPr>
        <w:t>,</w:t>
      </w:r>
      <w:r w:rsidRPr="00036132">
        <w:rPr>
          <w:noProof/>
          <w:color w:val="000000" w:themeColor="text1"/>
          <w:szCs w:val="24"/>
        </w:rPr>
        <w:t xml:space="preserve"> No. 6, pp. 707–715.</w:t>
      </w:r>
    </w:p>
    <w:p w14:paraId="6BE7C45A" w14:textId="77777777" w:rsidR="00036132" w:rsidRPr="00036132" w:rsidRDefault="00036132" w:rsidP="00036132">
      <w:pPr>
        <w:adjustRightInd w:val="0"/>
        <w:spacing w:before="140"/>
        <w:ind w:left="480" w:hanging="480"/>
        <w:jc w:val="both"/>
        <w:rPr>
          <w:noProof/>
          <w:color w:val="000000" w:themeColor="text1"/>
          <w:szCs w:val="24"/>
        </w:rPr>
      </w:pPr>
      <w:r w:rsidRPr="00036132">
        <w:rPr>
          <w:rFonts w:hint="eastAsia"/>
          <w:noProof/>
          <w:color w:val="000000" w:themeColor="text1"/>
          <w:szCs w:val="24"/>
        </w:rPr>
        <w:t xml:space="preserve">Hayes, A.F. (2018), </w:t>
      </w:r>
      <w:r w:rsidRPr="00036132">
        <w:rPr>
          <w:i/>
          <w:noProof/>
          <w:color w:val="000000" w:themeColor="text1"/>
          <w:szCs w:val="24"/>
        </w:rPr>
        <w:t>Introduction to Mediation, Moderation, and Conditional Process Analysis: A Regression-Based Approach (Methodology in the Social Sciences)</w:t>
      </w:r>
      <w:r w:rsidRPr="00036132">
        <w:rPr>
          <w:noProof/>
          <w:color w:val="000000" w:themeColor="text1"/>
          <w:szCs w:val="24"/>
        </w:rPr>
        <w:t>, The Guilford Press, New York.</w:t>
      </w:r>
    </w:p>
    <w:p w14:paraId="35649759"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Heide, J.B. (1994), “Interorganizational Governance in Marketing Channels”, </w:t>
      </w:r>
      <w:r w:rsidRPr="00036132">
        <w:rPr>
          <w:i/>
          <w:noProof/>
          <w:color w:val="000000" w:themeColor="text1"/>
          <w:szCs w:val="24"/>
        </w:rPr>
        <w:t>Journal of Marketing</w:t>
      </w:r>
      <w:r w:rsidRPr="00036132">
        <w:rPr>
          <w:noProof/>
          <w:color w:val="000000" w:themeColor="text1"/>
          <w:szCs w:val="24"/>
        </w:rPr>
        <w:t>, Vol. 58 No. 1, pp. 71–85.</w:t>
      </w:r>
    </w:p>
    <w:p w14:paraId="6F0F0579"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Heide, J.B. and John, G. (1990), “Alliances in industrial purchasing: the determinants of joint action in buyer-supplier relationships”, </w:t>
      </w:r>
      <w:r w:rsidRPr="00036132">
        <w:rPr>
          <w:i/>
          <w:iCs/>
          <w:noProof/>
          <w:color w:val="000000" w:themeColor="text1"/>
          <w:szCs w:val="24"/>
        </w:rPr>
        <w:t>Journal of Marketing Research</w:t>
      </w:r>
      <w:r w:rsidRPr="00036132">
        <w:rPr>
          <w:noProof/>
          <w:color w:val="000000" w:themeColor="text1"/>
          <w:szCs w:val="24"/>
        </w:rPr>
        <w:t>, Vol. 27</w:t>
      </w:r>
      <w:r w:rsidRPr="00036132">
        <w:rPr>
          <w:rFonts w:hint="eastAsia"/>
          <w:noProof/>
          <w:color w:val="000000" w:themeColor="text1"/>
          <w:szCs w:val="24"/>
        </w:rPr>
        <w:t>,</w:t>
      </w:r>
      <w:r w:rsidRPr="00036132">
        <w:rPr>
          <w:noProof/>
          <w:color w:val="000000" w:themeColor="text1"/>
          <w:szCs w:val="24"/>
        </w:rPr>
        <w:t xml:space="preserve"> No. 1, pp. 24–36.</w:t>
      </w:r>
    </w:p>
    <w:p w14:paraId="2E51F27D"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Hernán, M.A., Hernández-Díaz, S. and Robins, J.M. (2004), “A structural approach to selection bias”, </w:t>
      </w:r>
      <w:r w:rsidRPr="00036132">
        <w:rPr>
          <w:i/>
          <w:iCs/>
          <w:noProof/>
          <w:color w:val="000000" w:themeColor="text1"/>
          <w:szCs w:val="24"/>
        </w:rPr>
        <w:t>Epidemiology</w:t>
      </w:r>
      <w:r w:rsidRPr="00036132">
        <w:rPr>
          <w:noProof/>
          <w:color w:val="000000" w:themeColor="text1"/>
          <w:szCs w:val="24"/>
        </w:rPr>
        <w:t>, Vol.15, No.5, pp.615-625.</w:t>
      </w:r>
    </w:p>
    <w:p w14:paraId="18D05EE2"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Hill, C.W.L. (1990), “Cooperation, opportunism, and the invisible hand: implications for transaction cost theory”, </w:t>
      </w:r>
      <w:r w:rsidRPr="00036132">
        <w:rPr>
          <w:i/>
          <w:iCs/>
          <w:noProof/>
          <w:color w:val="000000" w:themeColor="text1"/>
          <w:szCs w:val="24"/>
        </w:rPr>
        <w:t>Academy of Management Review</w:t>
      </w:r>
      <w:r w:rsidRPr="00036132">
        <w:rPr>
          <w:noProof/>
          <w:color w:val="000000" w:themeColor="text1"/>
          <w:szCs w:val="24"/>
        </w:rPr>
        <w:t>, Vol. 15</w:t>
      </w:r>
      <w:r w:rsidRPr="00036132">
        <w:rPr>
          <w:rFonts w:hint="eastAsia"/>
          <w:noProof/>
          <w:color w:val="000000" w:themeColor="text1"/>
          <w:szCs w:val="24"/>
        </w:rPr>
        <w:t>,</w:t>
      </w:r>
      <w:r w:rsidRPr="00036132">
        <w:rPr>
          <w:noProof/>
          <w:color w:val="000000" w:themeColor="text1"/>
          <w:szCs w:val="24"/>
        </w:rPr>
        <w:t xml:space="preserve"> No. 3, pp. 500–513.</w:t>
      </w:r>
    </w:p>
    <w:p w14:paraId="0CD4C3CB"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Hill, C.W.L. and Deeds, D.L. (1996), “The importance of industry structure for the determination of firm profitability: A neo-Austrian perspective”, </w:t>
      </w:r>
      <w:r w:rsidRPr="00036132">
        <w:rPr>
          <w:i/>
          <w:iCs/>
          <w:noProof/>
          <w:color w:val="000000" w:themeColor="text1"/>
          <w:szCs w:val="24"/>
        </w:rPr>
        <w:t>Journal of Management Studies</w:t>
      </w:r>
      <w:r w:rsidRPr="00036132">
        <w:rPr>
          <w:noProof/>
          <w:color w:val="000000" w:themeColor="text1"/>
          <w:szCs w:val="24"/>
        </w:rPr>
        <w:t>, Vol. 33</w:t>
      </w:r>
      <w:r w:rsidRPr="00036132">
        <w:rPr>
          <w:rFonts w:hint="eastAsia"/>
          <w:noProof/>
          <w:color w:val="000000" w:themeColor="text1"/>
          <w:szCs w:val="24"/>
        </w:rPr>
        <w:t>,</w:t>
      </w:r>
      <w:r w:rsidRPr="00036132">
        <w:rPr>
          <w:noProof/>
          <w:color w:val="000000" w:themeColor="text1"/>
          <w:szCs w:val="24"/>
        </w:rPr>
        <w:t xml:space="preserve"> No. 4, pp. 429–451.</w:t>
      </w:r>
    </w:p>
    <w:p w14:paraId="5968055B" w14:textId="77777777" w:rsidR="00036132" w:rsidRPr="00036132" w:rsidRDefault="00036132" w:rsidP="00036132">
      <w:pPr>
        <w:adjustRightInd w:val="0"/>
        <w:spacing w:before="140"/>
        <w:ind w:left="480" w:hanging="480"/>
        <w:jc w:val="both"/>
        <w:rPr>
          <w:noProof/>
          <w:color w:val="000000" w:themeColor="text1"/>
          <w:szCs w:val="24"/>
        </w:rPr>
      </w:pPr>
      <w:r w:rsidRPr="00036132">
        <w:rPr>
          <w:rFonts w:hint="cs"/>
          <w:noProof/>
          <w:color w:val="000000" w:themeColor="text1"/>
          <w:szCs w:val="24"/>
        </w:rPr>
        <w:t>H</w:t>
      </w:r>
      <w:r w:rsidRPr="00036132">
        <w:rPr>
          <w:noProof/>
          <w:color w:val="000000" w:themeColor="text1"/>
          <w:szCs w:val="24"/>
        </w:rPr>
        <w:t xml:space="preserve">o, T.H., Lim, N., Reza, S. and Xia, X. (2017), “Causal inference models in operations management”, </w:t>
      </w:r>
      <w:r w:rsidRPr="00036132">
        <w:rPr>
          <w:i/>
          <w:iCs/>
          <w:noProof/>
          <w:color w:val="000000" w:themeColor="text1"/>
          <w:szCs w:val="24"/>
        </w:rPr>
        <w:t>Manufacturing and Service Operations Management</w:t>
      </w:r>
      <w:r w:rsidRPr="00036132">
        <w:rPr>
          <w:noProof/>
          <w:color w:val="000000" w:themeColor="text1"/>
          <w:szCs w:val="24"/>
        </w:rPr>
        <w:t>, Vol.19, No.4, pp.509-525.</w:t>
      </w:r>
    </w:p>
    <w:p w14:paraId="06A26042"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Holmstrom, J., Holweg, M., Lawson, B, Pil, F.K. and Wagner S.M. (2019), “The digitalisation of </w:t>
      </w:r>
      <w:r w:rsidRPr="00036132">
        <w:rPr>
          <w:noProof/>
          <w:color w:val="000000" w:themeColor="text1"/>
          <w:szCs w:val="24"/>
        </w:rPr>
        <w:lastRenderedPageBreak/>
        <w:t xml:space="preserve">operations and supply chain management: Theoretical and methodological implications”, </w:t>
      </w:r>
      <w:r w:rsidRPr="00036132">
        <w:rPr>
          <w:i/>
          <w:noProof/>
          <w:color w:val="000000" w:themeColor="text1"/>
          <w:szCs w:val="24"/>
        </w:rPr>
        <w:t>Journal of Operations Management</w:t>
      </w:r>
      <w:r w:rsidRPr="00036132">
        <w:rPr>
          <w:noProof/>
          <w:color w:val="000000" w:themeColor="text1"/>
          <w:szCs w:val="24"/>
        </w:rPr>
        <w:t>, Vol. 65, pp. 728-734.</w:t>
      </w:r>
    </w:p>
    <w:p w14:paraId="1E53828B" w14:textId="77777777" w:rsidR="00036132" w:rsidRPr="00036132" w:rsidRDefault="00036132" w:rsidP="00036132">
      <w:pPr>
        <w:adjustRightInd w:val="0"/>
        <w:spacing w:before="140"/>
        <w:ind w:left="480" w:hanging="480"/>
        <w:jc w:val="both"/>
        <w:rPr>
          <w:noProof/>
          <w:color w:val="000000" w:themeColor="text1"/>
          <w:szCs w:val="24"/>
        </w:rPr>
      </w:pPr>
      <w:r w:rsidRPr="00036132">
        <w:rPr>
          <w:rFonts w:hint="eastAsia"/>
          <w:noProof/>
          <w:color w:val="000000" w:themeColor="text1"/>
          <w:szCs w:val="24"/>
        </w:rPr>
        <w:t xml:space="preserve">IMD World Competitiveness Center (2020), "The IMD World Digital Competitiveness Ranking 2020", available at: </w:t>
      </w:r>
      <w:r w:rsidRPr="00036132">
        <w:rPr>
          <w:noProof/>
          <w:color w:val="000000" w:themeColor="text1"/>
          <w:szCs w:val="24"/>
        </w:rPr>
        <w:t>https://www.imd.org/wcc/world-competitiveness-center-rankings/world-digital-competitiveness-rankings-2020/ (Accessed: 9 October 2020).</w:t>
      </w:r>
    </w:p>
    <w:p w14:paraId="04C3DBAD"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Joskow, P.L. (1988), “Price adjustment in long-term contracts: </w:t>
      </w:r>
      <w:r w:rsidRPr="00036132">
        <w:rPr>
          <w:rFonts w:hint="eastAsia"/>
          <w:noProof/>
          <w:color w:val="000000" w:themeColor="text1"/>
          <w:szCs w:val="24"/>
        </w:rPr>
        <w:t>T</w:t>
      </w:r>
      <w:r w:rsidRPr="00036132">
        <w:rPr>
          <w:noProof/>
          <w:color w:val="000000" w:themeColor="text1"/>
          <w:szCs w:val="24"/>
        </w:rPr>
        <w:t xml:space="preserve">he case of coal”, </w:t>
      </w:r>
      <w:r w:rsidRPr="00036132">
        <w:rPr>
          <w:i/>
          <w:iCs/>
          <w:noProof/>
          <w:color w:val="000000" w:themeColor="text1"/>
          <w:szCs w:val="24"/>
        </w:rPr>
        <w:t>The Journal of Law and Economics</w:t>
      </w:r>
      <w:r w:rsidRPr="00036132">
        <w:rPr>
          <w:noProof/>
          <w:color w:val="000000" w:themeColor="text1"/>
          <w:szCs w:val="24"/>
        </w:rPr>
        <w:t>, Vol. 31</w:t>
      </w:r>
      <w:r w:rsidRPr="00036132">
        <w:rPr>
          <w:rFonts w:hint="eastAsia"/>
          <w:noProof/>
          <w:color w:val="000000" w:themeColor="text1"/>
          <w:szCs w:val="24"/>
        </w:rPr>
        <w:t>,</w:t>
      </w:r>
      <w:r w:rsidRPr="00036132">
        <w:rPr>
          <w:noProof/>
          <w:color w:val="000000" w:themeColor="text1"/>
          <w:szCs w:val="24"/>
        </w:rPr>
        <w:t xml:space="preserve"> No. 1, pp. 47–83.</w:t>
      </w:r>
    </w:p>
    <w:p w14:paraId="68CF32C5"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Kalaitzi, D., Matopoulos, A., Bourlakis, M. and Tate, W. (2018), “Supply chain strategies in an era of natural resource scarcity”, </w:t>
      </w:r>
      <w:r w:rsidRPr="00036132">
        <w:rPr>
          <w:i/>
          <w:iCs/>
          <w:noProof/>
          <w:color w:val="000000" w:themeColor="text1"/>
          <w:szCs w:val="24"/>
        </w:rPr>
        <w:t>International Journal of Operations and Production Management</w:t>
      </w:r>
      <w:r w:rsidRPr="00036132">
        <w:rPr>
          <w:noProof/>
          <w:color w:val="000000" w:themeColor="text1"/>
          <w:szCs w:val="24"/>
        </w:rPr>
        <w:t>, Vol. 38</w:t>
      </w:r>
      <w:r w:rsidRPr="00036132">
        <w:rPr>
          <w:rFonts w:hint="eastAsia"/>
          <w:noProof/>
          <w:color w:val="000000" w:themeColor="text1"/>
          <w:szCs w:val="24"/>
        </w:rPr>
        <w:t>,</w:t>
      </w:r>
      <w:r w:rsidRPr="00036132">
        <w:rPr>
          <w:noProof/>
          <w:color w:val="000000" w:themeColor="text1"/>
          <w:szCs w:val="24"/>
        </w:rPr>
        <w:t xml:space="preserve"> No. 3, pp. 784–809.</w:t>
      </w:r>
    </w:p>
    <w:p w14:paraId="6FDB8EDF"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Kelly, S., Wagner, B., and Ramsay, J. (2018), “Opportunism in buyer-supplier exchange: a critical examination of the concept and its implications for theory and practice”, </w:t>
      </w:r>
      <w:r w:rsidRPr="00036132">
        <w:rPr>
          <w:i/>
          <w:iCs/>
          <w:noProof/>
          <w:color w:val="000000" w:themeColor="text1"/>
          <w:szCs w:val="24"/>
        </w:rPr>
        <w:t>Production Planning and Control</w:t>
      </w:r>
      <w:r w:rsidRPr="00036132">
        <w:rPr>
          <w:noProof/>
          <w:color w:val="000000" w:themeColor="text1"/>
          <w:szCs w:val="24"/>
        </w:rPr>
        <w:t>, Vol.29, No.12, pp.992-1009.</w:t>
      </w:r>
    </w:p>
    <w:p w14:paraId="55050303"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Kergroach, S. (2020), “Giving momentum to SME digitalization”, </w:t>
      </w:r>
      <w:r w:rsidRPr="00036132">
        <w:rPr>
          <w:i/>
          <w:iCs/>
          <w:noProof/>
          <w:color w:val="000000" w:themeColor="text1"/>
          <w:szCs w:val="24"/>
        </w:rPr>
        <w:t>Journal of International Council for Small Business</w:t>
      </w:r>
      <w:r w:rsidRPr="00036132">
        <w:rPr>
          <w:noProof/>
          <w:color w:val="000000" w:themeColor="text1"/>
          <w:szCs w:val="24"/>
        </w:rPr>
        <w:t>, Vol.1, No.1, pp.28-31.</w:t>
      </w:r>
    </w:p>
    <w:p w14:paraId="3C5169A0"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Kim, H., Hur, D. and Schoenherr, T. (2015), “When buyer-driven knowledge transfer activities really work: </w:t>
      </w:r>
      <w:r w:rsidRPr="00036132">
        <w:rPr>
          <w:rFonts w:hint="eastAsia"/>
          <w:noProof/>
          <w:color w:val="000000" w:themeColor="text1"/>
          <w:szCs w:val="24"/>
        </w:rPr>
        <w:t>A</w:t>
      </w:r>
      <w:r w:rsidRPr="00036132">
        <w:rPr>
          <w:noProof/>
          <w:color w:val="000000" w:themeColor="text1"/>
          <w:szCs w:val="24"/>
        </w:rPr>
        <w:t xml:space="preserve"> motivation-opportunity-ability perspective”, </w:t>
      </w:r>
      <w:r w:rsidRPr="00036132">
        <w:rPr>
          <w:i/>
          <w:iCs/>
          <w:noProof/>
          <w:color w:val="000000" w:themeColor="text1"/>
          <w:szCs w:val="24"/>
        </w:rPr>
        <w:t>Journal of Supply Chain Management</w:t>
      </w:r>
      <w:r w:rsidRPr="00036132">
        <w:rPr>
          <w:noProof/>
          <w:color w:val="000000" w:themeColor="text1"/>
          <w:szCs w:val="24"/>
        </w:rPr>
        <w:t>, Vol. 51</w:t>
      </w:r>
      <w:r w:rsidRPr="00036132">
        <w:rPr>
          <w:rFonts w:hint="eastAsia"/>
          <w:noProof/>
          <w:color w:val="000000" w:themeColor="text1"/>
          <w:szCs w:val="24"/>
        </w:rPr>
        <w:t>,</w:t>
      </w:r>
      <w:r w:rsidRPr="00036132">
        <w:rPr>
          <w:noProof/>
          <w:color w:val="000000" w:themeColor="text1"/>
          <w:szCs w:val="24"/>
        </w:rPr>
        <w:t xml:space="preserve"> No. 3, pp. 33–60.</w:t>
      </w:r>
    </w:p>
    <w:p w14:paraId="1A4DE94E"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Kim, H., Hur, D., and Schoenherr, T. (2020). “Supplier Development at LG Electronics: Enhancing the Stability, Sustainability, and Competitiveness of the Supply Base”, </w:t>
      </w:r>
      <w:r w:rsidRPr="00036132">
        <w:rPr>
          <w:i/>
          <w:iCs/>
          <w:noProof/>
          <w:color w:val="000000" w:themeColor="text1"/>
          <w:szCs w:val="24"/>
        </w:rPr>
        <w:t>The Oxford Handbook of Supply Chain Management</w:t>
      </w:r>
      <w:r w:rsidRPr="00036132">
        <w:rPr>
          <w:noProof/>
          <w:color w:val="000000" w:themeColor="text1"/>
          <w:szCs w:val="24"/>
        </w:rPr>
        <w:t>, Oxford University Press, United Kingdom.</w:t>
      </w:r>
    </w:p>
    <w:p w14:paraId="39FC286F"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Kiron, D., Prentice, P.</w:t>
      </w:r>
      <w:r w:rsidRPr="00036132">
        <w:rPr>
          <w:rFonts w:hint="eastAsia"/>
          <w:noProof/>
          <w:color w:val="000000" w:themeColor="text1"/>
          <w:szCs w:val="24"/>
        </w:rPr>
        <w:t xml:space="preserve"> andFerguson, R.</w:t>
      </w:r>
      <w:r w:rsidRPr="00036132">
        <w:rPr>
          <w:noProof/>
          <w:color w:val="000000" w:themeColor="text1"/>
          <w:szCs w:val="24"/>
        </w:rPr>
        <w:t xml:space="preserve">(2014), “The analytics mandate: </w:t>
      </w:r>
      <w:r w:rsidRPr="00036132">
        <w:rPr>
          <w:rFonts w:hint="eastAsia"/>
          <w:noProof/>
          <w:color w:val="000000" w:themeColor="text1"/>
          <w:szCs w:val="24"/>
        </w:rPr>
        <w:t>F</w:t>
      </w:r>
      <w:r w:rsidRPr="00036132">
        <w:rPr>
          <w:noProof/>
          <w:color w:val="000000" w:themeColor="text1"/>
          <w:szCs w:val="24"/>
        </w:rPr>
        <w:t xml:space="preserve">indings from the 2014 data &amp; analytics global executive study and research report”, </w:t>
      </w:r>
      <w:r w:rsidRPr="00036132">
        <w:rPr>
          <w:i/>
          <w:iCs/>
          <w:noProof/>
          <w:color w:val="000000" w:themeColor="text1"/>
          <w:szCs w:val="24"/>
        </w:rPr>
        <w:t>MIT Sloan Management Review</w:t>
      </w:r>
      <w:r w:rsidRPr="00036132">
        <w:rPr>
          <w:noProof/>
          <w:color w:val="000000" w:themeColor="text1"/>
          <w:szCs w:val="24"/>
        </w:rPr>
        <w:t>, Vol. 55</w:t>
      </w:r>
      <w:r w:rsidRPr="00036132">
        <w:rPr>
          <w:rFonts w:hint="eastAsia"/>
          <w:noProof/>
          <w:color w:val="000000" w:themeColor="text1"/>
          <w:szCs w:val="24"/>
        </w:rPr>
        <w:t>,</w:t>
      </w:r>
      <w:r w:rsidRPr="00036132">
        <w:rPr>
          <w:noProof/>
          <w:color w:val="000000" w:themeColor="text1"/>
          <w:szCs w:val="24"/>
        </w:rPr>
        <w:t xml:space="preserve"> No. 4, pp. 1–25.</w:t>
      </w:r>
    </w:p>
    <w:p w14:paraId="19A7EEA9"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Koufteros, X.A., Edwin Cheng, T.C. and Lai, K.H. (2007), “‘Black-box’ and ‘gray-box’ supplier integration in product development: Antecedents, consequences and the moderating role of firm size”, </w:t>
      </w:r>
      <w:r w:rsidRPr="00036132">
        <w:rPr>
          <w:i/>
          <w:iCs/>
          <w:noProof/>
          <w:color w:val="000000" w:themeColor="text1"/>
          <w:szCs w:val="24"/>
        </w:rPr>
        <w:t>Journal of Operations Management</w:t>
      </w:r>
      <w:r w:rsidRPr="00036132">
        <w:rPr>
          <w:noProof/>
          <w:color w:val="000000" w:themeColor="text1"/>
          <w:szCs w:val="24"/>
        </w:rPr>
        <w:t>, Vol. 25</w:t>
      </w:r>
      <w:r w:rsidRPr="00036132">
        <w:rPr>
          <w:rFonts w:hint="eastAsia"/>
          <w:noProof/>
          <w:color w:val="000000" w:themeColor="text1"/>
          <w:szCs w:val="24"/>
        </w:rPr>
        <w:t>,</w:t>
      </w:r>
      <w:r w:rsidRPr="00036132">
        <w:rPr>
          <w:noProof/>
          <w:color w:val="000000" w:themeColor="text1"/>
          <w:szCs w:val="24"/>
        </w:rPr>
        <w:t xml:space="preserve"> No. 4, pp. 847–870.</w:t>
      </w:r>
    </w:p>
    <w:p w14:paraId="5A7B960B"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Kumar, N., Scheer, L.K. and Steenkamp, J.-B.E.M. (1995), “The effects of perceived interdependence on dealer attitudes”, </w:t>
      </w:r>
      <w:r w:rsidRPr="00036132">
        <w:rPr>
          <w:i/>
          <w:iCs/>
          <w:noProof/>
          <w:color w:val="000000" w:themeColor="text1"/>
          <w:szCs w:val="24"/>
        </w:rPr>
        <w:t>Journal of Marketing Research</w:t>
      </w:r>
      <w:r w:rsidRPr="00036132">
        <w:rPr>
          <w:noProof/>
          <w:color w:val="000000" w:themeColor="text1"/>
          <w:szCs w:val="24"/>
        </w:rPr>
        <w:t>, Vol. 32</w:t>
      </w:r>
      <w:r w:rsidRPr="00036132">
        <w:rPr>
          <w:rFonts w:hint="eastAsia"/>
          <w:noProof/>
          <w:color w:val="000000" w:themeColor="text1"/>
          <w:szCs w:val="24"/>
        </w:rPr>
        <w:t>,</w:t>
      </w:r>
      <w:r w:rsidRPr="00036132">
        <w:rPr>
          <w:noProof/>
          <w:color w:val="000000" w:themeColor="text1"/>
          <w:szCs w:val="24"/>
        </w:rPr>
        <w:t xml:space="preserve"> No. 3, pp. 348–356.</w:t>
      </w:r>
    </w:p>
    <w:p w14:paraId="52381D3B"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Kumar, N., Stern, L.W. and Anderson, J.C. (1993), “Conducting interorganizational research using key informants”, </w:t>
      </w:r>
      <w:r w:rsidRPr="00036132">
        <w:rPr>
          <w:i/>
          <w:iCs/>
          <w:noProof/>
          <w:color w:val="000000" w:themeColor="text1"/>
          <w:szCs w:val="24"/>
        </w:rPr>
        <w:t>Academy of Management Journal</w:t>
      </w:r>
      <w:r w:rsidRPr="00036132">
        <w:rPr>
          <w:noProof/>
          <w:color w:val="000000" w:themeColor="text1"/>
          <w:szCs w:val="24"/>
        </w:rPr>
        <w:t>, Vol.36, No.6, pp.1633-1651.</w:t>
      </w:r>
    </w:p>
    <w:p w14:paraId="4DC6363A"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Li, Y., Xie, E., Teo, H.H. and Peng, M.W. (2010), “Formal control and social control in domestic and international buyer-supplier relationships”, </w:t>
      </w:r>
      <w:r w:rsidRPr="00036132">
        <w:rPr>
          <w:i/>
          <w:iCs/>
          <w:noProof/>
          <w:color w:val="000000" w:themeColor="text1"/>
          <w:szCs w:val="24"/>
        </w:rPr>
        <w:t>Journal of Operations Management</w:t>
      </w:r>
      <w:r w:rsidRPr="00036132">
        <w:rPr>
          <w:noProof/>
          <w:color w:val="000000" w:themeColor="text1"/>
          <w:szCs w:val="24"/>
        </w:rPr>
        <w:t>, Vol. 28</w:t>
      </w:r>
      <w:r w:rsidRPr="00036132">
        <w:rPr>
          <w:rFonts w:hint="eastAsia"/>
          <w:noProof/>
          <w:color w:val="000000" w:themeColor="text1"/>
          <w:szCs w:val="24"/>
        </w:rPr>
        <w:t>,</w:t>
      </w:r>
      <w:r w:rsidRPr="00036132">
        <w:rPr>
          <w:noProof/>
          <w:color w:val="000000" w:themeColor="text1"/>
          <w:szCs w:val="24"/>
        </w:rPr>
        <w:t xml:space="preserve"> No. 4, pp. 333–344.</w:t>
      </w:r>
    </w:p>
    <w:p w14:paraId="481B2816"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Lu, Y. and Ramamurthy, K. (2011), “Understanding the link between information technology capability and organizational agility: An empirical examination”, </w:t>
      </w:r>
      <w:r w:rsidRPr="00036132">
        <w:rPr>
          <w:i/>
          <w:iCs/>
          <w:noProof/>
          <w:color w:val="000000" w:themeColor="text1"/>
          <w:szCs w:val="24"/>
        </w:rPr>
        <w:t>MIS Quarterly: Management Information Systems</w:t>
      </w:r>
      <w:r w:rsidRPr="00036132">
        <w:rPr>
          <w:noProof/>
          <w:color w:val="000000" w:themeColor="text1"/>
          <w:szCs w:val="24"/>
        </w:rPr>
        <w:t>, Vol. 35</w:t>
      </w:r>
      <w:r w:rsidRPr="00036132">
        <w:rPr>
          <w:rFonts w:hint="eastAsia"/>
          <w:noProof/>
          <w:color w:val="000000" w:themeColor="text1"/>
          <w:szCs w:val="24"/>
        </w:rPr>
        <w:t>,</w:t>
      </w:r>
      <w:r w:rsidRPr="00036132">
        <w:rPr>
          <w:noProof/>
          <w:color w:val="000000" w:themeColor="text1"/>
          <w:szCs w:val="24"/>
        </w:rPr>
        <w:t xml:space="preserve"> No. 4, pp. 931–954.</w:t>
      </w:r>
    </w:p>
    <w:p w14:paraId="54DDA5BD" w14:textId="77777777" w:rsidR="00036132" w:rsidRPr="00036132" w:rsidRDefault="00036132" w:rsidP="00036132">
      <w:pPr>
        <w:adjustRightInd w:val="0"/>
        <w:spacing w:before="140"/>
        <w:ind w:left="480" w:hanging="480"/>
        <w:jc w:val="both"/>
        <w:rPr>
          <w:noProof/>
          <w:color w:val="000000" w:themeColor="text1"/>
          <w:szCs w:val="24"/>
        </w:rPr>
      </w:pPr>
      <w:r w:rsidRPr="00036132">
        <w:rPr>
          <w:rFonts w:hint="eastAsia"/>
          <w:noProof/>
          <w:color w:val="000000" w:themeColor="text1"/>
          <w:szCs w:val="24"/>
        </w:rPr>
        <w:t xml:space="preserve">Lui, S.S., Wong, Y. Yee and Liu, W. (2009), </w:t>
      </w:r>
      <w:r w:rsidRPr="00036132">
        <w:rPr>
          <w:noProof/>
          <w:color w:val="000000" w:themeColor="text1"/>
          <w:szCs w:val="24"/>
        </w:rPr>
        <w:t xml:space="preserve">“Asset specificity roles in interfirm cooperation: Reducing opportunistic behavior or increasing cooperative behavior?”, </w:t>
      </w:r>
      <w:r w:rsidRPr="00036132">
        <w:rPr>
          <w:i/>
          <w:iCs/>
          <w:noProof/>
          <w:color w:val="000000" w:themeColor="text1"/>
          <w:szCs w:val="24"/>
        </w:rPr>
        <w:t>Journal of Business Research</w:t>
      </w:r>
      <w:r w:rsidRPr="00036132">
        <w:rPr>
          <w:noProof/>
          <w:color w:val="000000" w:themeColor="text1"/>
          <w:szCs w:val="24"/>
        </w:rPr>
        <w:t>, Vol. 62</w:t>
      </w:r>
      <w:r w:rsidRPr="00036132">
        <w:rPr>
          <w:rFonts w:hint="eastAsia"/>
          <w:noProof/>
          <w:color w:val="000000" w:themeColor="text1"/>
          <w:szCs w:val="24"/>
        </w:rPr>
        <w:t>,</w:t>
      </w:r>
      <w:r w:rsidRPr="00036132">
        <w:rPr>
          <w:noProof/>
          <w:color w:val="000000" w:themeColor="text1"/>
          <w:szCs w:val="24"/>
        </w:rPr>
        <w:t xml:space="preserve"> No. 11, pp. 1214–1219.</w:t>
      </w:r>
    </w:p>
    <w:p w14:paraId="562C2404"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Lumineau, F. and Henderson, J.E. (2012), “The influence of relational experience and contractual governance on the negotiation strategy in buyer-supplier disputes”, </w:t>
      </w:r>
      <w:r w:rsidRPr="00036132">
        <w:rPr>
          <w:i/>
          <w:iCs/>
          <w:noProof/>
          <w:color w:val="000000" w:themeColor="text1"/>
          <w:szCs w:val="24"/>
        </w:rPr>
        <w:t>Journal of Operations Management</w:t>
      </w:r>
      <w:r w:rsidRPr="00036132">
        <w:rPr>
          <w:noProof/>
          <w:color w:val="000000" w:themeColor="text1"/>
          <w:szCs w:val="24"/>
        </w:rPr>
        <w:t>, Vol. 30</w:t>
      </w:r>
      <w:r w:rsidRPr="00036132">
        <w:rPr>
          <w:rFonts w:hint="eastAsia"/>
          <w:noProof/>
          <w:color w:val="000000" w:themeColor="text1"/>
          <w:szCs w:val="24"/>
        </w:rPr>
        <w:t>,</w:t>
      </w:r>
      <w:r w:rsidRPr="00036132">
        <w:rPr>
          <w:noProof/>
          <w:color w:val="000000" w:themeColor="text1"/>
          <w:szCs w:val="24"/>
        </w:rPr>
        <w:t xml:space="preserve"> No. 5, pp. 382–395.</w:t>
      </w:r>
    </w:p>
    <w:p w14:paraId="766E9DEB"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Lumineau, F. and Oliveira, N. (2020), “Reinvigorating the study of opportunism in supply chain management”, </w:t>
      </w:r>
      <w:r w:rsidRPr="00036132">
        <w:rPr>
          <w:i/>
          <w:iCs/>
          <w:noProof/>
          <w:color w:val="000000" w:themeColor="text1"/>
          <w:szCs w:val="24"/>
        </w:rPr>
        <w:t>Journal of Supply Chain Management</w:t>
      </w:r>
      <w:r w:rsidRPr="00036132">
        <w:rPr>
          <w:noProof/>
          <w:color w:val="000000" w:themeColor="text1"/>
          <w:szCs w:val="24"/>
        </w:rPr>
        <w:t>, Vol. 56</w:t>
      </w:r>
      <w:r w:rsidRPr="00036132">
        <w:rPr>
          <w:rFonts w:hint="eastAsia"/>
          <w:noProof/>
          <w:color w:val="000000" w:themeColor="text1"/>
          <w:szCs w:val="24"/>
        </w:rPr>
        <w:t>,</w:t>
      </w:r>
      <w:r w:rsidRPr="00036132">
        <w:rPr>
          <w:noProof/>
          <w:color w:val="000000" w:themeColor="text1"/>
          <w:szCs w:val="24"/>
        </w:rPr>
        <w:t xml:space="preserve"> No. 1, pp. 73–87.</w:t>
      </w:r>
    </w:p>
    <w:p w14:paraId="0CAD32DD"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lastRenderedPageBreak/>
        <w:t xml:space="preserve">Luo, Y. (2005), “Transactional characteristics, institutional environment and joint venture contracts”, </w:t>
      </w:r>
      <w:r w:rsidRPr="00036132">
        <w:rPr>
          <w:i/>
          <w:iCs/>
          <w:noProof/>
          <w:color w:val="000000" w:themeColor="text1"/>
          <w:szCs w:val="24"/>
        </w:rPr>
        <w:t>Journal of International Business Studies</w:t>
      </w:r>
      <w:r w:rsidRPr="00036132">
        <w:rPr>
          <w:noProof/>
          <w:color w:val="000000" w:themeColor="text1"/>
          <w:szCs w:val="24"/>
        </w:rPr>
        <w:t>, Vol. 36</w:t>
      </w:r>
      <w:r w:rsidRPr="00036132">
        <w:rPr>
          <w:rFonts w:hint="eastAsia"/>
          <w:noProof/>
          <w:color w:val="000000" w:themeColor="text1"/>
          <w:szCs w:val="24"/>
        </w:rPr>
        <w:t>,</w:t>
      </w:r>
      <w:r w:rsidRPr="00036132">
        <w:rPr>
          <w:noProof/>
          <w:color w:val="000000" w:themeColor="text1"/>
          <w:szCs w:val="24"/>
        </w:rPr>
        <w:t xml:space="preserve"> No. 2, pp. 209–230.</w:t>
      </w:r>
    </w:p>
    <w:p w14:paraId="6B8510BD"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Luo, Y. (2007), “The independent and interactive roles of procedural, distributive, and interactional justice in strategic alliances”, </w:t>
      </w:r>
      <w:r w:rsidRPr="00036132">
        <w:rPr>
          <w:i/>
          <w:iCs/>
          <w:noProof/>
          <w:color w:val="000000" w:themeColor="text1"/>
          <w:szCs w:val="24"/>
        </w:rPr>
        <w:t>Academy of Management Journal</w:t>
      </w:r>
      <w:r w:rsidRPr="00036132">
        <w:rPr>
          <w:noProof/>
          <w:color w:val="000000" w:themeColor="text1"/>
          <w:szCs w:val="24"/>
        </w:rPr>
        <w:t>, Vol. 50</w:t>
      </w:r>
      <w:r w:rsidRPr="00036132">
        <w:rPr>
          <w:rFonts w:hint="eastAsia"/>
          <w:noProof/>
          <w:color w:val="000000" w:themeColor="text1"/>
          <w:szCs w:val="24"/>
        </w:rPr>
        <w:t>,</w:t>
      </w:r>
      <w:r w:rsidRPr="00036132">
        <w:rPr>
          <w:noProof/>
          <w:color w:val="000000" w:themeColor="text1"/>
          <w:szCs w:val="24"/>
        </w:rPr>
        <w:t xml:space="preserve"> No. 3, pp. 644–664.</w:t>
      </w:r>
    </w:p>
    <w:p w14:paraId="6AE0154C"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Matt, D.T. and Rauch, E. (2020), “SME 4.0: The role of small-and medium-sized enterprises in the digital transformation”, In D.T. Matt, V. Modrak, and H. Zsifkovits (Eds.)</w:t>
      </w:r>
      <w:r w:rsidRPr="00036132">
        <w:rPr>
          <w:rFonts w:hint="eastAsia"/>
          <w:noProof/>
          <w:color w:val="000000" w:themeColor="text1"/>
          <w:szCs w:val="24"/>
        </w:rPr>
        <w:t xml:space="preserve">, </w:t>
      </w:r>
      <w:r w:rsidRPr="00036132">
        <w:rPr>
          <w:i/>
          <w:iCs/>
          <w:noProof/>
          <w:color w:val="000000" w:themeColor="text1"/>
          <w:szCs w:val="24"/>
        </w:rPr>
        <w:t>Industry 4.0 for SMEs: Challenges, Opportunities and Requirements</w:t>
      </w:r>
      <w:r w:rsidRPr="00036132">
        <w:rPr>
          <w:noProof/>
          <w:color w:val="000000" w:themeColor="text1"/>
          <w:szCs w:val="24"/>
        </w:rPr>
        <w:t>, Palgrave Macmillan, pp. 3–36.</w:t>
      </w:r>
    </w:p>
    <w:p w14:paraId="319E0184"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Newby, M., Nguyen, T.H., and Waring, T.S. (2014), “Understanding customer relationship management technology adoption in small and medium-sized enterprises: an empirical study in the USA”, </w:t>
      </w:r>
      <w:r w:rsidRPr="00036132">
        <w:rPr>
          <w:i/>
          <w:iCs/>
          <w:noProof/>
          <w:color w:val="000000" w:themeColor="text1"/>
          <w:szCs w:val="24"/>
        </w:rPr>
        <w:t>Journal of Enterprise Information Management</w:t>
      </w:r>
      <w:r w:rsidRPr="00036132">
        <w:rPr>
          <w:noProof/>
          <w:color w:val="000000" w:themeColor="text1"/>
          <w:szCs w:val="24"/>
        </w:rPr>
        <w:t>, Vol.27, No.5, pp.541-560.</w:t>
      </w:r>
    </w:p>
    <w:p w14:paraId="15ACF701"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Nooteboom, B., Berger, H. and Noorderhaven, N.G. (1997), “Effects of trust and governance on relational risk”, </w:t>
      </w:r>
      <w:r w:rsidRPr="00036132">
        <w:rPr>
          <w:i/>
          <w:iCs/>
          <w:noProof/>
          <w:color w:val="000000" w:themeColor="text1"/>
          <w:szCs w:val="24"/>
        </w:rPr>
        <w:t>Academy of Management Journal</w:t>
      </w:r>
      <w:r w:rsidRPr="00036132">
        <w:rPr>
          <w:noProof/>
          <w:color w:val="000000" w:themeColor="text1"/>
          <w:szCs w:val="24"/>
        </w:rPr>
        <w:t>, Vol. 40</w:t>
      </w:r>
      <w:r w:rsidRPr="00036132">
        <w:rPr>
          <w:rFonts w:hint="eastAsia"/>
          <w:noProof/>
          <w:color w:val="000000" w:themeColor="text1"/>
          <w:szCs w:val="24"/>
        </w:rPr>
        <w:t>,</w:t>
      </w:r>
      <w:r w:rsidRPr="00036132">
        <w:rPr>
          <w:noProof/>
          <w:color w:val="000000" w:themeColor="text1"/>
          <w:szCs w:val="24"/>
        </w:rPr>
        <w:t xml:space="preserve"> No. 2, pp. 308–338.</w:t>
      </w:r>
    </w:p>
    <w:p w14:paraId="278C90DF"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Nunnally, J.C. (19</w:t>
      </w:r>
      <w:r w:rsidRPr="00036132">
        <w:rPr>
          <w:rFonts w:hint="eastAsia"/>
          <w:noProof/>
          <w:color w:val="000000" w:themeColor="text1"/>
          <w:szCs w:val="24"/>
        </w:rPr>
        <w:t>78</w:t>
      </w:r>
      <w:r w:rsidRPr="00036132">
        <w:rPr>
          <w:noProof/>
          <w:color w:val="000000" w:themeColor="text1"/>
          <w:szCs w:val="24"/>
        </w:rPr>
        <w:t xml:space="preserve">), </w:t>
      </w:r>
      <w:r w:rsidRPr="00036132">
        <w:rPr>
          <w:i/>
          <w:iCs/>
          <w:noProof/>
          <w:color w:val="000000" w:themeColor="text1"/>
          <w:szCs w:val="24"/>
        </w:rPr>
        <w:t xml:space="preserve">Psychometric </w:t>
      </w:r>
      <w:r w:rsidRPr="00036132">
        <w:rPr>
          <w:rFonts w:hint="eastAsia"/>
          <w:i/>
          <w:iCs/>
          <w:noProof/>
          <w:color w:val="000000" w:themeColor="text1"/>
          <w:szCs w:val="24"/>
        </w:rPr>
        <w:t>t</w:t>
      </w:r>
      <w:r w:rsidRPr="00036132">
        <w:rPr>
          <w:i/>
          <w:iCs/>
          <w:noProof/>
          <w:color w:val="000000" w:themeColor="text1"/>
          <w:szCs w:val="24"/>
        </w:rPr>
        <w:t>heory</w:t>
      </w:r>
      <w:r w:rsidRPr="00036132">
        <w:rPr>
          <w:noProof/>
          <w:color w:val="000000" w:themeColor="text1"/>
          <w:szCs w:val="24"/>
        </w:rPr>
        <w:t xml:space="preserve">, McGraw-Hill, </w:t>
      </w:r>
      <w:r w:rsidRPr="00036132">
        <w:rPr>
          <w:rFonts w:hint="eastAsia"/>
          <w:noProof/>
          <w:color w:val="000000" w:themeColor="text1"/>
          <w:szCs w:val="24"/>
        </w:rPr>
        <w:t xml:space="preserve">New York. </w:t>
      </w:r>
    </w:p>
    <w:p w14:paraId="569E74A1"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Nyaga, G.N., Lynch, D.F., Marshall, D. and Ambrose, E. (2013), “Power asymmetry, adaptation and collaboration in dyadic relationships involving a powerful partner”, </w:t>
      </w:r>
      <w:r w:rsidRPr="00036132">
        <w:rPr>
          <w:i/>
          <w:iCs/>
          <w:noProof/>
          <w:color w:val="000000" w:themeColor="text1"/>
          <w:szCs w:val="24"/>
        </w:rPr>
        <w:t>Journal of Supply Chain Management</w:t>
      </w:r>
      <w:r w:rsidRPr="00036132">
        <w:rPr>
          <w:noProof/>
          <w:color w:val="000000" w:themeColor="text1"/>
          <w:szCs w:val="24"/>
        </w:rPr>
        <w:t>, Vol. 49</w:t>
      </w:r>
      <w:r w:rsidRPr="00036132">
        <w:rPr>
          <w:rFonts w:hint="eastAsia"/>
          <w:noProof/>
          <w:color w:val="000000" w:themeColor="text1"/>
          <w:szCs w:val="24"/>
        </w:rPr>
        <w:t>,</w:t>
      </w:r>
      <w:r w:rsidRPr="00036132">
        <w:rPr>
          <w:noProof/>
          <w:color w:val="000000" w:themeColor="text1"/>
          <w:szCs w:val="24"/>
        </w:rPr>
        <w:t xml:space="preserve"> No. 3, pp. 42–65.</w:t>
      </w:r>
    </w:p>
    <w:p w14:paraId="17ED387B"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Perry, M.L., Sengupta, S. and Krapfel, R. (2004), “Effectiveness of horizontal strategic alliances in technologically uncertain environments: Are trust and commitment enough?”, </w:t>
      </w:r>
      <w:r w:rsidRPr="00036132">
        <w:rPr>
          <w:i/>
          <w:iCs/>
          <w:noProof/>
          <w:color w:val="000000" w:themeColor="text1"/>
          <w:szCs w:val="24"/>
        </w:rPr>
        <w:t>Journal of Business Research</w:t>
      </w:r>
      <w:r w:rsidRPr="00036132">
        <w:rPr>
          <w:noProof/>
          <w:color w:val="000000" w:themeColor="text1"/>
          <w:szCs w:val="24"/>
        </w:rPr>
        <w:t>, Vol. 57</w:t>
      </w:r>
      <w:r w:rsidRPr="00036132">
        <w:rPr>
          <w:rFonts w:hint="eastAsia"/>
          <w:noProof/>
          <w:color w:val="000000" w:themeColor="text1"/>
          <w:szCs w:val="24"/>
        </w:rPr>
        <w:t>,</w:t>
      </w:r>
      <w:r w:rsidRPr="00036132">
        <w:rPr>
          <w:noProof/>
          <w:color w:val="000000" w:themeColor="text1"/>
          <w:szCs w:val="24"/>
        </w:rPr>
        <w:t xml:space="preserve"> No. 9, pp. 951–956.</w:t>
      </w:r>
    </w:p>
    <w:p w14:paraId="029C810F"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Pfeffer, J. and Salancik, G.R. (1978), </w:t>
      </w:r>
      <w:r w:rsidRPr="00036132">
        <w:rPr>
          <w:i/>
          <w:iCs/>
          <w:noProof/>
          <w:color w:val="000000" w:themeColor="text1"/>
          <w:szCs w:val="24"/>
        </w:rPr>
        <w:t>The External control of organizations: A resource dependence perspective</w:t>
      </w:r>
      <w:r w:rsidRPr="00036132">
        <w:rPr>
          <w:noProof/>
          <w:color w:val="000000" w:themeColor="text1"/>
          <w:szCs w:val="24"/>
        </w:rPr>
        <w:t>, Harper &amp; Row, New York.</w:t>
      </w:r>
    </w:p>
    <w:p w14:paraId="490FBCAB"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Podsakoff, P.M., MacKenzie, S.B., Lee, J.-Y. and Podsakoff, N.P. (2003), “Common method biases in behavioral research: A critical review of the literature and recommended remedies”, </w:t>
      </w:r>
      <w:r w:rsidRPr="00036132">
        <w:rPr>
          <w:i/>
          <w:iCs/>
          <w:noProof/>
          <w:color w:val="000000" w:themeColor="text1"/>
          <w:szCs w:val="24"/>
        </w:rPr>
        <w:t>Journal of Applied Psychology</w:t>
      </w:r>
      <w:r w:rsidRPr="00036132">
        <w:rPr>
          <w:noProof/>
          <w:color w:val="000000" w:themeColor="text1"/>
          <w:szCs w:val="24"/>
        </w:rPr>
        <w:t>, Vol. 88</w:t>
      </w:r>
      <w:r w:rsidRPr="00036132">
        <w:rPr>
          <w:rFonts w:hint="eastAsia"/>
          <w:noProof/>
          <w:color w:val="000000" w:themeColor="text1"/>
          <w:szCs w:val="24"/>
        </w:rPr>
        <w:t>,</w:t>
      </w:r>
      <w:r w:rsidRPr="00036132">
        <w:rPr>
          <w:noProof/>
          <w:color w:val="000000" w:themeColor="text1"/>
          <w:szCs w:val="24"/>
        </w:rPr>
        <w:t xml:space="preserve"> No. 5, pp. 870–903.</w:t>
      </w:r>
    </w:p>
    <w:p w14:paraId="7BC5CA01"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Poppo, L. and Zenger, T. (2002), “Do formal contracts and relational governance function as substitutes or complements?”, </w:t>
      </w:r>
      <w:r w:rsidRPr="00036132">
        <w:rPr>
          <w:i/>
          <w:iCs/>
          <w:noProof/>
          <w:color w:val="000000" w:themeColor="text1"/>
          <w:szCs w:val="24"/>
        </w:rPr>
        <w:t>Strategic Management Journal</w:t>
      </w:r>
      <w:r w:rsidRPr="00036132">
        <w:rPr>
          <w:noProof/>
          <w:color w:val="000000" w:themeColor="text1"/>
          <w:szCs w:val="24"/>
        </w:rPr>
        <w:t>, Vol. 23</w:t>
      </w:r>
      <w:r w:rsidRPr="00036132">
        <w:rPr>
          <w:rFonts w:hint="eastAsia"/>
          <w:noProof/>
          <w:color w:val="000000" w:themeColor="text1"/>
          <w:szCs w:val="24"/>
        </w:rPr>
        <w:t>,</w:t>
      </w:r>
      <w:r w:rsidRPr="00036132">
        <w:rPr>
          <w:noProof/>
          <w:color w:val="000000" w:themeColor="text1"/>
          <w:szCs w:val="24"/>
        </w:rPr>
        <w:t xml:space="preserve"> No. 8, pp. 707–725.</w:t>
      </w:r>
    </w:p>
    <w:p w14:paraId="6DE3900E"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Provan, K.G. (1993), “Embeddedness, interdependence, and opportunism in organizational supplier-buyer networks”, </w:t>
      </w:r>
      <w:r w:rsidRPr="00036132">
        <w:rPr>
          <w:i/>
          <w:iCs/>
          <w:noProof/>
          <w:color w:val="000000" w:themeColor="text1"/>
          <w:szCs w:val="24"/>
        </w:rPr>
        <w:t>Journal of Management</w:t>
      </w:r>
      <w:r w:rsidRPr="00036132">
        <w:rPr>
          <w:noProof/>
          <w:color w:val="000000" w:themeColor="text1"/>
          <w:szCs w:val="24"/>
        </w:rPr>
        <w:t>, Vol. 19</w:t>
      </w:r>
      <w:r w:rsidRPr="00036132">
        <w:rPr>
          <w:rFonts w:hint="eastAsia"/>
          <w:noProof/>
          <w:color w:val="000000" w:themeColor="text1"/>
          <w:szCs w:val="24"/>
        </w:rPr>
        <w:t>,</w:t>
      </w:r>
      <w:r w:rsidRPr="00036132">
        <w:rPr>
          <w:noProof/>
          <w:color w:val="000000" w:themeColor="text1"/>
          <w:szCs w:val="24"/>
        </w:rPr>
        <w:t xml:space="preserve"> No. 4, pp. 841–856.</w:t>
      </w:r>
    </w:p>
    <w:p w14:paraId="4E1A677D"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Provan, K.G. and Skinner, S.J. (1989), “Interorganizational dependence and control as predictors of opportunism in dealer-supplier relations”, </w:t>
      </w:r>
      <w:r w:rsidRPr="00036132">
        <w:rPr>
          <w:i/>
          <w:iCs/>
          <w:noProof/>
          <w:color w:val="000000" w:themeColor="text1"/>
          <w:szCs w:val="24"/>
        </w:rPr>
        <w:t>Academy of Management Journal</w:t>
      </w:r>
      <w:r w:rsidRPr="00036132">
        <w:rPr>
          <w:noProof/>
          <w:color w:val="000000" w:themeColor="text1"/>
          <w:szCs w:val="24"/>
        </w:rPr>
        <w:t>, Vol. 32</w:t>
      </w:r>
      <w:r w:rsidRPr="00036132">
        <w:rPr>
          <w:rFonts w:hint="eastAsia"/>
          <w:noProof/>
          <w:color w:val="000000" w:themeColor="text1"/>
          <w:szCs w:val="24"/>
        </w:rPr>
        <w:t>,</w:t>
      </w:r>
      <w:r w:rsidRPr="00036132">
        <w:rPr>
          <w:noProof/>
          <w:color w:val="000000" w:themeColor="text1"/>
          <w:szCs w:val="24"/>
        </w:rPr>
        <w:t xml:space="preserve"> No. 1, pp. 202–212.</w:t>
      </w:r>
    </w:p>
    <w:p w14:paraId="660110BB" w14:textId="77777777" w:rsidR="00036132" w:rsidRPr="00036132" w:rsidRDefault="00036132" w:rsidP="00036132">
      <w:pPr>
        <w:adjustRightInd w:val="0"/>
        <w:spacing w:before="140"/>
        <w:ind w:left="480" w:hanging="480"/>
        <w:jc w:val="both"/>
        <w:rPr>
          <w:noProof/>
          <w:color w:val="000000" w:themeColor="text1"/>
          <w:szCs w:val="24"/>
        </w:rPr>
      </w:pPr>
      <w:r w:rsidRPr="00036132">
        <w:rPr>
          <w:rFonts w:hint="eastAsia"/>
          <w:noProof/>
          <w:color w:val="000000" w:themeColor="text1"/>
          <w:szCs w:val="24"/>
        </w:rPr>
        <w:t>P</w:t>
      </w:r>
      <w:r w:rsidRPr="00036132">
        <w:rPr>
          <w:noProof/>
          <w:color w:val="000000" w:themeColor="text1"/>
          <w:szCs w:val="24"/>
        </w:rPr>
        <w:t xml:space="preserve">u, X., Chong. A.Y.L., Cai, Z., Lim, M.K., and Tan, K.H. (2019), “Leveraging open-standard interorganizational information systems for process adaptability and alignment: An empirical analysis”, </w:t>
      </w:r>
      <w:r w:rsidRPr="00036132">
        <w:rPr>
          <w:i/>
          <w:iCs/>
          <w:noProof/>
          <w:color w:val="000000" w:themeColor="text1"/>
          <w:szCs w:val="24"/>
        </w:rPr>
        <w:t>International Journal of Operations and Production Management</w:t>
      </w:r>
      <w:r w:rsidRPr="00036132">
        <w:rPr>
          <w:noProof/>
          <w:color w:val="000000" w:themeColor="text1"/>
          <w:szCs w:val="24"/>
        </w:rPr>
        <w:t>, Vol.39, No.(6//7/8), pp.962-992.</w:t>
      </w:r>
    </w:p>
    <w:p w14:paraId="51EBCC78"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Quayle, M. (2003), “A study of supply chain management practice in UK industrial SMEs”, </w:t>
      </w:r>
      <w:r w:rsidRPr="00036132">
        <w:rPr>
          <w:i/>
          <w:iCs/>
          <w:noProof/>
          <w:color w:val="000000" w:themeColor="text1"/>
          <w:szCs w:val="24"/>
        </w:rPr>
        <w:t>Supply Chain Management</w:t>
      </w:r>
      <w:r w:rsidRPr="00036132">
        <w:rPr>
          <w:rFonts w:hint="eastAsia"/>
          <w:i/>
          <w:iCs/>
          <w:noProof/>
          <w:color w:val="000000" w:themeColor="text1"/>
          <w:szCs w:val="24"/>
        </w:rPr>
        <w:t xml:space="preserve">, </w:t>
      </w:r>
      <w:r w:rsidRPr="00036132">
        <w:rPr>
          <w:rFonts w:hint="eastAsia"/>
          <w:iCs/>
          <w:noProof/>
          <w:color w:val="000000" w:themeColor="text1"/>
          <w:szCs w:val="24"/>
        </w:rPr>
        <w:t>Vol.8, No.1, pp.79-86</w:t>
      </w:r>
      <w:r w:rsidRPr="00036132">
        <w:rPr>
          <w:noProof/>
          <w:color w:val="000000" w:themeColor="text1"/>
          <w:szCs w:val="24"/>
        </w:rPr>
        <w:t>.</w:t>
      </w:r>
    </w:p>
    <w:p w14:paraId="5E0FFF11"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Ramdani, B., Kawalek, P., and Lorenzo, O. (2009). “Predicting SME’s adoption of enterprise systems”, </w:t>
      </w:r>
      <w:r w:rsidRPr="00036132">
        <w:rPr>
          <w:i/>
          <w:iCs/>
          <w:noProof/>
          <w:color w:val="000000" w:themeColor="text1"/>
          <w:szCs w:val="24"/>
        </w:rPr>
        <w:t>Journal of Enterprise Information Management</w:t>
      </w:r>
      <w:r w:rsidRPr="00036132">
        <w:rPr>
          <w:noProof/>
          <w:color w:val="000000" w:themeColor="text1"/>
          <w:szCs w:val="24"/>
        </w:rPr>
        <w:t>, Vol.22, No.12, pp.10-24.</w:t>
      </w:r>
    </w:p>
    <w:p w14:paraId="26B92976"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Ritchie, B. and Brindley, C. (2000), “Disintermediation, disintegration and risk in the SME global supply chain”, </w:t>
      </w:r>
      <w:r w:rsidRPr="00036132">
        <w:rPr>
          <w:i/>
          <w:iCs/>
          <w:noProof/>
          <w:color w:val="000000" w:themeColor="text1"/>
          <w:szCs w:val="24"/>
        </w:rPr>
        <w:t>Management Decision</w:t>
      </w:r>
      <w:r w:rsidRPr="00036132">
        <w:rPr>
          <w:noProof/>
          <w:color w:val="000000" w:themeColor="text1"/>
          <w:szCs w:val="24"/>
        </w:rPr>
        <w:t>, Vol. 38</w:t>
      </w:r>
      <w:r w:rsidRPr="00036132">
        <w:rPr>
          <w:rFonts w:hint="eastAsia"/>
          <w:noProof/>
          <w:color w:val="000000" w:themeColor="text1"/>
          <w:szCs w:val="24"/>
        </w:rPr>
        <w:t>,</w:t>
      </w:r>
      <w:r w:rsidRPr="00036132">
        <w:rPr>
          <w:noProof/>
          <w:color w:val="000000" w:themeColor="text1"/>
          <w:szCs w:val="24"/>
        </w:rPr>
        <w:t xml:space="preserve"> No. 8, pp. 575–583.</w:t>
      </w:r>
    </w:p>
    <w:p w14:paraId="28785821"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Ritter, T.</w:t>
      </w:r>
      <w:r w:rsidRPr="00036132">
        <w:rPr>
          <w:rFonts w:hint="eastAsia"/>
          <w:noProof/>
          <w:color w:val="000000" w:themeColor="text1"/>
          <w:szCs w:val="24"/>
        </w:rPr>
        <w:t xml:space="preserve"> and</w:t>
      </w:r>
      <w:r w:rsidRPr="00036132">
        <w:rPr>
          <w:noProof/>
          <w:color w:val="000000" w:themeColor="text1"/>
          <w:szCs w:val="24"/>
        </w:rPr>
        <w:t xml:space="preserve"> Pedersen, C. L. (2020)</w:t>
      </w:r>
      <w:r w:rsidRPr="00036132">
        <w:rPr>
          <w:rFonts w:hint="eastAsia"/>
          <w:noProof/>
          <w:color w:val="000000" w:themeColor="text1"/>
          <w:szCs w:val="24"/>
        </w:rPr>
        <w:t xml:space="preserve">, </w:t>
      </w:r>
      <w:r w:rsidRPr="00036132">
        <w:rPr>
          <w:noProof/>
          <w:color w:val="000000" w:themeColor="text1"/>
          <w:szCs w:val="24"/>
        </w:rPr>
        <w:t>“Digitization capability and the digitalization of business models in business-to-business firms: past, present, and future”</w:t>
      </w:r>
      <w:r w:rsidRPr="00036132">
        <w:rPr>
          <w:rFonts w:hint="eastAsia"/>
          <w:noProof/>
          <w:color w:val="000000" w:themeColor="text1"/>
          <w:szCs w:val="24"/>
        </w:rPr>
        <w:t>,</w:t>
      </w:r>
      <w:r w:rsidRPr="00036132">
        <w:rPr>
          <w:noProof/>
          <w:color w:val="000000" w:themeColor="text1"/>
          <w:szCs w:val="24"/>
        </w:rPr>
        <w:t xml:space="preserve"> </w:t>
      </w:r>
      <w:r w:rsidRPr="00036132">
        <w:rPr>
          <w:i/>
          <w:noProof/>
          <w:color w:val="000000" w:themeColor="text1"/>
          <w:szCs w:val="24"/>
        </w:rPr>
        <w:t>Industrial Marketing Management</w:t>
      </w:r>
      <w:r w:rsidRPr="00036132">
        <w:rPr>
          <w:noProof/>
          <w:color w:val="000000" w:themeColor="text1"/>
          <w:szCs w:val="24"/>
        </w:rPr>
        <w:t xml:space="preserve">, </w:t>
      </w:r>
      <w:r w:rsidRPr="00036132">
        <w:rPr>
          <w:rFonts w:hint="eastAsia"/>
          <w:noProof/>
          <w:color w:val="000000" w:themeColor="text1"/>
          <w:szCs w:val="24"/>
        </w:rPr>
        <w:t>Vol.</w:t>
      </w:r>
      <w:r w:rsidRPr="00036132">
        <w:rPr>
          <w:noProof/>
          <w:color w:val="000000" w:themeColor="text1"/>
          <w:szCs w:val="24"/>
        </w:rPr>
        <w:t>86</w:t>
      </w:r>
      <w:r w:rsidRPr="00036132">
        <w:rPr>
          <w:rFonts w:hint="eastAsia"/>
          <w:noProof/>
          <w:color w:val="000000" w:themeColor="text1"/>
          <w:szCs w:val="24"/>
        </w:rPr>
        <w:t>, No.</w:t>
      </w:r>
      <w:r w:rsidRPr="00036132">
        <w:rPr>
          <w:noProof/>
          <w:color w:val="000000" w:themeColor="text1"/>
          <w:szCs w:val="24"/>
        </w:rPr>
        <w:t xml:space="preserve">4, </w:t>
      </w:r>
      <w:r w:rsidRPr="00036132">
        <w:rPr>
          <w:rFonts w:hint="eastAsia"/>
          <w:noProof/>
          <w:color w:val="000000" w:themeColor="text1"/>
          <w:szCs w:val="24"/>
        </w:rPr>
        <w:t>pp.</w:t>
      </w:r>
      <w:r w:rsidRPr="00036132">
        <w:rPr>
          <w:noProof/>
          <w:color w:val="000000" w:themeColor="text1"/>
          <w:szCs w:val="24"/>
        </w:rPr>
        <w:t>180–190.</w:t>
      </w:r>
    </w:p>
    <w:p w14:paraId="2BD9AFAC"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lastRenderedPageBreak/>
        <w:t xml:space="preserve">Roh, J., Whipple, J.M., </w:t>
      </w:r>
      <w:r w:rsidRPr="00036132">
        <w:rPr>
          <w:rFonts w:hint="eastAsia"/>
          <w:noProof/>
          <w:color w:val="000000" w:themeColor="text1"/>
          <w:szCs w:val="24"/>
        </w:rPr>
        <w:t xml:space="preserve">and </w:t>
      </w:r>
      <w:r w:rsidRPr="00036132">
        <w:rPr>
          <w:noProof/>
          <w:color w:val="000000" w:themeColor="text1"/>
          <w:szCs w:val="24"/>
        </w:rPr>
        <w:t>Boyer, K.K.</w:t>
      </w:r>
      <w:r w:rsidRPr="00036132">
        <w:rPr>
          <w:rFonts w:hint="eastAsia"/>
          <w:noProof/>
          <w:color w:val="000000" w:themeColor="text1"/>
          <w:szCs w:val="24"/>
        </w:rPr>
        <w:t xml:space="preserve"> (</w:t>
      </w:r>
      <w:r w:rsidRPr="00036132">
        <w:rPr>
          <w:noProof/>
          <w:color w:val="000000" w:themeColor="text1"/>
          <w:szCs w:val="24"/>
        </w:rPr>
        <w:t>2013</w:t>
      </w:r>
      <w:r w:rsidRPr="00036132">
        <w:rPr>
          <w:rFonts w:hint="eastAsia"/>
          <w:noProof/>
          <w:color w:val="000000" w:themeColor="text1"/>
          <w:szCs w:val="24"/>
        </w:rPr>
        <w:t>),</w:t>
      </w:r>
      <w:r w:rsidRPr="00036132">
        <w:rPr>
          <w:noProof/>
          <w:color w:val="000000" w:themeColor="text1"/>
          <w:szCs w:val="24"/>
        </w:rPr>
        <w:t xml:space="preserve"> “The effect of single rater bias in multi-stake- holder research: a methodological evaluation of buyer-supplier relationships”</w:t>
      </w:r>
      <w:r w:rsidRPr="00036132">
        <w:rPr>
          <w:rFonts w:hint="eastAsia"/>
          <w:noProof/>
          <w:color w:val="000000" w:themeColor="text1"/>
          <w:szCs w:val="24"/>
        </w:rPr>
        <w:t>,</w:t>
      </w:r>
      <w:r w:rsidRPr="00036132">
        <w:rPr>
          <w:noProof/>
          <w:color w:val="000000" w:themeColor="text1"/>
          <w:szCs w:val="24"/>
        </w:rPr>
        <w:t xml:space="preserve"> </w:t>
      </w:r>
      <w:r w:rsidRPr="00036132">
        <w:rPr>
          <w:i/>
          <w:noProof/>
          <w:color w:val="000000" w:themeColor="text1"/>
          <w:szCs w:val="24"/>
        </w:rPr>
        <w:t>Production of Operations Management</w:t>
      </w:r>
      <w:r w:rsidRPr="00036132">
        <w:rPr>
          <w:noProof/>
          <w:color w:val="000000" w:themeColor="text1"/>
          <w:szCs w:val="24"/>
        </w:rPr>
        <w:t>, Vol.22</w:t>
      </w:r>
      <w:r w:rsidRPr="00036132">
        <w:rPr>
          <w:rFonts w:hint="eastAsia"/>
          <w:noProof/>
          <w:color w:val="000000" w:themeColor="text1"/>
          <w:szCs w:val="24"/>
        </w:rPr>
        <w:t>, No.</w:t>
      </w:r>
      <w:r w:rsidRPr="00036132">
        <w:rPr>
          <w:noProof/>
          <w:color w:val="000000" w:themeColor="text1"/>
          <w:szCs w:val="24"/>
        </w:rPr>
        <w:t xml:space="preserve">3, </w:t>
      </w:r>
      <w:r w:rsidRPr="00036132">
        <w:rPr>
          <w:rFonts w:hint="eastAsia"/>
          <w:noProof/>
          <w:color w:val="000000" w:themeColor="text1"/>
          <w:szCs w:val="24"/>
        </w:rPr>
        <w:t>pp.</w:t>
      </w:r>
      <w:r w:rsidRPr="00036132">
        <w:rPr>
          <w:noProof/>
          <w:color w:val="000000" w:themeColor="text1"/>
          <w:szCs w:val="24"/>
        </w:rPr>
        <w:t>711–725.</w:t>
      </w:r>
    </w:p>
    <w:p w14:paraId="5935307A"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Rokkane, A. I., Heide, J.B. and Wathne, K.H. (2003), “Specific Investments in Marketing Relationships: Expropriation and bonding effects”, </w:t>
      </w:r>
      <w:r w:rsidRPr="00036132">
        <w:rPr>
          <w:i/>
          <w:iCs/>
          <w:noProof/>
          <w:color w:val="000000" w:themeColor="text1"/>
          <w:szCs w:val="24"/>
        </w:rPr>
        <w:t>Journal of Marketing Research</w:t>
      </w:r>
      <w:r w:rsidRPr="00036132">
        <w:rPr>
          <w:noProof/>
          <w:color w:val="000000" w:themeColor="text1"/>
          <w:szCs w:val="24"/>
        </w:rPr>
        <w:t>, Vol.40, No.2, pp.210-224.</w:t>
      </w:r>
    </w:p>
    <w:p w14:paraId="68918DBD"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Saberi, S., Kouhizadeh, M., Sarkis, J. and Shen, L. (2019), “Blockchain technology and its relationships to sustainable supply chain management”, </w:t>
      </w:r>
      <w:r w:rsidRPr="00036132">
        <w:rPr>
          <w:i/>
          <w:iCs/>
          <w:noProof/>
          <w:color w:val="000000" w:themeColor="text1"/>
          <w:szCs w:val="24"/>
        </w:rPr>
        <w:t>International Journal of Production Research</w:t>
      </w:r>
      <w:r w:rsidRPr="00036132">
        <w:rPr>
          <w:noProof/>
          <w:color w:val="000000" w:themeColor="text1"/>
          <w:szCs w:val="24"/>
        </w:rPr>
        <w:t>, Vol. 57</w:t>
      </w:r>
      <w:r w:rsidRPr="00036132">
        <w:rPr>
          <w:rFonts w:hint="eastAsia"/>
          <w:noProof/>
          <w:color w:val="000000" w:themeColor="text1"/>
          <w:szCs w:val="24"/>
        </w:rPr>
        <w:t>,</w:t>
      </w:r>
      <w:r w:rsidRPr="00036132">
        <w:rPr>
          <w:noProof/>
          <w:color w:val="000000" w:themeColor="text1"/>
          <w:szCs w:val="24"/>
        </w:rPr>
        <w:t xml:space="preserve"> No. 7, pp. 2117–2135.</w:t>
      </w:r>
    </w:p>
    <w:p w14:paraId="32F76833"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Schmidt, C.G. and Wagner, S.M. (2019), “Blockchain and supply chain relations: A transaction cost theory perspective”, </w:t>
      </w:r>
      <w:r w:rsidRPr="00036132">
        <w:rPr>
          <w:i/>
          <w:iCs/>
          <w:noProof/>
          <w:color w:val="000000" w:themeColor="text1"/>
          <w:szCs w:val="24"/>
        </w:rPr>
        <w:t>Journal of Purchasing and Supply Management</w:t>
      </w:r>
      <w:r w:rsidRPr="00036132">
        <w:rPr>
          <w:noProof/>
          <w:color w:val="000000" w:themeColor="text1"/>
          <w:szCs w:val="24"/>
        </w:rPr>
        <w:t>, Vol. 25</w:t>
      </w:r>
      <w:r w:rsidRPr="00036132">
        <w:rPr>
          <w:rFonts w:hint="eastAsia"/>
          <w:noProof/>
          <w:color w:val="000000" w:themeColor="text1"/>
          <w:szCs w:val="24"/>
        </w:rPr>
        <w:t>,</w:t>
      </w:r>
      <w:r w:rsidRPr="00036132">
        <w:rPr>
          <w:noProof/>
          <w:color w:val="000000" w:themeColor="text1"/>
          <w:szCs w:val="24"/>
        </w:rPr>
        <w:t xml:space="preserve"> No. 4, </w:t>
      </w:r>
      <w:r w:rsidRPr="00036132">
        <w:rPr>
          <w:rFonts w:hint="eastAsia"/>
          <w:noProof/>
          <w:color w:val="000000" w:themeColor="text1"/>
          <w:szCs w:val="24"/>
        </w:rPr>
        <w:t>p</w:t>
      </w:r>
      <w:r w:rsidRPr="00036132">
        <w:rPr>
          <w:noProof/>
          <w:color w:val="000000" w:themeColor="text1"/>
          <w:szCs w:val="24"/>
        </w:rPr>
        <w:t>p. 100552.</w:t>
      </w:r>
    </w:p>
    <w:p w14:paraId="58652C84"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Schwab, K. (2019), “The global competitiveness report 2019”, </w:t>
      </w:r>
      <w:r w:rsidRPr="00036132">
        <w:rPr>
          <w:i/>
          <w:iCs/>
          <w:noProof/>
          <w:color w:val="000000" w:themeColor="text1"/>
          <w:szCs w:val="24"/>
        </w:rPr>
        <w:t>World Economic Forum</w:t>
      </w:r>
      <w:r w:rsidRPr="00036132">
        <w:rPr>
          <w:noProof/>
          <w:color w:val="000000" w:themeColor="text1"/>
          <w:szCs w:val="24"/>
        </w:rPr>
        <w:t>, available at:</w:t>
      </w:r>
      <w:r w:rsidRPr="00036132">
        <w:rPr>
          <w:rFonts w:hint="eastAsia"/>
          <w:noProof/>
          <w:color w:val="000000" w:themeColor="text1"/>
          <w:szCs w:val="24"/>
        </w:rPr>
        <w:t xml:space="preserve"> </w:t>
      </w:r>
      <w:r w:rsidRPr="00036132">
        <w:rPr>
          <w:noProof/>
          <w:color w:val="000000" w:themeColor="text1"/>
          <w:szCs w:val="24"/>
        </w:rPr>
        <w:t>https://doi.org/92-95044-35-5</w:t>
      </w:r>
      <w:r w:rsidRPr="00036132">
        <w:rPr>
          <w:rFonts w:hint="eastAsia"/>
          <w:noProof/>
          <w:color w:val="000000" w:themeColor="text1"/>
          <w:szCs w:val="24"/>
        </w:rPr>
        <w:t xml:space="preserve"> (accessed 9 October 2020)</w:t>
      </w:r>
      <w:r w:rsidRPr="00036132">
        <w:rPr>
          <w:noProof/>
          <w:color w:val="000000" w:themeColor="text1"/>
          <w:szCs w:val="24"/>
        </w:rPr>
        <w:t>.</w:t>
      </w:r>
    </w:p>
    <w:p w14:paraId="3C69A270"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Somohano-Rodríguez, F.M., Madrid-Guijarro, A. and López-Fernández, J.M. (2020), “Does Industry 4.0 really matter for SME innovation?”, </w:t>
      </w:r>
      <w:r w:rsidRPr="00036132">
        <w:rPr>
          <w:i/>
          <w:iCs/>
          <w:noProof/>
          <w:color w:val="000000" w:themeColor="text1"/>
          <w:szCs w:val="24"/>
        </w:rPr>
        <w:t>Journal of Small Business Management</w:t>
      </w:r>
      <w:r w:rsidRPr="00036132">
        <w:rPr>
          <w:noProof/>
          <w:color w:val="000000" w:themeColor="text1"/>
          <w:szCs w:val="24"/>
        </w:rPr>
        <w:t>, DOI: 10.1080/00472778.2020.1780728</w:t>
      </w:r>
    </w:p>
    <w:p w14:paraId="3B897E66"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Son, B.G., Ha, B.C. and Lee, T.H. (2019), “Small and medium-sized enterprises’ collaborative buyer–supplier relationships: boundary spanning individual perspectives”, </w:t>
      </w:r>
      <w:r w:rsidRPr="00036132">
        <w:rPr>
          <w:i/>
          <w:iCs/>
          <w:noProof/>
          <w:color w:val="000000" w:themeColor="text1"/>
          <w:szCs w:val="24"/>
        </w:rPr>
        <w:t>Journal of Small Business Management</w:t>
      </w:r>
      <w:r w:rsidRPr="00036132">
        <w:rPr>
          <w:noProof/>
          <w:color w:val="000000" w:themeColor="text1"/>
          <w:szCs w:val="24"/>
        </w:rPr>
        <w:t>, Vol. 57</w:t>
      </w:r>
      <w:r w:rsidRPr="00036132">
        <w:rPr>
          <w:rFonts w:hint="eastAsia"/>
          <w:noProof/>
          <w:color w:val="000000" w:themeColor="text1"/>
          <w:szCs w:val="24"/>
        </w:rPr>
        <w:t>,</w:t>
      </w:r>
      <w:r w:rsidRPr="00036132">
        <w:rPr>
          <w:noProof/>
          <w:color w:val="000000" w:themeColor="text1"/>
          <w:szCs w:val="24"/>
        </w:rPr>
        <w:t xml:space="preserve"> No. 3, pp. 966–988.</w:t>
      </w:r>
    </w:p>
    <w:p w14:paraId="24C2F57C"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Son, B.G., Kocabasoglu-Hillmer, C. and Roden, S. (2016), “A dyadic perspective on retailer-supplier relationships through the lens of social capital”, </w:t>
      </w:r>
      <w:r w:rsidRPr="00036132">
        <w:rPr>
          <w:i/>
          <w:iCs/>
          <w:noProof/>
          <w:color w:val="000000" w:themeColor="text1"/>
          <w:szCs w:val="24"/>
        </w:rPr>
        <w:t>International Journal of Production Economics</w:t>
      </w:r>
      <w:r w:rsidRPr="00036132">
        <w:rPr>
          <w:noProof/>
          <w:color w:val="000000" w:themeColor="text1"/>
          <w:szCs w:val="24"/>
        </w:rPr>
        <w:t>, Vol. 178,</w:t>
      </w:r>
      <w:r w:rsidRPr="00036132">
        <w:rPr>
          <w:rFonts w:hint="eastAsia"/>
          <w:noProof/>
          <w:color w:val="000000" w:themeColor="text1"/>
          <w:szCs w:val="24"/>
        </w:rPr>
        <w:t>August,</w:t>
      </w:r>
      <w:r w:rsidRPr="00036132">
        <w:rPr>
          <w:noProof/>
          <w:color w:val="000000" w:themeColor="text1"/>
          <w:szCs w:val="24"/>
        </w:rPr>
        <w:t xml:space="preserve"> pp. 120–131.</w:t>
      </w:r>
    </w:p>
    <w:p w14:paraId="66505522"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Spekman, R.E., Salmond, D.J. and Lambe, C.J. (1997), “Consensus and collaboration: norm‐regulated behaviour in industrial marketing relationships”, </w:t>
      </w:r>
      <w:r w:rsidRPr="00036132">
        <w:rPr>
          <w:i/>
          <w:iCs/>
          <w:noProof/>
          <w:color w:val="000000" w:themeColor="text1"/>
          <w:szCs w:val="24"/>
        </w:rPr>
        <w:t>European Journal of Marketing</w:t>
      </w:r>
      <w:r w:rsidRPr="00036132">
        <w:rPr>
          <w:noProof/>
          <w:color w:val="000000" w:themeColor="text1"/>
          <w:szCs w:val="24"/>
        </w:rPr>
        <w:t>, Vol. 31 No. 11/12, pp. 832–856.</w:t>
      </w:r>
    </w:p>
    <w:p w14:paraId="32DEF74F"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Tangpong, C., Hung, K.T. and Ro, Y.K. (2010), “The interaction effect of relational norms and agent cooperativeness on opportunism in buyer-supplier relationships”, </w:t>
      </w:r>
      <w:r w:rsidRPr="00036132">
        <w:rPr>
          <w:i/>
          <w:iCs/>
          <w:noProof/>
          <w:color w:val="000000" w:themeColor="text1"/>
          <w:szCs w:val="24"/>
        </w:rPr>
        <w:t>Journal of Operations Management</w:t>
      </w:r>
      <w:r w:rsidRPr="00036132">
        <w:rPr>
          <w:noProof/>
          <w:color w:val="000000" w:themeColor="text1"/>
          <w:szCs w:val="24"/>
        </w:rPr>
        <w:t>, Vol. 28</w:t>
      </w:r>
      <w:r w:rsidRPr="00036132">
        <w:rPr>
          <w:rFonts w:hint="eastAsia"/>
          <w:noProof/>
          <w:color w:val="000000" w:themeColor="text1"/>
          <w:szCs w:val="24"/>
        </w:rPr>
        <w:t>,</w:t>
      </w:r>
      <w:r w:rsidRPr="00036132">
        <w:rPr>
          <w:noProof/>
          <w:color w:val="000000" w:themeColor="text1"/>
          <w:szCs w:val="24"/>
        </w:rPr>
        <w:t xml:space="preserve"> No. 5, pp. 398–414.</w:t>
      </w:r>
    </w:p>
    <w:p w14:paraId="2EC25224"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Teece, D.J. (1986), “Profiting from technological innovation: Implications for integration, collaboration, licensing and public policy”, </w:t>
      </w:r>
      <w:r w:rsidRPr="00036132">
        <w:rPr>
          <w:i/>
          <w:iCs/>
          <w:noProof/>
          <w:color w:val="000000" w:themeColor="text1"/>
          <w:szCs w:val="24"/>
        </w:rPr>
        <w:t>Research Policy</w:t>
      </w:r>
      <w:r w:rsidRPr="00036132">
        <w:rPr>
          <w:noProof/>
          <w:color w:val="000000" w:themeColor="text1"/>
          <w:szCs w:val="24"/>
        </w:rPr>
        <w:t>, Vol. 15</w:t>
      </w:r>
      <w:r w:rsidRPr="00036132">
        <w:rPr>
          <w:rFonts w:hint="eastAsia"/>
          <w:noProof/>
          <w:color w:val="000000" w:themeColor="text1"/>
          <w:szCs w:val="24"/>
        </w:rPr>
        <w:t>,</w:t>
      </w:r>
      <w:r w:rsidRPr="00036132">
        <w:rPr>
          <w:noProof/>
          <w:color w:val="000000" w:themeColor="text1"/>
          <w:szCs w:val="24"/>
        </w:rPr>
        <w:t xml:space="preserve"> No. 6, pp. 285–305.</w:t>
      </w:r>
    </w:p>
    <w:p w14:paraId="6FD5EAA5"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Tsai, W. and Ghoshal, S. (1998a), “Social capital and value creation: The role of intrafirm networks”, </w:t>
      </w:r>
      <w:r w:rsidRPr="00036132">
        <w:rPr>
          <w:i/>
          <w:iCs/>
          <w:noProof/>
          <w:color w:val="000000" w:themeColor="text1"/>
          <w:szCs w:val="24"/>
        </w:rPr>
        <w:t>Academy of Management Journal</w:t>
      </w:r>
      <w:r w:rsidRPr="00036132">
        <w:rPr>
          <w:noProof/>
          <w:color w:val="000000" w:themeColor="text1"/>
          <w:szCs w:val="24"/>
        </w:rPr>
        <w:t>, Vol. 41</w:t>
      </w:r>
      <w:r w:rsidRPr="00036132">
        <w:rPr>
          <w:rFonts w:hint="eastAsia"/>
          <w:noProof/>
          <w:color w:val="000000" w:themeColor="text1"/>
          <w:szCs w:val="24"/>
        </w:rPr>
        <w:t>,</w:t>
      </w:r>
      <w:r w:rsidRPr="00036132">
        <w:rPr>
          <w:noProof/>
          <w:color w:val="000000" w:themeColor="text1"/>
          <w:szCs w:val="24"/>
        </w:rPr>
        <w:t xml:space="preserve"> No. 4, pp. 464–476.</w:t>
      </w:r>
    </w:p>
    <w:p w14:paraId="7C97A54A"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Tsai, W. and Ghoshal, S. (1998b), “Social capital and value creation: The role of intrafirm networks”, </w:t>
      </w:r>
      <w:r w:rsidRPr="00036132">
        <w:rPr>
          <w:i/>
          <w:iCs/>
          <w:noProof/>
          <w:color w:val="000000" w:themeColor="text1"/>
          <w:szCs w:val="24"/>
        </w:rPr>
        <w:t>Academy of Management Journal</w:t>
      </w:r>
      <w:r w:rsidRPr="00036132">
        <w:rPr>
          <w:noProof/>
          <w:color w:val="000000" w:themeColor="text1"/>
          <w:szCs w:val="24"/>
        </w:rPr>
        <w:t>, Vol. 41</w:t>
      </w:r>
      <w:r w:rsidRPr="00036132">
        <w:rPr>
          <w:rFonts w:hint="eastAsia"/>
          <w:noProof/>
          <w:color w:val="000000" w:themeColor="text1"/>
          <w:szCs w:val="24"/>
        </w:rPr>
        <w:t>,</w:t>
      </w:r>
      <w:r w:rsidRPr="00036132">
        <w:rPr>
          <w:noProof/>
          <w:color w:val="000000" w:themeColor="text1"/>
          <w:szCs w:val="24"/>
        </w:rPr>
        <w:t xml:space="preserve"> No. 4, pp. 464–476.</w:t>
      </w:r>
    </w:p>
    <w:p w14:paraId="60ACF0B5"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Uzzi, B. (1997), “Towards a network perspective on organizational decline”, </w:t>
      </w:r>
      <w:r w:rsidRPr="00036132">
        <w:rPr>
          <w:i/>
          <w:iCs/>
          <w:noProof/>
          <w:color w:val="000000" w:themeColor="text1"/>
          <w:szCs w:val="24"/>
        </w:rPr>
        <w:t>International Journal of Sociology and Social Policy</w:t>
      </w:r>
      <w:r w:rsidRPr="00036132">
        <w:rPr>
          <w:noProof/>
          <w:color w:val="000000" w:themeColor="text1"/>
          <w:szCs w:val="24"/>
        </w:rPr>
        <w:t xml:space="preserve">, </w:t>
      </w:r>
      <w:r w:rsidRPr="00036132">
        <w:rPr>
          <w:rFonts w:hint="eastAsia"/>
          <w:noProof/>
          <w:color w:val="000000" w:themeColor="text1"/>
          <w:szCs w:val="24"/>
        </w:rPr>
        <w:t>Vol.17, No.7/8, pp.111-155.</w:t>
      </w:r>
    </w:p>
    <w:p w14:paraId="659B2E16"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Volberda, H.W., van der Weerdt, N., Verwaal, E., Stienstra, M. and Verdu, A.J. (2012), “Contingency fit, institutional fit, and firm performance: A metafit approach to organization-environment relationships”, </w:t>
      </w:r>
      <w:r w:rsidRPr="00036132">
        <w:rPr>
          <w:i/>
          <w:iCs/>
          <w:noProof/>
          <w:color w:val="000000" w:themeColor="text1"/>
          <w:szCs w:val="24"/>
        </w:rPr>
        <w:t>Organization Science</w:t>
      </w:r>
      <w:r w:rsidRPr="00036132">
        <w:rPr>
          <w:noProof/>
          <w:color w:val="000000" w:themeColor="text1"/>
          <w:szCs w:val="24"/>
        </w:rPr>
        <w:t>, Vol. 23</w:t>
      </w:r>
      <w:r w:rsidRPr="00036132">
        <w:rPr>
          <w:rFonts w:hint="eastAsia"/>
          <w:noProof/>
          <w:color w:val="000000" w:themeColor="text1"/>
          <w:szCs w:val="24"/>
        </w:rPr>
        <w:t>,</w:t>
      </w:r>
      <w:r w:rsidRPr="00036132">
        <w:rPr>
          <w:noProof/>
          <w:color w:val="000000" w:themeColor="text1"/>
          <w:szCs w:val="24"/>
        </w:rPr>
        <w:t xml:space="preserve"> No. 4, pp. 1040–1054.</w:t>
      </w:r>
    </w:p>
    <w:p w14:paraId="0D43F622"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Williamson, O.E. (1975), </w:t>
      </w:r>
      <w:r w:rsidRPr="00036132">
        <w:rPr>
          <w:i/>
          <w:noProof/>
          <w:color w:val="000000" w:themeColor="text1"/>
          <w:szCs w:val="24"/>
        </w:rPr>
        <w:t>Markets and Hierarchies: Analysis and Antitrust Implications: A Study in the Economics of Internal Organization</w:t>
      </w:r>
      <w:r w:rsidRPr="00036132">
        <w:rPr>
          <w:noProof/>
          <w:color w:val="000000" w:themeColor="text1"/>
          <w:szCs w:val="24"/>
        </w:rPr>
        <w:t xml:space="preserve">, </w:t>
      </w:r>
      <w:r w:rsidRPr="00036132">
        <w:rPr>
          <w:rFonts w:hint="eastAsia"/>
          <w:noProof/>
          <w:color w:val="000000" w:themeColor="text1"/>
          <w:szCs w:val="24"/>
        </w:rPr>
        <w:t>T</w:t>
      </w:r>
      <w:r w:rsidRPr="00036132">
        <w:rPr>
          <w:noProof/>
          <w:color w:val="000000" w:themeColor="text1"/>
          <w:szCs w:val="24"/>
        </w:rPr>
        <w:t>h</w:t>
      </w:r>
      <w:r w:rsidRPr="00036132">
        <w:rPr>
          <w:rFonts w:hint="eastAsia"/>
          <w:noProof/>
          <w:color w:val="000000" w:themeColor="text1"/>
          <w:szCs w:val="24"/>
        </w:rPr>
        <w:t xml:space="preserve">e </w:t>
      </w:r>
      <w:r w:rsidRPr="00036132">
        <w:rPr>
          <w:noProof/>
          <w:color w:val="000000" w:themeColor="text1"/>
          <w:szCs w:val="24"/>
        </w:rPr>
        <w:t>Free Press, New York.</w:t>
      </w:r>
    </w:p>
    <w:p w14:paraId="03463EA9"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Williamson, O.E. (1985), </w:t>
      </w:r>
      <w:r w:rsidRPr="00036132">
        <w:rPr>
          <w:i/>
          <w:iCs/>
          <w:noProof/>
          <w:color w:val="000000" w:themeColor="text1"/>
          <w:szCs w:val="24"/>
        </w:rPr>
        <w:t>The economic institutions of capitalism: Firms, markets and relational contracting</w:t>
      </w:r>
      <w:r w:rsidRPr="00036132">
        <w:rPr>
          <w:noProof/>
          <w:color w:val="000000" w:themeColor="text1"/>
          <w:szCs w:val="24"/>
        </w:rPr>
        <w:t>, The Free Press, New York</w:t>
      </w:r>
      <w:r w:rsidRPr="00036132">
        <w:rPr>
          <w:rFonts w:hint="eastAsia"/>
          <w:noProof/>
          <w:color w:val="000000" w:themeColor="text1"/>
          <w:szCs w:val="24"/>
        </w:rPr>
        <w:t>.</w:t>
      </w:r>
    </w:p>
    <w:p w14:paraId="38DE97BC"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Williamson, O.E. (1996), “Transaction cost economics and the carnegie connection”, </w:t>
      </w:r>
      <w:r w:rsidRPr="00036132">
        <w:rPr>
          <w:i/>
          <w:iCs/>
          <w:noProof/>
          <w:color w:val="000000" w:themeColor="text1"/>
          <w:szCs w:val="24"/>
        </w:rPr>
        <w:t xml:space="preserve">Journal of </w:t>
      </w:r>
      <w:r w:rsidRPr="00036132">
        <w:rPr>
          <w:i/>
          <w:iCs/>
          <w:noProof/>
          <w:color w:val="000000" w:themeColor="text1"/>
          <w:szCs w:val="24"/>
        </w:rPr>
        <w:lastRenderedPageBreak/>
        <w:t>Economic Behavior and Organization</w:t>
      </w:r>
      <w:r w:rsidRPr="00036132">
        <w:rPr>
          <w:noProof/>
          <w:color w:val="000000" w:themeColor="text1"/>
          <w:szCs w:val="24"/>
        </w:rPr>
        <w:t>, Vol. 31</w:t>
      </w:r>
      <w:r w:rsidRPr="00036132">
        <w:rPr>
          <w:rFonts w:hint="eastAsia"/>
          <w:noProof/>
          <w:color w:val="000000" w:themeColor="text1"/>
          <w:szCs w:val="24"/>
        </w:rPr>
        <w:t>,</w:t>
      </w:r>
      <w:r w:rsidRPr="00036132">
        <w:rPr>
          <w:noProof/>
          <w:color w:val="000000" w:themeColor="text1"/>
          <w:szCs w:val="24"/>
        </w:rPr>
        <w:t xml:space="preserve"> No. 2, pp. 149–155.</w:t>
      </w:r>
    </w:p>
    <w:p w14:paraId="4E6FE5EF"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Yeo, J.</w:t>
      </w:r>
      <w:r w:rsidRPr="00036132">
        <w:rPr>
          <w:rFonts w:hint="eastAsia"/>
          <w:noProof/>
          <w:color w:val="000000" w:themeColor="text1"/>
          <w:szCs w:val="24"/>
        </w:rPr>
        <w:t>S.</w:t>
      </w:r>
      <w:r w:rsidRPr="00036132">
        <w:rPr>
          <w:noProof/>
          <w:color w:val="000000" w:themeColor="text1"/>
          <w:szCs w:val="24"/>
        </w:rPr>
        <w:t xml:space="preserve"> (2019), “Korean firms fear disruption of digital transformation”, </w:t>
      </w:r>
      <w:r w:rsidRPr="00036132">
        <w:rPr>
          <w:i/>
          <w:iCs/>
          <w:noProof/>
          <w:color w:val="000000" w:themeColor="text1"/>
          <w:szCs w:val="24"/>
        </w:rPr>
        <w:t>The Korea Herald</w:t>
      </w:r>
      <w:r w:rsidRPr="00036132">
        <w:rPr>
          <w:noProof/>
          <w:color w:val="000000" w:themeColor="text1"/>
          <w:szCs w:val="24"/>
        </w:rPr>
        <w:t xml:space="preserve">, </w:t>
      </w:r>
      <w:r w:rsidRPr="00036132">
        <w:rPr>
          <w:rFonts w:hint="eastAsia"/>
          <w:noProof/>
          <w:color w:val="000000" w:themeColor="text1"/>
          <w:szCs w:val="24"/>
        </w:rPr>
        <w:t>(</w:t>
      </w:r>
      <w:r w:rsidRPr="00036132">
        <w:rPr>
          <w:noProof/>
          <w:color w:val="000000" w:themeColor="text1"/>
          <w:szCs w:val="24"/>
        </w:rPr>
        <w:t>7 July</w:t>
      </w:r>
      <w:r w:rsidRPr="00036132">
        <w:rPr>
          <w:rFonts w:hint="eastAsia"/>
          <w:noProof/>
          <w:color w:val="000000" w:themeColor="text1"/>
          <w:szCs w:val="24"/>
        </w:rPr>
        <w:t xml:space="preserve"> 2019)</w:t>
      </w:r>
      <w:r w:rsidRPr="00036132">
        <w:rPr>
          <w:noProof/>
          <w:color w:val="000000" w:themeColor="text1"/>
          <w:szCs w:val="24"/>
        </w:rPr>
        <w:t xml:space="preserve"> available at: http://www.koreaherald.com/view.php?ud=20190707000155</w:t>
      </w:r>
      <w:r w:rsidRPr="00036132">
        <w:rPr>
          <w:rFonts w:hint="eastAsia"/>
          <w:noProof/>
          <w:color w:val="000000" w:themeColor="text1"/>
          <w:szCs w:val="24"/>
        </w:rPr>
        <w:t xml:space="preserve"> </w:t>
      </w:r>
      <w:r w:rsidRPr="00036132">
        <w:rPr>
          <w:noProof/>
          <w:color w:val="000000" w:themeColor="text1"/>
          <w:szCs w:val="24"/>
        </w:rPr>
        <w:t>(accessed 28 September 2020).</w:t>
      </w:r>
    </w:p>
    <w:p w14:paraId="35D4DC1D"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Yli-Renko, H., Autio, E. and Sapienza, H.J. (2001), “Social capital, knowledge acquisition, and knowledge exploitation in young technology-based firms”, </w:t>
      </w:r>
      <w:r w:rsidRPr="00036132">
        <w:rPr>
          <w:i/>
          <w:iCs/>
          <w:noProof/>
          <w:color w:val="000000" w:themeColor="text1"/>
          <w:szCs w:val="24"/>
        </w:rPr>
        <w:t>Strategic Management Journal</w:t>
      </w:r>
      <w:r w:rsidRPr="00036132">
        <w:rPr>
          <w:noProof/>
          <w:color w:val="000000" w:themeColor="text1"/>
          <w:szCs w:val="24"/>
        </w:rPr>
        <w:t>, Vol. 22</w:t>
      </w:r>
      <w:r w:rsidRPr="00036132">
        <w:rPr>
          <w:rFonts w:hint="eastAsia"/>
          <w:noProof/>
          <w:color w:val="000000" w:themeColor="text1"/>
          <w:szCs w:val="24"/>
        </w:rPr>
        <w:t>,</w:t>
      </w:r>
      <w:r w:rsidRPr="00036132">
        <w:rPr>
          <w:noProof/>
          <w:color w:val="000000" w:themeColor="text1"/>
          <w:szCs w:val="24"/>
        </w:rPr>
        <w:t xml:space="preserve"> No. 6–7, pp. 587–613.</w:t>
      </w:r>
    </w:p>
    <w:p w14:paraId="420D19A7"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Zaheer, A., McEvily, B. and Perrone, V. (1998), “Does trust matter? Exploring the effects of interorganizational and interpersonal trust on performance”, </w:t>
      </w:r>
      <w:r w:rsidRPr="00036132">
        <w:rPr>
          <w:i/>
          <w:iCs/>
          <w:noProof/>
          <w:color w:val="000000" w:themeColor="text1"/>
          <w:szCs w:val="24"/>
        </w:rPr>
        <w:t>Organization Science</w:t>
      </w:r>
      <w:r w:rsidRPr="00036132">
        <w:rPr>
          <w:noProof/>
          <w:color w:val="000000" w:themeColor="text1"/>
          <w:szCs w:val="24"/>
        </w:rPr>
        <w:t>, Vol. 9</w:t>
      </w:r>
      <w:r w:rsidRPr="00036132">
        <w:rPr>
          <w:rFonts w:hint="eastAsia"/>
          <w:noProof/>
          <w:color w:val="000000" w:themeColor="text1"/>
          <w:szCs w:val="24"/>
        </w:rPr>
        <w:t>,</w:t>
      </w:r>
      <w:r w:rsidRPr="00036132">
        <w:rPr>
          <w:noProof/>
          <w:color w:val="000000" w:themeColor="text1"/>
          <w:szCs w:val="24"/>
        </w:rPr>
        <w:t xml:space="preserve"> No. 2, pp. 141–159.</w:t>
      </w:r>
    </w:p>
    <w:p w14:paraId="0B9E02B3"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Zhou, K.Z. and Poppo, L. (2010), “Exchange hazards, relational reliability, and contracts in China: The contingent role of legal enforceability”, </w:t>
      </w:r>
      <w:r w:rsidRPr="00036132">
        <w:rPr>
          <w:i/>
          <w:iCs/>
          <w:noProof/>
          <w:color w:val="000000" w:themeColor="text1"/>
          <w:szCs w:val="24"/>
        </w:rPr>
        <w:t>Journal of International Business Studies</w:t>
      </w:r>
      <w:r w:rsidRPr="00036132">
        <w:rPr>
          <w:noProof/>
          <w:color w:val="000000" w:themeColor="text1"/>
          <w:szCs w:val="24"/>
        </w:rPr>
        <w:t>, Vol. 41</w:t>
      </w:r>
      <w:r w:rsidRPr="00036132">
        <w:rPr>
          <w:rFonts w:hint="eastAsia"/>
          <w:noProof/>
          <w:color w:val="000000" w:themeColor="text1"/>
          <w:szCs w:val="24"/>
        </w:rPr>
        <w:t>,</w:t>
      </w:r>
      <w:r w:rsidRPr="00036132">
        <w:rPr>
          <w:noProof/>
          <w:color w:val="000000" w:themeColor="text1"/>
          <w:szCs w:val="24"/>
        </w:rPr>
        <w:t xml:space="preserve"> No. 5, pp. 861–881.</w:t>
      </w:r>
    </w:p>
    <w:p w14:paraId="47DA3723" w14:textId="77777777" w:rsidR="00036132" w:rsidRPr="00036132" w:rsidRDefault="00036132" w:rsidP="00036132">
      <w:pPr>
        <w:adjustRightInd w:val="0"/>
        <w:spacing w:before="140"/>
        <w:ind w:left="480" w:hanging="480"/>
        <w:jc w:val="both"/>
        <w:rPr>
          <w:noProof/>
          <w:color w:val="000000" w:themeColor="text1"/>
          <w:szCs w:val="24"/>
        </w:rPr>
      </w:pPr>
      <w:r w:rsidRPr="00036132">
        <w:rPr>
          <w:noProof/>
          <w:color w:val="000000" w:themeColor="text1"/>
          <w:szCs w:val="24"/>
        </w:rPr>
        <w:t xml:space="preserve">Zhou, K.Z. and Xu, D. (2012), “How foreign firms curtail local supplier opportunism in China: Detailed contracts, centralized control, and relational governance”, </w:t>
      </w:r>
      <w:r w:rsidRPr="00036132">
        <w:rPr>
          <w:i/>
          <w:iCs/>
          <w:noProof/>
          <w:color w:val="000000" w:themeColor="text1"/>
          <w:szCs w:val="24"/>
        </w:rPr>
        <w:t>Journal of International Business Studies</w:t>
      </w:r>
      <w:r w:rsidRPr="00036132">
        <w:rPr>
          <w:noProof/>
          <w:color w:val="000000" w:themeColor="text1"/>
          <w:szCs w:val="24"/>
        </w:rPr>
        <w:t>, Vol. 43</w:t>
      </w:r>
      <w:r w:rsidRPr="00036132">
        <w:rPr>
          <w:rFonts w:hint="eastAsia"/>
          <w:noProof/>
          <w:color w:val="000000" w:themeColor="text1"/>
          <w:szCs w:val="24"/>
        </w:rPr>
        <w:t>,</w:t>
      </w:r>
      <w:r w:rsidRPr="00036132">
        <w:rPr>
          <w:noProof/>
          <w:color w:val="000000" w:themeColor="text1"/>
          <w:szCs w:val="24"/>
        </w:rPr>
        <w:t xml:space="preserve"> No. 7, pp. 677–692.</w:t>
      </w:r>
    </w:p>
    <w:p w14:paraId="1BCDF36E" w14:textId="77777777" w:rsidR="009F0688" w:rsidRPr="00036132" w:rsidRDefault="009F0688" w:rsidP="003C2217">
      <w:pPr>
        <w:adjustRightInd w:val="0"/>
        <w:spacing w:before="140"/>
        <w:ind w:left="480" w:hanging="480"/>
        <w:jc w:val="both"/>
        <w:rPr>
          <w:noProof/>
          <w:color w:val="FF0000"/>
          <w:szCs w:val="24"/>
        </w:rPr>
      </w:pPr>
    </w:p>
    <w:p w14:paraId="1B37D1CC" w14:textId="789373D2" w:rsidR="00E9015E" w:rsidRDefault="00E9015E">
      <w:pPr>
        <w:widowControl/>
        <w:autoSpaceDE/>
        <w:autoSpaceDN/>
        <w:rPr>
          <w:color w:val="FF0000"/>
          <w:lang w:val="en-US" w:eastAsia="en-IE"/>
        </w:rPr>
      </w:pPr>
      <w:r>
        <w:rPr>
          <w:color w:val="FF0000"/>
          <w:lang w:val="en-US" w:eastAsia="en-IE"/>
        </w:rPr>
        <w:br w:type="page"/>
      </w:r>
    </w:p>
    <w:p w14:paraId="66A16F17" w14:textId="77777777" w:rsidR="00E9015E" w:rsidRDefault="00E9015E" w:rsidP="00E9015E">
      <w:pPr>
        <w:tabs>
          <w:tab w:val="left" w:pos="6480"/>
          <w:tab w:val="center" w:pos="7001"/>
        </w:tabs>
        <w:rPr>
          <w:b/>
          <w:caps/>
          <w:szCs w:val="18"/>
        </w:rPr>
      </w:pPr>
    </w:p>
    <w:tbl>
      <w:tblPr>
        <w:tblW w:w="5000" w:type="pct"/>
        <w:tblLook w:val="0000" w:firstRow="0" w:lastRow="0" w:firstColumn="0" w:lastColumn="0" w:noHBand="0" w:noVBand="0"/>
      </w:tblPr>
      <w:tblGrid>
        <w:gridCol w:w="1327"/>
        <w:gridCol w:w="629"/>
        <w:gridCol w:w="629"/>
        <w:gridCol w:w="629"/>
        <w:gridCol w:w="629"/>
        <w:gridCol w:w="629"/>
        <w:gridCol w:w="535"/>
        <w:gridCol w:w="535"/>
        <w:gridCol w:w="629"/>
        <w:gridCol w:w="579"/>
        <w:gridCol w:w="629"/>
        <w:gridCol w:w="535"/>
        <w:gridCol w:w="629"/>
        <w:gridCol w:w="483"/>
      </w:tblGrid>
      <w:tr w:rsidR="00E9015E" w:rsidRPr="000673A6" w14:paraId="7DBF4EA8" w14:textId="77777777" w:rsidTr="00C14E25">
        <w:trPr>
          <w:trHeight w:val="397"/>
        </w:trPr>
        <w:tc>
          <w:tcPr>
            <w:tcW w:w="5000" w:type="pct"/>
            <w:gridSpan w:val="14"/>
            <w:tcBorders>
              <w:left w:val="nil"/>
              <w:bottom w:val="single" w:sz="12" w:space="0" w:color="auto"/>
              <w:right w:val="nil"/>
            </w:tcBorders>
            <w:shd w:val="clear" w:color="auto" w:fill="auto"/>
          </w:tcPr>
          <w:p w14:paraId="5A2FB572" w14:textId="77777777" w:rsidR="00E9015E" w:rsidRPr="000673A6" w:rsidRDefault="00E9015E" w:rsidP="00C14E25">
            <w:pPr>
              <w:jc w:val="center"/>
              <w:rPr>
                <w:b/>
              </w:rPr>
            </w:pPr>
            <w:r>
              <w:rPr>
                <w:rFonts w:hint="eastAsia"/>
                <w:b/>
              </w:rPr>
              <w:t>TABLE</w:t>
            </w:r>
            <w:r w:rsidRPr="000673A6">
              <w:rPr>
                <w:b/>
              </w:rPr>
              <w:t xml:space="preserve"> </w:t>
            </w:r>
            <w:r w:rsidRPr="003C510B">
              <w:rPr>
                <w:rFonts w:ascii="Batang" w:eastAsia="Batang" w:hAnsi="Batang" w:cs="Batang" w:hint="eastAsia"/>
                <w:b/>
                <w:caps/>
                <w:szCs w:val="18"/>
              </w:rPr>
              <w:t>Ⅰ</w:t>
            </w:r>
          </w:p>
          <w:p w14:paraId="7350CC6C" w14:textId="77777777" w:rsidR="00E9015E" w:rsidRDefault="00E9015E" w:rsidP="00C14E25">
            <w:pPr>
              <w:jc w:val="center"/>
              <w:rPr>
                <w:b/>
              </w:rPr>
            </w:pPr>
            <w:r w:rsidRPr="000673A6">
              <w:rPr>
                <w:b/>
              </w:rPr>
              <w:t>Means, Standard Deviations, Pearson Correlation Coefficients, and Average Variance Extracted</w:t>
            </w:r>
          </w:p>
        </w:tc>
      </w:tr>
      <w:tr w:rsidR="00E9015E" w:rsidRPr="000673A6" w14:paraId="6ABA9188" w14:textId="77777777" w:rsidTr="00C14E25">
        <w:trPr>
          <w:trHeight w:val="397"/>
        </w:trPr>
        <w:tc>
          <w:tcPr>
            <w:tcW w:w="1252" w:type="pct"/>
            <w:tcBorders>
              <w:top w:val="single" w:sz="12" w:space="0" w:color="auto"/>
              <w:left w:val="nil"/>
              <w:bottom w:val="single" w:sz="12" w:space="0" w:color="auto"/>
              <w:right w:val="nil"/>
            </w:tcBorders>
            <w:shd w:val="clear" w:color="auto" w:fill="auto"/>
          </w:tcPr>
          <w:p w14:paraId="2F3973F3" w14:textId="77777777" w:rsidR="00E9015E" w:rsidRPr="000673A6" w:rsidRDefault="00E9015E" w:rsidP="00C14E25">
            <w:pPr>
              <w:rPr>
                <w:sz w:val="16"/>
                <w:szCs w:val="16"/>
              </w:rPr>
            </w:pPr>
          </w:p>
        </w:tc>
        <w:tc>
          <w:tcPr>
            <w:tcW w:w="434" w:type="pct"/>
            <w:tcBorders>
              <w:top w:val="single" w:sz="12" w:space="0" w:color="auto"/>
              <w:left w:val="nil"/>
              <w:bottom w:val="single" w:sz="12" w:space="0" w:color="auto"/>
              <w:right w:val="nil"/>
            </w:tcBorders>
            <w:shd w:val="clear" w:color="auto" w:fill="auto"/>
            <w:vAlign w:val="center"/>
          </w:tcPr>
          <w:p w14:paraId="4A2200ED" w14:textId="77777777" w:rsidR="00E9015E" w:rsidRPr="000673A6" w:rsidRDefault="00E9015E" w:rsidP="00C14E25">
            <w:pPr>
              <w:jc w:val="center"/>
              <w:rPr>
                <w:sz w:val="16"/>
                <w:szCs w:val="16"/>
              </w:rPr>
            </w:pPr>
            <w:r w:rsidRPr="000673A6">
              <w:rPr>
                <w:sz w:val="16"/>
                <w:szCs w:val="16"/>
              </w:rPr>
              <w:t>Mean</w:t>
            </w:r>
          </w:p>
        </w:tc>
        <w:tc>
          <w:tcPr>
            <w:tcW w:w="276" w:type="pct"/>
            <w:tcBorders>
              <w:top w:val="single" w:sz="12" w:space="0" w:color="auto"/>
              <w:left w:val="nil"/>
              <w:bottom w:val="single" w:sz="12" w:space="0" w:color="auto"/>
              <w:right w:val="nil"/>
            </w:tcBorders>
            <w:shd w:val="clear" w:color="auto" w:fill="auto"/>
            <w:vAlign w:val="center"/>
          </w:tcPr>
          <w:p w14:paraId="158A6129" w14:textId="77777777" w:rsidR="00E9015E" w:rsidRPr="000673A6" w:rsidRDefault="00E9015E" w:rsidP="00C14E25">
            <w:pPr>
              <w:jc w:val="center"/>
              <w:rPr>
                <w:sz w:val="16"/>
                <w:szCs w:val="16"/>
              </w:rPr>
            </w:pPr>
            <w:r w:rsidRPr="000673A6">
              <w:rPr>
                <w:sz w:val="16"/>
                <w:szCs w:val="16"/>
              </w:rPr>
              <w:t>SD</w:t>
            </w:r>
          </w:p>
        </w:tc>
        <w:tc>
          <w:tcPr>
            <w:tcW w:w="276" w:type="pct"/>
            <w:tcBorders>
              <w:top w:val="single" w:sz="12" w:space="0" w:color="auto"/>
              <w:left w:val="nil"/>
              <w:bottom w:val="single" w:sz="12" w:space="0" w:color="auto"/>
              <w:right w:val="nil"/>
            </w:tcBorders>
            <w:shd w:val="clear" w:color="auto" w:fill="auto"/>
            <w:vAlign w:val="center"/>
          </w:tcPr>
          <w:p w14:paraId="78BE2C4C" w14:textId="77777777" w:rsidR="00E9015E" w:rsidRPr="000673A6" w:rsidRDefault="00E9015E" w:rsidP="00C14E25">
            <w:pPr>
              <w:jc w:val="center"/>
              <w:rPr>
                <w:sz w:val="16"/>
                <w:szCs w:val="16"/>
              </w:rPr>
            </w:pPr>
            <w:r w:rsidRPr="000673A6">
              <w:rPr>
                <w:sz w:val="16"/>
                <w:szCs w:val="16"/>
              </w:rPr>
              <w:t>(1)</w:t>
            </w:r>
          </w:p>
        </w:tc>
        <w:tc>
          <w:tcPr>
            <w:tcW w:w="276" w:type="pct"/>
            <w:tcBorders>
              <w:top w:val="single" w:sz="12" w:space="0" w:color="auto"/>
              <w:left w:val="nil"/>
              <w:bottom w:val="single" w:sz="12" w:space="0" w:color="auto"/>
              <w:right w:val="nil"/>
            </w:tcBorders>
            <w:shd w:val="clear" w:color="auto" w:fill="auto"/>
            <w:vAlign w:val="center"/>
          </w:tcPr>
          <w:p w14:paraId="32B6479C" w14:textId="77777777" w:rsidR="00E9015E" w:rsidRPr="000673A6" w:rsidRDefault="00E9015E" w:rsidP="00C14E25">
            <w:pPr>
              <w:jc w:val="center"/>
              <w:rPr>
                <w:sz w:val="16"/>
                <w:szCs w:val="16"/>
              </w:rPr>
            </w:pPr>
            <w:r w:rsidRPr="000673A6">
              <w:rPr>
                <w:sz w:val="16"/>
                <w:szCs w:val="16"/>
              </w:rPr>
              <w:t>(2)</w:t>
            </w:r>
          </w:p>
        </w:tc>
        <w:tc>
          <w:tcPr>
            <w:tcW w:w="276" w:type="pct"/>
            <w:tcBorders>
              <w:top w:val="single" w:sz="12" w:space="0" w:color="auto"/>
              <w:left w:val="nil"/>
              <w:bottom w:val="single" w:sz="12" w:space="0" w:color="auto"/>
              <w:right w:val="nil"/>
            </w:tcBorders>
            <w:shd w:val="clear" w:color="auto" w:fill="auto"/>
            <w:vAlign w:val="center"/>
          </w:tcPr>
          <w:p w14:paraId="15E60A02" w14:textId="77777777" w:rsidR="00E9015E" w:rsidRPr="000673A6" w:rsidRDefault="00E9015E" w:rsidP="00C14E25">
            <w:pPr>
              <w:jc w:val="center"/>
              <w:rPr>
                <w:sz w:val="16"/>
                <w:szCs w:val="16"/>
              </w:rPr>
            </w:pPr>
            <w:r w:rsidRPr="000673A6">
              <w:rPr>
                <w:sz w:val="16"/>
                <w:szCs w:val="16"/>
              </w:rPr>
              <w:t>(3)</w:t>
            </w:r>
          </w:p>
        </w:tc>
        <w:tc>
          <w:tcPr>
            <w:tcW w:w="276" w:type="pct"/>
            <w:tcBorders>
              <w:top w:val="single" w:sz="12" w:space="0" w:color="auto"/>
              <w:left w:val="nil"/>
              <w:bottom w:val="single" w:sz="12" w:space="0" w:color="auto"/>
              <w:right w:val="nil"/>
            </w:tcBorders>
            <w:shd w:val="clear" w:color="auto" w:fill="auto"/>
            <w:vAlign w:val="center"/>
          </w:tcPr>
          <w:p w14:paraId="351ABC81" w14:textId="77777777" w:rsidR="00E9015E" w:rsidRPr="000673A6" w:rsidRDefault="00E9015E" w:rsidP="00C14E25">
            <w:pPr>
              <w:jc w:val="center"/>
              <w:rPr>
                <w:sz w:val="16"/>
                <w:szCs w:val="16"/>
              </w:rPr>
            </w:pPr>
            <w:r w:rsidRPr="000673A6">
              <w:rPr>
                <w:sz w:val="16"/>
                <w:szCs w:val="16"/>
              </w:rPr>
              <w:t>(4)</w:t>
            </w:r>
          </w:p>
        </w:tc>
        <w:tc>
          <w:tcPr>
            <w:tcW w:w="276" w:type="pct"/>
            <w:tcBorders>
              <w:top w:val="single" w:sz="12" w:space="0" w:color="auto"/>
              <w:left w:val="nil"/>
              <w:bottom w:val="single" w:sz="12" w:space="0" w:color="auto"/>
              <w:right w:val="nil"/>
            </w:tcBorders>
            <w:shd w:val="clear" w:color="auto" w:fill="auto"/>
            <w:vAlign w:val="center"/>
          </w:tcPr>
          <w:p w14:paraId="5DBE692B" w14:textId="77777777" w:rsidR="00E9015E" w:rsidRPr="000673A6" w:rsidRDefault="00E9015E" w:rsidP="00C14E25">
            <w:pPr>
              <w:jc w:val="center"/>
              <w:rPr>
                <w:sz w:val="16"/>
                <w:szCs w:val="16"/>
              </w:rPr>
            </w:pPr>
            <w:r w:rsidRPr="000673A6">
              <w:rPr>
                <w:sz w:val="16"/>
                <w:szCs w:val="16"/>
              </w:rPr>
              <w:t>(5)</w:t>
            </w:r>
          </w:p>
        </w:tc>
        <w:tc>
          <w:tcPr>
            <w:tcW w:w="276" w:type="pct"/>
            <w:tcBorders>
              <w:top w:val="single" w:sz="12" w:space="0" w:color="auto"/>
              <w:left w:val="nil"/>
              <w:bottom w:val="single" w:sz="12" w:space="0" w:color="auto"/>
              <w:right w:val="nil"/>
            </w:tcBorders>
            <w:shd w:val="clear" w:color="auto" w:fill="auto"/>
            <w:vAlign w:val="center"/>
          </w:tcPr>
          <w:p w14:paraId="6CD57B53" w14:textId="77777777" w:rsidR="00E9015E" w:rsidRPr="000673A6" w:rsidRDefault="00E9015E" w:rsidP="00C14E25">
            <w:pPr>
              <w:jc w:val="center"/>
              <w:rPr>
                <w:sz w:val="16"/>
                <w:szCs w:val="16"/>
              </w:rPr>
            </w:pPr>
            <w:r w:rsidRPr="000673A6">
              <w:rPr>
                <w:sz w:val="16"/>
                <w:szCs w:val="16"/>
              </w:rPr>
              <w:t>(6)</w:t>
            </w:r>
          </w:p>
        </w:tc>
        <w:tc>
          <w:tcPr>
            <w:tcW w:w="276" w:type="pct"/>
            <w:tcBorders>
              <w:top w:val="single" w:sz="12" w:space="0" w:color="auto"/>
              <w:left w:val="nil"/>
              <w:bottom w:val="single" w:sz="12" w:space="0" w:color="auto"/>
              <w:right w:val="nil"/>
            </w:tcBorders>
            <w:shd w:val="clear" w:color="auto" w:fill="auto"/>
            <w:vAlign w:val="center"/>
          </w:tcPr>
          <w:p w14:paraId="54E8FDC9" w14:textId="77777777" w:rsidR="00E9015E" w:rsidRPr="000673A6" w:rsidRDefault="00E9015E" w:rsidP="00C14E25">
            <w:pPr>
              <w:jc w:val="center"/>
              <w:rPr>
                <w:sz w:val="16"/>
                <w:szCs w:val="16"/>
              </w:rPr>
            </w:pPr>
            <w:r w:rsidRPr="000673A6">
              <w:rPr>
                <w:sz w:val="16"/>
                <w:szCs w:val="16"/>
              </w:rPr>
              <w:t>(7)</w:t>
            </w:r>
          </w:p>
        </w:tc>
        <w:tc>
          <w:tcPr>
            <w:tcW w:w="276" w:type="pct"/>
            <w:tcBorders>
              <w:top w:val="single" w:sz="12" w:space="0" w:color="auto"/>
              <w:left w:val="nil"/>
              <w:bottom w:val="single" w:sz="12" w:space="0" w:color="auto"/>
              <w:right w:val="nil"/>
            </w:tcBorders>
            <w:shd w:val="clear" w:color="auto" w:fill="auto"/>
            <w:vAlign w:val="center"/>
          </w:tcPr>
          <w:p w14:paraId="095CF1BF" w14:textId="77777777" w:rsidR="00E9015E" w:rsidRPr="000673A6" w:rsidRDefault="00E9015E" w:rsidP="00C14E25">
            <w:pPr>
              <w:jc w:val="center"/>
              <w:rPr>
                <w:sz w:val="16"/>
                <w:szCs w:val="16"/>
              </w:rPr>
            </w:pPr>
            <w:r w:rsidRPr="000673A6">
              <w:rPr>
                <w:sz w:val="16"/>
                <w:szCs w:val="16"/>
              </w:rPr>
              <w:t>(8)</w:t>
            </w:r>
          </w:p>
        </w:tc>
        <w:tc>
          <w:tcPr>
            <w:tcW w:w="276" w:type="pct"/>
            <w:tcBorders>
              <w:top w:val="single" w:sz="12" w:space="0" w:color="auto"/>
              <w:left w:val="nil"/>
              <w:bottom w:val="single" w:sz="12" w:space="0" w:color="auto"/>
              <w:right w:val="nil"/>
            </w:tcBorders>
            <w:shd w:val="clear" w:color="auto" w:fill="auto"/>
            <w:vAlign w:val="center"/>
          </w:tcPr>
          <w:p w14:paraId="4DB2EB2D" w14:textId="77777777" w:rsidR="00E9015E" w:rsidRPr="000673A6" w:rsidRDefault="00E9015E" w:rsidP="00C14E25">
            <w:pPr>
              <w:jc w:val="center"/>
              <w:rPr>
                <w:sz w:val="16"/>
                <w:szCs w:val="16"/>
              </w:rPr>
            </w:pPr>
            <w:r w:rsidRPr="000673A6">
              <w:rPr>
                <w:sz w:val="16"/>
                <w:szCs w:val="16"/>
              </w:rPr>
              <w:t>(9)</w:t>
            </w:r>
          </w:p>
        </w:tc>
        <w:tc>
          <w:tcPr>
            <w:tcW w:w="278" w:type="pct"/>
            <w:tcBorders>
              <w:top w:val="single" w:sz="12" w:space="0" w:color="auto"/>
              <w:left w:val="nil"/>
              <w:bottom w:val="single" w:sz="12" w:space="0" w:color="auto"/>
              <w:right w:val="nil"/>
            </w:tcBorders>
            <w:shd w:val="clear" w:color="auto" w:fill="auto"/>
            <w:vAlign w:val="center"/>
          </w:tcPr>
          <w:p w14:paraId="63F4FF6D" w14:textId="77777777" w:rsidR="00E9015E" w:rsidRPr="000673A6" w:rsidRDefault="00E9015E" w:rsidP="00C14E25">
            <w:pPr>
              <w:jc w:val="center"/>
              <w:rPr>
                <w:sz w:val="16"/>
                <w:szCs w:val="16"/>
              </w:rPr>
            </w:pPr>
            <w:r w:rsidRPr="000673A6">
              <w:rPr>
                <w:sz w:val="16"/>
                <w:szCs w:val="16"/>
              </w:rPr>
              <w:t>(10)</w:t>
            </w:r>
          </w:p>
        </w:tc>
        <w:tc>
          <w:tcPr>
            <w:tcW w:w="276" w:type="pct"/>
            <w:tcBorders>
              <w:top w:val="single" w:sz="12" w:space="0" w:color="auto"/>
              <w:left w:val="nil"/>
              <w:bottom w:val="single" w:sz="12" w:space="0" w:color="auto"/>
              <w:right w:val="nil"/>
            </w:tcBorders>
            <w:vAlign w:val="center"/>
          </w:tcPr>
          <w:p w14:paraId="48F7EFE2" w14:textId="77777777" w:rsidR="00E9015E" w:rsidRPr="000673A6" w:rsidRDefault="00E9015E" w:rsidP="00C14E25">
            <w:pPr>
              <w:jc w:val="center"/>
              <w:rPr>
                <w:sz w:val="16"/>
                <w:szCs w:val="16"/>
              </w:rPr>
            </w:pPr>
            <w:r w:rsidRPr="00AD544E">
              <w:rPr>
                <w:sz w:val="16"/>
                <w:szCs w:val="16"/>
              </w:rPr>
              <w:t>(1</w:t>
            </w:r>
            <w:r>
              <w:rPr>
                <w:rFonts w:hint="eastAsia"/>
                <w:sz w:val="16"/>
                <w:szCs w:val="16"/>
              </w:rPr>
              <w:t>1</w:t>
            </w:r>
            <w:r w:rsidRPr="00AD544E">
              <w:rPr>
                <w:sz w:val="16"/>
                <w:szCs w:val="16"/>
              </w:rPr>
              <w:t>)</w:t>
            </w:r>
          </w:p>
        </w:tc>
      </w:tr>
      <w:tr w:rsidR="00E9015E" w:rsidRPr="000673A6" w14:paraId="1441334E" w14:textId="77777777" w:rsidTr="00C14E25">
        <w:trPr>
          <w:trHeight w:val="454"/>
        </w:trPr>
        <w:tc>
          <w:tcPr>
            <w:tcW w:w="1252" w:type="pct"/>
            <w:tcBorders>
              <w:top w:val="nil"/>
              <w:left w:val="nil"/>
              <w:bottom w:val="nil"/>
              <w:right w:val="nil"/>
            </w:tcBorders>
            <w:shd w:val="clear" w:color="auto" w:fill="auto"/>
            <w:vAlign w:val="center"/>
          </w:tcPr>
          <w:p w14:paraId="126E05D8" w14:textId="77777777" w:rsidR="00E9015E" w:rsidRPr="000673A6" w:rsidRDefault="00E9015E" w:rsidP="00E9015E">
            <w:pPr>
              <w:numPr>
                <w:ilvl w:val="0"/>
                <w:numId w:val="35"/>
              </w:numPr>
              <w:wordWrap w:val="0"/>
              <w:spacing w:line="276" w:lineRule="auto"/>
              <w:rPr>
                <w:sz w:val="15"/>
                <w:szCs w:val="15"/>
              </w:rPr>
            </w:pPr>
            <w:r w:rsidRPr="000673A6">
              <w:rPr>
                <w:color w:val="000000" w:themeColor="text1"/>
                <w:sz w:val="15"/>
                <w:szCs w:val="15"/>
              </w:rPr>
              <w:t>Digital</w:t>
            </w:r>
            <w:r>
              <w:rPr>
                <w:color w:val="000000" w:themeColor="text1"/>
                <w:sz w:val="15"/>
                <w:szCs w:val="15"/>
              </w:rPr>
              <w:t xml:space="preserve"> </w:t>
            </w:r>
            <w:r w:rsidRPr="000673A6">
              <w:rPr>
                <w:color w:val="000000" w:themeColor="text1"/>
                <w:sz w:val="15"/>
                <w:szCs w:val="15"/>
              </w:rPr>
              <w:t>Capability</w:t>
            </w:r>
            <w:r>
              <w:rPr>
                <w:color w:val="000000" w:themeColor="text1"/>
                <w:sz w:val="15"/>
                <w:szCs w:val="15"/>
              </w:rPr>
              <w:t xml:space="preserve"> Asymmetry</w:t>
            </w:r>
          </w:p>
        </w:tc>
        <w:tc>
          <w:tcPr>
            <w:tcW w:w="434" w:type="pct"/>
            <w:tcBorders>
              <w:top w:val="nil"/>
              <w:left w:val="nil"/>
              <w:bottom w:val="nil"/>
              <w:right w:val="nil"/>
            </w:tcBorders>
            <w:shd w:val="clear" w:color="auto" w:fill="auto"/>
            <w:vAlign w:val="center"/>
          </w:tcPr>
          <w:p w14:paraId="21E2F77A" w14:textId="77777777" w:rsidR="00E9015E" w:rsidRPr="000673A6" w:rsidRDefault="00E9015E" w:rsidP="00C14E25">
            <w:pPr>
              <w:jc w:val="center"/>
              <w:rPr>
                <w:rFonts w:eastAsia="Gulim"/>
                <w:sz w:val="15"/>
                <w:szCs w:val="15"/>
              </w:rPr>
            </w:pPr>
            <w:r w:rsidRPr="000673A6">
              <w:rPr>
                <w:sz w:val="15"/>
                <w:szCs w:val="15"/>
              </w:rPr>
              <w:t>3.858</w:t>
            </w:r>
          </w:p>
        </w:tc>
        <w:tc>
          <w:tcPr>
            <w:tcW w:w="276" w:type="pct"/>
            <w:tcBorders>
              <w:top w:val="nil"/>
              <w:left w:val="nil"/>
              <w:bottom w:val="nil"/>
              <w:right w:val="nil"/>
            </w:tcBorders>
            <w:shd w:val="clear" w:color="auto" w:fill="auto"/>
            <w:vAlign w:val="center"/>
          </w:tcPr>
          <w:p w14:paraId="1B3CCC27" w14:textId="77777777" w:rsidR="00E9015E" w:rsidRPr="000673A6" w:rsidRDefault="00E9015E" w:rsidP="00C14E25">
            <w:pPr>
              <w:jc w:val="center"/>
              <w:rPr>
                <w:rFonts w:eastAsia="Gulim"/>
                <w:sz w:val="15"/>
                <w:szCs w:val="15"/>
              </w:rPr>
            </w:pPr>
            <w:r w:rsidRPr="000673A6">
              <w:rPr>
                <w:sz w:val="15"/>
                <w:szCs w:val="15"/>
              </w:rPr>
              <w:t>.912</w:t>
            </w:r>
          </w:p>
        </w:tc>
        <w:tc>
          <w:tcPr>
            <w:tcW w:w="276" w:type="pct"/>
            <w:tcBorders>
              <w:top w:val="nil"/>
              <w:left w:val="nil"/>
              <w:bottom w:val="nil"/>
              <w:right w:val="nil"/>
            </w:tcBorders>
            <w:shd w:val="clear" w:color="auto" w:fill="auto"/>
            <w:vAlign w:val="center"/>
          </w:tcPr>
          <w:p w14:paraId="0670BCED"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.480</w:t>
            </w:r>
            <w:r w:rsidRPr="008B0B72">
              <w:rPr>
                <w:rFonts w:eastAsia="Gulim"/>
                <w:sz w:val="15"/>
                <w:szCs w:val="15"/>
                <w:vertAlign w:val="superscript"/>
              </w:rPr>
              <w:t>a</w:t>
            </w:r>
          </w:p>
        </w:tc>
        <w:tc>
          <w:tcPr>
            <w:tcW w:w="276" w:type="pct"/>
            <w:tcBorders>
              <w:top w:val="nil"/>
              <w:left w:val="nil"/>
              <w:bottom w:val="nil"/>
              <w:right w:val="nil"/>
            </w:tcBorders>
            <w:shd w:val="clear" w:color="auto" w:fill="auto"/>
            <w:vAlign w:val="center"/>
          </w:tcPr>
          <w:p w14:paraId="2E0C91E3"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33457760"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0B016369"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4F4F7C33"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375C8E30"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74C7A339"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29CDAF1B"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52C359C7" w14:textId="77777777" w:rsidR="00E9015E" w:rsidRPr="008B0B72" w:rsidRDefault="00E9015E" w:rsidP="00C14E25">
            <w:pPr>
              <w:widowControl/>
              <w:autoSpaceDE/>
              <w:autoSpaceDN/>
              <w:jc w:val="center"/>
              <w:rPr>
                <w:rFonts w:eastAsia="Gulim"/>
                <w:sz w:val="15"/>
                <w:szCs w:val="15"/>
              </w:rPr>
            </w:pPr>
          </w:p>
        </w:tc>
        <w:tc>
          <w:tcPr>
            <w:tcW w:w="278" w:type="pct"/>
            <w:tcBorders>
              <w:top w:val="nil"/>
              <w:left w:val="nil"/>
              <w:bottom w:val="nil"/>
              <w:right w:val="nil"/>
            </w:tcBorders>
            <w:shd w:val="clear" w:color="auto" w:fill="auto"/>
            <w:vAlign w:val="center"/>
          </w:tcPr>
          <w:p w14:paraId="2B57FF43"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vAlign w:val="center"/>
          </w:tcPr>
          <w:p w14:paraId="69E86A41" w14:textId="77777777" w:rsidR="00E9015E" w:rsidRPr="008B0B72" w:rsidRDefault="00E9015E" w:rsidP="00C14E25">
            <w:pPr>
              <w:widowControl/>
              <w:autoSpaceDE/>
              <w:autoSpaceDN/>
              <w:jc w:val="center"/>
              <w:rPr>
                <w:rFonts w:eastAsia="Gulim"/>
                <w:sz w:val="15"/>
                <w:szCs w:val="15"/>
              </w:rPr>
            </w:pPr>
          </w:p>
        </w:tc>
      </w:tr>
      <w:tr w:rsidR="00E9015E" w:rsidRPr="000673A6" w14:paraId="4323BC18" w14:textId="77777777" w:rsidTr="00C14E25">
        <w:trPr>
          <w:trHeight w:val="454"/>
        </w:trPr>
        <w:tc>
          <w:tcPr>
            <w:tcW w:w="1252" w:type="pct"/>
            <w:tcBorders>
              <w:top w:val="nil"/>
              <w:left w:val="nil"/>
              <w:bottom w:val="nil"/>
              <w:right w:val="nil"/>
            </w:tcBorders>
            <w:shd w:val="clear" w:color="auto" w:fill="auto"/>
            <w:vAlign w:val="center"/>
          </w:tcPr>
          <w:p w14:paraId="2459FC32" w14:textId="77777777" w:rsidR="00E9015E" w:rsidRPr="000673A6" w:rsidRDefault="00E9015E" w:rsidP="00E9015E">
            <w:pPr>
              <w:numPr>
                <w:ilvl w:val="0"/>
                <w:numId w:val="35"/>
              </w:numPr>
              <w:wordWrap w:val="0"/>
              <w:spacing w:line="276" w:lineRule="auto"/>
              <w:rPr>
                <w:sz w:val="15"/>
                <w:szCs w:val="15"/>
              </w:rPr>
            </w:pPr>
            <w:r w:rsidRPr="000673A6">
              <w:rPr>
                <w:sz w:val="15"/>
                <w:szCs w:val="15"/>
              </w:rPr>
              <w:t>Supplier’s Dependence on the Buyer</w:t>
            </w:r>
          </w:p>
        </w:tc>
        <w:tc>
          <w:tcPr>
            <w:tcW w:w="434" w:type="pct"/>
            <w:tcBorders>
              <w:top w:val="nil"/>
              <w:left w:val="nil"/>
              <w:bottom w:val="nil"/>
              <w:right w:val="nil"/>
            </w:tcBorders>
            <w:shd w:val="clear" w:color="auto" w:fill="auto"/>
            <w:vAlign w:val="center"/>
          </w:tcPr>
          <w:p w14:paraId="2B2CE13B" w14:textId="77777777" w:rsidR="00E9015E" w:rsidRPr="000673A6" w:rsidRDefault="00E9015E" w:rsidP="00C14E25">
            <w:pPr>
              <w:jc w:val="center"/>
              <w:rPr>
                <w:rFonts w:eastAsia="Gulim"/>
                <w:sz w:val="15"/>
                <w:szCs w:val="15"/>
              </w:rPr>
            </w:pPr>
            <w:r w:rsidRPr="000673A6">
              <w:rPr>
                <w:sz w:val="15"/>
                <w:szCs w:val="15"/>
              </w:rPr>
              <w:t>3.251</w:t>
            </w:r>
          </w:p>
        </w:tc>
        <w:tc>
          <w:tcPr>
            <w:tcW w:w="276" w:type="pct"/>
            <w:tcBorders>
              <w:top w:val="nil"/>
              <w:left w:val="nil"/>
              <w:bottom w:val="nil"/>
              <w:right w:val="nil"/>
            </w:tcBorders>
            <w:shd w:val="clear" w:color="auto" w:fill="auto"/>
            <w:vAlign w:val="center"/>
          </w:tcPr>
          <w:p w14:paraId="73C970D1" w14:textId="77777777" w:rsidR="00E9015E" w:rsidRPr="000673A6" w:rsidRDefault="00E9015E" w:rsidP="00C14E25">
            <w:pPr>
              <w:jc w:val="center"/>
              <w:rPr>
                <w:rFonts w:eastAsia="Gulim"/>
                <w:sz w:val="15"/>
                <w:szCs w:val="15"/>
              </w:rPr>
            </w:pPr>
            <w:r w:rsidRPr="000673A6">
              <w:rPr>
                <w:sz w:val="15"/>
                <w:szCs w:val="15"/>
              </w:rPr>
              <w:t>.818</w:t>
            </w:r>
          </w:p>
        </w:tc>
        <w:tc>
          <w:tcPr>
            <w:tcW w:w="276" w:type="pct"/>
            <w:tcBorders>
              <w:top w:val="nil"/>
              <w:left w:val="nil"/>
              <w:bottom w:val="nil"/>
              <w:right w:val="nil"/>
            </w:tcBorders>
            <w:shd w:val="clear" w:color="auto" w:fill="auto"/>
            <w:vAlign w:val="center"/>
          </w:tcPr>
          <w:p w14:paraId="11FA00B5"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.141</w:t>
            </w:r>
          </w:p>
        </w:tc>
        <w:tc>
          <w:tcPr>
            <w:tcW w:w="276" w:type="pct"/>
            <w:tcBorders>
              <w:top w:val="nil"/>
              <w:left w:val="nil"/>
              <w:bottom w:val="nil"/>
              <w:right w:val="nil"/>
            </w:tcBorders>
            <w:shd w:val="clear" w:color="auto" w:fill="auto"/>
            <w:vAlign w:val="center"/>
          </w:tcPr>
          <w:p w14:paraId="3EF9E01E"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.471</w:t>
            </w:r>
            <w:r w:rsidRPr="008B0B72">
              <w:rPr>
                <w:rFonts w:eastAsia="Gulim"/>
                <w:sz w:val="15"/>
                <w:szCs w:val="15"/>
                <w:vertAlign w:val="superscript"/>
              </w:rPr>
              <w:t>a</w:t>
            </w:r>
          </w:p>
        </w:tc>
        <w:tc>
          <w:tcPr>
            <w:tcW w:w="276" w:type="pct"/>
            <w:tcBorders>
              <w:top w:val="nil"/>
              <w:left w:val="nil"/>
              <w:bottom w:val="nil"/>
              <w:right w:val="nil"/>
            </w:tcBorders>
            <w:shd w:val="clear" w:color="auto" w:fill="auto"/>
            <w:vAlign w:val="center"/>
          </w:tcPr>
          <w:p w14:paraId="1317B9DD"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10421A65"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52FB56A1"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0F373256"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5392CA88"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4170B393"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1BA5E506" w14:textId="77777777" w:rsidR="00E9015E" w:rsidRPr="008B0B72" w:rsidRDefault="00E9015E" w:rsidP="00C14E25">
            <w:pPr>
              <w:widowControl/>
              <w:autoSpaceDE/>
              <w:autoSpaceDN/>
              <w:jc w:val="center"/>
              <w:rPr>
                <w:rFonts w:eastAsia="Gulim"/>
                <w:sz w:val="15"/>
                <w:szCs w:val="15"/>
              </w:rPr>
            </w:pPr>
          </w:p>
        </w:tc>
        <w:tc>
          <w:tcPr>
            <w:tcW w:w="278" w:type="pct"/>
            <w:tcBorders>
              <w:top w:val="nil"/>
              <w:left w:val="nil"/>
              <w:bottom w:val="nil"/>
              <w:right w:val="nil"/>
            </w:tcBorders>
            <w:shd w:val="clear" w:color="auto" w:fill="auto"/>
            <w:vAlign w:val="center"/>
          </w:tcPr>
          <w:p w14:paraId="464FC9C2"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vAlign w:val="center"/>
          </w:tcPr>
          <w:p w14:paraId="7DFBE240" w14:textId="77777777" w:rsidR="00E9015E" w:rsidRPr="008B0B72" w:rsidRDefault="00E9015E" w:rsidP="00C14E25">
            <w:pPr>
              <w:widowControl/>
              <w:autoSpaceDE/>
              <w:autoSpaceDN/>
              <w:jc w:val="center"/>
              <w:rPr>
                <w:rFonts w:eastAsia="Gulim"/>
                <w:sz w:val="15"/>
                <w:szCs w:val="15"/>
              </w:rPr>
            </w:pPr>
          </w:p>
        </w:tc>
      </w:tr>
      <w:tr w:rsidR="00E9015E" w:rsidRPr="000673A6" w14:paraId="1E75BA73" w14:textId="77777777" w:rsidTr="00C14E25">
        <w:trPr>
          <w:trHeight w:val="454"/>
        </w:trPr>
        <w:tc>
          <w:tcPr>
            <w:tcW w:w="1252" w:type="pct"/>
            <w:tcBorders>
              <w:top w:val="nil"/>
              <w:left w:val="nil"/>
              <w:bottom w:val="nil"/>
              <w:right w:val="nil"/>
            </w:tcBorders>
            <w:shd w:val="clear" w:color="auto" w:fill="auto"/>
            <w:vAlign w:val="center"/>
          </w:tcPr>
          <w:p w14:paraId="4CF3AE86" w14:textId="77777777" w:rsidR="00E9015E" w:rsidRPr="000673A6" w:rsidRDefault="00E9015E" w:rsidP="00E9015E">
            <w:pPr>
              <w:numPr>
                <w:ilvl w:val="0"/>
                <w:numId w:val="35"/>
              </w:numPr>
              <w:wordWrap w:val="0"/>
              <w:spacing w:line="276" w:lineRule="auto"/>
              <w:rPr>
                <w:sz w:val="15"/>
                <w:szCs w:val="15"/>
              </w:rPr>
            </w:pPr>
            <w:r w:rsidRPr="000673A6">
              <w:rPr>
                <w:sz w:val="15"/>
                <w:szCs w:val="15"/>
              </w:rPr>
              <w:t>Relational Governance</w:t>
            </w:r>
          </w:p>
        </w:tc>
        <w:tc>
          <w:tcPr>
            <w:tcW w:w="434" w:type="pct"/>
            <w:tcBorders>
              <w:top w:val="nil"/>
              <w:left w:val="nil"/>
              <w:bottom w:val="nil"/>
              <w:right w:val="nil"/>
            </w:tcBorders>
            <w:shd w:val="clear" w:color="auto" w:fill="auto"/>
            <w:vAlign w:val="center"/>
          </w:tcPr>
          <w:p w14:paraId="3B7B214C" w14:textId="77777777" w:rsidR="00E9015E" w:rsidRPr="000673A6" w:rsidRDefault="00E9015E" w:rsidP="00C14E25">
            <w:pPr>
              <w:jc w:val="center"/>
              <w:rPr>
                <w:rFonts w:eastAsia="Gulim"/>
                <w:sz w:val="15"/>
                <w:szCs w:val="15"/>
              </w:rPr>
            </w:pPr>
            <w:r w:rsidRPr="000673A6">
              <w:rPr>
                <w:sz w:val="15"/>
                <w:szCs w:val="15"/>
              </w:rPr>
              <w:t>3.688</w:t>
            </w:r>
          </w:p>
        </w:tc>
        <w:tc>
          <w:tcPr>
            <w:tcW w:w="276" w:type="pct"/>
            <w:tcBorders>
              <w:top w:val="nil"/>
              <w:left w:val="nil"/>
              <w:bottom w:val="nil"/>
              <w:right w:val="nil"/>
            </w:tcBorders>
            <w:shd w:val="clear" w:color="auto" w:fill="auto"/>
            <w:vAlign w:val="center"/>
          </w:tcPr>
          <w:p w14:paraId="7DB9398C" w14:textId="77777777" w:rsidR="00E9015E" w:rsidRPr="000673A6" w:rsidRDefault="00E9015E" w:rsidP="00C14E25">
            <w:pPr>
              <w:jc w:val="center"/>
              <w:rPr>
                <w:rFonts w:eastAsia="Gulim"/>
                <w:sz w:val="15"/>
                <w:szCs w:val="15"/>
              </w:rPr>
            </w:pPr>
            <w:r w:rsidRPr="000673A6">
              <w:rPr>
                <w:sz w:val="15"/>
                <w:szCs w:val="15"/>
              </w:rPr>
              <w:t>.653</w:t>
            </w:r>
          </w:p>
        </w:tc>
        <w:tc>
          <w:tcPr>
            <w:tcW w:w="276" w:type="pct"/>
            <w:tcBorders>
              <w:top w:val="nil"/>
              <w:left w:val="nil"/>
              <w:bottom w:val="nil"/>
              <w:right w:val="nil"/>
            </w:tcBorders>
            <w:shd w:val="clear" w:color="auto" w:fill="auto"/>
            <w:vAlign w:val="center"/>
          </w:tcPr>
          <w:p w14:paraId="45E1A100"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-.299</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7BEA61A0"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.023</w:t>
            </w:r>
          </w:p>
        </w:tc>
        <w:tc>
          <w:tcPr>
            <w:tcW w:w="276" w:type="pct"/>
            <w:tcBorders>
              <w:top w:val="nil"/>
              <w:left w:val="nil"/>
              <w:bottom w:val="nil"/>
              <w:right w:val="nil"/>
            </w:tcBorders>
            <w:shd w:val="clear" w:color="auto" w:fill="auto"/>
            <w:vAlign w:val="center"/>
          </w:tcPr>
          <w:p w14:paraId="69B03527"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.461</w:t>
            </w:r>
            <w:r w:rsidRPr="008B0B72">
              <w:rPr>
                <w:rFonts w:eastAsia="Gulim"/>
                <w:sz w:val="15"/>
                <w:szCs w:val="15"/>
                <w:vertAlign w:val="superscript"/>
              </w:rPr>
              <w:t>a</w:t>
            </w:r>
          </w:p>
        </w:tc>
        <w:tc>
          <w:tcPr>
            <w:tcW w:w="276" w:type="pct"/>
            <w:tcBorders>
              <w:top w:val="nil"/>
              <w:left w:val="nil"/>
              <w:bottom w:val="nil"/>
              <w:right w:val="nil"/>
            </w:tcBorders>
            <w:shd w:val="clear" w:color="auto" w:fill="auto"/>
            <w:vAlign w:val="center"/>
          </w:tcPr>
          <w:p w14:paraId="27F40717"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57C0C2BD"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18FBAE25"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0A5480FC"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66E4F838"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791370C7" w14:textId="77777777" w:rsidR="00E9015E" w:rsidRPr="008B0B72" w:rsidRDefault="00E9015E" w:rsidP="00C14E25">
            <w:pPr>
              <w:widowControl/>
              <w:autoSpaceDE/>
              <w:autoSpaceDN/>
              <w:jc w:val="center"/>
              <w:rPr>
                <w:rFonts w:eastAsia="Gulim"/>
                <w:sz w:val="15"/>
                <w:szCs w:val="15"/>
              </w:rPr>
            </w:pPr>
          </w:p>
        </w:tc>
        <w:tc>
          <w:tcPr>
            <w:tcW w:w="278" w:type="pct"/>
            <w:tcBorders>
              <w:top w:val="nil"/>
              <w:left w:val="nil"/>
              <w:bottom w:val="nil"/>
              <w:right w:val="nil"/>
            </w:tcBorders>
            <w:shd w:val="clear" w:color="auto" w:fill="auto"/>
            <w:vAlign w:val="center"/>
          </w:tcPr>
          <w:p w14:paraId="79DA8CD5"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vAlign w:val="center"/>
          </w:tcPr>
          <w:p w14:paraId="5059C209" w14:textId="77777777" w:rsidR="00E9015E" w:rsidRPr="008B0B72" w:rsidRDefault="00E9015E" w:rsidP="00C14E25">
            <w:pPr>
              <w:widowControl/>
              <w:autoSpaceDE/>
              <w:autoSpaceDN/>
              <w:jc w:val="center"/>
              <w:rPr>
                <w:rFonts w:eastAsia="Gulim"/>
                <w:sz w:val="15"/>
                <w:szCs w:val="15"/>
              </w:rPr>
            </w:pPr>
          </w:p>
        </w:tc>
      </w:tr>
      <w:tr w:rsidR="00E9015E" w:rsidRPr="000673A6" w14:paraId="2D85D6EC" w14:textId="77777777" w:rsidTr="00C14E25">
        <w:trPr>
          <w:trHeight w:val="454"/>
        </w:trPr>
        <w:tc>
          <w:tcPr>
            <w:tcW w:w="1252" w:type="pct"/>
            <w:tcBorders>
              <w:top w:val="nil"/>
              <w:left w:val="nil"/>
              <w:bottom w:val="nil"/>
              <w:right w:val="nil"/>
            </w:tcBorders>
            <w:shd w:val="clear" w:color="auto" w:fill="auto"/>
            <w:vAlign w:val="center"/>
          </w:tcPr>
          <w:p w14:paraId="257E85D3" w14:textId="77777777" w:rsidR="00E9015E" w:rsidRPr="000673A6" w:rsidRDefault="00E9015E" w:rsidP="00E9015E">
            <w:pPr>
              <w:numPr>
                <w:ilvl w:val="0"/>
                <w:numId w:val="35"/>
              </w:numPr>
              <w:wordWrap w:val="0"/>
              <w:spacing w:line="276" w:lineRule="auto"/>
              <w:rPr>
                <w:sz w:val="15"/>
                <w:szCs w:val="15"/>
              </w:rPr>
            </w:pPr>
            <w:r w:rsidRPr="000673A6">
              <w:rPr>
                <w:sz w:val="15"/>
                <w:szCs w:val="15"/>
              </w:rPr>
              <w:t>Contractual Governance</w:t>
            </w:r>
          </w:p>
        </w:tc>
        <w:tc>
          <w:tcPr>
            <w:tcW w:w="434" w:type="pct"/>
            <w:tcBorders>
              <w:top w:val="nil"/>
              <w:left w:val="nil"/>
              <w:bottom w:val="nil"/>
              <w:right w:val="nil"/>
            </w:tcBorders>
            <w:shd w:val="clear" w:color="auto" w:fill="auto"/>
            <w:vAlign w:val="center"/>
          </w:tcPr>
          <w:p w14:paraId="01E0C466" w14:textId="77777777" w:rsidR="00E9015E" w:rsidRPr="000673A6" w:rsidRDefault="00E9015E" w:rsidP="00C14E25">
            <w:pPr>
              <w:jc w:val="center"/>
              <w:rPr>
                <w:rFonts w:eastAsia="Gulim"/>
                <w:sz w:val="15"/>
                <w:szCs w:val="15"/>
              </w:rPr>
            </w:pPr>
            <w:r w:rsidRPr="000673A6">
              <w:rPr>
                <w:sz w:val="15"/>
                <w:szCs w:val="15"/>
              </w:rPr>
              <w:t>3.976</w:t>
            </w:r>
          </w:p>
        </w:tc>
        <w:tc>
          <w:tcPr>
            <w:tcW w:w="276" w:type="pct"/>
            <w:tcBorders>
              <w:top w:val="nil"/>
              <w:left w:val="nil"/>
              <w:bottom w:val="nil"/>
              <w:right w:val="nil"/>
            </w:tcBorders>
            <w:shd w:val="clear" w:color="auto" w:fill="auto"/>
            <w:vAlign w:val="center"/>
          </w:tcPr>
          <w:p w14:paraId="26DB413E" w14:textId="77777777" w:rsidR="00E9015E" w:rsidRPr="000673A6" w:rsidRDefault="00E9015E" w:rsidP="00C14E25">
            <w:pPr>
              <w:jc w:val="center"/>
              <w:rPr>
                <w:rFonts w:eastAsia="Gulim"/>
                <w:sz w:val="15"/>
                <w:szCs w:val="15"/>
              </w:rPr>
            </w:pPr>
            <w:r w:rsidRPr="000673A6">
              <w:rPr>
                <w:sz w:val="15"/>
                <w:szCs w:val="15"/>
              </w:rPr>
              <w:t>.808</w:t>
            </w:r>
          </w:p>
        </w:tc>
        <w:tc>
          <w:tcPr>
            <w:tcW w:w="276" w:type="pct"/>
            <w:tcBorders>
              <w:top w:val="nil"/>
              <w:left w:val="nil"/>
              <w:bottom w:val="nil"/>
              <w:right w:val="nil"/>
            </w:tcBorders>
            <w:shd w:val="clear" w:color="auto" w:fill="auto"/>
            <w:vAlign w:val="center"/>
          </w:tcPr>
          <w:p w14:paraId="4462A63E"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-.060</w:t>
            </w:r>
          </w:p>
        </w:tc>
        <w:tc>
          <w:tcPr>
            <w:tcW w:w="276" w:type="pct"/>
            <w:tcBorders>
              <w:top w:val="nil"/>
              <w:left w:val="nil"/>
              <w:bottom w:val="nil"/>
              <w:right w:val="nil"/>
            </w:tcBorders>
            <w:shd w:val="clear" w:color="auto" w:fill="auto"/>
            <w:vAlign w:val="center"/>
          </w:tcPr>
          <w:p w14:paraId="17906447"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.033</w:t>
            </w:r>
          </w:p>
        </w:tc>
        <w:tc>
          <w:tcPr>
            <w:tcW w:w="276" w:type="pct"/>
            <w:tcBorders>
              <w:top w:val="nil"/>
              <w:left w:val="nil"/>
              <w:bottom w:val="nil"/>
              <w:right w:val="nil"/>
            </w:tcBorders>
            <w:shd w:val="clear" w:color="auto" w:fill="auto"/>
            <w:vAlign w:val="center"/>
          </w:tcPr>
          <w:p w14:paraId="1963C3C6"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.438</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235A3D73"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.685</w:t>
            </w:r>
            <w:r w:rsidRPr="008B0B72">
              <w:rPr>
                <w:rFonts w:eastAsia="Gulim"/>
                <w:sz w:val="15"/>
                <w:szCs w:val="15"/>
                <w:vertAlign w:val="superscript"/>
              </w:rPr>
              <w:t>a</w:t>
            </w:r>
          </w:p>
        </w:tc>
        <w:tc>
          <w:tcPr>
            <w:tcW w:w="276" w:type="pct"/>
            <w:tcBorders>
              <w:top w:val="nil"/>
              <w:left w:val="nil"/>
              <w:bottom w:val="nil"/>
              <w:right w:val="nil"/>
            </w:tcBorders>
            <w:shd w:val="clear" w:color="auto" w:fill="auto"/>
            <w:vAlign w:val="center"/>
          </w:tcPr>
          <w:p w14:paraId="57F4394C"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4F46EE40"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6F2EFEB0"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78EDA649"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50114491" w14:textId="77777777" w:rsidR="00E9015E" w:rsidRPr="008B0B72" w:rsidRDefault="00E9015E" w:rsidP="00C14E25">
            <w:pPr>
              <w:widowControl/>
              <w:autoSpaceDE/>
              <w:autoSpaceDN/>
              <w:jc w:val="center"/>
              <w:rPr>
                <w:rFonts w:eastAsia="Gulim"/>
                <w:sz w:val="15"/>
                <w:szCs w:val="15"/>
              </w:rPr>
            </w:pPr>
          </w:p>
        </w:tc>
        <w:tc>
          <w:tcPr>
            <w:tcW w:w="278" w:type="pct"/>
            <w:tcBorders>
              <w:top w:val="nil"/>
              <w:left w:val="nil"/>
              <w:bottom w:val="nil"/>
              <w:right w:val="nil"/>
            </w:tcBorders>
            <w:shd w:val="clear" w:color="auto" w:fill="auto"/>
            <w:vAlign w:val="center"/>
          </w:tcPr>
          <w:p w14:paraId="418046DE"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vAlign w:val="center"/>
          </w:tcPr>
          <w:p w14:paraId="712B8478" w14:textId="77777777" w:rsidR="00E9015E" w:rsidRPr="008B0B72" w:rsidRDefault="00E9015E" w:rsidP="00C14E25">
            <w:pPr>
              <w:widowControl/>
              <w:autoSpaceDE/>
              <w:autoSpaceDN/>
              <w:jc w:val="center"/>
              <w:rPr>
                <w:rFonts w:eastAsia="Gulim"/>
                <w:sz w:val="15"/>
                <w:szCs w:val="15"/>
              </w:rPr>
            </w:pPr>
          </w:p>
        </w:tc>
      </w:tr>
      <w:tr w:rsidR="00E9015E" w:rsidRPr="000673A6" w14:paraId="77911334" w14:textId="77777777" w:rsidTr="00C14E25">
        <w:trPr>
          <w:trHeight w:val="454"/>
        </w:trPr>
        <w:tc>
          <w:tcPr>
            <w:tcW w:w="1252" w:type="pct"/>
            <w:tcBorders>
              <w:top w:val="nil"/>
              <w:left w:val="nil"/>
              <w:bottom w:val="nil"/>
              <w:right w:val="nil"/>
            </w:tcBorders>
            <w:shd w:val="clear" w:color="auto" w:fill="auto"/>
            <w:vAlign w:val="center"/>
          </w:tcPr>
          <w:p w14:paraId="0292E1CC" w14:textId="77777777" w:rsidR="00E9015E" w:rsidRPr="000673A6" w:rsidRDefault="00E9015E" w:rsidP="00E9015E">
            <w:pPr>
              <w:numPr>
                <w:ilvl w:val="0"/>
                <w:numId w:val="35"/>
              </w:numPr>
              <w:wordWrap w:val="0"/>
              <w:spacing w:line="276" w:lineRule="auto"/>
              <w:rPr>
                <w:sz w:val="15"/>
                <w:szCs w:val="15"/>
              </w:rPr>
            </w:pPr>
            <w:r w:rsidRPr="001523D4">
              <w:rPr>
                <w:sz w:val="15"/>
                <w:szCs w:val="15"/>
              </w:rPr>
              <w:t>Buyer’s Opportunis</w:t>
            </w:r>
            <w:r>
              <w:rPr>
                <w:sz w:val="15"/>
                <w:szCs w:val="15"/>
              </w:rPr>
              <w:t>m</w:t>
            </w:r>
          </w:p>
        </w:tc>
        <w:tc>
          <w:tcPr>
            <w:tcW w:w="434" w:type="pct"/>
            <w:tcBorders>
              <w:top w:val="nil"/>
              <w:left w:val="nil"/>
              <w:bottom w:val="nil"/>
              <w:right w:val="nil"/>
            </w:tcBorders>
            <w:shd w:val="clear" w:color="auto" w:fill="auto"/>
            <w:vAlign w:val="center"/>
          </w:tcPr>
          <w:p w14:paraId="57ECFC37" w14:textId="77777777" w:rsidR="00E9015E" w:rsidRPr="000673A6" w:rsidRDefault="00E9015E" w:rsidP="00C14E25">
            <w:pPr>
              <w:jc w:val="center"/>
              <w:rPr>
                <w:rFonts w:eastAsia="Gulim"/>
                <w:sz w:val="15"/>
                <w:szCs w:val="15"/>
              </w:rPr>
            </w:pPr>
            <w:r w:rsidRPr="000673A6">
              <w:rPr>
                <w:sz w:val="15"/>
                <w:szCs w:val="15"/>
              </w:rPr>
              <w:t>2.541</w:t>
            </w:r>
          </w:p>
        </w:tc>
        <w:tc>
          <w:tcPr>
            <w:tcW w:w="276" w:type="pct"/>
            <w:tcBorders>
              <w:top w:val="nil"/>
              <w:left w:val="nil"/>
              <w:bottom w:val="nil"/>
              <w:right w:val="nil"/>
            </w:tcBorders>
            <w:shd w:val="clear" w:color="auto" w:fill="auto"/>
            <w:vAlign w:val="center"/>
          </w:tcPr>
          <w:p w14:paraId="3994B129" w14:textId="77777777" w:rsidR="00E9015E" w:rsidRPr="000673A6" w:rsidRDefault="00E9015E" w:rsidP="00C14E25">
            <w:pPr>
              <w:jc w:val="center"/>
              <w:rPr>
                <w:rFonts w:eastAsia="Gulim"/>
                <w:sz w:val="15"/>
                <w:szCs w:val="15"/>
              </w:rPr>
            </w:pPr>
            <w:r w:rsidRPr="000673A6">
              <w:rPr>
                <w:sz w:val="15"/>
                <w:szCs w:val="15"/>
              </w:rPr>
              <w:t>.920</w:t>
            </w:r>
          </w:p>
        </w:tc>
        <w:tc>
          <w:tcPr>
            <w:tcW w:w="276" w:type="pct"/>
            <w:tcBorders>
              <w:top w:val="nil"/>
              <w:left w:val="nil"/>
              <w:bottom w:val="nil"/>
              <w:right w:val="nil"/>
            </w:tcBorders>
            <w:shd w:val="clear" w:color="auto" w:fill="auto"/>
            <w:vAlign w:val="center"/>
          </w:tcPr>
          <w:p w14:paraId="185D40F2"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.025</w:t>
            </w:r>
          </w:p>
        </w:tc>
        <w:tc>
          <w:tcPr>
            <w:tcW w:w="276" w:type="pct"/>
            <w:tcBorders>
              <w:top w:val="nil"/>
              <w:left w:val="nil"/>
              <w:bottom w:val="nil"/>
              <w:right w:val="nil"/>
            </w:tcBorders>
            <w:shd w:val="clear" w:color="auto" w:fill="auto"/>
            <w:vAlign w:val="center"/>
          </w:tcPr>
          <w:p w14:paraId="4C914F97"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.131</w:t>
            </w:r>
          </w:p>
        </w:tc>
        <w:tc>
          <w:tcPr>
            <w:tcW w:w="276" w:type="pct"/>
            <w:tcBorders>
              <w:top w:val="nil"/>
              <w:left w:val="nil"/>
              <w:bottom w:val="nil"/>
              <w:right w:val="nil"/>
            </w:tcBorders>
            <w:shd w:val="clear" w:color="auto" w:fill="auto"/>
            <w:vAlign w:val="center"/>
          </w:tcPr>
          <w:p w14:paraId="7DA73F39"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-.439</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14317914"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.174</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48FEA20C"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.651</w:t>
            </w:r>
            <w:r w:rsidRPr="008B0B72">
              <w:rPr>
                <w:rFonts w:eastAsia="Gulim"/>
                <w:sz w:val="15"/>
                <w:szCs w:val="15"/>
                <w:vertAlign w:val="superscript"/>
              </w:rPr>
              <w:t>a</w:t>
            </w:r>
          </w:p>
        </w:tc>
        <w:tc>
          <w:tcPr>
            <w:tcW w:w="276" w:type="pct"/>
            <w:tcBorders>
              <w:top w:val="nil"/>
              <w:left w:val="nil"/>
              <w:bottom w:val="nil"/>
              <w:right w:val="nil"/>
            </w:tcBorders>
            <w:shd w:val="clear" w:color="auto" w:fill="auto"/>
            <w:vAlign w:val="center"/>
          </w:tcPr>
          <w:p w14:paraId="6B9B7F86"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4778175D"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652522F9"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5CBBA2A4" w14:textId="77777777" w:rsidR="00E9015E" w:rsidRPr="008B0B72" w:rsidRDefault="00E9015E" w:rsidP="00C14E25">
            <w:pPr>
              <w:widowControl/>
              <w:autoSpaceDE/>
              <w:autoSpaceDN/>
              <w:jc w:val="center"/>
              <w:rPr>
                <w:rFonts w:eastAsia="Gulim"/>
                <w:sz w:val="15"/>
                <w:szCs w:val="15"/>
              </w:rPr>
            </w:pPr>
          </w:p>
        </w:tc>
        <w:tc>
          <w:tcPr>
            <w:tcW w:w="278" w:type="pct"/>
            <w:tcBorders>
              <w:top w:val="nil"/>
              <w:left w:val="nil"/>
              <w:bottom w:val="nil"/>
              <w:right w:val="nil"/>
            </w:tcBorders>
            <w:shd w:val="clear" w:color="auto" w:fill="auto"/>
            <w:vAlign w:val="center"/>
          </w:tcPr>
          <w:p w14:paraId="255B54E8"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vAlign w:val="center"/>
          </w:tcPr>
          <w:p w14:paraId="3BD50E44" w14:textId="77777777" w:rsidR="00E9015E" w:rsidRPr="008B0B72" w:rsidRDefault="00E9015E" w:rsidP="00C14E25">
            <w:pPr>
              <w:widowControl/>
              <w:autoSpaceDE/>
              <w:autoSpaceDN/>
              <w:jc w:val="center"/>
              <w:rPr>
                <w:rFonts w:eastAsia="Gulim"/>
                <w:sz w:val="15"/>
                <w:szCs w:val="15"/>
              </w:rPr>
            </w:pPr>
          </w:p>
        </w:tc>
      </w:tr>
      <w:tr w:rsidR="00E9015E" w:rsidRPr="000673A6" w14:paraId="2C230909" w14:textId="77777777" w:rsidTr="00C14E25">
        <w:trPr>
          <w:trHeight w:val="454"/>
        </w:trPr>
        <w:tc>
          <w:tcPr>
            <w:tcW w:w="1252" w:type="pct"/>
            <w:tcBorders>
              <w:top w:val="nil"/>
              <w:left w:val="nil"/>
              <w:bottom w:val="nil"/>
              <w:right w:val="nil"/>
            </w:tcBorders>
            <w:shd w:val="clear" w:color="auto" w:fill="auto"/>
            <w:vAlign w:val="center"/>
          </w:tcPr>
          <w:p w14:paraId="139A9D31" w14:textId="77777777" w:rsidR="00E9015E" w:rsidRPr="000673A6" w:rsidRDefault="00E9015E" w:rsidP="00E9015E">
            <w:pPr>
              <w:numPr>
                <w:ilvl w:val="0"/>
                <w:numId w:val="35"/>
              </w:numPr>
              <w:wordWrap w:val="0"/>
              <w:spacing w:line="276" w:lineRule="auto"/>
              <w:rPr>
                <w:sz w:val="15"/>
                <w:szCs w:val="15"/>
              </w:rPr>
            </w:pPr>
            <w:r w:rsidRPr="000673A6">
              <w:rPr>
                <w:sz w:val="15"/>
                <w:szCs w:val="15"/>
              </w:rPr>
              <w:t xml:space="preserve">Demand Uncertainty </w:t>
            </w:r>
          </w:p>
        </w:tc>
        <w:tc>
          <w:tcPr>
            <w:tcW w:w="434" w:type="pct"/>
            <w:tcBorders>
              <w:top w:val="nil"/>
              <w:left w:val="nil"/>
              <w:bottom w:val="nil"/>
              <w:right w:val="nil"/>
            </w:tcBorders>
            <w:shd w:val="clear" w:color="auto" w:fill="auto"/>
            <w:vAlign w:val="center"/>
          </w:tcPr>
          <w:p w14:paraId="2D8D1879" w14:textId="77777777" w:rsidR="00E9015E" w:rsidRPr="000673A6" w:rsidRDefault="00E9015E" w:rsidP="00C14E25">
            <w:pPr>
              <w:jc w:val="center"/>
              <w:rPr>
                <w:rFonts w:eastAsia="Gulim"/>
                <w:sz w:val="15"/>
                <w:szCs w:val="15"/>
              </w:rPr>
            </w:pPr>
            <w:r w:rsidRPr="000673A6">
              <w:rPr>
                <w:sz w:val="15"/>
                <w:szCs w:val="15"/>
              </w:rPr>
              <w:t>3.196</w:t>
            </w:r>
          </w:p>
        </w:tc>
        <w:tc>
          <w:tcPr>
            <w:tcW w:w="276" w:type="pct"/>
            <w:tcBorders>
              <w:top w:val="nil"/>
              <w:left w:val="nil"/>
              <w:bottom w:val="nil"/>
              <w:right w:val="nil"/>
            </w:tcBorders>
            <w:shd w:val="clear" w:color="auto" w:fill="auto"/>
            <w:vAlign w:val="center"/>
          </w:tcPr>
          <w:p w14:paraId="18F0B23A" w14:textId="77777777" w:rsidR="00E9015E" w:rsidRPr="000673A6" w:rsidRDefault="00E9015E" w:rsidP="00C14E25">
            <w:pPr>
              <w:jc w:val="center"/>
              <w:rPr>
                <w:rFonts w:eastAsia="Gulim"/>
                <w:sz w:val="15"/>
                <w:szCs w:val="15"/>
              </w:rPr>
            </w:pPr>
            <w:r w:rsidRPr="000673A6">
              <w:rPr>
                <w:sz w:val="15"/>
                <w:szCs w:val="15"/>
              </w:rPr>
              <w:t>.877</w:t>
            </w:r>
          </w:p>
        </w:tc>
        <w:tc>
          <w:tcPr>
            <w:tcW w:w="276" w:type="pct"/>
            <w:tcBorders>
              <w:top w:val="nil"/>
              <w:left w:val="nil"/>
              <w:bottom w:val="nil"/>
              <w:right w:val="nil"/>
            </w:tcBorders>
            <w:shd w:val="clear" w:color="auto" w:fill="auto"/>
            <w:vAlign w:val="center"/>
          </w:tcPr>
          <w:p w14:paraId="64F20D7F"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-.201</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34FCA458"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.032</w:t>
            </w:r>
          </w:p>
        </w:tc>
        <w:tc>
          <w:tcPr>
            <w:tcW w:w="276" w:type="pct"/>
            <w:tcBorders>
              <w:top w:val="nil"/>
              <w:left w:val="nil"/>
              <w:bottom w:val="nil"/>
              <w:right w:val="nil"/>
            </w:tcBorders>
            <w:shd w:val="clear" w:color="auto" w:fill="auto"/>
            <w:vAlign w:val="center"/>
          </w:tcPr>
          <w:p w14:paraId="5B398A53"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.028</w:t>
            </w:r>
          </w:p>
        </w:tc>
        <w:tc>
          <w:tcPr>
            <w:tcW w:w="276" w:type="pct"/>
            <w:tcBorders>
              <w:top w:val="nil"/>
              <w:left w:val="nil"/>
              <w:bottom w:val="nil"/>
              <w:right w:val="nil"/>
            </w:tcBorders>
            <w:shd w:val="clear" w:color="auto" w:fill="auto"/>
            <w:vAlign w:val="center"/>
          </w:tcPr>
          <w:p w14:paraId="497C817F"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-.086</w:t>
            </w:r>
          </w:p>
        </w:tc>
        <w:tc>
          <w:tcPr>
            <w:tcW w:w="276" w:type="pct"/>
            <w:tcBorders>
              <w:top w:val="nil"/>
              <w:left w:val="nil"/>
              <w:bottom w:val="nil"/>
              <w:right w:val="nil"/>
            </w:tcBorders>
            <w:shd w:val="clear" w:color="auto" w:fill="auto"/>
            <w:vAlign w:val="center"/>
          </w:tcPr>
          <w:p w14:paraId="4880BBD4"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.044</w:t>
            </w:r>
          </w:p>
        </w:tc>
        <w:tc>
          <w:tcPr>
            <w:tcW w:w="276" w:type="pct"/>
            <w:tcBorders>
              <w:top w:val="nil"/>
              <w:left w:val="nil"/>
              <w:bottom w:val="nil"/>
              <w:right w:val="nil"/>
            </w:tcBorders>
            <w:shd w:val="clear" w:color="auto" w:fill="auto"/>
            <w:vAlign w:val="center"/>
          </w:tcPr>
          <w:p w14:paraId="0DB293ED"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.588</w:t>
            </w:r>
            <w:r w:rsidRPr="008B0B72">
              <w:rPr>
                <w:rFonts w:eastAsia="Gulim"/>
                <w:sz w:val="15"/>
                <w:szCs w:val="15"/>
                <w:vertAlign w:val="superscript"/>
              </w:rPr>
              <w:t>a</w:t>
            </w:r>
          </w:p>
        </w:tc>
        <w:tc>
          <w:tcPr>
            <w:tcW w:w="276" w:type="pct"/>
            <w:tcBorders>
              <w:top w:val="nil"/>
              <w:left w:val="nil"/>
              <w:bottom w:val="nil"/>
              <w:right w:val="nil"/>
            </w:tcBorders>
            <w:shd w:val="clear" w:color="auto" w:fill="auto"/>
            <w:vAlign w:val="center"/>
          </w:tcPr>
          <w:p w14:paraId="16E1B1C2"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6B6D1DF7"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5423794D" w14:textId="77777777" w:rsidR="00E9015E" w:rsidRPr="008B0B72" w:rsidRDefault="00E9015E" w:rsidP="00C14E25">
            <w:pPr>
              <w:widowControl/>
              <w:autoSpaceDE/>
              <w:autoSpaceDN/>
              <w:jc w:val="center"/>
              <w:rPr>
                <w:rFonts w:eastAsia="Gulim"/>
                <w:sz w:val="15"/>
                <w:szCs w:val="15"/>
              </w:rPr>
            </w:pPr>
          </w:p>
        </w:tc>
        <w:tc>
          <w:tcPr>
            <w:tcW w:w="278" w:type="pct"/>
            <w:tcBorders>
              <w:top w:val="nil"/>
              <w:left w:val="nil"/>
              <w:bottom w:val="nil"/>
              <w:right w:val="nil"/>
            </w:tcBorders>
            <w:shd w:val="clear" w:color="auto" w:fill="auto"/>
            <w:vAlign w:val="center"/>
          </w:tcPr>
          <w:p w14:paraId="6FF16074"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vAlign w:val="center"/>
          </w:tcPr>
          <w:p w14:paraId="1A0E280C" w14:textId="77777777" w:rsidR="00E9015E" w:rsidRPr="008B0B72" w:rsidRDefault="00E9015E" w:rsidP="00C14E25">
            <w:pPr>
              <w:widowControl/>
              <w:autoSpaceDE/>
              <w:autoSpaceDN/>
              <w:jc w:val="center"/>
              <w:rPr>
                <w:rFonts w:eastAsia="Gulim"/>
                <w:sz w:val="15"/>
                <w:szCs w:val="15"/>
              </w:rPr>
            </w:pPr>
          </w:p>
        </w:tc>
      </w:tr>
      <w:tr w:rsidR="00E9015E" w:rsidRPr="000673A6" w14:paraId="7D1587B8" w14:textId="77777777" w:rsidTr="00C14E25">
        <w:trPr>
          <w:trHeight w:val="454"/>
        </w:trPr>
        <w:tc>
          <w:tcPr>
            <w:tcW w:w="1252" w:type="pct"/>
            <w:tcBorders>
              <w:top w:val="nil"/>
              <w:left w:val="nil"/>
              <w:bottom w:val="nil"/>
              <w:right w:val="nil"/>
            </w:tcBorders>
            <w:shd w:val="clear" w:color="auto" w:fill="auto"/>
            <w:vAlign w:val="center"/>
          </w:tcPr>
          <w:p w14:paraId="571E6C58" w14:textId="77777777" w:rsidR="00E9015E" w:rsidRPr="000673A6" w:rsidRDefault="00E9015E" w:rsidP="00E9015E">
            <w:pPr>
              <w:numPr>
                <w:ilvl w:val="0"/>
                <w:numId w:val="35"/>
              </w:numPr>
              <w:wordWrap w:val="0"/>
              <w:spacing w:line="276" w:lineRule="auto"/>
              <w:rPr>
                <w:sz w:val="15"/>
                <w:szCs w:val="15"/>
              </w:rPr>
            </w:pPr>
            <w:r w:rsidRPr="000673A6">
              <w:rPr>
                <w:sz w:val="15"/>
                <w:szCs w:val="15"/>
              </w:rPr>
              <w:t xml:space="preserve">Technology Uncertainty </w:t>
            </w:r>
          </w:p>
        </w:tc>
        <w:tc>
          <w:tcPr>
            <w:tcW w:w="434" w:type="pct"/>
            <w:tcBorders>
              <w:top w:val="nil"/>
              <w:left w:val="nil"/>
              <w:bottom w:val="nil"/>
              <w:right w:val="nil"/>
            </w:tcBorders>
            <w:shd w:val="clear" w:color="auto" w:fill="auto"/>
            <w:vAlign w:val="center"/>
          </w:tcPr>
          <w:p w14:paraId="452F5026" w14:textId="77777777" w:rsidR="00E9015E" w:rsidRPr="000673A6" w:rsidRDefault="00E9015E" w:rsidP="00C14E25">
            <w:pPr>
              <w:jc w:val="center"/>
              <w:rPr>
                <w:rFonts w:eastAsia="Gulim"/>
                <w:sz w:val="15"/>
                <w:szCs w:val="15"/>
              </w:rPr>
            </w:pPr>
            <w:r w:rsidRPr="000673A6">
              <w:rPr>
                <w:sz w:val="15"/>
                <w:szCs w:val="15"/>
              </w:rPr>
              <w:t>2.952</w:t>
            </w:r>
          </w:p>
        </w:tc>
        <w:tc>
          <w:tcPr>
            <w:tcW w:w="276" w:type="pct"/>
            <w:tcBorders>
              <w:top w:val="nil"/>
              <w:left w:val="nil"/>
              <w:bottom w:val="nil"/>
              <w:right w:val="nil"/>
            </w:tcBorders>
            <w:shd w:val="clear" w:color="auto" w:fill="auto"/>
            <w:vAlign w:val="center"/>
          </w:tcPr>
          <w:p w14:paraId="43229606" w14:textId="77777777" w:rsidR="00E9015E" w:rsidRPr="000673A6" w:rsidRDefault="00E9015E" w:rsidP="00C14E25">
            <w:pPr>
              <w:jc w:val="center"/>
              <w:rPr>
                <w:rFonts w:eastAsia="Gulim"/>
                <w:sz w:val="15"/>
                <w:szCs w:val="15"/>
              </w:rPr>
            </w:pPr>
            <w:r w:rsidRPr="000673A6">
              <w:rPr>
                <w:sz w:val="15"/>
                <w:szCs w:val="15"/>
              </w:rPr>
              <w:t>.885</w:t>
            </w:r>
          </w:p>
        </w:tc>
        <w:tc>
          <w:tcPr>
            <w:tcW w:w="276" w:type="pct"/>
            <w:tcBorders>
              <w:top w:val="nil"/>
              <w:left w:val="nil"/>
              <w:bottom w:val="nil"/>
              <w:right w:val="nil"/>
            </w:tcBorders>
            <w:shd w:val="clear" w:color="auto" w:fill="auto"/>
            <w:vAlign w:val="center"/>
          </w:tcPr>
          <w:p w14:paraId="20E24451"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.164</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23638CA0"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.137</w:t>
            </w:r>
          </w:p>
        </w:tc>
        <w:tc>
          <w:tcPr>
            <w:tcW w:w="276" w:type="pct"/>
            <w:tcBorders>
              <w:top w:val="nil"/>
              <w:left w:val="nil"/>
              <w:bottom w:val="nil"/>
              <w:right w:val="nil"/>
            </w:tcBorders>
            <w:shd w:val="clear" w:color="auto" w:fill="auto"/>
            <w:vAlign w:val="center"/>
          </w:tcPr>
          <w:p w14:paraId="3D16AE9E"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.102</w:t>
            </w:r>
          </w:p>
        </w:tc>
        <w:tc>
          <w:tcPr>
            <w:tcW w:w="276" w:type="pct"/>
            <w:tcBorders>
              <w:top w:val="nil"/>
              <w:left w:val="nil"/>
              <w:bottom w:val="nil"/>
              <w:right w:val="nil"/>
            </w:tcBorders>
            <w:shd w:val="clear" w:color="auto" w:fill="auto"/>
            <w:vAlign w:val="center"/>
          </w:tcPr>
          <w:p w14:paraId="2A35AABB"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.075</w:t>
            </w:r>
          </w:p>
        </w:tc>
        <w:tc>
          <w:tcPr>
            <w:tcW w:w="276" w:type="pct"/>
            <w:tcBorders>
              <w:top w:val="nil"/>
              <w:left w:val="nil"/>
              <w:bottom w:val="nil"/>
              <w:right w:val="nil"/>
            </w:tcBorders>
            <w:shd w:val="clear" w:color="auto" w:fill="auto"/>
            <w:vAlign w:val="center"/>
          </w:tcPr>
          <w:p w14:paraId="67E39EC6"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-.136</w:t>
            </w:r>
          </w:p>
        </w:tc>
        <w:tc>
          <w:tcPr>
            <w:tcW w:w="276" w:type="pct"/>
            <w:tcBorders>
              <w:top w:val="nil"/>
              <w:left w:val="nil"/>
              <w:bottom w:val="nil"/>
              <w:right w:val="nil"/>
            </w:tcBorders>
            <w:shd w:val="clear" w:color="auto" w:fill="auto"/>
            <w:vAlign w:val="center"/>
          </w:tcPr>
          <w:p w14:paraId="224EFFC7"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.459</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4BB733B5"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.636</w:t>
            </w:r>
            <w:r w:rsidRPr="008B0B72">
              <w:rPr>
                <w:rFonts w:eastAsia="Gulim"/>
                <w:sz w:val="15"/>
                <w:szCs w:val="15"/>
                <w:vertAlign w:val="superscript"/>
              </w:rPr>
              <w:t>a</w:t>
            </w:r>
          </w:p>
        </w:tc>
        <w:tc>
          <w:tcPr>
            <w:tcW w:w="276" w:type="pct"/>
            <w:tcBorders>
              <w:top w:val="nil"/>
              <w:left w:val="nil"/>
              <w:bottom w:val="nil"/>
              <w:right w:val="nil"/>
            </w:tcBorders>
            <w:shd w:val="clear" w:color="auto" w:fill="auto"/>
            <w:vAlign w:val="center"/>
          </w:tcPr>
          <w:p w14:paraId="4E478C5B"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shd w:val="clear" w:color="auto" w:fill="auto"/>
            <w:vAlign w:val="center"/>
          </w:tcPr>
          <w:p w14:paraId="29E06497" w14:textId="77777777" w:rsidR="00E9015E" w:rsidRPr="008B0B72" w:rsidRDefault="00E9015E" w:rsidP="00C14E25">
            <w:pPr>
              <w:widowControl/>
              <w:autoSpaceDE/>
              <w:autoSpaceDN/>
              <w:jc w:val="center"/>
              <w:rPr>
                <w:rFonts w:eastAsia="Gulim"/>
                <w:sz w:val="15"/>
                <w:szCs w:val="15"/>
              </w:rPr>
            </w:pPr>
          </w:p>
        </w:tc>
        <w:tc>
          <w:tcPr>
            <w:tcW w:w="278" w:type="pct"/>
            <w:tcBorders>
              <w:top w:val="nil"/>
              <w:left w:val="nil"/>
              <w:bottom w:val="nil"/>
              <w:right w:val="nil"/>
            </w:tcBorders>
            <w:shd w:val="clear" w:color="auto" w:fill="auto"/>
            <w:vAlign w:val="center"/>
          </w:tcPr>
          <w:p w14:paraId="207FAD0E"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vAlign w:val="center"/>
          </w:tcPr>
          <w:p w14:paraId="5D1EAE67" w14:textId="77777777" w:rsidR="00E9015E" w:rsidRPr="008B0B72" w:rsidRDefault="00E9015E" w:rsidP="00C14E25">
            <w:pPr>
              <w:widowControl/>
              <w:autoSpaceDE/>
              <w:autoSpaceDN/>
              <w:jc w:val="center"/>
              <w:rPr>
                <w:rFonts w:eastAsia="Gulim"/>
                <w:sz w:val="15"/>
                <w:szCs w:val="15"/>
              </w:rPr>
            </w:pPr>
          </w:p>
        </w:tc>
      </w:tr>
      <w:tr w:rsidR="00E9015E" w:rsidRPr="000673A6" w14:paraId="2911EF86" w14:textId="77777777" w:rsidTr="00C14E25">
        <w:trPr>
          <w:trHeight w:val="454"/>
        </w:trPr>
        <w:tc>
          <w:tcPr>
            <w:tcW w:w="1252" w:type="pct"/>
            <w:tcBorders>
              <w:top w:val="nil"/>
              <w:left w:val="nil"/>
              <w:bottom w:val="nil"/>
              <w:right w:val="nil"/>
            </w:tcBorders>
            <w:shd w:val="clear" w:color="auto" w:fill="auto"/>
            <w:vAlign w:val="center"/>
          </w:tcPr>
          <w:p w14:paraId="3E04AA09" w14:textId="77777777" w:rsidR="00E9015E" w:rsidRPr="000673A6" w:rsidRDefault="00E9015E" w:rsidP="00E9015E">
            <w:pPr>
              <w:numPr>
                <w:ilvl w:val="0"/>
                <w:numId w:val="35"/>
              </w:numPr>
              <w:wordWrap w:val="0"/>
              <w:spacing w:line="276" w:lineRule="auto"/>
              <w:rPr>
                <w:sz w:val="15"/>
                <w:szCs w:val="15"/>
              </w:rPr>
            </w:pPr>
            <w:r w:rsidRPr="000673A6">
              <w:rPr>
                <w:sz w:val="15"/>
                <w:szCs w:val="15"/>
              </w:rPr>
              <w:t xml:space="preserve">Supplier-Buyer Relationship Duration </w:t>
            </w:r>
          </w:p>
        </w:tc>
        <w:tc>
          <w:tcPr>
            <w:tcW w:w="434" w:type="pct"/>
            <w:tcBorders>
              <w:top w:val="nil"/>
              <w:left w:val="nil"/>
              <w:bottom w:val="nil"/>
              <w:right w:val="nil"/>
            </w:tcBorders>
            <w:shd w:val="clear" w:color="auto" w:fill="auto"/>
            <w:vAlign w:val="center"/>
          </w:tcPr>
          <w:p w14:paraId="53FBEF6A" w14:textId="77777777" w:rsidR="00E9015E" w:rsidRPr="000673A6" w:rsidRDefault="00E9015E" w:rsidP="00C14E25">
            <w:pPr>
              <w:jc w:val="center"/>
              <w:rPr>
                <w:rFonts w:eastAsia="Gulim"/>
                <w:sz w:val="15"/>
                <w:szCs w:val="15"/>
              </w:rPr>
            </w:pPr>
            <w:r w:rsidRPr="000673A6">
              <w:rPr>
                <w:sz w:val="15"/>
                <w:szCs w:val="15"/>
              </w:rPr>
              <w:t>19.976</w:t>
            </w:r>
          </w:p>
        </w:tc>
        <w:tc>
          <w:tcPr>
            <w:tcW w:w="276" w:type="pct"/>
            <w:tcBorders>
              <w:top w:val="nil"/>
              <w:left w:val="nil"/>
              <w:bottom w:val="nil"/>
              <w:right w:val="nil"/>
            </w:tcBorders>
            <w:shd w:val="clear" w:color="auto" w:fill="auto"/>
            <w:vAlign w:val="center"/>
          </w:tcPr>
          <w:p w14:paraId="031C8EAD" w14:textId="77777777" w:rsidR="00E9015E" w:rsidRPr="000673A6" w:rsidRDefault="00E9015E" w:rsidP="00C14E25">
            <w:pPr>
              <w:jc w:val="center"/>
              <w:rPr>
                <w:rFonts w:eastAsia="Gulim"/>
                <w:sz w:val="15"/>
                <w:szCs w:val="15"/>
              </w:rPr>
            </w:pPr>
            <w:r w:rsidRPr="000673A6">
              <w:rPr>
                <w:sz w:val="15"/>
                <w:szCs w:val="15"/>
              </w:rPr>
              <w:t>11.130</w:t>
            </w:r>
          </w:p>
        </w:tc>
        <w:tc>
          <w:tcPr>
            <w:tcW w:w="276" w:type="pct"/>
            <w:tcBorders>
              <w:top w:val="nil"/>
              <w:left w:val="nil"/>
              <w:bottom w:val="nil"/>
              <w:right w:val="nil"/>
            </w:tcBorders>
            <w:shd w:val="clear" w:color="auto" w:fill="auto"/>
            <w:vAlign w:val="center"/>
          </w:tcPr>
          <w:p w14:paraId="799A3C2A"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-.079</w:t>
            </w:r>
          </w:p>
        </w:tc>
        <w:tc>
          <w:tcPr>
            <w:tcW w:w="276" w:type="pct"/>
            <w:tcBorders>
              <w:top w:val="nil"/>
              <w:left w:val="nil"/>
              <w:bottom w:val="nil"/>
              <w:right w:val="nil"/>
            </w:tcBorders>
            <w:shd w:val="clear" w:color="auto" w:fill="auto"/>
            <w:vAlign w:val="center"/>
          </w:tcPr>
          <w:p w14:paraId="2D0315BE"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.372</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6A65D597"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.034</w:t>
            </w:r>
          </w:p>
        </w:tc>
        <w:tc>
          <w:tcPr>
            <w:tcW w:w="276" w:type="pct"/>
            <w:tcBorders>
              <w:top w:val="nil"/>
              <w:left w:val="nil"/>
              <w:bottom w:val="nil"/>
              <w:right w:val="nil"/>
            </w:tcBorders>
            <w:shd w:val="clear" w:color="auto" w:fill="auto"/>
            <w:vAlign w:val="center"/>
          </w:tcPr>
          <w:p w14:paraId="5FBFEB34"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.055</w:t>
            </w:r>
          </w:p>
        </w:tc>
        <w:tc>
          <w:tcPr>
            <w:tcW w:w="276" w:type="pct"/>
            <w:tcBorders>
              <w:top w:val="nil"/>
              <w:left w:val="nil"/>
              <w:bottom w:val="nil"/>
              <w:right w:val="nil"/>
            </w:tcBorders>
            <w:shd w:val="clear" w:color="auto" w:fill="auto"/>
            <w:vAlign w:val="center"/>
          </w:tcPr>
          <w:p w14:paraId="60AF1290"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.033</w:t>
            </w:r>
          </w:p>
        </w:tc>
        <w:tc>
          <w:tcPr>
            <w:tcW w:w="276" w:type="pct"/>
            <w:tcBorders>
              <w:top w:val="nil"/>
              <w:left w:val="nil"/>
              <w:bottom w:val="nil"/>
              <w:right w:val="nil"/>
            </w:tcBorders>
            <w:shd w:val="clear" w:color="auto" w:fill="auto"/>
            <w:vAlign w:val="center"/>
          </w:tcPr>
          <w:p w14:paraId="37681500"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.074</w:t>
            </w:r>
          </w:p>
        </w:tc>
        <w:tc>
          <w:tcPr>
            <w:tcW w:w="276" w:type="pct"/>
            <w:tcBorders>
              <w:top w:val="nil"/>
              <w:left w:val="nil"/>
              <w:bottom w:val="nil"/>
              <w:right w:val="nil"/>
            </w:tcBorders>
            <w:shd w:val="clear" w:color="auto" w:fill="auto"/>
            <w:vAlign w:val="center"/>
          </w:tcPr>
          <w:p w14:paraId="2EFA700D"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.031</w:t>
            </w:r>
          </w:p>
        </w:tc>
        <w:tc>
          <w:tcPr>
            <w:tcW w:w="276" w:type="pct"/>
            <w:tcBorders>
              <w:top w:val="nil"/>
              <w:left w:val="nil"/>
              <w:bottom w:val="nil"/>
              <w:right w:val="nil"/>
            </w:tcBorders>
            <w:shd w:val="clear" w:color="auto" w:fill="auto"/>
            <w:vAlign w:val="center"/>
          </w:tcPr>
          <w:p w14:paraId="58A96E66"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w:t>
            </w:r>
          </w:p>
        </w:tc>
        <w:tc>
          <w:tcPr>
            <w:tcW w:w="276" w:type="pct"/>
            <w:tcBorders>
              <w:top w:val="nil"/>
              <w:left w:val="nil"/>
              <w:bottom w:val="nil"/>
              <w:right w:val="nil"/>
            </w:tcBorders>
            <w:shd w:val="clear" w:color="auto" w:fill="auto"/>
            <w:vAlign w:val="center"/>
          </w:tcPr>
          <w:p w14:paraId="76FD2A6D" w14:textId="77777777" w:rsidR="00E9015E" w:rsidRPr="008B0B72" w:rsidRDefault="00E9015E" w:rsidP="00C14E25">
            <w:pPr>
              <w:widowControl/>
              <w:autoSpaceDE/>
              <w:autoSpaceDN/>
              <w:jc w:val="center"/>
              <w:rPr>
                <w:rFonts w:eastAsia="Gulim"/>
                <w:sz w:val="15"/>
                <w:szCs w:val="15"/>
              </w:rPr>
            </w:pPr>
          </w:p>
        </w:tc>
        <w:tc>
          <w:tcPr>
            <w:tcW w:w="278" w:type="pct"/>
            <w:tcBorders>
              <w:top w:val="nil"/>
              <w:left w:val="nil"/>
              <w:bottom w:val="nil"/>
              <w:right w:val="nil"/>
            </w:tcBorders>
            <w:shd w:val="clear" w:color="auto" w:fill="auto"/>
            <w:vAlign w:val="center"/>
          </w:tcPr>
          <w:p w14:paraId="69517C99"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vAlign w:val="center"/>
          </w:tcPr>
          <w:p w14:paraId="7625F416" w14:textId="77777777" w:rsidR="00E9015E" w:rsidRPr="008B0B72" w:rsidRDefault="00E9015E" w:rsidP="00C14E25">
            <w:pPr>
              <w:widowControl/>
              <w:autoSpaceDE/>
              <w:autoSpaceDN/>
              <w:jc w:val="center"/>
              <w:rPr>
                <w:rFonts w:eastAsia="Gulim"/>
                <w:sz w:val="15"/>
                <w:szCs w:val="15"/>
              </w:rPr>
            </w:pPr>
          </w:p>
        </w:tc>
      </w:tr>
      <w:tr w:rsidR="00E9015E" w:rsidRPr="000673A6" w14:paraId="082DF509" w14:textId="77777777" w:rsidTr="00C14E25">
        <w:trPr>
          <w:trHeight w:val="454"/>
        </w:trPr>
        <w:tc>
          <w:tcPr>
            <w:tcW w:w="1252" w:type="pct"/>
            <w:tcBorders>
              <w:top w:val="nil"/>
              <w:left w:val="nil"/>
              <w:bottom w:val="nil"/>
              <w:right w:val="nil"/>
            </w:tcBorders>
            <w:shd w:val="clear" w:color="auto" w:fill="auto"/>
            <w:vAlign w:val="center"/>
          </w:tcPr>
          <w:p w14:paraId="301EA127" w14:textId="77777777" w:rsidR="00E9015E" w:rsidRPr="000673A6" w:rsidRDefault="00E9015E" w:rsidP="00E9015E">
            <w:pPr>
              <w:numPr>
                <w:ilvl w:val="0"/>
                <w:numId w:val="35"/>
              </w:numPr>
              <w:wordWrap w:val="0"/>
              <w:spacing w:line="276" w:lineRule="auto"/>
              <w:rPr>
                <w:sz w:val="15"/>
                <w:szCs w:val="15"/>
              </w:rPr>
            </w:pPr>
            <w:r w:rsidRPr="000673A6">
              <w:rPr>
                <w:sz w:val="15"/>
                <w:szCs w:val="15"/>
              </w:rPr>
              <w:t>Buyer’s dependence on the supplier</w:t>
            </w:r>
          </w:p>
        </w:tc>
        <w:tc>
          <w:tcPr>
            <w:tcW w:w="434" w:type="pct"/>
            <w:tcBorders>
              <w:top w:val="nil"/>
              <w:left w:val="nil"/>
              <w:bottom w:val="nil"/>
              <w:right w:val="nil"/>
            </w:tcBorders>
            <w:shd w:val="clear" w:color="auto" w:fill="auto"/>
            <w:vAlign w:val="center"/>
          </w:tcPr>
          <w:p w14:paraId="221914DC" w14:textId="77777777" w:rsidR="00E9015E" w:rsidRPr="000673A6" w:rsidRDefault="00E9015E" w:rsidP="00C14E25">
            <w:pPr>
              <w:jc w:val="center"/>
              <w:rPr>
                <w:rFonts w:eastAsia="Gulim"/>
                <w:sz w:val="15"/>
                <w:szCs w:val="15"/>
              </w:rPr>
            </w:pPr>
            <w:r w:rsidRPr="000673A6">
              <w:rPr>
                <w:sz w:val="15"/>
                <w:szCs w:val="15"/>
              </w:rPr>
              <w:t>2.683</w:t>
            </w:r>
          </w:p>
        </w:tc>
        <w:tc>
          <w:tcPr>
            <w:tcW w:w="276" w:type="pct"/>
            <w:tcBorders>
              <w:top w:val="nil"/>
              <w:left w:val="nil"/>
              <w:bottom w:val="nil"/>
              <w:right w:val="nil"/>
            </w:tcBorders>
            <w:shd w:val="clear" w:color="auto" w:fill="auto"/>
            <w:vAlign w:val="center"/>
          </w:tcPr>
          <w:p w14:paraId="3741FE89" w14:textId="77777777" w:rsidR="00E9015E" w:rsidRPr="000673A6" w:rsidRDefault="00E9015E" w:rsidP="00C14E25">
            <w:pPr>
              <w:jc w:val="center"/>
              <w:rPr>
                <w:rFonts w:eastAsia="Gulim"/>
                <w:sz w:val="15"/>
                <w:szCs w:val="15"/>
              </w:rPr>
            </w:pPr>
            <w:r w:rsidRPr="000673A6">
              <w:rPr>
                <w:sz w:val="15"/>
                <w:szCs w:val="15"/>
              </w:rPr>
              <w:t>.758</w:t>
            </w:r>
          </w:p>
        </w:tc>
        <w:tc>
          <w:tcPr>
            <w:tcW w:w="276" w:type="pct"/>
            <w:tcBorders>
              <w:top w:val="nil"/>
              <w:left w:val="nil"/>
              <w:bottom w:val="nil"/>
              <w:right w:val="nil"/>
            </w:tcBorders>
            <w:shd w:val="clear" w:color="auto" w:fill="auto"/>
            <w:vAlign w:val="center"/>
          </w:tcPr>
          <w:p w14:paraId="79CE9399"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.041</w:t>
            </w:r>
          </w:p>
        </w:tc>
        <w:tc>
          <w:tcPr>
            <w:tcW w:w="276" w:type="pct"/>
            <w:tcBorders>
              <w:top w:val="nil"/>
              <w:left w:val="nil"/>
              <w:bottom w:val="nil"/>
              <w:right w:val="nil"/>
            </w:tcBorders>
            <w:shd w:val="clear" w:color="auto" w:fill="auto"/>
            <w:vAlign w:val="center"/>
          </w:tcPr>
          <w:p w14:paraId="05015FE1"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.177</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20C7E1A1"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.189</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2F279B61"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-.027</w:t>
            </w:r>
          </w:p>
        </w:tc>
        <w:tc>
          <w:tcPr>
            <w:tcW w:w="276" w:type="pct"/>
            <w:tcBorders>
              <w:top w:val="nil"/>
              <w:left w:val="nil"/>
              <w:bottom w:val="nil"/>
              <w:right w:val="nil"/>
            </w:tcBorders>
            <w:shd w:val="clear" w:color="auto" w:fill="auto"/>
            <w:vAlign w:val="center"/>
          </w:tcPr>
          <w:p w14:paraId="1D80B36E"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.176</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6D70389B"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.150</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0538949D"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.087</w:t>
            </w:r>
          </w:p>
        </w:tc>
        <w:tc>
          <w:tcPr>
            <w:tcW w:w="276" w:type="pct"/>
            <w:tcBorders>
              <w:top w:val="nil"/>
              <w:left w:val="nil"/>
              <w:bottom w:val="nil"/>
              <w:right w:val="nil"/>
            </w:tcBorders>
            <w:shd w:val="clear" w:color="auto" w:fill="auto"/>
            <w:vAlign w:val="center"/>
          </w:tcPr>
          <w:p w14:paraId="66A9F9B7"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.159</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21DDC18A"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.502</w:t>
            </w:r>
            <w:r w:rsidRPr="008B0B72">
              <w:rPr>
                <w:rFonts w:eastAsia="Gulim"/>
                <w:sz w:val="15"/>
                <w:szCs w:val="15"/>
                <w:vertAlign w:val="superscript"/>
              </w:rPr>
              <w:t>a</w:t>
            </w:r>
          </w:p>
        </w:tc>
        <w:tc>
          <w:tcPr>
            <w:tcW w:w="278" w:type="pct"/>
            <w:tcBorders>
              <w:top w:val="nil"/>
              <w:left w:val="nil"/>
              <w:bottom w:val="nil"/>
              <w:right w:val="nil"/>
            </w:tcBorders>
            <w:shd w:val="clear" w:color="auto" w:fill="auto"/>
            <w:vAlign w:val="center"/>
          </w:tcPr>
          <w:p w14:paraId="53569FBA" w14:textId="77777777" w:rsidR="00E9015E" w:rsidRPr="008B0B72" w:rsidRDefault="00E9015E" w:rsidP="00C14E25">
            <w:pPr>
              <w:widowControl/>
              <w:autoSpaceDE/>
              <w:autoSpaceDN/>
              <w:jc w:val="center"/>
              <w:rPr>
                <w:rFonts w:eastAsia="Gulim"/>
                <w:sz w:val="15"/>
                <w:szCs w:val="15"/>
              </w:rPr>
            </w:pPr>
          </w:p>
        </w:tc>
        <w:tc>
          <w:tcPr>
            <w:tcW w:w="276" w:type="pct"/>
            <w:tcBorders>
              <w:top w:val="nil"/>
              <w:left w:val="nil"/>
              <w:bottom w:val="nil"/>
              <w:right w:val="nil"/>
            </w:tcBorders>
            <w:vAlign w:val="center"/>
          </w:tcPr>
          <w:p w14:paraId="3D3A7F2F" w14:textId="77777777" w:rsidR="00E9015E" w:rsidRPr="008B0B72" w:rsidRDefault="00E9015E" w:rsidP="00C14E25">
            <w:pPr>
              <w:widowControl/>
              <w:autoSpaceDE/>
              <w:autoSpaceDN/>
              <w:jc w:val="center"/>
              <w:rPr>
                <w:rFonts w:eastAsia="Gulim"/>
                <w:sz w:val="15"/>
                <w:szCs w:val="15"/>
              </w:rPr>
            </w:pPr>
          </w:p>
        </w:tc>
      </w:tr>
      <w:tr w:rsidR="00E9015E" w:rsidRPr="000673A6" w14:paraId="4B2504D0" w14:textId="77777777" w:rsidTr="00C14E25">
        <w:trPr>
          <w:trHeight w:val="454"/>
        </w:trPr>
        <w:tc>
          <w:tcPr>
            <w:tcW w:w="1252" w:type="pct"/>
            <w:tcBorders>
              <w:top w:val="nil"/>
              <w:left w:val="nil"/>
              <w:bottom w:val="nil"/>
              <w:right w:val="nil"/>
            </w:tcBorders>
            <w:shd w:val="clear" w:color="auto" w:fill="auto"/>
            <w:vAlign w:val="center"/>
          </w:tcPr>
          <w:p w14:paraId="661E0E45" w14:textId="77777777" w:rsidR="00E9015E" w:rsidRPr="000673A6" w:rsidRDefault="00E9015E" w:rsidP="00E9015E">
            <w:pPr>
              <w:numPr>
                <w:ilvl w:val="0"/>
                <w:numId w:val="35"/>
              </w:numPr>
              <w:wordWrap w:val="0"/>
              <w:spacing w:line="276" w:lineRule="auto"/>
              <w:rPr>
                <w:sz w:val="15"/>
                <w:szCs w:val="15"/>
              </w:rPr>
            </w:pPr>
            <w:r w:rsidRPr="000673A6">
              <w:rPr>
                <w:sz w:val="15"/>
                <w:szCs w:val="15"/>
              </w:rPr>
              <w:t>Firm Size (natural logarithm of annual sales)</w:t>
            </w:r>
          </w:p>
        </w:tc>
        <w:tc>
          <w:tcPr>
            <w:tcW w:w="434" w:type="pct"/>
            <w:tcBorders>
              <w:top w:val="nil"/>
              <w:left w:val="nil"/>
              <w:bottom w:val="nil"/>
              <w:right w:val="nil"/>
            </w:tcBorders>
            <w:shd w:val="clear" w:color="auto" w:fill="auto"/>
            <w:vAlign w:val="center"/>
          </w:tcPr>
          <w:p w14:paraId="2A164928" w14:textId="77777777" w:rsidR="00E9015E" w:rsidRPr="000673A6" w:rsidRDefault="00E9015E" w:rsidP="00C14E25">
            <w:pPr>
              <w:jc w:val="center"/>
              <w:rPr>
                <w:sz w:val="15"/>
                <w:szCs w:val="15"/>
              </w:rPr>
            </w:pPr>
            <w:r w:rsidRPr="000673A6">
              <w:rPr>
                <w:sz w:val="15"/>
                <w:szCs w:val="15"/>
              </w:rPr>
              <w:t>3.505</w:t>
            </w:r>
          </w:p>
        </w:tc>
        <w:tc>
          <w:tcPr>
            <w:tcW w:w="276" w:type="pct"/>
            <w:tcBorders>
              <w:top w:val="nil"/>
              <w:left w:val="nil"/>
              <w:bottom w:val="nil"/>
              <w:right w:val="nil"/>
            </w:tcBorders>
            <w:shd w:val="clear" w:color="auto" w:fill="auto"/>
            <w:vAlign w:val="center"/>
          </w:tcPr>
          <w:p w14:paraId="34014013" w14:textId="77777777" w:rsidR="00E9015E" w:rsidRPr="000673A6" w:rsidRDefault="00E9015E" w:rsidP="00C14E25">
            <w:pPr>
              <w:jc w:val="center"/>
              <w:rPr>
                <w:sz w:val="15"/>
                <w:szCs w:val="15"/>
              </w:rPr>
            </w:pPr>
            <w:r w:rsidRPr="000673A6">
              <w:rPr>
                <w:sz w:val="15"/>
                <w:szCs w:val="15"/>
              </w:rPr>
              <w:t>1.154</w:t>
            </w:r>
          </w:p>
        </w:tc>
        <w:tc>
          <w:tcPr>
            <w:tcW w:w="276" w:type="pct"/>
            <w:tcBorders>
              <w:top w:val="nil"/>
              <w:left w:val="nil"/>
              <w:bottom w:val="nil"/>
              <w:right w:val="nil"/>
            </w:tcBorders>
            <w:shd w:val="clear" w:color="auto" w:fill="auto"/>
            <w:vAlign w:val="center"/>
          </w:tcPr>
          <w:p w14:paraId="2F03E9C0"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.095</w:t>
            </w:r>
          </w:p>
        </w:tc>
        <w:tc>
          <w:tcPr>
            <w:tcW w:w="276" w:type="pct"/>
            <w:tcBorders>
              <w:top w:val="nil"/>
              <w:left w:val="nil"/>
              <w:bottom w:val="nil"/>
              <w:right w:val="nil"/>
            </w:tcBorders>
            <w:shd w:val="clear" w:color="auto" w:fill="auto"/>
            <w:vAlign w:val="center"/>
          </w:tcPr>
          <w:p w14:paraId="442B4437"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.231</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4AE4C72C"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.068</w:t>
            </w:r>
          </w:p>
        </w:tc>
        <w:tc>
          <w:tcPr>
            <w:tcW w:w="276" w:type="pct"/>
            <w:tcBorders>
              <w:top w:val="nil"/>
              <w:left w:val="nil"/>
              <w:bottom w:val="nil"/>
              <w:right w:val="nil"/>
            </w:tcBorders>
            <w:shd w:val="clear" w:color="auto" w:fill="auto"/>
            <w:vAlign w:val="center"/>
          </w:tcPr>
          <w:p w14:paraId="45B9D0FB"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.000</w:t>
            </w:r>
          </w:p>
        </w:tc>
        <w:tc>
          <w:tcPr>
            <w:tcW w:w="276" w:type="pct"/>
            <w:tcBorders>
              <w:top w:val="nil"/>
              <w:left w:val="nil"/>
              <w:bottom w:val="nil"/>
              <w:right w:val="nil"/>
            </w:tcBorders>
            <w:shd w:val="clear" w:color="auto" w:fill="auto"/>
            <w:vAlign w:val="center"/>
          </w:tcPr>
          <w:p w14:paraId="0492F98A"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.081</w:t>
            </w:r>
          </w:p>
        </w:tc>
        <w:tc>
          <w:tcPr>
            <w:tcW w:w="276" w:type="pct"/>
            <w:tcBorders>
              <w:top w:val="nil"/>
              <w:left w:val="nil"/>
              <w:bottom w:val="nil"/>
              <w:right w:val="nil"/>
            </w:tcBorders>
            <w:shd w:val="clear" w:color="auto" w:fill="auto"/>
            <w:vAlign w:val="center"/>
          </w:tcPr>
          <w:p w14:paraId="157BDA22"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-.053</w:t>
            </w:r>
          </w:p>
        </w:tc>
        <w:tc>
          <w:tcPr>
            <w:tcW w:w="276" w:type="pct"/>
            <w:tcBorders>
              <w:top w:val="nil"/>
              <w:left w:val="nil"/>
              <w:bottom w:val="nil"/>
              <w:right w:val="nil"/>
            </w:tcBorders>
            <w:shd w:val="clear" w:color="auto" w:fill="auto"/>
            <w:vAlign w:val="center"/>
          </w:tcPr>
          <w:p w14:paraId="4B6C0A44"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-.099</w:t>
            </w:r>
          </w:p>
        </w:tc>
        <w:tc>
          <w:tcPr>
            <w:tcW w:w="276" w:type="pct"/>
            <w:tcBorders>
              <w:top w:val="nil"/>
              <w:left w:val="nil"/>
              <w:bottom w:val="nil"/>
              <w:right w:val="nil"/>
            </w:tcBorders>
            <w:shd w:val="clear" w:color="auto" w:fill="auto"/>
            <w:vAlign w:val="center"/>
          </w:tcPr>
          <w:p w14:paraId="0AD2AA39"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.380</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4ED9062D"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.031</w:t>
            </w:r>
          </w:p>
        </w:tc>
        <w:tc>
          <w:tcPr>
            <w:tcW w:w="278" w:type="pct"/>
            <w:tcBorders>
              <w:top w:val="nil"/>
              <w:left w:val="nil"/>
              <w:bottom w:val="nil"/>
              <w:right w:val="nil"/>
            </w:tcBorders>
            <w:shd w:val="clear" w:color="auto" w:fill="auto"/>
            <w:vAlign w:val="center"/>
          </w:tcPr>
          <w:p w14:paraId="76CED266"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w:t>
            </w:r>
          </w:p>
        </w:tc>
        <w:tc>
          <w:tcPr>
            <w:tcW w:w="276" w:type="pct"/>
            <w:tcBorders>
              <w:top w:val="nil"/>
              <w:left w:val="nil"/>
              <w:bottom w:val="nil"/>
              <w:right w:val="nil"/>
            </w:tcBorders>
            <w:vAlign w:val="center"/>
          </w:tcPr>
          <w:p w14:paraId="776A7C07" w14:textId="77777777" w:rsidR="00E9015E" w:rsidRPr="008B0B72" w:rsidRDefault="00E9015E" w:rsidP="00C14E25">
            <w:pPr>
              <w:widowControl/>
              <w:autoSpaceDE/>
              <w:autoSpaceDN/>
              <w:jc w:val="center"/>
              <w:rPr>
                <w:rFonts w:eastAsia="Gulim"/>
                <w:sz w:val="15"/>
                <w:szCs w:val="15"/>
              </w:rPr>
            </w:pPr>
          </w:p>
        </w:tc>
      </w:tr>
      <w:tr w:rsidR="00E9015E" w:rsidRPr="000673A6" w14:paraId="3762127C" w14:textId="77777777" w:rsidTr="00C14E25">
        <w:trPr>
          <w:trHeight w:val="454"/>
        </w:trPr>
        <w:tc>
          <w:tcPr>
            <w:tcW w:w="1252" w:type="pct"/>
            <w:tcBorders>
              <w:top w:val="nil"/>
              <w:left w:val="nil"/>
              <w:bottom w:val="nil"/>
              <w:right w:val="nil"/>
            </w:tcBorders>
            <w:shd w:val="clear" w:color="auto" w:fill="auto"/>
            <w:vAlign w:val="center"/>
          </w:tcPr>
          <w:p w14:paraId="66368B88" w14:textId="77777777" w:rsidR="00E9015E" w:rsidRPr="000673A6" w:rsidRDefault="00E9015E" w:rsidP="00E9015E">
            <w:pPr>
              <w:numPr>
                <w:ilvl w:val="0"/>
                <w:numId w:val="35"/>
              </w:numPr>
              <w:wordWrap w:val="0"/>
              <w:spacing w:line="276" w:lineRule="auto"/>
              <w:rPr>
                <w:sz w:val="15"/>
                <w:szCs w:val="15"/>
              </w:rPr>
            </w:pPr>
            <w:r w:rsidRPr="000673A6">
              <w:rPr>
                <w:sz w:val="15"/>
                <w:szCs w:val="15"/>
              </w:rPr>
              <w:t>Firm Age</w:t>
            </w:r>
          </w:p>
        </w:tc>
        <w:tc>
          <w:tcPr>
            <w:tcW w:w="434" w:type="pct"/>
            <w:tcBorders>
              <w:top w:val="nil"/>
              <w:left w:val="nil"/>
              <w:bottom w:val="nil"/>
              <w:right w:val="nil"/>
            </w:tcBorders>
            <w:shd w:val="clear" w:color="auto" w:fill="auto"/>
            <w:vAlign w:val="center"/>
          </w:tcPr>
          <w:p w14:paraId="5593D6CB" w14:textId="77777777" w:rsidR="00E9015E" w:rsidRPr="000673A6" w:rsidRDefault="00E9015E" w:rsidP="00C14E25">
            <w:pPr>
              <w:jc w:val="center"/>
              <w:rPr>
                <w:rFonts w:eastAsia="Gulim"/>
                <w:sz w:val="15"/>
                <w:szCs w:val="15"/>
              </w:rPr>
            </w:pPr>
            <w:r w:rsidRPr="000673A6">
              <w:rPr>
                <w:sz w:val="15"/>
                <w:szCs w:val="15"/>
              </w:rPr>
              <w:t>28.280</w:t>
            </w:r>
          </w:p>
        </w:tc>
        <w:tc>
          <w:tcPr>
            <w:tcW w:w="276" w:type="pct"/>
            <w:tcBorders>
              <w:top w:val="nil"/>
              <w:left w:val="nil"/>
              <w:bottom w:val="nil"/>
              <w:right w:val="nil"/>
            </w:tcBorders>
            <w:shd w:val="clear" w:color="auto" w:fill="auto"/>
            <w:vAlign w:val="center"/>
          </w:tcPr>
          <w:p w14:paraId="23A4034A" w14:textId="77777777" w:rsidR="00E9015E" w:rsidRPr="000673A6" w:rsidRDefault="00E9015E" w:rsidP="00C14E25">
            <w:pPr>
              <w:jc w:val="center"/>
              <w:rPr>
                <w:rFonts w:eastAsia="Gulim"/>
                <w:sz w:val="15"/>
                <w:szCs w:val="15"/>
              </w:rPr>
            </w:pPr>
            <w:r w:rsidRPr="000673A6">
              <w:rPr>
                <w:sz w:val="15"/>
                <w:szCs w:val="15"/>
              </w:rPr>
              <w:t>10.608</w:t>
            </w:r>
          </w:p>
        </w:tc>
        <w:tc>
          <w:tcPr>
            <w:tcW w:w="276" w:type="pct"/>
            <w:tcBorders>
              <w:top w:val="nil"/>
              <w:left w:val="nil"/>
              <w:bottom w:val="nil"/>
              <w:right w:val="nil"/>
            </w:tcBorders>
            <w:shd w:val="clear" w:color="auto" w:fill="auto"/>
            <w:vAlign w:val="center"/>
          </w:tcPr>
          <w:p w14:paraId="661EE3AE"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.003</w:t>
            </w:r>
          </w:p>
        </w:tc>
        <w:tc>
          <w:tcPr>
            <w:tcW w:w="276" w:type="pct"/>
            <w:tcBorders>
              <w:top w:val="nil"/>
              <w:left w:val="nil"/>
              <w:bottom w:val="nil"/>
              <w:right w:val="nil"/>
            </w:tcBorders>
            <w:shd w:val="clear" w:color="auto" w:fill="auto"/>
            <w:vAlign w:val="center"/>
          </w:tcPr>
          <w:p w14:paraId="4A117416"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.196</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1A9F3CB9"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.097</w:t>
            </w:r>
          </w:p>
        </w:tc>
        <w:tc>
          <w:tcPr>
            <w:tcW w:w="276" w:type="pct"/>
            <w:tcBorders>
              <w:top w:val="nil"/>
              <w:left w:val="nil"/>
              <w:bottom w:val="nil"/>
              <w:right w:val="nil"/>
            </w:tcBorders>
            <w:shd w:val="clear" w:color="auto" w:fill="auto"/>
            <w:vAlign w:val="center"/>
          </w:tcPr>
          <w:p w14:paraId="69E938AE"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-.036</w:t>
            </w:r>
          </w:p>
        </w:tc>
        <w:tc>
          <w:tcPr>
            <w:tcW w:w="276" w:type="pct"/>
            <w:tcBorders>
              <w:top w:val="nil"/>
              <w:left w:val="nil"/>
              <w:bottom w:val="nil"/>
              <w:right w:val="nil"/>
            </w:tcBorders>
            <w:shd w:val="clear" w:color="auto" w:fill="auto"/>
            <w:vAlign w:val="center"/>
          </w:tcPr>
          <w:p w14:paraId="3330633F"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-.061</w:t>
            </w:r>
          </w:p>
        </w:tc>
        <w:tc>
          <w:tcPr>
            <w:tcW w:w="276" w:type="pct"/>
            <w:tcBorders>
              <w:top w:val="nil"/>
              <w:left w:val="nil"/>
              <w:bottom w:val="nil"/>
              <w:right w:val="nil"/>
            </w:tcBorders>
            <w:shd w:val="clear" w:color="auto" w:fill="auto"/>
            <w:vAlign w:val="center"/>
          </w:tcPr>
          <w:p w14:paraId="625C4146" w14:textId="77777777" w:rsidR="00E9015E" w:rsidRPr="008B0B72" w:rsidRDefault="00E9015E" w:rsidP="00C14E25">
            <w:pPr>
              <w:widowControl/>
              <w:autoSpaceDE/>
              <w:autoSpaceDN/>
              <w:jc w:val="center"/>
              <w:rPr>
                <w:rFonts w:eastAsia="Gulim"/>
                <w:sz w:val="15"/>
                <w:szCs w:val="15"/>
              </w:rPr>
            </w:pPr>
            <w:r>
              <w:rPr>
                <w:rFonts w:eastAsia="Gulim"/>
                <w:sz w:val="15"/>
                <w:szCs w:val="15"/>
              </w:rPr>
              <w:t>-</w:t>
            </w:r>
            <w:r w:rsidRPr="008B0B72">
              <w:rPr>
                <w:rFonts w:eastAsia="Gulim"/>
                <w:sz w:val="15"/>
                <w:szCs w:val="15"/>
              </w:rPr>
              <w:t>.137</w:t>
            </w:r>
          </w:p>
        </w:tc>
        <w:tc>
          <w:tcPr>
            <w:tcW w:w="276" w:type="pct"/>
            <w:tcBorders>
              <w:top w:val="nil"/>
              <w:left w:val="nil"/>
              <w:bottom w:val="nil"/>
              <w:right w:val="nil"/>
            </w:tcBorders>
            <w:shd w:val="clear" w:color="auto" w:fill="auto"/>
            <w:vAlign w:val="center"/>
          </w:tcPr>
          <w:p w14:paraId="08410F06"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-.180</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42E9FE92"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.464</w:t>
            </w:r>
            <w:r w:rsidRPr="008B0B72">
              <w:rPr>
                <w:rFonts w:eastAsia="Gulim"/>
                <w:sz w:val="15"/>
                <w:szCs w:val="15"/>
                <w:vertAlign w:val="superscript"/>
              </w:rPr>
              <w:t>***</w:t>
            </w:r>
          </w:p>
        </w:tc>
        <w:tc>
          <w:tcPr>
            <w:tcW w:w="276" w:type="pct"/>
            <w:tcBorders>
              <w:top w:val="nil"/>
              <w:left w:val="nil"/>
              <w:bottom w:val="nil"/>
              <w:right w:val="nil"/>
            </w:tcBorders>
            <w:shd w:val="clear" w:color="auto" w:fill="auto"/>
            <w:vAlign w:val="center"/>
          </w:tcPr>
          <w:p w14:paraId="25D7F305"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.164</w:t>
            </w:r>
            <w:r w:rsidRPr="008B0B72">
              <w:rPr>
                <w:rFonts w:eastAsia="Gulim"/>
                <w:sz w:val="15"/>
                <w:szCs w:val="15"/>
                <w:vertAlign w:val="superscript"/>
              </w:rPr>
              <w:t>+</w:t>
            </w:r>
          </w:p>
        </w:tc>
        <w:tc>
          <w:tcPr>
            <w:tcW w:w="278" w:type="pct"/>
            <w:tcBorders>
              <w:top w:val="nil"/>
              <w:left w:val="nil"/>
              <w:bottom w:val="nil"/>
              <w:right w:val="nil"/>
            </w:tcBorders>
            <w:shd w:val="clear" w:color="auto" w:fill="auto"/>
            <w:vAlign w:val="center"/>
          </w:tcPr>
          <w:p w14:paraId="6892C155"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.407</w:t>
            </w:r>
            <w:r w:rsidRPr="008B0B72">
              <w:rPr>
                <w:rFonts w:eastAsia="Gulim"/>
                <w:sz w:val="15"/>
                <w:szCs w:val="15"/>
                <w:vertAlign w:val="superscript"/>
              </w:rPr>
              <w:t>***</w:t>
            </w:r>
          </w:p>
        </w:tc>
        <w:tc>
          <w:tcPr>
            <w:tcW w:w="276" w:type="pct"/>
            <w:tcBorders>
              <w:top w:val="nil"/>
              <w:left w:val="nil"/>
              <w:bottom w:val="nil"/>
              <w:right w:val="nil"/>
            </w:tcBorders>
            <w:vAlign w:val="center"/>
          </w:tcPr>
          <w:p w14:paraId="610FD4C2"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w:t>
            </w:r>
          </w:p>
        </w:tc>
      </w:tr>
      <w:tr w:rsidR="00E9015E" w:rsidRPr="000673A6" w14:paraId="390FCF59" w14:textId="77777777" w:rsidTr="00C14E25">
        <w:trPr>
          <w:trHeight w:val="454"/>
        </w:trPr>
        <w:tc>
          <w:tcPr>
            <w:tcW w:w="1252" w:type="pct"/>
            <w:tcBorders>
              <w:top w:val="nil"/>
              <w:left w:val="nil"/>
              <w:bottom w:val="single" w:sz="12" w:space="0" w:color="auto"/>
              <w:right w:val="nil"/>
            </w:tcBorders>
            <w:shd w:val="clear" w:color="auto" w:fill="auto"/>
            <w:vAlign w:val="center"/>
          </w:tcPr>
          <w:p w14:paraId="486BEA20" w14:textId="77777777" w:rsidR="00E9015E" w:rsidRPr="000673A6" w:rsidRDefault="00E9015E" w:rsidP="00E9015E">
            <w:pPr>
              <w:numPr>
                <w:ilvl w:val="0"/>
                <w:numId w:val="35"/>
              </w:numPr>
              <w:wordWrap w:val="0"/>
              <w:spacing w:line="276" w:lineRule="auto"/>
              <w:rPr>
                <w:sz w:val="15"/>
                <w:szCs w:val="15"/>
              </w:rPr>
            </w:pPr>
            <w:r>
              <w:rPr>
                <w:rFonts w:hint="eastAsia"/>
                <w:sz w:val="15"/>
                <w:szCs w:val="15"/>
              </w:rPr>
              <w:t>Supplier</w:t>
            </w:r>
            <w:r>
              <w:rPr>
                <w:sz w:val="15"/>
                <w:szCs w:val="15"/>
              </w:rPr>
              <w:t>’</w:t>
            </w:r>
            <w:r>
              <w:rPr>
                <w:rFonts w:hint="eastAsia"/>
                <w:sz w:val="15"/>
                <w:szCs w:val="15"/>
              </w:rPr>
              <w:t>s Digital Technology Adoption</w:t>
            </w:r>
          </w:p>
        </w:tc>
        <w:tc>
          <w:tcPr>
            <w:tcW w:w="434" w:type="pct"/>
            <w:tcBorders>
              <w:top w:val="nil"/>
              <w:left w:val="nil"/>
              <w:bottom w:val="single" w:sz="12" w:space="0" w:color="auto"/>
              <w:right w:val="nil"/>
            </w:tcBorders>
            <w:shd w:val="clear" w:color="auto" w:fill="auto"/>
            <w:vAlign w:val="center"/>
          </w:tcPr>
          <w:p w14:paraId="6F01A79D" w14:textId="77777777" w:rsidR="00E9015E" w:rsidRPr="000673A6" w:rsidRDefault="00E9015E" w:rsidP="00C14E25">
            <w:pPr>
              <w:jc w:val="center"/>
              <w:rPr>
                <w:rFonts w:eastAsia="Gulim"/>
                <w:sz w:val="15"/>
                <w:szCs w:val="15"/>
              </w:rPr>
            </w:pPr>
            <w:r w:rsidRPr="000673A6">
              <w:rPr>
                <w:sz w:val="15"/>
                <w:szCs w:val="15"/>
              </w:rPr>
              <w:t>.299</w:t>
            </w:r>
          </w:p>
        </w:tc>
        <w:tc>
          <w:tcPr>
            <w:tcW w:w="276" w:type="pct"/>
            <w:tcBorders>
              <w:top w:val="nil"/>
              <w:left w:val="nil"/>
              <w:bottom w:val="single" w:sz="12" w:space="0" w:color="auto"/>
              <w:right w:val="nil"/>
            </w:tcBorders>
            <w:shd w:val="clear" w:color="auto" w:fill="auto"/>
            <w:vAlign w:val="center"/>
          </w:tcPr>
          <w:p w14:paraId="2D8811A5" w14:textId="77777777" w:rsidR="00E9015E" w:rsidRPr="000673A6" w:rsidRDefault="00E9015E" w:rsidP="00C14E25">
            <w:pPr>
              <w:jc w:val="center"/>
              <w:rPr>
                <w:rFonts w:eastAsia="Gulim"/>
                <w:sz w:val="15"/>
                <w:szCs w:val="15"/>
              </w:rPr>
            </w:pPr>
            <w:r w:rsidRPr="000673A6">
              <w:rPr>
                <w:sz w:val="15"/>
                <w:szCs w:val="15"/>
              </w:rPr>
              <w:t>.203</w:t>
            </w:r>
          </w:p>
        </w:tc>
        <w:tc>
          <w:tcPr>
            <w:tcW w:w="276" w:type="pct"/>
            <w:tcBorders>
              <w:top w:val="nil"/>
              <w:left w:val="nil"/>
              <w:bottom w:val="single" w:sz="12" w:space="0" w:color="auto"/>
              <w:right w:val="nil"/>
            </w:tcBorders>
            <w:shd w:val="clear" w:color="auto" w:fill="auto"/>
            <w:vAlign w:val="center"/>
          </w:tcPr>
          <w:p w14:paraId="5819B816"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-.546</w:t>
            </w:r>
            <w:r w:rsidRPr="008B0B72">
              <w:rPr>
                <w:rFonts w:eastAsia="Gulim"/>
                <w:sz w:val="15"/>
                <w:szCs w:val="15"/>
                <w:vertAlign w:val="superscript"/>
              </w:rPr>
              <w:t>***</w:t>
            </w:r>
          </w:p>
        </w:tc>
        <w:tc>
          <w:tcPr>
            <w:tcW w:w="276" w:type="pct"/>
            <w:tcBorders>
              <w:top w:val="nil"/>
              <w:left w:val="nil"/>
              <w:bottom w:val="single" w:sz="12" w:space="0" w:color="auto"/>
              <w:right w:val="nil"/>
            </w:tcBorders>
            <w:shd w:val="clear" w:color="auto" w:fill="auto"/>
            <w:vAlign w:val="center"/>
          </w:tcPr>
          <w:p w14:paraId="6DB81954"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.034</w:t>
            </w:r>
          </w:p>
        </w:tc>
        <w:tc>
          <w:tcPr>
            <w:tcW w:w="276" w:type="pct"/>
            <w:tcBorders>
              <w:top w:val="nil"/>
              <w:left w:val="nil"/>
              <w:bottom w:val="single" w:sz="12" w:space="0" w:color="auto"/>
              <w:right w:val="nil"/>
            </w:tcBorders>
            <w:shd w:val="clear" w:color="auto" w:fill="auto"/>
            <w:vAlign w:val="center"/>
          </w:tcPr>
          <w:p w14:paraId="4AB09696"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.197</w:t>
            </w:r>
            <w:r w:rsidRPr="008B0B72">
              <w:rPr>
                <w:rFonts w:eastAsia="Gulim"/>
                <w:sz w:val="15"/>
                <w:szCs w:val="15"/>
                <w:vertAlign w:val="superscript"/>
              </w:rPr>
              <w:t>*</w:t>
            </w:r>
          </w:p>
        </w:tc>
        <w:tc>
          <w:tcPr>
            <w:tcW w:w="276" w:type="pct"/>
            <w:tcBorders>
              <w:top w:val="nil"/>
              <w:left w:val="nil"/>
              <w:bottom w:val="single" w:sz="12" w:space="0" w:color="auto"/>
              <w:right w:val="nil"/>
            </w:tcBorders>
            <w:shd w:val="clear" w:color="auto" w:fill="auto"/>
            <w:vAlign w:val="center"/>
          </w:tcPr>
          <w:p w14:paraId="738DE80F"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.215</w:t>
            </w:r>
            <w:r w:rsidRPr="008B0B72">
              <w:rPr>
                <w:rFonts w:eastAsia="Gulim"/>
                <w:sz w:val="15"/>
                <w:szCs w:val="15"/>
                <w:vertAlign w:val="superscript"/>
              </w:rPr>
              <w:t>*</w:t>
            </w:r>
          </w:p>
        </w:tc>
        <w:tc>
          <w:tcPr>
            <w:tcW w:w="276" w:type="pct"/>
            <w:tcBorders>
              <w:top w:val="nil"/>
              <w:left w:val="nil"/>
              <w:bottom w:val="single" w:sz="12" w:space="0" w:color="auto"/>
              <w:right w:val="nil"/>
            </w:tcBorders>
            <w:shd w:val="clear" w:color="auto" w:fill="auto"/>
            <w:vAlign w:val="center"/>
          </w:tcPr>
          <w:p w14:paraId="260C730C"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.164</w:t>
            </w:r>
            <w:r w:rsidRPr="008B0B72">
              <w:rPr>
                <w:rFonts w:eastAsia="Gulim"/>
                <w:sz w:val="15"/>
                <w:szCs w:val="15"/>
                <w:vertAlign w:val="superscript"/>
              </w:rPr>
              <w:t>+</w:t>
            </w:r>
          </w:p>
        </w:tc>
        <w:tc>
          <w:tcPr>
            <w:tcW w:w="276" w:type="pct"/>
            <w:tcBorders>
              <w:top w:val="nil"/>
              <w:left w:val="nil"/>
              <w:bottom w:val="single" w:sz="12" w:space="0" w:color="auto"/>
              <w:right w:val="nil"/>
            </w:tcBorders>
            <w:shd w:val="clear" w:color="auto" w:fill="auto"/>
            <w:vAlign w:val="center"/>
          </w:tcPr>
          <w:p w14:paraId="46A666E8"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.119</w:t>
            </w:r>
          </w:p>
        </w:tc>
        <w:tc>
          <w:tcPr>
            <w:tcW w:w="276" w:type="pct"/>
            <w:tcBorders>
              <w:top w:val="nil"/>
              <w:left w:val="nil"/>
              <w:bottom w:val="single" w:sz="12" w:space="0" w:color="auto"/>
              <w:right w:val="nil"/>
            </w:tcBorders>
            <w:shd w:val="clear" w:color="auto" w:fill="auto"/>
            <w:vAlign w:val="center"/>
          </w:tcPr>
          <w:p w14:paraId="78C69A0F"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.270</w:t>
            </w:r>
            <w:r w:rsidRPr="008B0B72">
              <w:rPr>
                <w:rFonts w:eastAsia="Gulim"/>
                <w:sz w:val="15"/>
                <w:szCs w:val="15"/>
                <w:vertAlign w:val="superscript"/>
              </w:rPr>
              <w:t>**</w:t>
            </w:r>
          </w:p>
        </w:tc>
        <w:tc>
          <w:tcPr>
            <w:tcW w:w="276" w:type="pct"/>
            <w:tcBorders>
              <w:top w:val="nil"/>
              <w:left w:val="nil"/>
              <w:bottom w:val="single" w:sz="12" w:space="0" w:color="auto"/>
              <w:right w:val="nil"/>
            </w:tcBorders>
            <w:shd w:val="clear" w:color="auto" w:fill="auto"/>
            <w:vAlign w:val="center"/>
          </w:tcPr>
          <w:p w14:paraId="76113219"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.151</w:t>
            </w:r>
            <w:r w:rsidRPr="008B0B72">
              <w:rPr>
                <w:rFonts w:eastAsia="Gulim"/>
                <w:sz w:val="15"/>
                <w:szCs w:val="15"/>
                <w:vertAlign w:val="superscript"/>
              </w:rPr>
              <w:t>+</w:t>
            </w:r>
          </w:p>
        </w:tc>
        <w:tc>
          <w:tcPr>
            <w:tcW w:w="276" w:type="pct"/>
            <w:tcBorders>
              <w:top w:val="nil"/>
              <w:left w:val="nil"/>
              <w:bottom w:val="single" w:sz="12" w:space="0" w:color="auto"/>
              <w:right w:val="nil"/>
            </w:tcBorders>
            <w:shd w:val="clear" w:color="auto" w:fill="auto"/>
            <w:vAlign w:val="center"/>
          </w:tcPr>
          <w:p w14:paraId="0CBBE4A4"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.061</w:t>
            </w:r>
          </w:p>
        </w:tc>
        <w:tc>
          <w:tcPr>
            <w:tcW w:w="278" w:type="pct"/>
            <w:tcBorders>
              <w:top w:val="nil"/>
              <w:left w:val="nil"/>
              <w:bottom w:val="single" w:sz="12" w:space="0" w:color="auto"/>
              <w:right w:val="nil"/>
            </w:tcBorders>
            <w:shd w:val="clear" w:color="auto" w:fill="auto"/>
            <w:vAlign w:val="center"/>
          </w:tcPr>
          <w:p w14:paraId="1F3F2F49"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.260</w:t>
            </w:r>
            <w:r w:rsidRPr="008B0B72">
              <w:rPr>
                <w:rFonts w:eastAsia="Gulim"/>
                <w:sz w:val="15"/>
                <w:szCs w:val="15"/>
                <w:vertAlign w:val="superscript"/>
              </w:rPr>
              <w:t>**</w:t>
            </w:r>
          </w:p>
        </w:tc>
        <w:tc>
          <w:tcPr>
            <w:tcW w:w="276" w:type="pct"/>
            <w:tcBorders>
              <w:top w:val="nil"/>
              <w:left w:val="nil"/>
              <w:bottom w:val="single" w:sz="12" w:space="0" w:color="auto"/>
              <w:right w:val="nil"/>
            </w:tcBorders>
            <w:vAlign w:val="center"/>
          </w:tcPr>
          <w:p w14:paraId="5605D6D7" w14:textId="77777777" w:rsidR="00E9015E" w:rsidRPr="008B0B72" w:rsidRDefault="00E9015E" w:rsidP="00C14E25">
            <w:pPr>
              <w:widowControl/>
              <w:autoSpaceDE/>
              <w:autoSpaceDN/>
              <w:jc w:val="center"/>
              <w:rPr>
                <w:rFonts w:eastAsia="Gulim"/>
                <w:sz w:val="15"/>
                <w:szCs w:val="15"/>
              </w:rPr>
            </w:pPr>
            <w:r w:rsidRPr="008B0B72">
              <w:rPr>
                <w:rFonts w:eastAsia="Gulim"/>
                <w:sz w:val="15"/>
                <w:szCs w:val="15"/>
              </w:rPr>
              <w:t>.100</w:t>
            </w:r>
          </w:p>
        </w:tc>
      </w:tr>
      <w:tr w:rsidR="00E9015E" w:rsidRPr="000673A6" w14:paraId="0520B652" w14:textId="77777777" w:rsidTr="00C14E25">
        <w:trPr>
          <w:trHeight w:val="454"/>
        </w:trPr>
        <w:tc>
          <w:tcPr>
            <w:tcW w:w="5000" w:type="pct"/>
            <w:gridSpan w:val="14"/>
            <w:tcBorders>
              <w:top w:val="single" w:sz="12" w:space="0" w:color="auto"/>
              <w:left w:val="nil"/>
              <w:bottom w:val="nil"/>
              <w:right w:val="nil"/>
            </w:tcBorders>
            <w:shd w:val="clear" w:color="auto" w:fill="auto"/>
            <w:vAlign w:val="center"/>
          </w:tcPr>
          <w:p w14:paraId="2E92499F" w14:textId="77777777" w:rsidR="00E9015E" w:rsidRDefault="00E9015E" w:rsidP="00C14E25">
            <w:pPr>
              <w:widowControl/>
              <w:autoSpaceDE/>
              <w:autoSpaceDN/>
              <w:rPr>
                <w:sz w:val="14"/>
                <w:szCs w:val="16"/>
              </w:rPr>
            </w:pPr>
            <w:r w:rsidRPr="000673A6">
              <w:rPr>
                <w:sz w:val="14"/>
                <w:szCs w:val="16"/>
                <w:vertAlign w:val="superscript"/>
              </w:rPr>
              <w:t>+</w:t>
            </w:r>
            <w:r w:rsidRPr="000673A6">
              <w:rPr>
                <w:sz w:val="14"/>
                <w:szCs w:val="16"/>
              </w:rPr>
              <w:t xml:space="preserve"> </w:t>
            </w:r>
            <w:r w:rsidRPr="000673A6">
              <w:rPr>
                <w:i/>
                <w:sz w:val="14"/>
                <w:szCs w:val="16"/>
              </w:rPr>
              <w:t>p</w:t>
            </w:r>
            <w:r w:rsidRPr="000673A6">
              <w:rPr>
                <w:sz w:val="14"/>
                <w:szCs w:val="16"/>
              </w:rPr>
              <w:t xml:space="preserve"> &lt; .1; </w:t>
            </w:r>
            <w:r w:rsidRPr="000673A6">
              <w:rPr>
                <w:sz w:val="14"/>
                <w:szCs w:val="16"/>
                <w:vertAlign w:val="superscript"/>
              </w:rPr>
              <w:t>*</w:t>
            </w:r>
            <w:r w:rsidRPr="000673A6">
              <w:rPr>
                <w:sz w:val="14"/>
                <w:szCs w:val="16"/>
              </w:rPr>
              <w:t xml:space="preserve"> </w:t>
            </w:r>
            <w:r w:rsidRPr="000673A6">
              <w:rPr>
                <w:i/>
                <w:sz w:val="14"/>
                <w:szCs w:val="16"/>
              </w:rPr>
              <w:t>p</w:t>
            </w:r>
            <w:r w:rsidRPr="000673A6">
              <w:rPr>
                <w:sz w:val="14"/>
                <w:szCs w:val="16"/>
              </w:rPr>
              <w:t xml:space="preserve"> &lt; .05; </w:t>
            </w:r>
            <w:r w:rsidRPr="000673A6">
              <w:rPr>
                <w:sz w:val="14"/>
                <w:szCs w:val="16"/>
                <w:vertAlign w:val="superscript"/>
              </w:rPr>
              <w:t xml:space="preserve">** </w:t>
            </w:r>
            <w:r w:rsidRPr="000673A6">
              <w:rPr>
                <w:i/>
                <w:sz w:val="14"/>
                <w:szCs w:val="16"/>
              </w:rPr>
              <w:t>p</w:t>
            </w:r>
            <w:r w:rsidRPr="000673A6">
              <w:rPr>
                <w:sz w:val="14"/>
                <w:szCs w:val="16"/>
              </w:rPr>
              <w:t xml:space="preserve"> &lt; .01; </w:t>
            </w:r>
            <w:r w:rsidRPr="000673A6">
              <w:rPr>
                <w:sz w:val="14"/>
                <w:szCs w:val="16"/>
                <w:vertAlign w:val="superscript"/>
              </w:rPr>
              <w:t xml:space="preserve">*** </w:t>
            </w:r>
            <w:r w:rsidRPr="000673A6">
              <w:rPr>
                <w:i/>
                <w:sz w:val="14"/>
                <w:szCs w:val="16"/>
              </w:rPr>
              <w:t>p</w:t>
            </w:r>
            <w:r w:rsidRPr="000673A6">
              <w:rPr>
                <w:sz w:val="14"/>
                <w:szCs w:val="16"/>
              </w:rPr>
              <w:t xml:space="preserve"> &lt; .001, two-tailed test </w:t>
            </w:r>
          </w:p>
          <w:p w14:paraId="3D1F2CC2" w14:textId="77777777" w:rsidR="00E9015E" w:rsidRDefault="00E9015E" w:rsidP="00C14E25">
            <w:pPr>
              <w:widowControl/>
              <w:autoSpaceDE/>
              <w:autoSpaceDN/>
              <w:rPr>
                <w:sz w:val="14"/>
                <w:szCs w:val="16"/>
              </w:rPr>
            </w:pPr>
            <w:proofErr w:type="spellStart"/>
            <w:proofErr w:type="gramStart"/>
            <w:r w:rsidRPr="00D4394A">
              <w:rPr>
                <w:rFonts w:hint="eastAsia"/>
                <w:sz w:val="14"/>
                <w:szCs w:val="16"/>
                <w:vertAlign w:val="superscript"/>
              </w:rPr>
              <w:t>a</w:t>
            </w:r>
            <w:proofErr w:type="spellEnd"/>
            <w:proofErr w:type="gramEnd"/>
            <w:r>
              <w:rPr>
                <w:rFonts w:hint="eastAsia"/>
                <w:sz w:val="14"/>
                <w:szCs w:val="16"/>
              </w:rPr>
              <w:t xml:space="preserve"> </w:t>
            </w:r>
            <w:r w:rsidRPr="000673A6">
              <w:rPr>
                <w:sz w:val="14"/>
                <w:szCs w:val="16"/>
              </w:rPr>
              <w:t>Average Variance Extracted (AVE)</w:t>
            </w:r>
          </w:p>
          <w:p w14:paraId="7004D9B4" w14:textId="77777777" w:rsidR="00E9015E" w:rsidRPr="00EA1A58" w:rsidRDefault="00E9015E" w:rsidP="00C14E25">
            <w:pPr>
              <w:widowControl/>
              <w:autoSpaceDE/>
              <w:autoSpaceDN/>
              <w:rPr>
                <w:sz w:val="14"/>
                <w:szCs w:val="16"/>
              </w:rPr>
            </w:pPr>
            <w:r>
              <w:rPr>
                <w:rFonts w:hint="eastAsia"/>
                <w:sz w:val="14"/>
                <w:szCs w:val="16"/>
              </w:rPr>
              <w:t>A</w:t>
            </w:r>
            <w:r>
              <w:rPr>
                <w:sz w:val="14"/>
                <w:szCs w:val="16"/>
              </w:rPr>
              <w:t xml:space="preserve">ll variables </w:t>
            </w:r>
            <w:proofErr w:type="gramStart"/>
            <w:r>
              <w:rPr>
                <w:sz w:val="14"/>
                <w:szCs w:val="16"/>
              </w:rPr>
              <w:t>were measured</w:t>
            </w:r>
            <w:proofErr w:type="gramEnd"/>
            <w:r>
              <w:rPr>
                <w:sz w:val="14"/>
                <w:szCs w:val="16"/>
              </w:rPr>
              <w:t xml:space="preserve"> from the supplier’s perspective</w:t>
            </w:r>
          </w:p>
        </w:tc>
      </w:tr>
    </w:tbl>
    <w:p w14:paraId="52FF18DE" w14:textId="77777777" w:rsidR="00E9015E" w:rsidRPr="000673A6" w:rsidRDefault="00E9015E" w:rsidP="00E9015E">
      <w:pPr>
        <w:rPr>
          <w:sz w:val="14"/>
          <w:szCs w:val="16"/>
        </w:rPr>
      </w:pPr>
    </w:p>
    <w:p w14:paraId="1F69D584" w14:textId="77777777" w:rsidR="00E9015E" w:rsidRDefault="00E9015E" w:rsidP="00E9015E">
      <w:pPr>
        <w:rPr>
          <w:sz w:val="14"/>
          <w:szCs w:val="16"/>
          <w:vertAlign w:val="superscript"/>
        </w:rPr>
      </w:pPr>
    </w:p>
    <w:p w14:paraId="3A30ECC4" w14:textId="77777777" w:rsidR="00E9015E" w:rsidRDefault="00E9015E" w:rsidP="00E9015E">
      <w:pPr>
        <w:rPr>
          <w:sz w:val="14"/>
          <w:szCs w:val="16"/>
          <w:vertAlign w:val="superscript"/>
        </w:rPr>
      </w:pPr>
    </w:p>
    <w:p w14:paraId="01F7DD72" w14:textId="77777777" w:rsidR="00E9015E" w:rsidRPr="00D21C73" w:rsidRDefault="00E9015E" w:rsidP="00E9015E">
      <w:pPr>
        <w:rPr>
          <w:color w:val="FF0000"/>
          <w:sz w:val="24"/>
          <w:szCs w:val="24"/>
          <w:vertAlign w:val="superscript"/>
        </w:rPr>
        <w:sectPr w:rsidR="00E9015E" w:rsidRPr="00D21C73" w:rsidSect="00E9015E">
          <w:pgSz w:w="11906" w:h="16838"/>
          <w:pgMar w:top="1701" w:right="1440" w:bottom="1440" w:left="1440" w:header="851" w:footer="992" w:gutter="0"/>
          <w:cols w:space="425"/>
          <w:docGrid w:linePitch="360"/>
        </w:sectPr>
      </w:pPr>
    </w:p>
    <w:p w14:paraId="1CF70168" w14:textId="77777777" w:rsidR="00E9015E" w:rsidRDefault="00E9015E" w:rsidP="00E9015E">
      <w:pPr>
        <w:rPr>
          <w:sz w:val="14"/>
          <w:szCs w:val="16"/>
          <w:vertAlign w:val="superscript"/>
        </w:rPr>
      </w:pPr>
    </w:p>
    <w:p w14:paraId="4AFDC5F4" w14:textId="77777777" w:rsidR="00E9015E" w:rsidRDefault="00E9015E" w:rsidP="00E9015E">
      <w:pPr>
        <w:rPr>
          <w:sz w:val="14"/>
          <w:szCs w:val="16"/>
          <w:vertAlign w:val="superscript"/>
        </w:rPr>
      </w:pPr>
    </w:p>
    <w:tbl>
      <w:tblPr>
        <w:tblStyle w:val="TableGrid1"/>
        <w:tblW w:w="5000" w:type="pct"/>
        <w:tblLook w:val="04A0" w:firstRow="1" w:lastRow="0" w:firstColumn="1" w:lastColumn="0" w:noHBand="0" w:noVBand="1"/>
      </w:tblPr>
      <w:tblGrid>
        <w:gridCol w:w="222"/>
        <w:gridCol w:w="2364"/>
        <w:gridCol w:w="776"/>
        <w:gridCol w:w="496"/>
        <w:gridCol w:w="776"/>
        <w:gridCol w:w="576"/>
        <w:gridCol w:w="776"/>
        <w:gridCol w:w="496"/>
        <w:gridCol w:w="776"/>
        <w:gridCol w:w="496"/>
        <w:gridCol w:w="776"/>
        <w:gridCol w:w="458"/>
        <w:gridCol w:w="38"/>
      </w:tblGrid>
      <w:tr w:rsidR="00E9015E" w:rsidRPr="000673A6" w14:paraId="48F48D18" w14:textId="77777777" w:rsidTr="00C14E25">
        <w:trPr>
          <w:gridAfter w:val="1"/>
          <w:wAfter w:w="21" w:type="pct"/>
          <w:trHeight w:val="20"/>
        </w:trPr>
        <w:tc>
          <w:tcPr>
            <w:tcW w:w="4979" w:type="pct"/>
            <w:gridSpan w:val="12"/>
            <w:tcBorders>
              <w:top w:val="nil"/>
              <w:left w:val="nil"/>
              <w:bottom w:val="single" w:sz="12" w:space="0" w:color="auto"/>
              <w:right w:val="nil"/>
            </w:tcBorders>
          </w:tcPr>
          <w:p w14:paraId="04A003F3" w14:textId="77777777" w:rsidR="00E9015E" w:rsidRPr="004F63A7" w:rsidRDefault="00E9015E" w:rsidP="00C14E25">
            <w:pPr>
              <w:jc w:val="center"/>
              <w:rPr>
                <w:rFonts w:ascii="Times New Roman" w:eastAsia="Malgun Gothic" w:hAnsi="Times New Roman" w:cs="Times New Roman"/>
                <w:b/>
                <w:caps/>
              </w:rPr>
            </w:pPr>
            <w:r w:rsidRPr="004F63A7">
              <w:rPr>
                <w:rFonts w:ascii="Times New Roman" w:eastAsia="Malgun Gothic" w:hAnsi="Times New Roman" w:cs="Times New Roman"/>
                <w:b/>
                <w:caps/>
              </w:rPr>
              <w:t xml:space="preserve">Table </w:t>
            </w:r>
            <w:r w:rsidRPr="007B1836">
              <w:rPr>
                <w:rFonts w:ascii="Batang" w:eastAsia="Batang" w:hAnsi="Batang" w:cs="Batang" w:hint="eastAsia"/>
                <w:b/>
                <w:caps/>
              </w:rPr>
              <w:t>Ⅱ</w:t>
            </w:r>
            <w:r w:rsidRPr="007B1836">
              <w:rPr>
                <w:rFonts w:ascii="Times New Roman" w:eastAsia="Arial Unicode MS" w:hAnsi="Times New Roman" w:cs="Times New Roman"/>
                <w:b/>
                <w:caps/>
              </w:rPr>
              <w:t xml:space="preserve"> </w:t>
            </w:r>
          </w:p>
          <w:p w14:paraId="09C440BF" w14:textId="77777777" w:rsidR="00E9015E" w:rsidRPr="000673A6" w:rsidRDefault="00E9015E" w:rsidP="00C14E25">
            <w:pPr>
              <w:jc w:val="center"/>
              <w:rPr>
                <w:rFonts w:ascii="Times New Roman" w:hAnsi="Times New Roman" w:cs="Times New Roman"/>
                <w:b/>
                <w:sz w:val="16"/>
                <w:szCs w:val="16"/>
              </w:rPr>
            </w:pPr>
            <w:r>
              <w:rPr>
                <w:rFonts w:ascii="Times New Roman" w:eastAsia="Malgun Gothic" w:hAnsi="Times New Roman" w:cs="Times New Roman"/>
                <w:b/>
              </w:rPr>
              <w:t>Regression Results</w:t>
            </w:r>
          </w:p>
        </w:tc>
      </w:tr>
      <w:tr w:rsidR="00E9015E" w:rsidRPr="000673A6" w14:paraId="29A97AFB" w14:textId="77777777" w:rsidTr="00C14E25">
        <w:trPr>
          <w:trHeight w:val="20"/>
        </w:trPr>
        <w:tc>
          <w:tcPr>
            <w:tcW w:w="120" w:type="pct"/>
            <w:tcBorders>
              <w:top w:val="single" w:sz="12" w:space="0" w:color="auto"/>
              <w:left w:val="nil"/>
              <w:bottom w:val="nil"/>
              <w:right w:val="nil"/>
            </w:tcBorders>
          </w:tcPr>
          <w:p w14:paraId="68D5A3EA" w14:textId="77777777" w:rsidR="00E9015E" w:rsidRPr="00E75E6C" w:rsidRDefault="00E9015E" w:rsidP="00C14E25">
            <w:pPr>
              <w:jc w:val="center"/>
              <w:rPr>
                <w:rFonts w:ascii="Times New Roman" w:hAnsi="Times New Roman" w:cs="Times New Roman"/>
                <w:b/>
                <w:sz w:val="14"/>
                <w:szCs w:val="14"/>
              </w:rPr>
            </w:pPr>
          </w:p>
        </w:tc>
        <w:tc>
          <w:tcPr>
            <w:tcW w:w="1383" w:type="pct"/>
            <w:tcBorders>
              <w:top w:val="single" w:sz="12" w:space="0" w:color="auto"/>
              <w:left w:val="nil"/>
              <w:bottom w:val="nil"/>
              <w:right w:val="nil"/>
            </w:tcBorders>
          </w:tcPr>
          <w:p w14:paraId="66FE2BCF" w14:textId="77777777" w:rsidR="00E9015E" w:rsidRPr="00DC5F32" w:rsidRDefault="00E9015E" w:rsidP="00C14E25">
            <w:pPr>
              <w:jc w:val="center"/>
              <w:rPr>
                <w:rFonts w:ascii="Times New Roman" w:hAnsi="Times New Roman" w:cs="Times New Roman"/>
                <w:b/>
                <w:sz w:val="16"/>
                <w:szCs w:val="16"/>
              </w:rPr>
            </w:pPr>
          </w:p>
        </w:tc>
        <w:tc>
          <w:tcPr>
            <w:tcW w:w="1432" w:type="pct"/>
            <w:gridSpan w:val="4"/>
            <w:tcBorders>
              <w:top w:val="single" w:sz="12" w:space="0" w:color="auto"/>
              <w:left w:val="dotted" w:sz="4" w:space="0" w:color="auto"/>
              <w:bottom w:val="single" w:sz="4" w:space="0" w:color="auto"/>
              <w:right w:val="dotted" w:sz="4" w:space="0" w:color="auto"/>
            </w:tcBorders>
          </w:tcPr>
          <w:p w14:paraId="3FE3A24E"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b/>
                <w:sz w:val="16"/>
                <w:szCs w:val="16"/>
              </w:rPr>
              <w:t>Dependent Variable</w:t>
            </w:r>
            <w:r w:rsidRPr="00DC5F32">
              <w:rPr>
                <w:rFonts w:ascii="Times New Roman" w:hAnsi="Times New Roman" w:cs="Times New Roman"/>
                <w:sz w:val="16"/>
                <w:szCs w:val="16"/>
              </w:rPr>
              <w:t xml:space="preserve"> </w:t>
            </w:r>
          </w:p>
          <w:p w14:paraId="1AD658B7"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 xml:space="preserve">Supplier’s Dependence </w:t>
            </w:r>
          </w:p>
          <w:p w14:paraId="2C1617CF" w14:textId="77777777" w:rsidR="00E9015E" w:rsidRPr="00DC5F32" w:rsidRDefault="00E9015E" w:rsidP="00C14E25">
            <w:pPr>
              <w:jc w:val="center"/>
              <w:rPr>
                <w:rFonts w:ascii="Times New Roman" w:hAnsi="Times New Roman" w:cs="Times New Roman"/>
                <w:b/>
                <w:sz w:val="16"/>
                <w:szCs w:val="16"/>
              </w:rPr>
            </w:pPr>
            <w:r w:rsidRPr="00DC5F32">
              <w:rPr>
                <w:rFonts w:ascii="Times New Roman" w:hAnsi="Times New Roman" w:cs="Times New Roman"/>
                <w:sz w:val="16"/>
                <w:szCs w:val="16"/>
              </w:rPr>
              <w:t xml:space="preserve">on </w:t>
            </w:r>
            <w:r w:rsidRPr="00DC5F32">
              <w:rPr>
                <w:rFonts w:ascii="Times New Roman" w:hAnsi="Times New Roman" w:cs="Times New Roman" w:hint="eastAsia"/>
                <w:sz w:val="16"/>
                <w:szCs w:val="16"/>
              </w:rPr>
              <w:t xml:space="preserve">the </w:t>
            </w:r>
            <w:r w:rsidRPr="00DC5F32">
              <w:rPr>
                <w:rFonts w:ascii="Times New Roman" w:hAnsi="Times New Roman" w:cs="Times New Roman"/>
                <w:sz w:val="16"/>
                <w:szCs w:val="16"/>
              </w:rPr>
              <w:t>Buyer</w:t>
            </w:r>
          </w:p>
        </w:tc>
        <w:tc>
          <w:tcPr>
            <w:tcW w:w="2064" w:type="pct"/>
            <w:gridSpan w:val="7"/>
            <w:tcBorders>
              <w:top w:val="single" w:sz="12" w:space="0" w:color="auto"/>
              <w:left w:val="dotted" w:sz="4" w:space="0" w:color="auto"/>
              <w:bottom w:val="single" w:sz="4" w:space="0" w:color="auto"/>
              <w:right w:val="nil"/>
            </w:tcBorders>
          </w:tcPr>
          <w:p w14:paraId="669C23EF"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b/>
                <w:sz w:val="16"/>
                <w:szCs w:val="16"/>
              </w:rPr>
              <w:t>Dependent Variable</w:t>
            </w:r>
            <w:r w:rsidRPr="00DC5F32">
              <w:rPr>
                <w:rFonts w:ascii="Times New Roman" w:hAnsi="Times New Roman" w:cs="Times New Roman"/>
                <w:sz w:val="16"/>
                <w:szCs w:val="16"/>
              </w:rPr>
              <w:t xml:space="preserve"> </w:t>
            </w:r>
          </w:p>
          <w:p w14:paraId="0F1B6976"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Buyer’s Opportunis</w:t>
            </w:r>
            <w:r>
              <w:rPr>
                <w:rFonts w:ascii="Times New Roman" w:hAnsi="Times New Roman" w:cs="Times New Roman"/>
                <w:sz w:val="16"/>
                <w:szCs w:val="16"/>
              </w:rPr>
              <w:t>m</w:t>
            </w:r>
          </w:p>
        </w:tc>
      </w:tr>
      <w:tr w:rsidR="00E9015E" w:rsidRPr="000673A6" w14:paraId="2D930621" w14:textId="77777777" w:rsidTr="00C14E25">
        <w:trPr>
          <w:trHeight w:val="20"/>
        </w:trPr>
        <w:tc>
          <w:tcPr>
            <w:tcW w:w="120" w:type="pct"/>
            <w:tcBorders>
              <w:top w:val="nil"/>
              <w:left w:val="nil"/>
              <w:bottom w:val="nil"/>
              <w:right w:val="nil"/>
            </w:tcBorders>
          </w:tcPr>
          <w:p w14:paraId="65DFC1FA" w14:textId="77777777" w:rsidR="00E9015E" w:rsidRPr="00E75E6C" w:rsidRDefault="00E9015E" w:rsidP="00C14E25">
            <w:pPr>
              <w:jc w:val="center"/>
              <w:rPr>
                <w:rFonts w:ascii="Times New Roman" w:hAnsi="Times New Roman" w:cs="Times New Roman"/>
                <w:b/>
                <w:sz w:val="14"/>
                <w:szCs w:val="14"/>
              </w:rPr>
            </w:pPr>
          </w:p>
        </w:tc>
        <w:tc>
          <w:tcPr>
            <w:tcW w:w="1383" w:type="pct"/>
            <w:tcBorders>
              <w:top w:val="nil"/>
              <w:left w:val="nil"/>
              <w:bottom w:val="nil"/>
              <w:right w:val="nil"/>
            </w:tcBorders>
          </w:tcPr>
          <w:p w14:paraId="54218902" w14:textId="77777777" w:rsidR="00E9015E" w:rsidRPr="00DC5F32" w:rsidRDefault="00E9015E" w:rsidP="00C14E25">
            <w:pPr>
              <w:jc w:val="center"/>
              <w:rPr>
                <w:rFonts w:ascii="Times New Roman" w:hAnsi="Times New Roman" w:cs="Times New Roman"/>
                <w:b/>
                <w:sz w:val="16"/>
                <w:szCs w:val="16"/>
              </w:rPr>
            </w:pPr>
          </w:p>
        </w:tc>
        <w:tc>
          <w:tcPr>
            <w:tcW w:w="701" w:type="pct"/>
            <w:gridSpan w:val="2"/>
            <w:tcBorders>
              <w:left w:val="dotted" w:sz="4" w:space="0" w:color="auto"/>
              <w:right w:val="nil"/>
            </w:tcBorders>
            <w:vAlign w:val="center"/>
          </w:tcPr>
          <w:p w14:paraId="2591EEDD"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b/>
                <w:sz w:val="16"/>
                <w:szCs w:val="16"/>
              </w:rPr>
              <w:t xml:space="preserve">Model </w:t>
            </w:r>
            <w:r>
              <w:rPr>
                <w:rFonts w:ascii="Times New Roman" w:hAnsi="Times New Roman" w:cs="Times New Roman" w:hint="eastAsia"/>
                <w:b/>
                <w:sz w:val="16"/>
                <w:szCs w:val="16"/>
              </w:rPr>
              <w:t>1</w:t>
            </w:r>
          </w:p>
        </w:tc>
        <w:tc>
          <w:tcPr>
            <w:tcW w:w="731" w:type="pct"/>
            <w:gridSpan w:val="2"/>
            <w:tcBorders>
              <w:left w:val="nil"/>
              <w:right w:val="dotted" w:sz="4" w:space="0" w:color="auto"/>
            </w:tcBorders>
            <w:vAlign w:val="center"/>
          </w:tcPr>
          <w:p w14:paraId="6A8565A8"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b/>
                <w:sz w:val="16"/>
                <w:szCs w:val="16"/>
              </w:rPr>
              <w:t xml:space="preserve">Model </w:t>
            </w:r>
            <w:r>
              <w:rPr>
                <w:rFonts w:ascii="Times New Roman" w:hAnsi="Times New Roman" w:cs="Times New Roman" w:hint="eastAsia"/>
                <w:b/>
                <w:sz w:val="16"/>
                <w:szCs w:val="16"/>
              </w:rPr>
              <w:t>2</w:t>
            </w:r>
          </w:p>
        </w:tc>
        <w:tc>
          <w:tcPr>
            <w:tcW w:w="688" w:type="pct"/>
            <w:gridSpan w:val="2"/>
            <w:tcBorders>
              <w:left w:val="dotted" w:sz="4" w:space="0" w:color="auto"/>
              <w:right w:val="nil"/>
            </w:tcBorders>
            <w:vAlign w:val="center"/>
          </w:tcPr>
          <w:p w14:paraId="1A99C1EA"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b/>
                <w:sz w:val="16"/>
                <w:szCs w:val="16"/>
              </w:rPr>
              <w:t xml:space="preserve">Model </w:t>
            </w:r>
            <w:r>
              <w:rPr>
                <w:rFonts w:ascii="Times New Roman" w:hAnsi="Times New Roman" w:cs="Times New Roman" w:hint="eastAsia"/>
                <w:b/>
                <w:sz w:val="16"/>
                <w:szCs w:val="16"/>
              </w:rPr>
              <w:t>3</w:t>
            </w:r>
          </w:p>
        </w:tc>
        <w:tc>
          <w:tcPr>
            <w:tcW w:w="688" w:type="pct"/>
            <w:gridSpan w:val="2"/>
            <w:tcBorders>
              <w:left w:val="nil"/>
              <w:right w:val="nil"/>
            </w:tcBorders>
            <w:vAlign w:val="center"/>
          </w:tcPr>
          <w:p w14:paraId="17B0E65B"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b/>
                <w:sz w:val="16"/>
                <w:szCs w:val="16"/>
              </w:rPr>
              <w:t xml:space="preserve">Model </w:t>
            </w:r>
            <w:r>
              <w:rPr>
                <w:rFonts w:ascii="Times New Roman" w:hAnsi="Times New Roman" w:cs="Times New Roman" w:hint="eastAsia"/>
                <w:b/>
                <w:sz w:val="16"/>
                <w:szCs w:val="16"/>
              </w:rPr>
              <w:t>4</w:t>
            </w:r>
          </w:p>
        </w:tc>
        <w:tc>
          <w:tcPr>
            <w:tcW w:w="688" w:type="pct"/>
            <w:gridSpan w:val="3"/>
            <w:tcBorders>
              <w:left w:val="nil"/>
              <w:right w:val="nil"/>
            </w:tcBorders>
            <w:vAlign w:val="center"/>
          </w:tcPr>
          <w:p w14:paraId="7881FB4F" w14:textId="77777777" w:rsidR="00E9015E" w:rsidRPr="00DC5F32" w:rsidRDefault="00E9015E" w:rsidP="00C14E25">
            <w:pPr>
              <w:jc w:val="center"/>
              <w:rPr>
                <w:rFonts w:ascii="Times New Roman" w:hAnsi="Times New Roman" w:cs="Times New Roman"/>
                <w:b/>
                <w:sz w:val="16"/>
                <w:szCs w:val="16"/>
              </w:rPr>
            </w:pPr>
            <w:r w:rsidRPr="00DC5F32">
              <w:rPr>
                <w:rFonts w:ascii="Times New Roman" w:hAnsi="Times New Roman" w:cs="Times New Roman"/>
                <w:b/>
                <w:sz w:val="16"/>
                <w:szCs w:val="16"/>
              </w:rPr>
              <w:t xml:space="preserve">Model </w:t>
            </w:r>
            <w:r>
              <w:rPr>
                <w:rFonts w:ascii="Times New Roman" w:hAnsi="Times New Roman" w:cs="Times New Roman" w:hint="eastAsia"/>
                <w:b/>
                <w:sz w:val="16"/>
                <w:szCs w:val="16"/>
              </w:rPr>
              <w:t>5</w:t>
            </w:r>
          </w:p>
        </w:tc>
      </w:tr>
      <w:tr w:rsidR="00E9015E" w:rsidRPr="000673A6" w14:paraId="78780721" w14:textId="77777777" w:rsidTr="00C14E25">
        <w:trPr>
          <w:trHeight w:val="20"/>
        </w:trPr>
        <w:tc>
          <w:tcPr>
            <w:tcW w:w="1503" w:type="pct"/>
            <w:gridSpan w:val="2"/>
            <w:tcBorders>
              <w:top w:val="nil"/>
              <w:left w:val="nil"/>
              <w:bottom w:val="single" w:sz="4" w:space="0" w:color="auto"/>
              <w:right w:val="nil"/>
            </w:tcBorders>
          </w:tcPr>
          <w:p w14:paraId="7C5EE059" w14:textId="77777777" w:rsidR="00E9015E" w:rsidRPr="00DC5F32" w:rsidRDefault="00E9015E" w:rsidP="00C14E25">
            <w:pPr>
              <w:rPr>
                <w:rFonts w:ascii="Times New Roman" w:hAnsi="Times New Roman" w:cs="Times New Roman"/>
                <w:sz w:val="16"/>
                <w:szCs w:val="16"/>
              </w:rPr>
            </w:pPr>
            <w:r w:rsidRPr="00DC5F32">
              <w:rPr>
                <w:rFonts w:ascii="Times New Roman" w:hAnsi="Times New Roman" w:cs="Times New Roman"/>
                <w:sz w:val="16"/>
                <w:szCs w:val="16"/>
              </w:rPr>
              <w:t>Variables</w:t>
            </w:r>
          </w:p>
        </w:tc>
        <w:tc>
          <w:tcPr>
            <w:tcW w:w="420" w:type="pct"/>
            <w:tcBorders>
              <w:left w:val="dotted" w:sz="4" w:space="0" w:color="auto"/>
              <w:bottom w:val="single" w:sz="4" w:space="0" w:color="auto"/>
              <w:right w:val="nil"/>
            </w:tcBorders>
            <w:vAlign w:val="center"/>
          </w:tcPr>
          <w:p w14:paraId="5ED1B7A8"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Estimate</w:t>
            </w:r>
          </w:p>
        </w:tc>
        <w:tc>
          <w:tcPr>
            <w:tcW w:w="281" w:type="pct"/>
            <w:tcBorders>
              <w:left w:val="nil"/>
              <w:bottom w:val="single" w:sz="4" w:space="0" w:color="auto"/>
              <w:right w:val="nil"/>
            </w:tcBorders>
            <w:vAlign w:val="center"/>
          </w:tcPr>
          <w:p w14:paraId="2E7F95A7"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hint="eastAsia"/>
                <w:sz w:val="16"/>
                <w:szCs w:val="16"/>
              </w:rPr>
              <w:t>SE</w:t>
            </w:r>
          </w:p>
        </w:tc>
        <w:tc>
          <w:tcPr>
            <w:tcW w:w="420" w:type="pct"/>
            <w:tcBorders>
              <w:left w:val="nil"/>
              <w:bottom w:val="single" w:sz="4" w:space="0" w:color="auto"/>
              <w:right w:val="nil"/>
            </w:tcBorders>
            <w:vAlign w:val="center"/>
          </w:tcPr>
          <w:p w14:paraId="6F9CF78A"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Estimate</w:t>
            </w:r>
          </w:p>
        </w:tc>
        <w:tc>
          <w:tcPr>
            <w:tcW w:w="312" w:type="pct"/>
            <w:tcBorders>
              <w:left w:val="nil"/>
              <w:bottom w:val="single" w:sz="4" w:space="0" w:color="auto"/>
              <w:right w:val="dotted" w:sz="4" w:space="0" w:color="auto"/>
            </w:tcBorders>
            <w:vAlign w:val="center"/>
          </w:tcPr>
          <w:p w14:paraId="73D15B19"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hint="eastAsia"/>
                <w:sz w:val="16"/>
                <w:szCs w:val="16"/>
              </w:rPr>
              <w:t>SE</w:t>
            </w:r>
          </w:p>
        </w:tc>
        <w:tc>
          <w:tcPr>
            <w:tcW w:w="420" w:type="pct"/>
            <w:tcBorders>
              <w:left w:val="dotted" w:sz="4" w:space="0" w:color="auto"/>
              <w:bottom w:val="single" w:sz="4" w:space="0" w:color="auto"/>
              <w:right w:val="nil"/>
            </w:tcBorders>
            <w:vAlign w:val="center"/>
          </w:tcPr>
          <w:p w14:paraId="41A0B290"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Estimate</w:t>
            </w:r>
          </w:p>
        </w:tc>
        <w:tc>
          <w:tcPr>
            <w:tcW w:w="268" w:type="pct"/>
            <w:tcBorders>
              <w:left w:val="nil"/>
              <w:bottom w:val="single" w:sz="4" w:space="0" w:color="auto"/>
              <w:right w:val="nil"/>
            </w:tcBorders>
            <w:vAlign w:val="center"/>
          </w:tcPr>
          <w:p w14:paraId="4CEF081E"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hint="eastAsia"/>
                <w:sz w:val="16"/>
                <w:szCs w:val="16"/>
              </w:rPr>
              <w:t>SE</w:t>
            </w:r>
          </w:p>
        </w:tc>
        <w:tc>
          <w:tcPr>
            <w:tcW w:w="420" w:type="pct"/>
            <w:tcBorders>
              <w:left w:val="nil"/>
              <w:bottom w:val="single" w:sz="4" w:space="0" w:color="auto"/>
              <w:right w:val="nil"/>
            </w:tcBorders>
            <w:vAlign w:val="center"/>
          </w:tcPr>
          <w:p w14:paraId="09173D85"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Estimate</w:t>
            </w:r>
          </w:p>
        </w:tc>
        <w:tc>
          <w:tcPr>
            <w:tcW w:w="268" w:type="pct"/>
            <w:tcBorders>
              <w:left w:val="nil"/>
              <w:bottom w:val="single" w:sz="4" w:space="0" w:color="auto"/>
              <w:right w:val="nil"/>
            </w:tcBorders>
            <w:vAlign w:val="center"/>
          </w:tcPr>
          <w:p w14:paraId="5B9FC9E4"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hint="eastAsia"/>
                <w:sz w:val="16"/>
                <w:szCs w:val="16"/>
              </w:rPr>
              <w:t>SE</w:t>
            </w:r>
          </w:p>
        </w:tc>
        <w:tc>
          <w:tcPr>
            <w:tcW w:w="420" w:type="pct"/>
            <w:tcBorders>
              <w:left w:val="nil"/>
              <w:bottom w:val="single" w:sz="4" w:space="0" w:color="auto"/>
              <w:right w:val="nil"/>
            </w:tcBorders>
            <w:vAlign w:val="center"/>
          </w:tcPr>
          <w:p w14:paraId="1C1120F9"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Estimate</w:t>
            </w:r>
          </w:p>
        </w:tc>
        <w:tc>
          <w:tcPr>
            <w:tcW w:w="268" w:type="pct"/>
            <w:gridSpan w:val="2"/>
            <w:tcBorders>
              <w:left w:val="nil"/>
              <w:bottom w:val="single" w:sz="4" w:space="0" w:color="auto"/>
              <w:right w:val="nil"/>
            </w:tcBorders>
            <w:vAlign w:val="center"/>
          </w:tcPr>
          <w:p w14:paraId="582AAE92"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hint="eastAsia"/>
                <w:sz w:val="16"/>
                <w:szCs w:val="16"/>
              </w:rPr>
              <w:t>SE</w:t>
            </w:r>
          </w:p>
        </w:tc>
      </w:tr>
      <w:tr w:rsidR="00E9015E" w:rsidRPr="000673A6" w14:paraId="70C59162" w14:textId="77777777" w:rsidTr="00C14E25">
        <w:trPr>
          <w:trHeight w:val="20"/>
        </w:trPr>
        <w:tc>
          <w:tcPr>
            <w:tcW w:w="120" w:type="pct"/>
            <w:tcBorders>
              <w:left w:val="nil"/>
              <w:bottom w:val="nil"/>
              <w:right w:val="nil"/>
            </w:tcBorders>
          </w:tcPr>
          <w:p w14:paraId="2FB67300" w14:textId="77777777" w:rsidR="00E9015E" w:rsidRPr="00E75E6C" w:rsidRDefault="00E9015E" w:rsidP="00C14E25">
            <w:pPr>
              <w:jc w:val="center"/>
              <w:rPr>
                <w:rFonts w:ascii="Times New Roman" w:hAnsi="Times New Roman" w:cs="Times New Roman"/>
                <w:sz w:val="14"/>
                <w:szCs w:val="14"/>
              </w:rPr>
            </w:pPr>
          </w:p>
        </w:tc>
        <w:tc>
          <w:tcPr>
            <w:tcW w:w="1383" w:type="pct"/>
            <w:tcBorders>
              <w:left w:val="nil"/>
              <w:bottom w:val="nil"/>
              <w:right w:val="nil"/>
            </w:tcBorders>
          </w:tcPr>
          <w:p w14:paraId="0566A424" w14:textId="77777777" w:rsidR="00E9015E" w:rsidRPr="00DC5F32" w:rsidRDefault="00E9015E" w:rsidP="00C14E25">
            <w:pPr>
              <w:jc w:val="center"/>
              <w:rPr>
                <w:rFonts w:ascii="Times New Roman" w:hAnsi="Times New Roman" w:cs="Times New Roman"/>
                <w:sz w:val="16"/>
                <w:szCs w:val="16"/>
              </w:rPr>
            </w:pPr>
          </w:p>
        </w:tc>
        <w:tc>
          <w:tcPr>
            <w:tcW w:w="420" w:type="pct"/>
            <w:tcBorders>
              <w:left w:val="dotted" w:sz="4" w:space="0" w:color="auto"/>
              <w:bottom w:val="nil"/>
              <w:right w:val="nil"/>
            </w:tcBorders>
          </w:tcPr>
          <w:p w14:paraId="4DB3A416" w14:textId="77777777" w:rsidR="00E9015E" w:rsidRPr="00DC5F32" w:rsidRDefault="00E9015E" w:rsidP="00C14E25">
            <w:pPr>
              <w:jc w:val="center"/>
              <w:rPr>
                <w:rFonts w:ascii="Times New Roman" w:hAnsi="Times New Roman" w:cs="Times New Roman"/>
                <w:sz w:val="16"/>
                <w:szCs w:val="16"/>
              </w:rPr>
            </w:pPr>
          </w:p>
        </w:tc>
        <w:tc>
          <w:tcPr>
            <w:tcW w:w="281" w:type="pct"/>
            <w:tcBorders>
              <w:left w:val="nil"/>
              <w:bottom w:val="nil"/>
              <w:right w:val="nil"/>
            </w:tcBorders>
          </w:tcPr>
          <w:p w14:paraId="7FAAC3DE" w14:textId="77777777" w:rsidR="00E9015E" w:rsidRPr="00DC5F32" w:rsidRDefault="00E9015E" w:rsidP="00C14E25">
            <w:pPr>
              <w:jc w:val="center"/>
              <w:rPr>
                <w:rFonts w:ascii="Times New Roman" w:hAnsi="Times New Roman" w:cs="Times New Roman"/>
                <w:sz w:val="16"/>
                <w:szCs w:val="16"/>
              </w:rPr>
            </w:pPr>
          </w:p>
        </w:tc>
        <w:tc>
          <w:tcPr>
            <w:tcW w:w="420" w:type="pct"/>
            <w:tcBorders>
              <w:left w:val="nil"/>
              <w:bottom w:val="nil"/>
              <w:right w:val="nil"/>
            </w:tcBorders>
          </w:tcPr>
          <w:p w14:paraId="552920B8" w14:textId="77777777" w:rsidR="00E9015E" w:rsidRPr="00DC5F32" w:rsidRDefault="00E9015E" w:rsidP="00C14E25">
            <w:pPr>
              <w:jc w:val="center"/>
              <w:rPr>
                <w:rFonts w:ascii="Times New Roman" w:hAnsi="Times New Roman" w:cs="Times New Roman"/>
                <w:sz w:val="16"/>
                <w:szCs w:val="16"/>
              </w:rPr>
            </w:pPr>
          </w:p>
        </w:tc>
        <w:tc>
          <w:tcPr>
            <w:tcW w:w="312" w:type="pct"/>
            <w:tcBorders>
              <w:left w:val="nil"/>
              <w:bottom w:val="nil"/>
              <w:right w:val="dotted" w:sz="4" w:space="0" w:color="auto"/>
            </w:tcBorders>
          </w:tcPr>
          <w:p w14:paraId="25D92377" w14:textId="77777777" w:rsidR="00E9015E" w:rsidRPr="00DC5F32" w:rsidRDefault="00E9015E" w:rsidP="00C14E25">
            <w:pPr>
              <w:jc w:val="center"/>
              <w:rPr>
                <w:rFonts w:ascii="Times New Roman" w:hAnsi="Times New Roman" w:cs="Times New Roman"/>
                <w:sz w:val="16"/>
                <w:szCs w:val="16"/>
              </w:rPr>
            </w:pPr>
          </w:p>
        </w:tc>
        <w:tc>
          <w:tcPr>
            <w:tcW w:w="420" w:type="pct"/>
            <w:tcBorders>
              <w:left w:val="dotted" w:sz="4" w:space="0" w:color="auto"/>
              <w:bottom w:val="nil"/>
              <w:right w:val="nil"/>
            </w:tcBorders>
            <w:vAlign w:val="center"/>
          </w:tcPr>
          <w:p w14:paraId="16323FEF" w14:textId="77777777" w:rsidR="00E9015E" w:rsidRPr="00DC5F32" w:rsidRDefault="00E9015E" w:rsidP="00C14E25">
            <w:pPr>
              <w:jc w:val="center"/>
              <w:rPr>
                <w:rFonts w:ascii="Times New Roman" w:hAnsi="Times New Roman" w:cs="Times New Roman"/>
                <w:sz w:val="16"/>
                <w:szCs w:val="16"/>
              </w:rPr>
            </w:pPr>
          </w:p>
        </w:tc>
        <w:tc>
          <w:tcPr>
            <w:tcW w:w="268" w:type="pct"/>
            <w:tcBorders>
              <w:left w:val="nil"/>
              <w:bottom w:val="nil"/>
              <w:right w:val="nil"/>
            </w:tcBorders>
            <w:vAlign w:val="center"/>
          </w:tcPr>
          <w:p w14:paraId="20CB740A" w14:textId="77777777" w:rsidR="00E9015E" w:rsidRPr="00DC5F32" w:rsidRDefault="00E9015E" w:rsidP="00C14E25">
            <w:pPr>
              <w:jc w:val="center"/>
              <w:rPr>
                <w:rFonts w:ascii="Times New Roman" w:hAnsi="Times New Roman" w:cs="Times New Roman"/>
                <w:sz w:val="16"/>
                <w:szCs w:val="16"/>
              </w:rPr>
            </w:pPr>
          </w:p>
        </w:tc>
        <w:tc>
          <w:tcPr>
            <w:tcW w:w="420" w:type="pct"/>
            <w:tcBorders>
              <w:left w:val="nil"/>
              <w:bottom w:val="nil"/>
              <w:right w:val="nil"/>
            </w:tcBorders>
            <w:vAlign w:val="center"/>
          </w:tcPr>
          <w:p w14:paraId="382F70A9" w14:textId="77777777" w:rsidR="00E9015E" w:rsidRPr="00DC5F32" w:rsidRDefault="00E9015E" w:rsidP="00C14E25">
            <w:pPr>
              <w:jc w:val="center"/>
              <w:rPr>
                <w:rFonts w:ascii="Times New Roman" w:hAnsi="Times New Roman" w:cs="Times New Roman"/>
                <w:sz w:val="16"/>
                <w:szCs w:val="16"/>
              </w:rPr>
            </w:pPr>
          </w:p>
        </w:tc>
        <w:tc>
          <w:tcPr>
            <w:tcW w:w="268" w:type="pct"/>
            <w:tcBorders>
              <w:left w:val="nil"/>
              <w:bottom w:val="nil"/>
              <w:right w:val="nil"/>
            </w:tcBorders>
            <w:vAlign w:val="center"/>
          </w:tcPr>
          <w:p w14:paraId="0F01D2BF" w14:textId="77777777" w:rsidR="00E9015E" w:rsidRPr="00DC5F32" w:rsidRDefault="00E9015E" w:rsidP="00C14E25">
            <w:pPr>
              <w:jc w:val="center"/>
              <w:rPr>
                <w:rFonts w:ascii="Times New Roman" w:hAnsi="Times New Roman" w:cs="Times New Roman"/>
                <w:sz w:val="16"/>
                <w:szCs w:val="16"/>
              </w:rPr>
            </w:pPr>
          </w:p>
        </w:tc>
        <w:tc>
          <w:tcPr>
            <w:tcW w:w="420" w:type="pct"/>
            <w:tcBorders>
              <w:left w:val="nil"/>
              <w:bottom w:val="nil"/>
              <w:right w:val="nil"/>
            </w:tcBorders>
            <w:vAlign w:val="center"/>
          </w:tcPr>
          <w:p w14:paraId="53FEAA93" w14:textId="77777777" w:rsidR="00E9015E" w:rsidRPr="00DC5F32" w:rsidRDefault="00E9015E" w:rsidP="00C14E25">
            <w:pPr>
              <w:jc w:val="center"/>
              <w:rPr>
                <w:rFonts w:ascii="Times New Roman" w:hAnsi="Times New Roman" w:cs="Times New Roman"/>
                <w:sz w:val="16"/>
                <w:szCs w:val="16"/>
              </w:rPr>
            </w:pPr>
          </w:p>
        </w:tc>
        <w:tc>
          <w:tcPr>
            <w:tcW w:w="268" w:type="pct"/>
            <w:gridSpan w:val="2"/>
            <w:tcBorders>
              <w:left w:val="nil"/>
              <w:bottom w:val="nil"/>
              <w:right w:val="nil"/>
            </w:tcBorders>
            <w:vAlign w:val="center"/>
          </w:tcPr>
          <w:p w14:paraId="6BE2A44A" w14:textId="77777777" w:rsidR="00E9015E" w:rsidRPr="00DC5F32" w:rsidRDefault="00E9015E" w:rsidP="00C14E25">
            <w:pPr>
              <w:jc w:val="center"/>
              <w:rPr>
                <w:rFonts w:ascii="Times New Roman" w:hAnsi="Times New Roman" w:cs="Times New Roman"/>
                <w:sz w:val="16"/>
                <w:szCs w:val="16"/>
              </w:rPr>
            </w:pPr>
          </w:p>
        </w:tc>
      </w:tr>
      <w:tr w:rsidR="00E9015E" w:rsidRPr="000673A6" w14:paraId="0076043F" w14:textId="77777777" w:rsidTr="00C14E25">
        <w:trPr>
          <w:trHeight w:val="20"/>
        </w:trPr>
        <w:tc>
          <w:tcPr>
            <w:tcW w:w="1503" w:type="pct"/>
            <w:gridSpan w:val="2"/>
            <w:tcBorders>
              <w:top w:val="nil"/>
              <w:left w:val="nil"/>
              <w:bottom w:val="nil"/>
              <w:right w:val="nil"/>
            </w:tcBorders>
          </w:tcPr>
          <w:p w14:paraId="66674905" w14:textId="77777777" w:rsidR="00E9015E" w:rsidRPr="00DC5F32" w:rsidRDefault="00E9015E" w:rsidP="00C14E25">
            <w:pPr>
              <w:rPr>
                <w:rFonts w:ascii="Times New Roman" w:hAnsi="Times New Roman" w:cs="Times New Roman"/>
                <w:sz w:val="16"/>
                <w:szCs w:val="16"/>
              </w:rPr>
            </w:pPr>
            <w:r w:rsidRPr="00DC5F32">
              <w:rPr>
                <w:rFonts w:ascii="Times New Roman" w:hAnsi="Times New Roman" w:cs="Times New Roman" w:hint="eastAsia"/>
                <w:b/>
                <w:sz w:val="16"/>
                <w:szCs w:val="16"/>
              </w:rPr>
              <w:t>Main</w:t>
            </w:r>
            <w:r w:rsidRPr="00DC5F32">
              <w:rPr>
                <w:rFonts w:ascii="Times New Roman" w:hAnsi="Times New Roman" w:cs="Times New Roman"/>
                <w:b/>
                <w:sz w:val="16"/>
                <w:szCs w:val="16"/>
              </w:rPr>
              <w:t xml:space="preserve"> Effect</w:t>
            </w:r>
          </w:p>
        </w:tc>
        <w:tc>
          <w:tcPr>
            <w:tcW w:w="420" w:type="pct"/>
            <w:tcBorders>
              <w:top w:val="nil"/>
              <w:left w:val="dotted" w:sz="4" w:space="0" w:color="auto"/>
              <w:bottom w:val="nil"/>
              <w:right w:val="nil"/>
            </w:tcBorders>
          </w:tcPr>
          <w:p w14:paraId="23693EBA" w14:textId="77777777" w:rsidR="00E9015E" w:rsidRPr="00DC5F32" w:rsidRDefault="00E9015E" w:rsidP="00C14E25">
            <w:pPr>
              <w:jc w:val="center"/>
              <w:rPr>
                <w:rFonts w:ascii="Times New Roman" w:hAnsi="Times New Roman" w:cs="Times New Roman"/>
                <w:sz w:val="16"/>
                <w:szCs w:val="16"/>
              </w:rPr>
            </w:pPr>
          </w:p>
        </w:tc>
        <w:tc>
          <w:tcPr>
            <w:tcW w:w="281" w:type="pct"/>
            <w:tcBorders>
              <w:top w:val="nil"/>
              <w:left w:val="nil"/>
              <w:bottom w:val="nil"/>
              <w:right w:val="nil"/>
            </w:tcBorders>
          </w:tcPr>
          <w:p w14:paraId="17982D5B"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tcPr>
          <w:p w14:paraId="4410AFFC" w14:textId="77777777" w:rsidR="00E9015E" w:rsidRPr="00DC5F32" w:rsidRDefault="00E9015E" w:rsidP="00C14E25">
            <w:pPr>
              <w:jc w:val="center"/>
              <w:rPr>
                <w:rFonts w:ascii="Times New Roman" w:hAnsi="Times New Roman" w:cs="Times New Roman"/>
                <w:sz w:val="16"/>
                <w:szCs w:val="16"/>
              </w:rPr>
            </w:pPr>
          </w:p>
        </w:tc>
        <w:tc>
          <w:tcPr>
            <w:tcW w:w="312" w:type="pct"/>
            <w:tcBorders>
              <w:top w:val="nil"/>
              <w:left w:val="nil"/>
              <w:bottom w:val="nil"/>
              <w:right w:val="dotted" w:sz="4" w:space="0" w:color="auto"/>
            </w:tcBorders>
          </w:tcPr>
          <w:p w14:paraId="4F3C2BAA"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dotted" w:sz="4" w:space="0" w:color="auto"/>
              <w:bottom w:val="nil"/>
              <w:right w:val="nil"/>
            </w:tcBorders>
            <w:vAlign w:val="center"/>
          </w:tcPr>
          <w:p w14:paraId="5263FFC9" w14:textId="77777777" w:rsidR="00E9015E" w:rsidRPr="00DC5F32" w:rsidRDefault="00E9015E" w:rsidP="00C14E25">
            <w:pPr>
              <w:jc w:val="center"/>
              <w:rPr>
                <w:rFonts w:ascii="Times New Roman" w:hAnsi="Times New Roman" w:cs="Times New Roman"/>
                <w:sz w:val="16"/>
                <w:szCs w:val="16"/>
              </w:rPr>
            </w:pPr>
          </w:p>
        </w:tc>
        <w:tc>
          <w:tcPr>
            <w:tcW w:w="268" w:type="pct"/>
            <w:tcBorders>
              <w:top w:val="nil"/>
              <w:left w:val="nil"/>
              <w:bottom w:val="nil"/>
              <w:right w:val="nil"/>
            </w:tcBorders>
            <w:vAlign w:val="center"/>
          </w:tcPr>
          <w:p w14:paraId="6158927E"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vAlign w:val="center"/>
          </w:tcPr>
          <w:p w14:paraId="1DF8C8C3" w14:textId="77777777" w:rsidR="00E9015E" w:rsidRPr="00DC5F32" w:rsidRDefault="00E9015E" w:rsidP="00C14E25">
            <w:pPr>
              <w:jc w:val="center"/>
              <w:rPr>
                <w:rFonts w:ascii="Times New Roman" w:hAnsi="Times New Roman" w:cs="Times New Roman"/>
                <w:sz w:val="16"/>
                <w:szCs w:val="16"/>
              </w:rPr>
            </w:pPr>
          </w:p>
        </w:tc>
        <w:tc>
          <w:tcPr>
            <w:tcW w:w="268" w:type="pct"/>
            <w:tcBorders>
              <w:top w:val="nil"/>
              <w:left w:val="nil"/>
              <w:bottom w:val="nil"/>
              <w:right w:val="nil"/>
            </w:tcBorders>
            <w:vAlign w:val="center"/>
          </w:tcPr>
          <w:p w14:paraId="6C3AA446"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vAlign w:val="center"/>
          </w:tcPr>
          <w:p w14:paraId="20BCFD8E" w14:textId="77777777" w:rsidR="00E9015E" w:rsidRPr="00DC5F32" w:rsidRDefault="00E9015E" w:rsidP="00C14E25">
            <w:pPr>
              <w:jc w:val="center"/>
              <w:rPr>
                <w:rFonts w:ascii="Times New Roman" w:hAnsi="Times New Roman" w:cs="Times New Roman"/>
                <w:sz w:val="16"/>
                <w:szCs w:val="16"/>
              </w:rPr>
            </w:pPr>
          </w:p>
        </w:tc>
        <w:tc>
          <w:tcPr>
            <w:tcW w:w="268" w:type="pct"/>
            <w:gridSpan w:val="2"/>
            <w:tcBorders>
              <w:top w:val="nil"/>
              <w:left w:val="nil"/>
              <w:bottom w:val="nil"/>
              <w:right w:val="nil"/>
            </w:tcBorders>
            <w:vAlign w:val="center"/>
          </w:tcPr>
          <w:p w14:paraId="0D57E843" w14:textId="77777777" w:rsidR="00E9015E" w:rsidRPr="00DC5F32" w:rsidRDefault="00E9015E" w:rsidP="00C14E25">
            <w:pPr>
              <w:jc w:val="center"/>
              <w:rPr>
                <w:rFonts w:ascii="Times New Roman" w:hAnsi="Times New Roman" w:cs="Times New Roman"/>
                <w:sz w:val="16"/>
                <w:szCs w:val="16"/>
              </w:rPr>
            </w:pPr>
          </w:p>
        </w:tc>
      </w:tr>
      <w:tr w:rsidR="00E9015E" w:rsidRPr="000673A6" w14:paraId="7C37257D" w14:textId="77777777" w:rsidTr="00C14E25">
        <w:trPr>
          <w:trHeight w:val="20"/>
        </w:trPr>
        <w:tc>
          <w:tcPr>
            <w:tcW w:w="120" w:type="pct"/>
            <w:tcBorders>
              <w:top w:val="nil"/>
              <w:left w:val="nil"/>
              <w:bottom w:val="nil"/>
              <w:right w:val="nil"/>
            </w:tcBorders>
          </w:tcPr>
          <w:p w14:paraId="4A8D9750" w14:textId="77777777" w:rsidR="00E9015E" w:rsidRPr="00E75E6C" w:rsidRDefault="00E9015E" w:rsidP="00C14E25">
            <w:pPr>
              <w:jc w:val="center"/>
              <w:rPr>
                <w:rFonts w:ascii="Times New Roman" w:hAnsi="Times New Roman" w:cs="Times New Roman"/>
                <w:sz w:val="14"/>
                <w:szCs w:val="14"/>
              </w:rPr>
            </w:pPr>
          </w:p>
        </w:tc>
        <w:tc>
          <w:tcPr>
            <w:tcW w:w="1383" w:type="pct"/>
            <w:tcBorders>
              <w:top w:val="nil"/>
              <w:left w:val="nil"/>
              <w:bottom w:val="nil"/>
              <w:right w:val="nil"/>
            </w:tcBorders>
          </w:tcPr>
          <w:p w14:paraId="34F2BB45" w14:textId="77777777" w:rsidR="00E9015E" w:rsidRPr="00DC5F32" w:rsidRDefault="00E9015E" w:rsidP="00C14E25">
            <w:pPr>
              <w:jc w:val="left"/>
              <w:rPr>
                <w:rFonts w:ascii="Times New Roman" w:hAnsi="Times New Roman" w:cs="Times New Roman"/>
                <w:sz w:val="16"/>
                <w:szCs w:val="16"/>
              </w:rPr>
            </w:pPr>
            <w:r>
              <w:rPr>
                <w:rFonts w:ascii="Times New Roman" w:hAnsi="Times New Roman" w:cs="Times New Roman"/>
                <w:color w:val="000000" w:themeColor="text1"/>
                <w:sz w:val="16"/>
                <w:szCs w:val="16"/>
              </w:rPr>
              <w:t xml:space="preserve">Digital </w:t>
            </w:r>
            <w:r>
              <w:rPr>
                <w:rFonts w:ascii="Times New Roman" w:hAnsi="Times New Roman" w:cs="Times New Roman" w:hint="eastAsia"/>
                <w:color w:val="000000" w:themeColor="text1"/>
                <w:sz w:val="16"/>
                <w:szCs w:val="16"/>
              </w:rPr>
              <w:t>c</w:t>
            </w:r>
            <w:r w:rsidRPr="00DC5F32">
              <w:rPr>
                <w:rFonts w:ascii="Times New Roman" w:hAnsi="Times New Roman" w:cs="Times New Roman"/>
                <w:color w:val="000000" w:themeColor="text1"/>
                <w:sz w:val="16"/>
                <w:szCs w:val="16"/>
              </w:rPr>
              <w:t>apability</w:t>
            </w:r>
            <w:r w:rsidRPr="00DC5F32">
              <w:rPr>
                <w:rFonts w:ascii="Times New Roman" w:hAnsi="Times New Roman" w:cs="Times New Roman"/>
                <w:sz w:val="16"/>
                <w:szCs w:val="16"/>
              </w:rPr>
              <w:t xml:space="preserve"> </w:t>
            </w:r>
            <w:r>
              <w:rPr>
                <w:rFonts w:ascii="Times New Roman" w:hAnsi="Times New Roman" w:cs="Times New Roman"/>
                <w:sz w:val="16"/>
                <w:szCs w:val="16"/>
              </w:rPr>
              <w:t xml:space="preserve">asymmetry </w:t>
            </w:r>
            <w:r>
              <w:rPr>
                <w:rFonts w:ascii="Times New Roman" w:hAnsi="Times New Roman" w:cs="Times New Roman" w:hint="eastAsia"/>
                <w:sz w:val="16"/>
                <w:szCs w:val="16"/>
              </w:rPr>
              <w:t>(H1</w:t>
            </w:r>
            <w:r w:rsidRPr="00DC5F32">
              <w:rPr>
                <w:rFonts w:ascii="Times New Roman" w:hAnsi="Times New Roman" w:cs="Times New Roman" w:hint="eastAsia"/>
                <w:sz w:val="16"/>
                <w:szCs w:val="16"/>
              </w:rPr>
              <w:t>)</w:t>
            </w:r>
          </w:p>
        </w:tc>
        <w:tc>
          <w:tcPr>
            <w:tcW w:w="420" w:type="pct"/>
            <w:tcBorders>
              <w:top w:val="nil"/>
              <w:left w:val="dotted" w:sz="4" w:space="0" w:color="auto"/>
              <w:bottom w:val="nil"/>
              <w:right w:val="nil"/>
            </w:tcBorders>
          </w:tcPr>
          <w:p w14:paraId="5F0717E3"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81" w:type="pct"/>
            <w:tcBorders>
              <w:top w:val="nil"/>
              <w:left w:val="nil"/>
              <w:bottom w:val="nil"/>
              <w:right w:val="nil"/>
            </w:tcBorders>
          </w:tcPr>
          <w:p w14:paraId="2E2C46CB"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nil"/>
              <w:bottom w:val="nil"/>
              <w:right w:val="nil"/>
            </w:tcBorders>
            <w:vAlign w:val="center"/>
          </w:tcPr>
          <w:p w14:paraId="73A49FBA" w14:textId="77777777" w:rsidR="00E9015E" w:rsidRPr="00DC5F32" w:rsidRDefault="00E9015E" w:rsidP="00C14E25">
            <w:pPr>
              <w:widowControl/>
              <w:autoSpaceDE/>
              <w:autoSpaceDN/>
              <w:jc w:val="center"/>
              <w:rPr>
                <w:rFonts w:ascii="Times New Roman" w:eastAsia="Gulim" w:hAnsi="Times New Roman" w:cs="Times New Roman"/>
                <w:b/>
                <w:kern w:val="0"/>
                <w:sz w:val="16"/>
                <w:szCs w:val="16"/>
              </w:rPr>
            </w:pPr>
            <w:r w:rsidRPr="00DC5F32">
              <w:rPr>
                <w:rFonts w:ascii="Times New Roman" w:eastAsia="Gulim" w:hAnsi="Times New Roman" w:cs="Times New Roman"/>
                <w:b/>
                <w:kern w:val="0"/>
                <w:sz w:val="16"/>
                <w:szCs w:val="16"/>
              </w:rPr>
              <w:t>0.222</w:t>
            </w:r>
            <w:r w:rsidRPr="00DC5F32">
              <w:rPr>
                <w:rFonts w:ascii="Times New Roman" w:eastAsia="Gulim" w:hAnsi="Times New Roman" w:cs="Times New Roman"/>
                <w:b/>
                <w:kern w:val="0"/>
                <w:sz w:val="16"/>
                <w:szCs w:val="16"/>
                <w:vertAlign w:val="superscript"/>
              </w:rPr>
              <w:t>*</w:t>
            </w:r>
          </w:p>
        </w:tc>
        <w:tc>
          <w:tcPr>
            <w:tcW w:w="312" w:type="pct"/>
            <w:tcBorders>
              <w:top w:val="nil"/>
              <w:left w:val="nil"/>
              <w:bottom w:val="nil"/>
              <w:right w:val="dotted" w:sz="4" w:space="0" w:color="auto"/>
            </w:tcBorders>
            <w:vAlign w:val="center"/>
          </w:tcPr>
          <w:p w14:paraId="0D909570" w14:textId="77777777" w:rsidR="00E9015E" w:rsidRPr="00DC5F32" w:rsidRDefault="00E9015E" w:rsidP="00C14E25">
            <w:pPr>
              <w:widowControl/>
              <w:autoSpaceDE/>
              <w:autoSpaceDN/>
              <w:jc w:val="center"/>
              <w:rPr>
                <w:rFonts w:ascii="Times New Roman" w:eastAsia="Gulim" w:hAnsi="Times New Roman" w:cs="Times New Roman"/>
                <w:b/>
                <w:kern w:val="0"/>
                <w:sz w:val="16"/>
                <w:szCs w:val="16"/>
              </w:rPr>
            </w:pPr>
            <w:r w:rsidRPr="00DC5F32">
              <w:rPr>
                <w:rFonts w:ascii="Times New Roman" w:eastAsia="Gulim" w:hAnsi="Times New Roman" w:cs="Times New Roman"/>
                <w:b/>
                <w:kern w:val="0"/>
                <w:sz w:val="16"/>
                <w:szCs w:val="16"/>
              </w:rPr>
              <w:t>0.090</w:t>
            </w:r>
          </w:p>
        </w:tc>
        <w:tc>
          <w:tcPr>
            <w:tcW w:w="420" w:type="pct"/>
            <w:tcBorders>
              <w:top w:val="nil"/>
              <w:left w:val="dotted" w:sz="4" w:space="0" w:color="auto"/>
              <w:bottom w:val="nil"/>
              <w:right w:val="nil"/>
            </w:tcBorders>
            <w:vAlign w:val="center"/>
          </w:tcPr>
          <w:p w14:paraId="7EC1AEB1"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68" w:type="pct"/>
            <w:tcBorders>
              <w:top w:val="nil"/>
              <w:left w:val="nil"/>
              <w:bottom w:val="nil"/>
              <w:right w:val="nil"/>
            </w:tcBorders>
            <w:vAlign w:val="center"/>
          </w:tcPr>
          <w:p w14:paraId="6757C7AA"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nil"/>
              <w:bottom w:val="nil"/>
              <w:right w:val="nil"/>
            </w:tcBorders>
            <w:vAlign w:val="center"/>
          </w:tcPr>
          <w:p w14:paraId="2D93BF44"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68" w:type="pct"/>
            <w:tcBorders>
              <w:top w:val="nil"/>
              <w:left w:val="nil"/>
              <w:bottom w:val="nil"/>
              <w:right w:val="nil"/>
            </w:tcBorders>
            <w:vAlign w:val="center"/>
          </w:tcPr>
          <w:p w14:paraId="181D6CDF"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nil"/>
              <w:bottom w:val="nil"/>
              <w:right w:val="nil"/>
            </w:tcBorders>
            <w:vAlign w:val="center"/>
          </w:tcPr>
          <w:p w14:paraId="3BE66055"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-.061</w:t>
            </w:r>
          </w:p>
        </w:tc>
        <w:tc>
          <w:tcPr>
            <w:tcW w:w="268" w:type="pct"/>
            <w:gridSpan w:val="2"/>
            <w:tcBorders>
              <w:top w:val="nil"/>
              <w:left w:val="nil"/>
              <w:bottom w:val="nil"/>
              <w:right w:val="nil"/>
            </w:tcBorders>
            <w:vAlign w:val="center"/>
          </w:tcPr>
          <w:p w14:paraId="100A74F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.101</w:t>
            </w:r>
          </w:p>
        </w:tc>
      </w:tr>
      <w:tr w:rsidR="00E9015E" w:rsidRPr="000673A6" w14:paraId="57218E5A" w14:textId="77777777" w:rsidTr="00C14E25">
        <w:trPr>
          <w:trHeight w:val="20"/>
        </w:trPr>
        <w:tc>
          <w:tcPr>
            <w:tcW w:w="120" w:type="pct"/>
            <w:tcBorders>
              <w:top w:val="nil"/>
              <w:left w:val="nil"/>
              <w:bottom w:val="nil"/>
              <w:right w:val="nil"/>
            </w:tcBorders>
          </w:tcPr>
          <w:p w14:paraId="6AA617DB" w14:textId="77777777" w:rsidR="00E9015E" w:rsidRPr="00E75E6C" w:rsidRDefault="00E9015E" w:rsidP="00C14E25">
            <w:pPr>
              <w:jc w:val="center"/>
              <w:rPr>
                <w:rFonts w:ascii="Times New Roman" w:hAnsi="Times New Roman" w:cs="Times New Roman"/>
                <w:sz w:val="14"/>
                <w:szCs w:val="14"/>
              </w:rPr>
            </w:pPr>
          </w:p>
        </w:tc>
        <w:tc>
          <w:tcPr>
            <w:tcW w:w="1383" w:type="pct"/>
            <w:tcBorders>
              <w:top w:val="nil"/>
              <w:left w:val="nil"/>
              <w:bottom w:val="nil"/>
              <w:right w:val="nil"/>
            </w:tcBorders>
          </w:tcPr>
          <w:p w14:paraId="00EE18AF" w14:textId="77777777" w:rsidR="00E9015E" w:rsidRPr="00DC5F32" w:rsidRDefault="00E9015E" w:rsidP="00C14E25">
            <w:pPr>
              <w:jc w:val="left"/>
              <w:rPr>
                <w:rFonts w:ascii="Times New Roman" w:hAnsi="Times New Roman" w:cs="Times New Roman"/>
                <w:sz w:val="16"/>
                <w:szCs w:val="16"/>
              </w:rPr>
            </w:pPr>
            <w:r w:rsidRPr="00DC5F32">
              <w:rPr>
                <w:rFonts w:ascii="Times New Roman" w:hAnsi="Times New Roman" w:cs="Times New Roman"/>
                <w:sz w:val="16"/>
                <w:szCs w:val="16"/>
              </w:rPr>
              <w:t>Suppli</w:t>
            </w:r>
            <w:r>
              <w:rPr>
                <w:rFonts w:ascii="Times New Roman" w:hAnsi="Times New Roman" w:cs="Times New Roman"/>
                <w:sz w:val="16"/>
                <w:szCs w:val="16"/>
              </w:rPr>
              <w:t>er’s dependence on the buyer (H</w:t>
            </w:r>
            <w:r>
              <w:rPr>
                <w:rFonts w:ascii="Times New Roman" w:hAnsi="Times New Roman" w:cs="Times New Roman" w:hint="eastAsia"/>
                <w:sz w:val="16"/>
                <w:szCs w:val="16"/>
              </w:rPr>
              <w:t>2</w:t>
            </w:r>
            <w:r w:rsidRPr="00DC5F32">
              <w:rPr>
                <w:rFonts w:ascii="Times New Roman" w:hAnsi="Times New Roman" w:cs="Times New Roman"/>
                <w:sz w:val="16"/>
                <w:szCs w:val="16"/>
              </w:rPr>
              <w:t>)</w:t>
            </w:r>
          </w:p>
        </w:tc>
        <w:tc>
          <w:tcPr>
            <w:tcW w:w="420" w:type="pct"/>
            <w:tcBorders>
              <w:top w:val="nil"/>
              <w:left w:val="dotted" w:sz="4" w:space="0" w:color="auto"/>
              <w:bottom w:val="nil"/>
              <w:right w:val="nil"/>
            </w:tcBorders>
          </w:tcPr>
          <w:p w14:paraId="4935A92C"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281" w:type="pct"/>
            <w:tcBorders>
              <w:top w:val="nil"/>
              <w:left w:val="nil"/>
              <w:bottom w:val="nil"/>
              <w:right w:val="nil"/>
            </w:tcBorders>
          </w:tcPr>
          <w:p w14:paraId="2AA7CE49"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420" w:type="pct"/>
            <w:tcBorders>
              <w:top w:val="nil"/>
              <w:left w:val="nil"/>
              <w:bottom w:val="nil"/>
              <w:right w:val="nil"/>
            </w:tcBorders>
          </w:tcPr>
          <w:p w14:paraId="02A18889"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312" w:type="pct"/>
            <w:tcBorders>
              <w:top w:val="nil"/>
              <w:left w:val="nil"/>
              <w:bottom w:val="nil"/>
              <w:right w:val="dotted" w:sz="4" w:space="0" w:color="auto"/>
            </w:tcBorders>
          </w:tcPr>
          <w:p w14:paraId="09FFA439"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420" w:type="pct"/>
            <w:tcBorders>
              <w:top w:val="nil"/>
              <w:left w:val="dotted" w:sz="4" w:space="0" w:color="auto"/>
              <w:bottom w:val="nil"/>
              <w:right w:val="nil"/>
            </w:tcBorders>
            <w:vAlign w:val="center"/>
          </w:tcPr>
          <w:p w14:paraId="2F4BD7E2"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268" w:type="pct"/>
            <w:tcBorders>
              <w:top w:val="nil"/>
              <w:left w:val="nil"/>
              <w:bottom w:val="nil"/>
              <w:right w:val="nil"/>
            </w:tcBorders>
            <w:vAlign w:val="center"/>
          </w:tcPr>
          <w:p w14:paraId="0BA5B3EA"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nil"/>
              <w:bottom w:val="nil"/>
              <w:right w:val="nil"/>
            </w:tcBorders>
            <w:vAlign w:val="center"/>
          </w:tcPr>
          <w:p w14:paraId="6EF3D2C9" w14:textId="77777777" w:rsidR="00E9015E" w:rsidRPr="00DC5F32" w:rsidRDefault="00E9015E" w:rsidP="00C14E25">
            <w:pPr>
              <w:widowControl/>
              <w:autoSpaceDE/>
              <w:autoSpaceDN/>
              <w:jc w:val="center"/>
              <w:rPr>
                <w:rFonts w:ascii="Times New Roman" w:eastAsia="Gulim" w:hAnsi="Times New Roman" w:cs="Times New Roman"/>
                <w:b/>
                <w:color w:val="000000" w:themeColor="text1"/>
                <w:kern w:val="0"/>
                <w:sz w:val="16"/>
                <w:szCs w:val="16"/>
              </w:rPr>
            </w:pPr>
            <w:r w:rsidRPr="00DC5F32">
              <w:rPr>
                <w:rFonts w:ascii="Times New Roman" w:eastAsia="Gulim" w:hAnsi="Times New Roman" w:cs="Times New Roman"/>
                <w:b/>
                <w:color w:val="000000" w:themeColor="text1"/>
                <w:kern w:val="0"/>
                <w:sz w:val="16"/>
                <w:szCs w:val="16"/>
              </w:rPr>
              <w:t>.244</w:t>
            </w:r>
            <w:r w:rsidRPr="00DC5F32">
              <w:rPr>
                <w:rFonts w:ascii="Times New Roman" w:eastAsia="Gulim" w:hAnsi="Times New Roman" w:cs="Times New Roman"/>
                <w:b/>
                <w:color w:val="000000" w:themeColor="text1"/>
                <w:kern w:val="0"/>
                <w:sz w:val="16"/>
                <w:szCs w:val="16"/>
                <w:vertAlign w:val="superscript"/>
              </w:rPr>
              <w:t>*</w:t>
            </w:r>
          </w:p>
        </w:tc>
        <w:tc>
          <w:tcPr>
            <w:tcW w:w="268" w:type="pct"/>
            <w:tcBorders>
              <w:top w:val="nil"/>
              <w:left w:val="nil"/>
              <w:bottom w:val="nil"/>
              <w:right w:val="nil"/>
            </w:tcBorders>
            <w:vAlign w:val="center"/>
          </w:tcPr>
          <w:p w14:paraId="1AEA691D" w14:textId="77777777" w:rsidR="00E9015E" w:rsidRPr="00DC5F32" w:rsidRDefault="00E9015E" w:rsidP="00C14E25">
            <w:pPr>
              <w:widowControl/>
              <w:autoSpaceDE/>
              <w:autoSpaceDN/>
              <w:jc w:val="center"/>
              <w:rPr>
                <w:rFonts w:ascii="Times New Roman" w:eastAsia="Gulim" w:hAnsi="Times New Roman" w:cs="Times New Roman"/>
                <w:b/>
                <w:color w:val="000000" w:themeColor="text1"/>
                <w:kern w:val="0"/>
                <w:sz w:val="16"/>
                <w:szCs w:val="16"/>
              </w:rPr>
            </w:pPr>
            <w:r w:rsidRPr="00DC5F32">
              <w:rPr>
                <w:rFonts w:ascii="Times New Roman" w:eastAsia="Gulim" w:hAnsi="Times New Roman" w:cs="Times New Roman"/>
                <w:b/>
                <w:color w:val="000000" w:themeColor="text1"/>
                <w:kern w:val="0"/>
                <w:sz w:val="16"/>
                <w:szCs w:val="16"/>
              </w:rPr>
              <w:t>.098</w:t>
            </w:r>
          </w:p>
        </w:tc>
        <w:tc>
          <w:tcPr>
            <w:tcW w:w="420" w:type="pct"/>
            <w:tcBorders>
              <w:top w:val="nil"/>
              <w:left w:val="nil"/>
              <w:bottom w:val="nil"/>
              <w:right w:val="nil"/>
            </w:tcBorders>
            <w:vAlign w:val="center"/>
          </w:tcPr>
          <w:p w14:paraId="2DCF319D"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.258</w:t>
            </w:r>
            <w:r w:rsidRPr="00DC5F32">
              <w:rPr>
                <w:rFonts w:ascii="Times New Roman" w:eastAsia="Gulim" w:hAnsi="Times New Roman" w:cs="Times New Roman"/>
                <w:color w:val="000000" w:themeColor="text1"/>
                <w:kern w:val="0"/>
                <w:sz w:val="16"/>
                <w:szCs w:val="16"/>
                <w:vertAlign w:val="superscript"/>
              </w:rPr>
              <w:t>*</w:t>
            </w:r>
          </w:p>
        </w:tc>
        <w:tc>
          <w:tcPr>
            <w:tcW w:w="268" w:type="pct"/>
            <w:gridSpan w:val="2"/>
            <w:tcBorders>
              <w:top w:val="nil"/>
              <w:left w:val="nil"/>
              <w:bottom w:val="nil"/>
              <w:right w:val="nil"/>
            </w:tcBorders>
            <w:vAlign w:val="center"/>
          </w:tcPr>
          <w:p w14:paraId="00AF10BB"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.102</w:t>
            </w:r>
          </w:p>
        </w:tc>
      </w:tr>
      <w:tr w:rsidR="00E9015E" w:rsidRPr="000673A6" w14:paraId="3C38D72F" w14:textId="77777777" w:rsidTr="00C14E25">
        <w:trPr>
          <w:trHeight w:val="20"/>
        </w:trPr>
        <w:tc>
          <w:tcPr>
            <w:tcW w:w="120" w:type="pct"/>
            <w:tcBorders>
              <w:top w:val="nil"/>
              <w:left w:val="nil"/>
              <w:bottom w:val="nil"/>
              <w:right w:val="nil"/>
            </w:tcBorders>
          </w:tcPr>
          <w:p w14:paraId="3D5F0A48" w14:textId="77777777" w:rsidR="00E9015E" w:rsidRPr="00E75E6C" w:rsidRDefault="00E9015E" w:rsidP="00C14E25">
            <w:pPr>
              <w:jc w:val="center"/>
              <w:rPr>
                <w:rFonts w:ascii="Times New Roman" w:hAnsi="Times New Roman" w:cs="Times New Roman"/>
                <w:sz w:val="14"/>
                <w:szCs w:val="14"/>
              </w:rPr>
            </w:pPr>
          </w:p>
        </w:tc>
        <w:tc>
          <w:tcPr>
            <w:tcW w:w="1383" w:type="pct"/>
            <w:tcBorders>
              <w:top w:val="nil"/>
              <w:left w:val="nil"/>
              <w:bottom w:val="nil"/>
              <w:right w:val="nil"/>
            </w:tcBorders>
          </w:tcPr>
          <w:p w14:paraId="021A4D91" w14:textId="77777777" w:rsidR="00E9015E" w:rsidRPr="00DC5F32" w:rsidRDefault="00E9015E" w:rsidP="00C14E25">
            <w:pPr>
              <w:jc w:val="left"/>
              <w:rPr>
                <w:rFonts w:ascii="Times New Roman" w:hAnsi="Times New Roman" w:cs="Times New Roman"/>
                <w:sz w:val="16"/>
                <w:szCs w:val="16"/>
              </w:rPr>
            </w:pPr>
            <w:r>
              <w:rPr>
                <w:rFonts w:ascii="Times New Roman" w:hAnsi="Times New Roman" w:cs="Times New Roman"/>
                <w:sz w:val="16"/>
                <w:szCs w:val="16"/>
              </w:rPr>
              <w:t>Relational governance (H</w:t>
            </w:r>
            <w:r>
              <w:rPr>
                <w:rFonts w:ascii="Times New Roman" w:hAnsi="Times New Roman" w:cs="Times New Roman" w:hint="eastAsia"/>
                <w:sz w:val="16"/>
                <w:szCs w:val="16"/>
              </w:rPr>
              <w:t>3</w:t>
            </w:r>
            <w:r w:rsidRPr="00DC5F32">
              <w:rPr>
                <w:rFonts w:ascii="Times New Roman" w:hAnsi="Times New Roman" w:cs="Times New Roman"/>
                <w:sz w:val="16"/>
                <w:szCs w:val="16"/>
              </w:rPr>
              <w:t>)</w:t>
            </w:r>
          </w:p>
        </w:tc>
        <w:tc>
          <w:tcPr>
            <w:tcW w:w="420" w:type="pct"/>
            <w:tcBorders>
              <w:top w:val="nil"/>
              <w:left w:val="dotted" w:sz="4" w:space="0" w:color="auto"/>
              <w:bottom w:val="nil"/>
              <w:right w:val="nil"/>
            </w:tcBorders>
          </w:tcPr>
          <w:p w14:paraId="461E6C3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281" w:type="pct"/>
            <w:tcBorders>
              <w:top w:val="nil"/>
              <w:left w:val="nil"/>
              <w:bottom w:val="nil"/>
              <w:right w:val="nil"/>
            </w:tcBorders>
          </w:tcPr>
          <w:p w14:paraId="182B8C0D"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nil"/>
              <w:bottom w:val="nil"/>
              <w:right w:val="nil"/>
            </w:tcBorders>
          </w:tcPr>
          <w:p w14:paraId="59A88D10"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312" w:type="pct"/>
            <w:tcBorders>
              <w:top w:val="nil"/>
              <w:left w:val="nil"/>
              <w:bottom w:val="nil"/>
              <w:right w:val="dotted" w:sz="4" w:space="0" w:color="auto"/>
            </w:tcBorders>
          </w:tcPr>
          <w:p w14:paraId="32387D73"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dotted" w:sz="4" w:space="0" w:color="auto"/>
              <w:bottom w:val="nil"/>
              <w:right w:val="nil"/>
            </w:tcBorders>
            <w:vAlign w:val="center"/>
          </w:tcPr>
          <w:p w14:paraId="3C316810"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268" w:type="pct"/>
            <w:tcBorders>
              <w:top w:val="nil"/>
              <w:left w:val="nil"/>
              <w:bottom w:val="nil"/>
              <w:right w:val="nil"/>
            </w:tcBorders>
            <w:vAlign w:val="center"/>
          </w:tcPr>
          <w:p w14:paraId="4E720BF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nil"/>
              <w:bottom w:val="nil"/>
              <w:right w:val="nil"/>
            </w:tcBorders>
            <w:vAlign w:val="center"/>
          </w:tcPr>
          <w:p w14:paraId="08431BD8" w14:textId="77777777" w:rsidR="00E9015E" w:rsidRPr="00DC5F32" w:rsidRDefault="00E9015E" w:rsidP="00C14E25">
            <w:pPr>
              <w:widowControl/>
              <w:autoSpaceDE/>
              <w:autoSpaceDN/>
              <w:jc w:val="center"/>
              <w:rPr>
                <w:rFonts w:ascii="Times New Roman" w:eastAsia="Gulim" w:hAnsi="Times New Roman" w:cs="Times New Roman"/>
                <w:b/>
                <w:color w:val="000000" w:themeColor="text1"/>
                <w:kern w:val="0"/>
                <w:sz w:val="16"/>
                <w:szCs w:val="16"/>
              </w:rPr>
            </w:pPr>
            <w:r w:rsidRPr="00DC5F32">
              <w:rPr>
                <w:rFonts w:ascii="Times New Roman" w:eastAsia="Gulim" w:hAnsi="Times New Roman" w:cs="Times New Roman"/>
                <w:b/>
                <w:color w:val="000000" w:themeColor="text1"/>
                <w:kern w:val="0"/>
                <w:sz w:val="16"/>
                <w:szCs w:val="16"/>
              </w:rPr>
              <w:t>-.663</w:t>
            </w:r>
            <w:r w:rsidRPr="00DC5F32">
              <w:rPr>
                <w:rFonts w:ascii="Times New Roman" w:eastAsia="Gulim" w:hAnsi="Times New Roman" w:cs="Times New Roman"/>
                <w:b/>
                <w:color w:val="000000" w:themeColor="text1"/>
                <w:kern w:val="0"/>
                <w:sz w:val="16"/>
                <w:szCs w:val="16"/>
                <w:vertAlign w:val="superscript"/>
              </w:rPr>
              <w:t>***</w:t>
            </w:r>
          </w:p>
        </w:tc>
        <w:tc>
          <w:tcPr>
            <w:tcW w:w="268" w:type="pct"/>
            <w:tcBorders>
              <w:top w:val="nil"/>
              <w:left w:val="nil"/>
              <w:bottom w:val="nil"/>
              <w:right w:val="nil"/>
            </w:tcBorders>
            <w:vAlign w:val="center"/>
          </w:tcPr>
          <w:p w14:paraId="118FD7A8" w14:textId="77777777" w:rsidR="00E9015E" w:rsidRPr="00DC5F32" w:rsidRDefault="00E9015E" w:rsidP="00C14E25">
            <w:pPr>
              <w:widowControl/>
              <w:autoSpaceDE/>
              <w:autoSpaceDN/>
              <w:jc w:val="center"/>
              <w:rPr>
                <w:rFonts w:ascii="Times New Roman" w:eastAsia="Gulim" w:hAnsi="Times New Roman" w:cs="Times New Roman"/>
                <w:b/>
                <w:color w:val="000000" w:themeColor="text1"/>
                <w:kern w:val="0"/>
                <w:sz w:val="16"/>
                <w:szCs w:val="16"/>
              </w:rPr>
            </w:pPr>
            <w:r w:rsidRPr="00DC5F32">
              <w:rPr>
                <w:rFonts w:ascii="Times New Roman" w:eastAsia="Gulim" w:hAnsi="Times New Roman" w:cs="Times New Roman"/>
                <w:b/>
                <w:color w:val="000000" w:themeColor="text1"/>
                <w:kern w:val="0"/>
                <w:sz w:val="16"/>
                <w:szCs w:val="16"/>
              </w:rPr>
              <w:t>.124</w:t>
            </w:r>
          </w:p>
        </w:tc>
        <w:tc>
          <w:tcPr>
            <w:tcW w:w="420" w:type="pct"/>
            <w:tcBorders>
              <w:top w:val="nil"/>
              <w:left w:val="nil"/>
              <w:bottom w:val="nil"/>
              <w:right w:val="nil"/>
            </w:tcBorders>
            <w:vAlign w:val="center"/>
          </w:tcPr>
          <w:p w14:paraId="5651059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-.682</w:t>
            </w:r>
            <w:r w:rsidRPr="00DC5F32">
              <w:rPr>
                <w:rFonts w:ascii="Times New Roman" w:eastAsia="Gulim" w:hAnsi="Times New Roman" w:cs="Times New Roman"/>
                <w:color w:val="000000" w:themeColor="text1"/>
                <w:kern w:val="0"/>
                <w:sz w:val="16"/>
                <w:szCs w:val="16"/>
                <w:vertAlign w:val="superscript"/>
              </w:rPr>
              <w:t>***</w:t>
            </w:r>
          </w:p>
        </w:tc>
        <w:tc>
          <w:tcPr>
            <w:tcW w:w="268" w:type="pct"/>
            <w:gridSpan w:val="2"/>
            <w:tcBorders>
              <w:top w:val="nil"/>
              <w:left w:val="nil"/>
              <w:bottom w:val="nil"/>
              <w:right w:val="nil"/>
            </w:tcBorders>
            <w:vAlign w:val="center"/>
          </w:tcPr>
          <w:p w14:paraId="7D518A70"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.128</w:t>
            </w:r>
          </w:p>
        </w:tc>
      </w:tr>
      <w:tr w:rsidR="00E9015E" w:rsidRPr="000673A6" w14:paraId="2B5A7849" w14:textId="77777777" w:rsidTr="00C14E25">
        <w:trPr>
          <w:trHeight w:val="20"/>
        </w:trPr>
        <w:tc>
          <w:tcPr>
            <w:tcW w:w="120" w:type="pct"/>
            <w:tcBorders>
              <w:top w:val="nil"/>
              <w:left w:val="nil"/>
              <w:bottom w:val="nil"/>
              <w:right w:val="nil"/>
            </w:tcBorders>
          </w:tcPr>
          <w:p w14:paraId="6BA40083" w14:textId="77777777" w:rsidR="00E9015E" w:rsidRPr="00E75E6C" w:rsidRDefault="00E9015E" w:rsidP="00C14E25">
            <w:pPr>
              <w:jc w:val="center"/>
              <w:rPr>
                <w:rFonts w:ascii="Times New Roman" w:hAnsi="Times New Roman" w:cs="Times New Roman"/>
                <w:sz w:val="14"/>
                <w:szCs w:val="14"/>
              </w:rPr>
            </w:pPr>
          </w:p>
        </w:tc>
        <w:tc>
          <w:tcPr>
            <w:tcW w:w="1383" w:type="pct"/>
            <w:tcBorders>
              <w:top w:val="nil"/>
              <w:left w:val="nil"/>
              <w:bottom w:val="nil"/>
              <w:right w:val="nil"/>
            </w:tcBorders>
          </w:tcPr>
          <w:p w14:paraId="0DB484A6" w14:textId="77777777" w:rsidR="00E9015E" w:rsidRPr="00DC5F32" w:rsidRDefault="00E9015E" w:rsidP="00C14E25">
            <w:pPr>
              <w:jc w:val="left"/>
              <w:rPr>
                <w:rFonts w:ascii="Times New Roman" w:hAnsi="Times New Roman" w:cs="Times New Roman"/>
                <w:sz w:val="16"/>
                <w:szCs w:val="16"/>
              </w:rPr>
            </w:pPr>
            <w:r>
              <w:rPr>
                <w:rFonts w:ascii="Times New Roman" w:hAnsi="Times New Roman" w:cs="Times New Roman"/>
                <w:sz w:val="16"/>
                <w:szCs w:val="16"/>
              </w:rPr>
              <w:t>Contractual governance (H</w:t>
            </w:r>
            <w:r>
              <w:rPr>
                <w:rFonts w:ascii="Times New Roman" w:hAnsi="Times New Roman" w:cs="Times New Roman" w:hint="eastAsia"/>
                <w:sz w:val="16"/>
                <w:szCs w:val="16"/>
              </w:rPr>
              <w:t>4</w:t>
            </w:r>
            <w:r w:rsidRPr="00DC5F32">
              <w:rPr>
                <w:rFonts w:ascii="Times New Roman" w:hAnsi="Times New Roman" w:cs="Times New Roman"/>
                <w:sz w:val="16"/>
                <w:szCs w:val="16"/>
              </w:rPr>
              <w:t>)</w:t>
            </w:r>
          </w:p>
        </w:tc>
        <w:tc>
          <w:tcPr>
            <w:tcW w:w="420" w:type="pct"/>
            <w:tcBorders>
              <w:top w:val="nil"/>
              <w:left w:val="dotted" w:sz="4" w:space="0" w:color="auto"/>
              <w:bottom w:val="nil"/>
              <w:right w:val="nil"/>
            </w:tcBorders>
          </w:tcPr>
          <w:p w14:paraId="61518CE0"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281" w:type="pct"/>
            <w:tcBorders>
              <w:top w:val="nil"/>
              <w:left w:val="nil"/>
              <w:bottom w:val="nil"/>
              <w:right w:val="nil"/>
            </w:tcBorders>
          </w:tcPr>
          <w:p w14:paraId="10964C8A"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nil"/>
              <w:bottom w:val="nil"/>
              <w:right w:val="nil"/>
            </w:tcBorders>
          </w:tcPr>
          <w:p w14:paraId="7102F178"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312" w:type="pct"/>
            <w:tcBorders>
              <w:top w:val="nil"/>
              <w:left w:val="nil"/>
              <w:bottom w:val="nil"/>
              <w:right w:val="dotted" w:sz="4" w:space="0" w:color="auto"/>
            </w:tcBorders>
          </w:tcPr>
          <w:p w14:paraId="18F6704C"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dotted" w:sz="4" w:space="0" w:color="auto"/>
              <w:bottom w:val="nil"/>
              <w:right w:val="nil"/>
            </w:tcBorders>
            <w:vAlign w:val="center"/>
          </w:tcPr>
          <w:p w14:paraId="413ED612"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268" w:type="pct"/>
            <w:tcBorders>
              <w:top w:val="nil"/>
              <w:left w:val="nil"/>
              <w:bottom w:val="nil"/>
              <w:right w:val="nil"/>
            </w:tcBorders>
            <w:vAlign w:val="center"/>
          </w:tcPr>
          <w:p w14:paraId="22A74ECD"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nil"/>
              <w:bottom w:val="nil"/>
              <w:right w:val="nil"/>
            </w:tcBorders>
            <w:vAlign w:val="center"/>
          </w:tcPr>
          <w:p w14:paraId="0786D549" w14:textId="77777777" w:rsidR="00E9015E" w:rsidRPr="00DC5F32" w:rsidRDefault="00E9015E" w:rsidP="00C14E25">
            <w:pPr>
              <w:widowControl/>
              <w:autoSpaceDE/>
              <w:autoSpaceDN/>
              <w:jc w:val="center"/>
              <w:rPr>
                <w:rFonts w:ascii="Times New Roman" w:eastAsia="Gulim" w:hAnsi="Times New Roman" w:cs="Times New Roman"/>
                <w:b/>
                <w:color w:val="000000" w:themeColor="text1"/>
                <w:kern w:val="0"/>
                <w:sz w:val="16"/>
                <w:szCs w:val="16"/>
              </w:rPr>
            </w:pPr>
            <w:r w:rsidRPr="00DC5F32">
              <w:rPr>
                <w:rFonts w:ascii="Times New Roman" w:eastAsia="Gulim" w:hAnsi="Times New Roman" w:cs="Times New Roman"/>
                <w:b/>
                <w:color w:val="000000" w:themeColor="text1"/>
                <w:kern w:val="0"/>
                <w:sz w:val="16"/>
                <w:szCs w:val="16"/>
              </w:rPr>
              <w:t>.021</w:t>
            </w:r>
          </w:p>
        </w:tc>
        <w:tc>
          <w:tcPr>
            <w:tcW w:w="268" w:type="pct"/>
            <w:tcBorders>
              <w:top w:val="nil"/>
              <w:left w:val="nil"/>
              <w:bottom w:val="nil"/>
              <w:right w:val="nil"/>
            </w:tcBorders>
            <w:vAlign w:val="center"/>
          </w:tcPr>
          <w:p w14:paraId="5AB0F795" w14:textId="77777777" w:rsidR="00E9015E" w:rsidRPr="00DC5F32" w:rsidRDefault="00E9015E" w:rsidP="00C14E25">
            <w:pPr>
              <w:widowControl/>
              <w:autoSpaceDE/>
              <w:autoSpaceDN/>
              <w:jc w:val="center"/>
              <w:rPr>
                <w:rFonts w:ascii="Times New Roman" w:eastAsia="Gulim" w:hAnsi="Times New Roman" w:cs="Times New Roman"/>
                <w:b/>
                <w:color w:val="000000" w:themeColor="text1"/>
                <w:kern w:val="0"/>
                <w:sz w:val="16"/>
                <w:szCs w:val="16"/>
              </w:rPr>
            </w:pPr>
            <w:r w:rsidRPr="00DC5F32">
              <w:rPr>
                <w:rFonts w:ascii="Times New Roman" w:eastAsia="Gulim" w:hAnsi="Times New Roman" w:cs="Times New Roman"/>
                <w:b/>
                <w:color w:val="000000" w:themeColor="text1"/>
                <w:kern w:val="0"/>
                <w:sz w:val="16"/>
                <w:szCs w:val="16"/>
              </w:rPr>
              <w:t>.101</w:t>
            </w:r>
          </w:p>
        </w:tc>
        <w:tc>
          <w:tcPr>
            <w:tcW w:w="420" w:type="pct"/>
            <w:tcBorders>
              <w:top w:val="nil"/>
              <w:left w:val="nil"/>
              <w:bottom w:val="nil"/>
              <w:right w:val="nil"/>
            </w:tcBorders>
            <w:vAlign w:val="center"/>
          </w:tcPr>
          <w:p w14:paraId="5216F375"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.029</w:t>
            </w:r>
          </w:p>
        </w:tc>
        <w:tc>
          <w:tcPr>
            <w:tcW w:w="268" w:type="pct"/>
            <w:gridSpan w:val="2"/>
            <w:tcBorders>
              <w:top w:val="nil"/>
              <w:left w:val="nil"/>
              <w:bottom w:val="nil"/>
              <w:right w:val="nil"/>
            </w:tcBorders>
            <w:vAlign w:val="center"/>
          </w:tcPr>
          <w:p w14:paraId="5586B1A9"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.102</w:t>
            </w:r>
          </w:p>
        </w:tc>
      </w:tr>
      <w:tr w:rsidR="00E9015E" w:rsidRPr="000673A6" w14:paraId="1A4D7B49" w14:textId="77777777" w:rsidTr="00C14E25">
        <w:trPr>
          <w:trHeight w:val="20"/>
        </w:trPr>
        <w:tc>
          <w:tcPr>
            <w:tcW w:w="120" w:type="pct"/>
            <w:tcBorders>
              <w:top w:val="nil"/>
              <w:left w:val="nil"/>
              <w:bottom w:val="nil"/>
              <w:right w:val="nil"/>
            </w:tcBorders>
          </w:tcPr>
          <w:p w14:paraId="48C564D5" w14:textId="77777777" w:rsidR="00E9015E" w:rsidRPr="00E75E6C" w:rsidRDefault="00E9015E" w:rsidP="00C14E25">
            <w:pPr>
              <w:jc w:val="center"/>
              <w:rPr>
                <w:rFonts w:ascii="Times New Roman" w:hAnsi="Times New Roman" w:cs="Times New Roman"/>
                <w:sz w:val="14"/>
                <w:szCs w:val="14"/>
              </w:rPr>
            </w:pPr>
          </w:p>
        </w:tc>
        <w:tc>
          <w:tcPr>
            <w:tcW w:w="1383" w:type="pct"/>
            <w:tcBorders>
              <w:top w:val="nil"/>
              <w:left w:val="nil"/>
              <w:bottom w:val="nil"/>
              <w:right w:val="nil"/>
            </w:tcBorders>
          </w:tcPr>
          <w:p w14:paraId="57BA10D3"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dotted" w:sz="4" w:space="0" w:color="auto"/>
              <w:bottom w:val="nil"/>
              <w:right w:val="nil"/>
            </w:tcBorders>
          </w:tcPr>
          <w:p w14:paraId="18245981" w14:textId="77777777" w:rsidR="00E9015E" w:rsidRPr="00DC5F32" w:rsidRDefault="00E9015E" w:rsidP="00C14E25">
            <w:pPr>
              <w:jc w:val="center"/>
              <w:rPr>
                <w:rFonts w:ascii="Times New Roman" w:hAnsi="Times New Roman" w:cs="Times New Roman"/>
                <w:sz w:val="16"/>
                <w:szCs w:val="16"/>
              </w:rPr>
            </w:pPr>
          </w:p>
        </w:tc>
        <w:tc>
          <w:tcPr>
            <w:tcW w:w="281" w:type="pct"/>
            <w:tcBorders>
              <w:top w:val="nil"/>
              <w:left w:val="nil"/>
              <w:bottom w:val="nil"/>
              <w:right w:val="nil"/>
            </w:tcBorders>
          </w:tcPr>
          <w:p w14:paraId="458A5E17"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tcPr>
          <w:p w14:paraId="684862FB" w14:textId="77777777" w:rsidR="00E9015E" w:rsidRPr="00DC5F32" w:rsidRDefault="00E9015E" w:rsidP="00C14E25">
            <w:pPr>
              <w:jc w:val="center"/>
              <w:rPr>
                <w:rFonts w:ascii="Times New Roman" w:hAnsi="Times New Roman" w:cs="Times New Roman"/>
                <w:sz w:val="16"/>
                <w:szCs w:val="16"/>
              </w:rPr>
            </w:pPr>
          </w:p>
        </w:tc>
        <w:tc>
          <w:tcPr>
            <w:tcW w:w="312" w:type="pct"/>
            <w:tcBorders>
              <w:top w:val="nil"/>
              <w:left w:val="nil"/>
              <w:bottom w:val="nil"/>
              <w:right w:val="dotted" w:sz="4" w:space="0" w:color="auto"/>
            </w:tcBorders>
          </w:tcPr>
          <w:p w14:paraId="3C0A3417"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dotted" w:sz="4" w:space="0" w:color="auto"/>
              <w:bottom w:val="nil"/>
              <w:right w:val="nil"/>
            </w:tcBorders>
            <w:vAlign w:val="center"/>
          </w:tcPr>
          <w:p w14:paraId="6E7D2853" w14:textId="77777777" w:rsidR="00E9015E" w:rsidRPr="00DC5F32" w:rsidRDefault="00E9015E" w:rsidP="00C14E25">
            <w:pPr>
              <w:jc w:val="center"/>
              <w:rPr>
                <w:rFonts w:ascii="Times New Roman" w:hAnsi="Times New Roman" w:cs="Times New Roman"/>
                <w:sz w:val="16"/>
                <w:szCs w:val="16"/>
              </w:rPr>
            </w:pPr>
          </w:p>
        </w:tc>
        <w:tc>
          <w:tcPr>
            <w:tcW w:w="268" w:type="pct"/>
            <w:tcBorders>
              <w:top w:val="nil"/>
              <w:left w:val="nil"/>
              <w:bottom w:val="nil"/>
              <w:right w:val="nil"/>
            </w:tcBorders>
            <w:vAlign w:val="center"/>
          </w:tcPr>
          <w:p w14:paraId="5280ED6A"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vAlign w:val="center"/>
          </w:tcPr>
          <w:p w14:paraId="3720DFB0" w14:textId="77777777" w:rsidR="00E9015E" w:rsidRPr="00DC5F32" w:rsidRDefault="00E9015E" w:rsidP="00C14E25">
            <w:pPr>
              <w:jc w:val="center"/>
              <w:rPr>
                <w:rFonts w:ascii="Times New Roman" w:hAnsi="Times New Roman" w:cs="Times New Roman"/>
                <w:sz w:val="16"/>
                <w:szCs w:val="16"/>
              </w:rPr>
            </w:pPr>
          </w:p>
        </w:tc>
        <w:tc>
          <w:tcPr>
            <w:tcW w:w="268" w:type="pct"/>
            <w:tcBorders>
              <w:top w:val="nil"/>
              <w:left w:val="nil"/>
              <w:bottom w:val="nil"/>
              <w:right w:val="nil"/>
            </w:tcBorders>
            <w:vAlign w:val="center"/>
          </w:tcPr>
          <w:p w14:paraId="03323729"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vAlign w:val="center"/>
          </w:tcPr>
          <w:p w14:paraId="387AD9AA" w14:textId="77777777" w:rsidR="00E9015E" w:rsidRPr="00DC5F32" w:rsidRDefault="00E9015E" w:rsidP="00C14E25">
            <w:pPr>
              <w:jc w:val="center"/>
              <w:rPr>
                <w:rFonts w:ascii="Times New Roman" w:hAnsi="Times New Roman" w:cs="Times New Roman"/>
                <w:sz w:val="16"/>
                <w:szCs w:val="16"/>
              </w:rPr>
            </w:pPr>
          </w:p>
        </w:tc>
        <w:tc>
          <w:tcPr>
            <w:tcW w:w="268" w:type="pct"/>
            <w:gridSpan w:val="2"/>
            <w:tcBorders>
              <w:top w:val="nil"/>
              <w:left w:val="nil"/>
              <w:bottom w:val="nil"/>
              <w:right w:val="nil"/>
            </w:tcBorders>
            <w:vAlign w:val="center"/>
          </w:tcPr>
          <w:p w14:paraId="5BFD2A52" w14:textId="77777777" w:rsidR="00E9015E" w:rsidRPr="00DC5F32" w:rsidRDefault="00E9015E" w:rsidP="00C14E25">
            <w:pPr>
              <w:jc w:val="center"/>
              <w:rPr>
                <w:rFonts w:ascii="Times New Roman" w:hAnsi="Times New Roman" w:cs="Times New Roman"/>
                <w:sz w:val="16"/>
                <w:szCs w:val="16"/>
              </w:rPr>
            </w:pPr>
          </w:p>
        </w:tc>
      </w:tr>
      <w:tr w:rsidR="00E9015E" w:rsidRPr="000673A6" w14:paraId="08CA8CE6" w14:textId="77777777" w:rsidTr="00C14E25">
        <w:trPr>
          <w:trHeight w:val="20"/>
        </w:trPr>
        <w:tc>
          <w:tcPr>
            <w:tcW w:w="1503" w:type="pct"/>
            <w:gridSpan w:val="2"/>
            <w:tcBorders>
              <w:top w:val="nil"/>
              <w:left w:val="nil"/>
              <w:bottom w:val="nil"/>
              <w:right w:val="nil"/>
            </w:tcBorders>
          </w:tcPr>
          <w:p w14:paraId="297F5DC9" w14:textId="77777777" w:rsidR="00E9015E" w:rsidRPr="00DC5F32" w:rsidRDefault="00E9015E" w:rsidP="00C14E25">
            <w:pPr>
              <w:jc w:val="left"/>
              <w:rPr>
                <w:rFonts w:ascii="Times New Roman" w:hAnsi="Times New Roman" w:cs="Times New Roman"/>
                <w:b/>
                <w:sz w:val="16"/>
                <w:szCs w:val="16"/>
              </w:rPr>
            </w:pPr>
            <w:r w:rsidRPr="00DC5F32">
              <w:rPr>
                <w:rFonts w:ascii="Times New Roman" w:hAnsi="Times New Roman" w:cs="Times New Roman"/>
                <w:b/>
                <w:sz w:val="16"/>
                <w:szCs w:val="16"/>
              </w:rPr>
              <w:t>Industry-level Control</w:t>
            </w:r>
          </w:p>
        </w:tc>
        <w:tc>
          <w:tcPr>
            <w:tcW w:w="420" w:type="pct"/>
            <w:tcBorders>
              <w:top w:val="nil"/>
              <w:left w:val="dotted" w:sz="4" w:space="0" w:color="auto"/>
              <w:bottom w:val="nil"/>
              <w:right w:val="nil"/>
            </w:tcBorders>
          </w:tcPr>
          <w:p w14:paraId="163DBFB0" w14:textId="77777777" w:rsidR="00E9015E" w:rsidRPr="00DC5F32" w:rsidRDefault="00E9015E" w:rsidP="00C14E25">
            <w:pPr>
              <w:jc w:val="center"/>
              <w:rPr>
                <w:rFonts w:ascii="Times New Roman" w:hAnsi="Times New Roman" w:cs="Times New Roman"/>
                <w:sz w:val="16"/>
                <w:szCs w:val="16"/>
              </w:rPr>
            </w:pPr>
          </w:p>
        </w:tc>
        <w:tc>
          <w:tcPr>
            <w:tcW w:w="281" w:type="pct"/>
            <w:tcBorders>
              <w:top w:val="nil"/>
              <w:left w:val="nil"/>
              <w:bottom w:val="nil"/>
              <w:right w:val="nil"/>
            </w:tcBorders>
          </w:tcPr>
          <w:p w14:paraId="59EF8A58"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tcPr>
          <w:p w14:paraId="559B2FC7" w14:textId="77777777" w:rsidR="00E9015E" w:rsidRPr="00DC5F32" w:rsidRDefault="00E9015E" w:rsidP="00C14E25">
            <w:pPr>
              <w:jc w:val="center"/>
              <w:rPr>
                <w:rFonts w:ascii="Times New Roman" w:hAnsi="Times New Roman" w:cs="Times New Roman"/>
                <w:sz w:val="16"/>
                <w:szCs w:val="16"/>
              </w:rPr>
            </w:pPr>
          </w:p>
        </w:tc>
        <w:tc>
          <w:tcPr>
            <w:tcW w:w="312" w:type="pct"/>
            <w:tcBorders>
              <w:top w:val="nil"/>
              <w:left w:val="nil"/>
              <w:bottom w:val="nil"/>
              <w:right w:val="dotted" w:sz="4" w:space="0" w:color="auto"/>
            </w:tcBorders>
          </w:tcPr>
          <w:p w14:paraId="3D84CF04"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dotted" w:sz="4" w:space="0" w:color="auto"/>
              <w:bottom w:val="nil"/>
              <w:right w:val="nil"/>
            </w:tcBorders>
            <w:vAlign w:val="center"/>
          </w:tcPr>
          <w:p w14:paraId="2B06B19C" w14:textId="77777777" w:rsidR="00E9015E" w:rsidRPr="00DC5F32" w:rsidRDefault="00E9015E" w:rsidP="00C14E25">
            <w:pPr>
              <w:jc w:val="center"/>
              <w:rPr>
                <w:rFonts w:ascii="Times New Roman" w:hAnsi="Times New Roman" w:cs="Times New Roman"/>
                <w:sz w:val="16"/>
                <w:szCs w:val="16"/>
              </w:rPr>
            </w:pPr>
          </w:p>
        </w:tc>
        <w:tc>
          <w:tcPr>
            <w:tcW w:w="268" w:type="pct"/>
            <w:tcBorders>
              <w:top w:val="nil"/>
              <w:left w:val="nil"/>
              <w:bottom w:val="nil"/>
              <w:right w:val="nil"/>
            </w:tcBorders>
            <w:vAlign w:val="center"/>
          </w:tcPr>
          <w:p w14:paraId="3AD86964"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vAlign w:val="center"/>
          </w:tcPr>
          <w:p w14:paraId="1B4FF241" w14:textId="77777777" w:rsidR="00E9015E" w:rsidRPr="00DC5F32" w:rsidRDefault="00E9015E" w:rsidP="00C14E25">
            <w:pPr>
              <w:jc w:val="center"/>
              <w:rPr>
                <w:rFonts w:ascii="Times New Roman" w:hAnsi="Times New Roman" w:cs="Times New Roman"/>
                <w:sz w:val="16"/>
                <w:szCs w:val="16"/>
              </w:rPr>
            </w:pPr>
          </w:p>
        </w:tc>
        <w:tc>
          <w:tcPr>
            <w:tcW w:w="268" w:type="pct"/>
            <w:tcBorders>
              <w:top w:val="nil"/>
              <w:left w:val="nil"/>
              <w:bottom w:val="nil"/>
              <w:right w:val="nil"/>
            </w:tcBorders>
            <w:vAlign w:val="center"/>
          </w:tcPr>
          <w:p w14:paraId="650D61AE"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vAlign w:val="center"/>
          </w:tcPr>
          <w:p w14:paraId="4D6947A5" w14:textId="77777777" w:rsidR="00E9015E" w:rsidRPr="00DC5F32" w:rsidRDefault="00E9015E" w:rsidP="00C14E25">
            <w:pPr>
              <w:jc w:val="center"/>
              <w:rPr>
                <w:rFonts w:ascii="Times New Roman" w:hAnsi="Times New Roman" w:cs="Times New Roman"/>
                <w:sz w:val="16"/>
                <w:szCs w:val="16"/>
              </w:rPr>
            </w:pPr>
          </w:p>
        </w:tc>
        <w:tc>
          <w:tcPr>
            <w:tcW w:w="268" w:type="pct"/>
            <w:gridSpan w:val="2"/>
            <w:tcBorders>
              <w:top w:val="nil"/>
              <w:left w:val="nil"/>
              <w:bottom w:val="nil"/>
              <w:right w:val="nil"/>
            </w:tcBorders>
            <w:vAlign w:val="center"/>
          </w:tcPr>
          <w:p w14:paraId="5AEE734F" w14:textId="77777777" w:rsidR="00E9015E" w:rsidRPr="00DC5F32" w:rsidRDefault="00E9015E" w:rsidP="00C14E25">
            <w:pPr>
              <w:jc w:val="center"/>
              <w:rPr>
                <w:rFonts w:ascii="Times New Roman" w:hAnsi="Times New Roman" w:cs="Times New Roman"/>
                <w:sz w:val="16"/>
                <w:szCs w:val="16"/>
              </w:rPr>
            </w:pPr>
          </w:p>
        </w:tc>
      </w:tr>
      <w:tr w:rsidR="00E9015E" w:rsidRPr="000673A6" w14:paraId="4642D3B7" w14:textId="77777777" w:rsidTr="00C14E25">
        <w:trPr>
          <w:trHeight w:val="20"/>
        </w:trPr>
        <w:tc>
          <w:tcPr>
            <w:tcW w:w="1503" w:type="pct"/>
            <w:gridSpan w:val="2"/>
            <w:tcBorders>
              <w:top w:val="nil"/>
              <w:left w:val="nil"/>
              <w:bottom w:val="nil"/>
              <w:right w:val="nil"/>
            </w:tcBorders>
          </w:tcPr>
          <w:p w14:paraId="5D8BF5F2" w14:textId="77777777" w:rsidR="00E9015E" w:rsidRDefault="00E9015E" w:rsidP="00C14E25">
            <w:pPr>
              <w:ind w:firstLineChars="100" w:firstLine="160"/>
              <w:jc w:val="left"/>
              <w:rPr>
                <w:rFonts w:ascii="Times New Roman" w:hAnsi="Times New Roman" w:cs="Times New Roman"/>
                <w:sz w:val="16"/>
                <w:szCs w:val="16"/>
              </w:rPr>
            </w:pPr>
            <w:r w:rsidRPr="00DC5F32">
              <w:rPr>
                <w:rFonts w:ascii="Times New Roman" w:hAnsi="Times New Roman" w:cs="Times New Roman"/>
                <w:b/>
                <w:sz w:val="16"/>
                <w:szCs w:val="16"/>
              </w:rPr>
              <w:t>Industry dummy</w:t>
            </w:r>
            <w:r w:rsidRPr="00DC5F32">
              <w:rPr>
                <w:rFonts w:ascii="Times New Roman" w:hAnsi="Times New Roman" w:cs="Times New Roman"/>
                <w:sz w:val="16"/>
                <w:szCs w:val="16"/>
              </w:rPr>
              <w:t xml:space="preserve"> </w:t>
            </w:r>
          </w:p>
          <w:p w14:paraId="5D672D10" w14:textId="77777777" w:rsidR="00E9015E" w:rsidRPr="00DC5F32" w:rsidRDefault="00E9015E" w:rsidP="00C14E25">
            <w:pPr>
              <w:ind w:firstLineChars="100" w:firstLine="160"/>
              <w:jc w:val="left"/>
              <w:rPr>
                <w:rFonts w:ascii="Times New Roman" w:hAnsi="Times New Roman" w:cs="Times New Roman"/>
                <w:sz w:val="16"/>
                <w:szCs w:val="16"/>
              </w:rPr>
            </w:pPr>
            <w:r w:rsidRPr="00DC5F32">
              <w:rPr>
                <w:rFonts w:ascii="Times New Roman" w:hAnsi="Times New Roman" w:cs="Times New Roman"/>
                <w:sz w:val="16"/>
                <w:szCs w:val="16"/>
              </w:rPr>
              <w:t>(base= Construction)</w:t>
            </w:r>
          </w:p>
        </w:tc>
        <w:tc>
          <w:tcPr>
            <w:tcW w:w="420" w:type="pct"/>
            <w:tcBorders>
              <w:top w:val="nil"/>
              <w:left w:val="dotted" w:sz="4" w:space="0" w:color="auto"/>
              <w:bottom w:val="nil"/>
              <w:right w:val="nil"/>
            </w:tcBorders>
          </w:tcPr>
          <w:p w14:paraId="5A38AB15" w14:textId="77777777" w:rsidR="00E9015E" w:rsidRPr="00DC5F32" w:rsidRDefault="00E9015E" w:rsidP="00C14E25">
            <w:pPr>
              <w:jc w:val="center"/>
              <w:rPr>
                <w:rFonts w:ascii="Times New Roman" w:hAnsi="Times New Roman" w:cs="Times New Roman"/>
                <w:sz w:val="16"/>
                <w:szCs w:val="16"/>
              </w:rPr>
            </w:pPr>
          </w:p>
        </w:tc>
        <w:tc>
          <w:tcPr>
            <w:tcW w:w="281" w:type="pct"/>
            <w:tcBorders>
              <w:top w:val="nil"/>
              <w:left w:val="nil"/>
              <w:bottom w:val="nil"/>
              <w:right w:val="nil"/>
            </w:tcBorders>
          </w:tcPr>
          <w:p w14:paraId="4B083086"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tcPr>
          <w:p w14:paraId="143A741A" w14:textId="77777777" w:rsidR="00E9015E" w:rsidRPr="00DC5F32" w:rsidRDefault="00E9015E" w:rsidP="00C14E25">
            <w:pPr>
              <w:jc w:val="center"/>
              <w:rPr>
                <w:rFonts w:ascii="Times New Roman" w:hAnsi="Times New Roman" w:cs="Times New Roman"/>
                <w:sz w:val="16"/>
                <w:szCs w:val="16"/>
              </w:rPr>
            </w:pPr>
          </w:p>
        </w:tc>
        <w:tc>
          <w:tcPr>
            <w:tcW w:w="312" w:type="pct"/>
            <w:tcBorders>
              <w:top w:val="nil"/>
              <w:left w:val="nil"/>
              <w:bottom w:val="nil"/>
              <w:right w:val="dotted" w:sz="4" w:space="0" w:color="auto"/>
            </w:tcBorders>
          </w:tcPr>
          <w:p w14:paraId="2184C0BF"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dotted" w:sz="4" w:space="0" w:color="auto"/>
              <w:bottom w:val="nil"/>
              <w:right w:val="nil"/>
            </w:tcBorders>
            <w:vAlign w:val="center"/>
          </w:tcPr>
          <w:p w14:paraId="7CE314CF" w14:textId="77777777" w:rsidR="00E9015E" w:rsidRPr="00DC5F32" w:rsidRDefault="00E9015E" w:rsidP="00C14E25">
            <w:pPr>
              <w:jc w:val="center"/>
              <w:rPr>
                <w:rFonts w:ascii="Times New Roman" w:hAnsi="Times New Roman" w:cs="Times New Roman"/>
                <w:sz w:val="16"/>
                <w:szCs w:val="16"/>
              </w:rPr>
            </w:pPr>
          </w:p>
        </w:tc>
        <w:tc>
          <w:tcPr>
            <w:tcW w:w="268" w:type="pct"/>
            <w:tcBorders>
              <w:top w:val="nil"/>
              <w:left w:val="nil"/>
              <w:bottom w:val="nil"/>
              <w:right w:val="nil"/>
            </w:tcBorders>
            <w:vAlign w:val="center"/>
          </w:tcPr>
          <w:p w14:paraId="2EA23699"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vAlign w:val="center"/>
          </w:tcPr>
          <w:p w14:paraId="2015468E" w14:textId="77777777" w:rsidR="00E9015E" w:rsidRPr="00DC5F32" w:rsidRDefault="00E9015E" w:rsidP="00C14E25">
            <w:pPr>
              <w:jc w:val="center"/>
              <w:rPr>
                <w:rFonts w:ascii="Times New Roman" w:hAnsi="Times New Roman" w:cs="Times New Roman"/>
                <w:sz w:val="16"/>
                <w:szCs w:val="16"/>
              </w:rPr>
            </w:pPr>
          </w:p>
        </w:tc>
        <w:tc>
          <w:tcPr>
            <w:tcW w:w="268" w:type="pct"/>
            <w:tcBorders>
              <w:top w:val="nil"/>
              <w:left w:val="nil"/>
              <w:bottom w:val="nil"/>
              <w:right w:val="nil"/>
            </w:tcBorders>
            <w:vAlign w:val="center"/>
          </w:tcPr>
          <w:p w14:paraId="6B406730" w14:textId="77777777" w:rsidR="00E9015E" w:rsidRPr="00DC5F32" w:rsidRDefault="00E9015E" w:rsidP="00C14E25">
            <w:pPr>
              <w:jc w:val="center"/>
              <w:rPr>
                <w:rFonts w:ascii="Times New Roman" w:hAnsi="Times New Roman" w:cs="Times New Roman"/>
                <w:sz w:val="16"/>
                <w:szCs w:val="16"/>
              </w:rPr>
            </w:pPr>
          </w:p>
        </w:tc>
        <w:tc>
          <w:tcPr>
            <w:tcW w:w="420" w:type="pct"/>
            <w:tcBorders>
              <w:top w:val="nil"/>
              <w:left w:val="nil"/>
              <w:bottom w:val="nil"/>
              <w:right w:val="nil"/>
            </w:tcBorders>
            <w:vAlign w:val="center"/>
          </w:tcPr>
          <w:p w14:paraId="20C37FB8" w14:textId="77777777" w:rsidR="00E9015E" w:rsidRPr="00DC5F32" w:rsidRDefault="00E9015E" w:rsidP="00C14E25">
            <w:pPr>
              <w:jc w:val="center"/>
              <w:rPr>
                <w:rFonts w:ascii="Times New Roman" w:hAnsi="Times New Roman" w:cs="Times New Roman"/>
                <w:sz w:val="16"/>
                <w:szCs w:val="16"/>
              </w:rPr>
            </w:pPr>
          </w:p>
        </w:tc>
        <w:tc>
          <w:tcPr>
            <w:tcW w:w="268" w:type="pct"/>
            <w:gridSpan w:val="2"/>
            <w:tcBorders>
              <w:top w:val="nil"/>
              <w:left w:val="nil"/>
              <w:bottom w:val="nil"/>
              <w:right w:val="nil"/>
            </w:tcBorders>
            <w:vAlign w:val="center"/>
          </w:tcPr>
          <w:p w14:paraId="07078340" w14:textId="77777777" w:rsidR="00E9015E" w:rsidRPr="00DC5F32" w:rsidRDefault="00E9015E" w:rsidP="00C14E25">
            <w:pPr>
              <w:jc w:val="center"/>
              <w:rPr>
                <w:rFonts w:ascii="Times New Roman" w:hAnsi="Times New Roman" w:cs="Times New Roman"/>
                <w:sz w:val="16"/>
                <w:szCs w:val="16"/>
              </w:rPr>
            </w:pPr>
          </w:p>
        </w:tc>
      </w:tr>
      <w:tr w:rsidR="00E9015E" w:rsidRPr="000673A6" w14:paraId="0AFFAA90" w14:textId="77777777" w:rsidTr="00C14E25">
        <w:trPr>
          <w:trHeight w:val="20"/>
        </w:trPr>
        <w:tc>
          <w:tcPr>
            <w:tcW w:w="120" w:type="pct"/>
            <w:tcBorders>
              <w:top w:val="nil"/>
              <w:left w:val="nil"/>
              <w:bottom w:val="nil"/>
              <w:right w:val="nil"/>
            </w:tcBorders>
          </w:tcPr>
          <w:p w14:paraId="0CC0E66E"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5F54C05B" w14:textId="77777777" w:rsidR="00E9015E" w:rsidRPr="00DC5F32" w:rsidRDefault="00E9015E" w:rsidP="00C14E25">
            <w:pPr>
              <w:rPr>
                <w:rFonts w:ascii="Times New Roman" w:eastAsia="Malgun Gothic" w:hAnsi="Times New Roman" w:cs="Times New Roman"/>
                <w:color w:val="000000"/>
                <w:sz w:val="16"/>
                <w:szCs w:val="16"/>
              </w:rPr>
            </w:pPr>
            <w:r w:rsidRPr="00DC5F32">
              <w:rPr>
                <w:rFonts w:ascii="Times New Roman" w:eastAsia="Malgun Gothic" w:hAnsi="Times New Roman" w:cs="Times New Roman"/>
                <w:color w:val="000000"/>
                <w:sz w:val="16"/>
                <w:szCs w:val="16"/>
              </w:rPr>
              <w:t>Chemicals &amp; Rubber</w:t>
            </w:r>
          </w:p>
        </w:tc>
        <w:tc>
          <w:tcPr>
            <w:tcW w:w="420" w:type="pct"/>
            <w:tcBorders>
              <w:top w:val="nil"/>
              <w:left w:val="dotted" w:sz="4" w:space="0" w:color="auto"/>
              <w:bottom w:val="nil"/>
              <w:right w:val="nil"/>
            </w:tcBorders>
            <w:vAlign w:val="center"/>
          </w:tcPr>
          <w:p w14:paraId="51645E51"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.412</w:t>
            </w:r>
          </w:p>
        </w:tc>
        <w:tc>
          <w:tcPr>
            <w:tcW w:w="281" w:type="pct"/>
            <w:tcBorders>
              <w:top w:val="nil"/>
              <w:left w:val="nil"/>
              <w:bottom w:val="nil"/>
              <w:right w:val="nil"/>
            </w:tcBorders>
            <w:vAlign w:val="center"/>
          </w:tcPr>
          <w:p w14:paraId="12831B8D"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.344</w:t>
            </w:r>
          </w:p>
        </w:tc>
        <w:tc>
          <w:tcPr>
            <w:tcW w:w="420" w:type="pct"/>
            <w:tcBorders>
              <w:top w:val="nil"/>
              <w:left w:val="nil"/>
              <w:bottom w:val="nil"/>
              <w:right w:val="nil"/>
            </w:tcBorders>
            <w:vAlign w:val="center"/>
          </w:tcPr>
          <w:p w14:paraId="4AC4A6B2"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.442</w:t>
            </w:r>
          </w:p>
        </w:tc>
        <w:tc>
          <w:tcPr>
            <w:tcW w:w="312" w:type="pct"/>
            <w:tcBorders>
              <w:top w:val="nil"/>
              <w:left w:val="nil"/>
              <w:bottom w:val="nil"/>
              <w:right w:val="dotted" w:sz="4" w:space="0" w:color="auto"/>
            </w:tcBorders>
            <w:vAlign w:val="center"/>
          </w:tcPr>
          <w:p w14:paraId="753BD686"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.336</w:t>
            </w:r>
          </w:p>
        </w:tc>
        <w:tc>
          <w:tcPr>
            <w:tcW w:w="420" w:type="pct"/>
            <w:tcBorders>
              <w:top w:val="nil"/>
              <w:left w:val="dotted" w:sz="4" w:space="0" w:color="auto"/>
              <w:bottom w:val="nil"/>
              <w:right w:val="nil"/>
            </w:tcBorders>
            <w:vAlign w:val="center"/>
          </w:tcPr>
          <w:p w14:paraId="13A1C70C"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.907</w:t>
            </w:r>
            <w:r w:rsidRPr="00DC5F32">
              <w:rPr>
                <w:rFonts w:ascii="Times New Roman" w:eastAsia="Gulim" w:hAnsi="Times New Roman" w:cs="Times New Roman"/>
                <w:color w:val="000000" w:themeColor="text1"/>
                <w:kern w:val="0"/>
                <w:sz w:val="16"/>
                <w:szCs w:val="16"/>
                <w:vertAlign w:val="superscript"/>
              </w:rPr>
              <w:t>*</w:t>
            </w:r>
          </w:p>
        </w:tc>
        <w:tc>
          <w:tcPr>
            <w:tcW w:w="268" w:type="pct"/>
            <w:tcBorders>
              <w:top w:val="nil"/>
              <w:left w:val="nil"/>
              <w:bottom w:val="nil"/>
              <w:right w:val="nil"/>
            </w:tcBorders>
            <w:vAlign w:val="center"/>
          </w:tcPr>
          <w:p w14:paraId="405DCE48"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.411</w:t>
            </w:r>
          </w:p>
        </w:tc>
        <w:tc>
          <w:tcPr>
            <w:tcW w:w="420" w:type="pct"/>
            <w:tcBorders>
              <w:top w:val="nil"/>
              <w:left w:val="nil"/>
              <w:bottom w:val="nil"/>
              <w:right w:val="nil"/>
            </w:tcBorders>
            <w:vAlign w:val="center"/>
          </w:tcPr>
          <w:p w14:paraId="69BF7F76"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.628</w:t>
            </w:r>
            <w:r w:rsidRPr="00DC5F32">
              <w:rPr>
                <w:rFonts w:ascii="Times New Roman" w:eastAsia="Gulim" w:hAnsi="Times New Roman" w:cs="Times New Roman"/>
                <w:color w:val="000000" w:themeColor="text1"/>
                <w:kern w:val="0"/>
                <w:sz w:val="16"/>
                <w:szCs w:val="16"/>
                <w:vertAlign w:val="superscript"/>
              </w:rPr>
              <w:t>+</w:t>
            </w:r>
          </w:p>
        </w:tc>
        <w:tc>
          <w:tcPr>
            <w:tcW w:w="268" w:type="pct"/>
            <w:tcBorders>
              <w:top w:val="nil"/>
              <w:left w:val="nil"/>
              <w:bottom w:val="nil"/>
              <w:right w:val="nil"/>
            </w:tcBorders>
            <w:vAlign w:val="center"/>
          </w:tcPr>
          <w:p w14:paraId="7289D3DD"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.360</w:t>
            </w:r>
          </w:p>
        </w:tc>
        <w:tc>
          <w:tcPr>
            <w:tcW w:w="420" w:type="pct"/>
            <w:tcBorders>
              <w:top w:val="nil"/>
              <w:left w:val="nil"/>
              <w:bottom w:val="nil"/>
              <w:right w:val="nil"/>
            </w:tcBorders>
            <w:vAlign w:val="center"/>
          </w:tcPr>
          <w:p w14:paraId="2C91CB1C"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.613</w:t>
            </w:r>
            <w:r w:rsidRPr="00DC5F32">
              <w:rPr>
                <w:rFonts w:ascii="Times New Roman" w:eastAsia="Gulim" w:hAnsi="Times New Roman" w:cs="Times New Roman"/>
                <w:color w:val="000000" w:themeColor="text1"/>
                <w:kern w:val="0"/>
                <w:sz w:val="16"/>
                <w:szCs w:val="16"/>
                <w:vertAlign w:val="superscript"/>
              </w:rPr>
              <w:t>+</w:t>
            </w:r>
          </w:p>
        </w:tc>
        <w:tc>
          <w:tcPr>
            <w:tcW w:w="268" w:type="pct"/>
            <w:gridSpan w:val="2"/>
            <w:tcBorders>
              <w:top w:val="nil"/>
              <w:left w:val="nil"/>
              <w:bottom w:val="nil"/>
              <w:right w:val="nil"/>
            </w:tcBorders>
            <w:vAlign w:val="center"/>
          </w:tcPr>
          <w:p w14:paraId="7029B488"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.362</w:t>
            </w:r>
          </w:p>
        </w:tc>
      </w:tr>
      <w:tr w:rsidR="00E9015E" w:rsidRPr="000673A6" w14:paraId="3665C49F" w14:textId="77777777" w:rsidTr="00C14E25">
        <w:trPr>
          <w:trHeight w:val="20"/>
        </w:trPr>
        <w:tc>
          <w:tcPr>
            <w:tcW w:w="120" w:type="pct"/>
            <w:tcBorders>
              <w:top w:val="nil"/>
              <w:left w:val="nil"/>
              <w:bottom w:val="nil"/>
              <w:right w:val="nil"/>
            </w:tcBorders>
          </w:tcPr>
          <w:p w14:paraId="0D3F122F"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47A94D92" w14:textId="77777777" w:rsidR="00E9015E" w:rsidRPr="00DC5F32" w:rsidRDefault="00E9015E" w:rsidP="00C14E25">
            <w:pPr>
              <w:rPr>
                <w:rFonts w:ascii="Times New Roman" w:eastAsia="Malgun Gothic" w:hAnsi="Times New Roman" w:cs="Times New Roman"/>
                <w:color w:val="000000"/>
                <w:sz w:val="16"/>
                <w:szCs w:val="16"/>
              </w:rPr>
            </w:pPr>
            <w:r w:rsidRPr="00DC5F32">
              <w:rPr>
                <w:rFonts w:ascii="Times New Roman" w:eastAsia="Malgun Gothic" w:hAnsi="Times New Roman" w:cs="Times New Roman"/>
                <w:color w:val="000000"/>
                <w:sz w:val="16"/>
                <w:szCs w:val="16"/>
              </w:rPr>
              <w:t>Metals</w:t>
            </w:r>
          </w:p>
        </w:tc>
        <w:tc>
          <w:tcPr>
            <w:tcW w:w="420" w:type="pct"/>
            <w:tcBorders>
              <w:top w:val="nil"/>
              <w:left w:val="dotted" w:sz="4" w:space="0" w:color="auto"/>
              <w:bottom w:val="nil"/>
              <w:right w:val="nil"/>
            </w:tcBorders>
            <w:vAlign w:val="center"/>
          </w:tcPr>
          <w:p w14:paraId="4511B23B"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-.071</w:t>
            </w:r>
          </w:p>
        </w:tc>
        <w:tc>
          <w:tcPr>
            <w:tcW w:w="281" w:type="pct"/>
            <w:tcBorders>
              <w:top w:val="nil"/>
              <w:left w:val="nil"/>
              <w:bottom w:val="nil"/>
              <w:right w:val="nil"/>
            </w:tcBorders>
            <w:vAlign w:val="center"/>
          </w:tcPr>
          <w:p w14:paraId="52EF5341"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.295</w:t>
            </w:r>
          </w:p>
        </w:tc>
        <w:tc>
          <w:tcPr>
            <w:tcW w:w="420" w:type="pct"/>
            <w:tcBorders>
              <w:top w:val="nil"/>
              <w:left w:val="nil"/>
              <w:bottom w:val="nil"/>
              <w:right w:val="nil"/>
            </w:tcBorders>
            <w:vAlign w:val="center"/>
          </w:tcPr>
          <w:p w14:paraId="4259CBF1"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-.106</w:t>
            </w:r>
          </w:p>
        </w:tc>
        <w:tc>
          <w:tcPr>
            <w:tcW w:w="312" w:type="pct"/>
            <w:tcBorders>
              <w:top w:val="nil"/>
              <w:left w:val="nil"/>
              <w:bottom w:val="nil"/>
              <w:right w:val="dotted" w:sz="4" w:space="0" w:color="auto"/>
            </w:tcBorders>
            <w:vAlign w:val="center"/>
          </w:tcPr>
          <w:p w14:paraId="09F1A28A"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.289</w:t>
            </w:r>
          </w:p>
        </w:tc>
        <w:tc>
          <w:tcPr>
            <w:tcW w:w="420" w:type="pct"/>
            <w:tcBorders>
              <w:top w:val="nil"/>
              <w:left w:val="dotted" w:sz="4" w:space="0" w:color="auto"/>
              <w:bottom w:val="nil"/>
              <w:right w:val="nil"/>
            </w:tcBorders>
            <w:vAlign w:val="center"/>
          </w:tcPr>
          <w:p w14:paraId="15F52E46"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.196</w:t>
            </w:r>
          </w:p>
        </w:tc>
        <w:tc>
          <w:tcPr>
            <w:tcW w:w="268" w:type="pct"/>
            <w:tcBorders>
              <w:top w:val="nil"/>
              <w:left w:val="nil"/>
              <w:bottom w:val="nil"/>
              <w:right w:val="nil"/>
            </w:tcBorders>
            <w:vAlign w:val="center"/>
          </w:tcPr>
          <w:p w14:paraId="79FCF85C"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.352</w:t>
            </w:r>
          </w:p>
        </w:tc>
        <w:tc>
          <w:tcPr>
            <w:tcW w:w="420" w:type="pct"/>
            <w:tcBorders>
              <w:top w:val="nil"/>
              <w:left w:val="nil"/>
              <w:bottom w:val="nil"/>
              <w:right w:val="nil"/>
            </w:tcBorders>
            <w:vAlign w:val="center"/>
          </w:tcPr>
          <w:p w14:paraId="78D0E5D1"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.030</w:t>
            </w:r>
          </w:p>
        </w:tc>
        <w:tc>
          <w:tcPr>
            <w:tcW w:w="268" w:type="pct"/>
            <w:tcBorders>
              <w:top w:val="nil"/>
              <w:left w:val="nil"/>
              <w:bottom w:val="nil"/>
              <w:right w:val="nil"/>
            </w:tcBorders>
            <w:vAlign w:val="center"/>
          </w:tcPr>
          <w:p w14:paraId="010D81A2"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.305</w:t>
            </w:r>
          </w:p>
        </w:tc>
        <w:tc>
          <w:tcPr>
            <w:tcW w:w="420" w:type="pct"/>
            <w:tcBorders>
              <w:top w:val="nil"/>
              <w:left w:val="nil"/>
              <w:bottom w:val="nil"/>
              <w:right w:val="nil"/>
            </w:tcBorders>
            <w:vAlign w:val="center"/>
          </w:tcPr>
          <w:p w14:paraId="7E32DD51"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.035</w:t>
            </w:r>
          </w:p>
        </w:tc>
        <w:tc>
          <w:tcPr>
            <w:tcW w:w="268" w:type="pct"/>
            <w:gridSpan w:val="2"/>
            <w:tcBorders>
              <w:top w:val="nil"/>
              <w:left w:val="nil"/>
              <w:bottom w:val="nil"/>
              <w:right w:val="nil"/>
            </w:tcBorders>
            <w:vAlign w:val="center"/>
          </w:tcPr>
          <w:p w14:paraId="006178D9"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.306</w:t>
            </w:r>
          </w:p>
        </w:tc>
      </w:tr>
      <w:tr w:rsidR="00E9015E" w:rsidRPr="000673A6" w14:paraId="4C85CD87" w14:textId="77777777" w:rsidTr="00C14E25">
        <w:trPr>
          <w:trHeight w:val="20"/>
        </w:trPr>
        <w:tc>
          <w:tcPr>
            <w:tcW w:w="120" w:type="pct"/>
            <w:tcBorders>
              <w:top w:val="nil"/>
              <w:left w:val="nil"/>
              <w:bottom w:val="nil"/>
              <w:right w:val="nil"/>
            </w:tcBorders>
          </w:tcPr>
          <w:p w14:paraId="7934CC8B"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7997F557" w14:textId="77777777" w:rsidR="00E9015E" w:rsidRPr="00DC5F32" w:rsidRDefault="00E9015E" w:rsidP="00C14E25">
            <w:pPr>
              <w:rPr>
                <w:rFonts w:ascii="Times New Roman" w:eastAsia="Malgun Gothic" w:hAnsi="Times New Roman" w:cs="Times New Roman"/>
                <w:color w:val="000000"/>
                <w:sz w:val="16"/>
                <w:szCs w:val="16"/>
              </w:rPr>
            </w:pPr>
            <w:r w:rsidRPr="00DC5F32">
              <w:rPr>
                <w:rFonts w:ascii="Times New Roman" w:eastAsia="Malgun Gothic" w:hAnsi="Times New Roman" w:cs="Times New Roman"/>
                <w:color w:val="000000"/>
                <w:sz w:val="16"/>
                <w:szCs w:val="16"/>
              </w:rPr>
              <w:t>Electronics</w:t>
            </w:r>
          </w:p>
        </w:tc>
        <w:tc>
          <w:tcPr>
            <w:tcW w:w="420" w:type="pct"/>
            <w:tcBorders>
              <w:top w:val="nil"/>
              <w:left w:val="dotted" w:sz="4" w:space="0" w:color="auto"/>
              <w:bottom w:val="nil"/>
              <w:right w:val="nil"/>
            </w:tcBorders>
            <w:vAlign w:val="center"/>
          </w:tcPr>
          <w:p w14:paraId="55AC0CC1"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-.087</w:t>
            </w:r>
          </w:p>
        </w:tc>
        <w:tc>
          <w:tcPr>
            <w:tcW w:w="281" w:type="pct"/>
            <w:tcBorders>
              <w:top w:val="nil"/>
              <w:left w:val="nil"/>
              <w:bottom w:val="nil"/>
              <w:right w:val="nil"/>
            </w:tcBorders>
            <w:vAlign w:val="center"/>
          </w:tcPr>
          <w:p w14:paraId="44723595"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.301</w:t>
            </w:r>
          </w:p>
        </w:tc>
        <w:tc>
          <w:tcPr>
            <w:tcW w:w="420" w:type="pct"/>
            <w:tcBorders>
              <w:top w:val="nil"/>
              <w:left w:val="nil"/>
              <w:bottom w:val="nil"/>
              <w:right w:val="nil"/>
            </w:tcBorders>
            <w:vAlign w:val="center"/>
          </w:tcPr>
          <w:p w14:paraId="6C7E7D6D"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-.216</w:t>
            </w:r>
          </w:p>
        </w:tc>
        <w:tc>
          <w:tcPr>
            <w:tcW w:w="312" w:type="pct"/>
            <w:tcBorders>
              <w:top w:val="nil"/>
              <w:left w:val="nil"/>
              <w:bottom w:val="nil"/>
              <w:right w:val="dotted" w:sz="4" w:space="0" w:color="auto"/>
            </w:tcBorders>
            <w:vAlign w:val="center"/>
          </w:tcPr>
          <w:p w14:paraId="4B9EB8CE"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.299</w:t>
            </w:r>
          </w:p>
        </w:tc>
        <w:tc>
          <w:tcPr>
            <w:tcW w:w="420" w:type="pct"/>
            <w:tcBorders>
              <w:top w:val="nil"/>
              <w:left w:val="dotted" w:sz="4" w:space="0" w:color="auto"/>
              <w:bottom w:val="nil"/>
              <w:right w:val="nil"/>
            </w:tcBorders>
            <w:vAlign w:val="center"/>
          </w:tcPr>
          <w:p w14:paraId="23249A91"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-.206</w:t>
            </w:r>
          </w:p>
        </w:tc>
        <w:tc>
          <w:tcPr>
            <w:tcW w:w="268" w:type="pct"/>
            <w:tcBorders>
              <w:top w:val="nil"/>
              <w:left w:val="nil"/>
              <w:bottom w:val="nil"/>
              <w:right w:val="nil"/>
            </w:tcBorders>
            <w:vAlign w:val="center"/>
          </w:tcPr>
          <w:p w14:paraId="4E4A7D73"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.359</w:t>
            </w:r>
          </w:p>
        </w:tc>
        <w:tc>
          <w:tcPr>
            <w:tcW w:w="420" w:type="pct"/>
            <w:tcBorders>
              <w:top w:val="nil"/>
              <w:left w:val="nil"/>
              <w:bottom w:val="nil"/>
              <w:right w:val="nil"/>
            </w:tcBorders>
            <w:vAlign w:val="center"/>
          </w:tcPr>
          <w:p w14:paraId="1ABB7747"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-.249</w:t>
            </w:r>
          </w:p>
        </w:tc>
        <w:tc>
          <w:tcPr>
            <w:tcW w:w="268" w:type="pct"/>
            <w:tcBorders>
              <w:top w:val="nil"/>
              <w:left w:val="nil"/>
              <w:bottom w:val="nil"/>
              <w:right w:val="nil"/>
            </w:tcBorders>
            <w:vAlign w:val="center"/>
          </w:tcPr>
          <w:p w14:paraId="24DB91B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.310</w:t>
            </w:r>
          </w:p>
        </w:tc>
        <w:tc>
          <w:tcPr>
            <w:tcW w:w="420" w:type="pct"/>
            <w:tcBorders>
              <w:top w:val="nil"/>
              <w:left w:val="nil"/>
              <w:bottom w:val="nil"/>
              <w:right w:val="nil"/>
            </w:tcBorders>
            <w:vAlign w:val="center"/>
          </w:tcPr>
          <w:p w14:paraId="167313A5"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-.215</w:t>
            </w:r>
          </w:p>
        </w:tc>
        <w:tc>
          <w:tcPr>
            <w:tcW w:w="268" w:type="pct"/>
            <w:gridSpan w:val="2"/>
            <w:tcBorders>
              <w:top w:val="nil"/>
              <w:left w:val="nil"/>
              <w:bottom w:val="nil"/>
              <w:right w:val="nil"/>
            </w:tcBorders>
            <w:vAlign w:val="center"/>
          </w:tcPr>
          <w:p w14:paraId="57C570D0"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.316</w:t>
            </w:r>
          </w:p>
        </w:tc>
      </w:tr>
      <w:tr w:rsidR="00E9015E" w:rsidRPr="000673A6" w14:paraId="462242A2" w14:textId="77777777" w:rsidTr="00C14E25">
        <w:trPr>
          <w:trHeight w:val="20"/>
        </w:trPr>
        <w:tc>
          <w:tcPr>
            <w:tcW w:w="120" w:type="pct"/>
            <w:tcBorders>
              <w:top w:val="nil"/>
              <w:left w:val="nil"/>
              <w:bottom w:val="nil"/>
              <w:right w:val="nil"/>
            </w:tcBorders>
          </w:tcPr>
          <w:p w14:paraId="442A9872"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3127368A" w14:textId="77777777" w:rsidR="00E9015E" w:rsidRPr="00DC5F32" w:rsidRDefault="00E9015E" w:rsidP="00C14E25">
            <w:pPr>
              <w:rPr>
                <w:rFonts w:ascii="Times New Roman" w:eastAsia="Malgun Gothic" w:hAnsi="Times New Roman" w:cs="Times New Roman"/>
                <w:color w:val="000000"/>
                <w:sz w:val="16"/>
                <w:szCs w:val="16"/>
              </w:rPr>
            </w:pPr>
            <w:r w:rsidRPr="00DC5F32">
              <w:rPr>
                <w:rFonts w:ascii="Times New Roman" w:eastAsia="Malgun Gothic" w:hAnsi="Times New Roman" w:cs="Times New Roman"/>
                <w:color w:val="000000"/>
                <w:sz w:val="16"/>
                <w:szCs w:val="16"/>
              </w:rPr>
              <w:t>Machinery</w:t>
            </w:r>
          </w:p>
        </w:tc>
        <w:tc>
          <w:tcPr>
            <w:tcW w:w="420" w:type="pct"/>
            <w:tcBorders>
              <w:top w:val="nil"/>
              <w:left w:val="dotted" w:sz="4" w:space="0" w:color="auto"/>
              <w:bottom w:val="nil"/>
              <w:right w:val="nil"/>
            </w:tcBorders>
            <w:vAlign w:val="center"/>
          </w:tcPr>
          <w:p w14:paraId="48641FE7"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.166</w:t>
            </w:r>
          </w:p>
        </w:tc>
        <w:tc>
          <w:tcPr>
            <w:tcW w:w="281" w:type="pct"/>
            <w:tcBorders>
              <w:top w:val="nil"/>
              <w:left w:val="nil"/>
              <w:bottom w:val="nil"/>
              <w:right w:val="nil"/>
            </w:tcBorders>
            <w:vAlign w:val="center"/>
          </w:tcPr>
          <w:p w14:paraId="4428BD9B"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.245</w:t>
            </w:r>
          </w:p>
        </w:tc>
        <w:tc>
          <w:tcPr>
            <w:tcW w:w="420" w:type="pct"/>
            <w:tcBorders>
              <w:top w:val="nil"/>
              <w:left w:val="nil"/>
              <w:bottom w:val="nil"/>
              <w:right w:val="nil"/>
            </w:tcBorders>
            <w:vAlign w:val="center"/>
          </w:tcPr>
          <w:p w14:paraId="69FEB13B"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.059</w:t>
            </w:r>
          </w:p>
        </w:tc>
        <w:tc>
          <w:tcPr>
            <w:tcW w:w="312" w:type="pct"/>
            <w:tcBorders>
              <w:top w:val="nil"/>
              <w:left w:val="nil"/>
              <w:bottom w:val="nil"/>
              <w:right w:val="dotted" w:sz="4" w:space="0" w:color="auto"/>
            </w:tcBorders>
            <w:vAlign w:val="center"/>
          </w:tcPr>
          <w:p w14:paraId="6AE22109"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.244</w:t>
            </w:r>
          </w:p>
        </w:tc>
        <w:tc>
          <w:tcPr>
            <w:tcW w:w="420" w:type="pct"/>
            <w:tcBorders>
              <w:top w:val="nil"/>
              <w:left w:val="dotted" w:sz="4" w:space="0" w:color="auto"/>
              <w:bottom w:val="nil"/>
              <w:right w:val="nil"/>
            </w:tcBorders>
            <w:vAlign w:val="center"/>
          </w:tcPr>
          <w:p w14:paraId="001A5919"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.396</w:t>
            </w:r>
          </w:p>
        </w:tc>
        <w:tc>
          <w:tcPr>
            <w:tcW w:w="268" w:type="pct"/>
            <w:tcBorders>
              <w:top w:val="nil"/>
              <w:left w:val="nil"/>
              <w:bottom w:val="nil"/>
              <w:right w:val="nil"/>
            </w:tcBorders>
            <w:vAlign w:val="center"/>
          </w:tcPr>
          <w:p w14:paraId="0DD8CD41"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.293</w:t>
            </w:r>
          </w:p>
        </w:tc>
        <w:tc>
          <w:tcPr>
            <w:tcW w:w="420" w:type="pct"/>
            <w:tcBorders>
              <w:top w:val="nil"/>
              <w:left w:val="nil"/>
              <w:bottom w:val="nil"/>
              <w:right w:val="nil"/>
            </w:tcBorders>
            <w:vAlign w:val="center"/>
          </w:tcPr>
          <w:p w14:paraId="514700CB"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.214</w:t>
            </w:r>
          </w:p>
        </w:tc>
        <w:tc>
          <w:tcPr>
            <w:tcW w:w="268" w:type="pct"/>
            <w:tcBorders>
              <w:top w:val="nil"/>
              <w:left w:val="nil"/>
              <w:bottom w:val="nil"/>
              <w:right w:val="nil"/>
            </w:tcBorders>
            <w:vAlign w:val="center"/>
          </w:tcPr>
          <w:p w14:paraId="2BF64D36"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.256</w:t>
            </w:r>
          </w:p>
        </w:tc>
        <w:tc>
          <w:tcPr>
            <w:tcW w:w="420" w:type="pct"/>
            <w:tcBorders>
              <w:top w:val="nil"/>
              <w:left w:val="nil"/>
              <w:bottom w:val="nil"/>
              <w:right w:val="nil"/>
            </w:tcBorders>
            <w:vAlign w:val="center"/>
          </w:tcPr>
          <w:p w14:paraId="22FCD807"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.235</w:t>
            </w:r>
          </w:p>
        </w:tc>
        <w:tc>
          <w:tcPr>
            <w:tcW w:w="268" w:type="pct"/>
            <w:gridSpan w:val="2"/>
            <w:tcBorders>
              <w:top w:val="nil"/>
              <w:left w:val="nil"/>
              <w:bottom w:val="nil"/>
              <w:right w:val="nil"/>
            </w:tcBorders>
            <w:vAlign w:val="center"/>
          </w:tcPr>
          <w:p w14:paraId="58F83BFD"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.259</w:t>
            </w:r>
          </w:p>
        </w:tc>
      </w:tr>
      <w:tr w:rsidR="00E9015E" w:rsidRPr="000673A6" w14:paraId="4D784DA8" w14:textId="77777777" w:rsidTr="00C14E25">
        <w:trPr>
          <w:trHeight w:val="20"/>
        </w:trPr>
        <w:tc>
          <w:tcPr>
            <w:tcW w:w="120" w:type="pct"/>
            <w:tcBorders>
              <w:top w:val="nil"/>
              <w:left w:val="nil"/>
              <w:bottom w:val="nil"/>
              <w:right w:val="nil"/>
            </w:tcBorders>
          </w:tcPr>
          <w:p w14:paraId="2B632602"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15B5D673" w14:textId="77777777" w:rsidR="00E9015E" w:rsidRPr="00DC5F32" w:rsidRDefault="00E9015E" w:rsidP="00C14E25">
            <w:pPr>
              <w:rPr>
                <w:rFonts w:ascii="Times New Roman" w:eastAsia="Malgun Gothic" w:hAnsi="Times New Roman" w:cs="Times New Roman"/>
                <w:color w:val="000000"/>
                <w:sz w:val="16"/>
                <w:szCs w:val="16"/>
              </w:rPr>
            </w:pPr>
            <w:r w:rsidRPr="00DC5F32">
              <w:rPr>
                <w:rFonts w:ascii="Times New Roman" w:eastAsia="Malgun Gothic" w:hAnsi="Times New Roman" w:cs="Times New Roman"/>
                <w:color w:val="000000"/>
                <w:sz w:val="16"/>
                <w:szCs w:val="16"/>
              </w:rPr>
              <w:t>Automotive &amp; Transportation</w:t>
            </w:r>
          </w:p>
        </w:tc>
        <w:tc>
          <w:tcPr>
            <w:tcW w:w="420" w:type="pct"/>
            <w:tcBorders>
              <w:top w:val="nil"/>
              <w:left w:val="dotted" w:sz="4" w:space="0" w:color="auto"/>
              <w:bottom w:val="nil"/>
              <w:right w:val="nil"/>
            </w:tcBorders>
            <w:vAlign w:val="center"/>
          </w:tcPr>
          <w:p w14:paraId="7BF0A455"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.418</w:t>
            </w:r>
          </w:p>
        </w:tc>
        <w:tc>
          <w:tcPr>
            <w:tcW w:w="281" w:type="pct"/>
            <w:tcBorders>
              <w:top w:val="nil"/>
              <w:left w:val="nil"/>
              <w:bottom w:val="nil"/>
              <w:right w:val="nil"/>
            </w:tcBorders>
            <w:vAlign w:val="center"/>
          </w:tcPr>
          <w:p w14:paraId="59DD57AC"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.266</w:t>
            </w:r>
          </w:p>
        </w:tc>
        <w:tc>
          <w:tcPr>
            <w:tcW w:w="420" w:type="pct"/>
            <w:tcBorders>
              <w:top w:val="nil"/>
              <w:left w:val="nil"/>
              <w:bottom w:val="nil"/>
              <w:right w:val="nil"/>
            </w:tcBorders>
            <w:vAlign w:val="center"/>
          </w:tcPr>
          <w:p w14:paraId="1B7958FF"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.300</w:t>
            </w:r>
          </w:p>
        </w:tc>
        <w:tc>
          <w:tcPr>
            <w:tcW w:w="312" w:type="pct"/>
            <w:tcBorders>
              <w:top w:val="nil"/>
              <w:left w:val="nil"/>
              <w:bottom w:val="nil"/>
              <w:right w:val="dotted" w:sz="4" w:space="0" w:color="auto"/>
            </w:tcBorders>
            <w:vAlign w:val="center"/>
          </w:tcPr>
          <w:p w14:paraId="1957FD9D"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.264</w:t>
            </w:r>
          </w:p>
        </w:tc>
        <w:tc>
          <w:tcPr>
            <w:tcW w:w="420" w:type="pct"/>
            <w:tcBorders>
              <w:top w:val="nil"/>
              <w:left w:val="dotted" w:sz="4" w:space="0" w:color="auto"/>
              <w:bottom w:val="nil"/>
              <w:right w:val="nil"/>
            </w:tcBorders>
            <w:vAlign w:val="center"/>
          </w:tcPr>
          <w:p w14:paraId="5FA934BE"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.466</w:t>
            </w:r>
          </w:p>
        </w:tc>
        <w:tc>
          <w:tcPr>
            <w:tcW w:w="268" w:type="pct"/>
            <w:tcBorders>
              <w:top w:val="nil"/>
              <w:left w:val="nil"/>
              <w:bottom w:val="nil"/>
              <w:right w:val="nil"/>
            </w:tcBorders>
            <w:vAlign w:val="center"/>
          </w:tcPr>
          <w:p w14:paraId="79594C83"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.317</w:t>
            </w:r>
          </w:p>
        </w:tc>
        <w:tc>
          <w:tcPr>
            <w:tcW w:w="420" w:type="pct"/>
            <w:tcBorders>
              <w:top w:val="nil"/>
              <w:left w:val="nil"/>
              <w:bottom w:val="nil"/>
              <w:right w:val="nil"/>
            </w:tcBorders>
            <w:vAlign w:val="center"/>
          </w:tcPr>
          <w:p w14:paraId="71D94894"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.171</w:t>
            </w:r>
          </w:p>
        </w:tc>
        <w:tc>
          <w:tcPr>
            <w:tcW w:w="268" w:type="pct"/>
            <w:tcBorders>
              <w:top w:val="nil"/>
              <w:left w:val="nil"/>
              <w:bottom w:val="nil"/>
              <w:right w:val="nil"/>
            </w:tcBorders>
            <w:vAlign w:val="center"/>
          </w:tcPr>
          <w:p w14:paraId="37C253D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.278</w:t>
            </w:r>
          </w:p>
        </w:tc>
        <w:tc>
          <w:tcPr>
            <w:tcW w:w="420" w:type="pct"/>
            <w:tcBorders>
              <w:top w:val="nil"/>
              <w:left w:val="nil"/>
              <w:bottom w:val="nil"/>
              <w:right w:val="nil"/>
            </w:tcBorders>
            <w:vAlign w:val="center"/>
          </w:tcPr>
          <w:p w14:paraId="35186076"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.192</w:t>
            </w:r>
          </w:p>
        </w:tc>
        <w:tc>
          <w:tcPr>
            <w:tcW w:w="268" w:type="pct"/>
            <w:gridSpan w:val="2"/>
            <w:tcBorders>
              <w:top w:val="nil"/>
              <w:left w:val="nil"/>
              <w:bottom w:val="nil"/>
              <w:right w:val="nil"/>
            </w:tcBorders>
            <w:vAlign w:val="center"/>
          </w:tcPr>
          <w:p w14:paraId="03396F87"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.281</w:t>
            </w:r>
          </w:p>
        </w:tc>
      </w:tr>
      <w:tr w:rsidR="00E9015E" w:rsidRPr="000673A6" w14:paraId="1BFA2271" w14:textId="77777777" w:rsidTr="00C14E25">
        <w:trPr>
          <w:trHeight w:val="20"/>
        </w:trPr>
        <w:tc>
          <w:tcPr>
            <w:tcW w:w="120" w:type="pct"/>
            <w:tcBorders>
              <w:top w:val="nil"/>
              <w:left w:val="nil"/>
              <w:bottom w:val="nil"/>
              <w:right w:val="nil"/>
            </w:tcBorders>
          </w:tcPr>
          <w:p w14:paraId="1B48080B"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35694897" w14:textId="77777777" w:rsidR="00E9015E" w:rsidRPr="00DC5F32" w:rsidRDefault="00E9015E" w:rsidP="00C14E25">
            <w:pPr>
              <w:rPr>
                <w:rFonts w:ascii="Times New Roman" w:eastAsia="Malgun Gothic" w:hAnsi="Times New Roman" w:cs="Times New Roman"/>
                <w:color w:val="000000"/>
                <w:sz w:val="16"/>
                <w:szCs w:val="16"/>
              </w:rPr>
            </w:pPr>
            <w:r w:rsidRPr="00DC5F32">
              <w:rPr>
                <w:rFonts w:ascii="Times New Roman" w:eastAsia="Malgun Gothic" w:hAnsi="Times New Roman" w:cs="Times New Roman"/>
                <w:color w:val="000000"/>
                <w:sz w:val="16"/>
                <w:szCs w:val="16"/>
              </w:rPr>
              <w:t>Utility &amp; Recycling</w:t>
            </w:r>
          </w:p>
        </w:tc>
        <w:tc>
          <w:tcPr>
            <w:tcW w:w="420" w:type="pct"/>
            <w:tcBorders>
              <w:top w:val="nil"/>
              <w:left w:val="dotted" w:sz="4" w:space="0" w:color="auto"/>
              <w:bottom w:val="nil"/>
              <w:right w:val="nil"/>
            </w:tcBorders>
            <w:vAlign w:val="center"/>
          </w:tcPr>
          <w:p w14:paraId="2312A458"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-.488</w:t>
            </w:r>
          </w:p>
        </w:tc>
        <w:tc>
          <w:tcPr>
            <w:tcW w:w="281" w:type="pct"/>
            <w:tcBorders>
              <w:top w:val="nil"/>
              <w:left w:val="nil"/>
              <w:bottom w:val="nil"/>
              <w:right w:val="nil"/>
            </w:tcBorders>
            <w:vAlign w:val="center"/>
          </w:tcPr>
          <w:p w14:paraId="1D37957E"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.330</w:t>
            </w:r>
          </w:p>
        </w:tc>
        <w:tc>
          <w:tcPr>
            <w:tcW w:w="420" w:type="pct"/>
            <w:tcBorders>
              <w:top w:val="nil"/>
              <w:left w:val="nil"/>
              <w:bottom w:val="nil"/>
              <w:right w:val="nil"/>
            </w:tcBorders>
            <w:vAlign w:val="center"/>
          </w:tcPr>
          <w:p w14:paraId="786ECE39"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-.581</w:t>
            </w:r>
            <w:r w:rsidRPr="00DC5F32">
              <w:rPr>
                <w:rFonts w:ascii="Times New Roman" w:eastAsia="Gulim" w:hAnsi="Times New Roman" w:cs="Times New Roman"/>
                <w:kern w:val="0"/>
                <w:sz w:val="16"/>
                <w:szCs w:val="16"/>
                <w:vertAlign w:val="superscript"/>
              </w:rPr>
              <w:t>+</w:t>
            </w:r>
          </w:p>
        </w:tc>
        <w:tc>
          <w:tcPr>
            <w:tcW w:w="312" w:type="pct"/>
            <w:tcBorders>
              <w:top w:val="nil"/>
              <w:left w:val="nil"/>
              <w:bottom w:val="nil"/>
              <w:right w:val="dotted" w:sz="4" w:space="0" w:color="auto"/>
            </w:tcBorders>
            <w:vAlign w:val="center"/>
          </w:tcPr>
          <w:p w14:paraId="4DEA5D89"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.325</w:t>
            </w:r>
          </w:p>
        </w:tc>
        <w:tc>
          <w:tcPr>
            <w:tcW w:w="420" w:type="pct"/>
            <w:tcBorders>
              <w:top w:val="nil"/>
              <w:left w:val="dotted" w:sz="4" w:space="0" w:color="auto"/>
              <w:bottom w:val="nil"/>
              <w:right w:val="nil"/>
            </w:tcBorders>
            <w:vAlign w:val="center"/>
          </w:tcPr>
          <w:p w14:paraId="33134249"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.680</w:t>
            </w:r>
            <w:r w:rsidRPr="00DC5F32">
              <w:rPr>
                <w:rFonts w:ascii="Times New Roman" w:eastAsia="Gulim" w:hAnsi="Times New Roman" w:cs="Times New Roman"/>
                <w:color w:val="000000" w:themeColor="text1"/>
                <w:kern w:val="0"/>
                <w:sz w:val="16"/>
                <w:szCs w:val="16"/>
                <w:vertAlign w:val="superscript"/>
              </w:rPr>
              <w:t>+</w:t>
            </w:r>
          </w:p>
        </w:tc>
        <w:tc>
          <w:tcPr>
            <w:tcW w:w="268" w:type="pct"/>
            <w:tcBorders>
              <w:top w:val="nil"/>
              <w:left w:val="nil"/>
              <w:bottom w:val="nil"/>
              <w:right w:val="nil"/>
            </w:tcBorders>
            <w:vAlign w:val="center"/>
          </w:tcPr>
          <w:p w14:paraId="04E2CB7B"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.394</w:t>
            </w:r>
          </w:p>
        </w:tc>
        <w:tc>
          <w:tcPr>
            <w:tcW w:w="420" w:type="pct"/>
            <w:tcBorders>
              <w:top w:val="nil"/>
              <w:left w:val="nil"/>
              <w:bottom w:val="nil"/>
              <w:right w:val="nil"/>
            </w:tcBorders>
            <w:vAlign w:val="center"/>
          </w:tcPr>
          <w:p w14:paraId="0BA4E2D0"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.689</w:t>
            </w:r>
            <w:r w:rsidRPr="00DC5F32">
              <w:rPr>
                <w:rFonts w:ascii="Times New Roman" w:eastAsia="Gulim" w:hAnsi="Times New Roman" w:cs="Times New Roman"/>
                <w:color w:val="000000" w:themeColor="text1"/>
                <w:kern w:val="0"/>
                <w:sz w:val="16"/>
                <w:szCs w:val="16"/>
                <w:vertAlign w:val="superscript"/>
              </w:rPr>
              <w:t>*</w:t>
            </w:r>
          </w:p>
        </w:tc>
        <w:tc>
          <w:tcPr>
            <w:tcW w:w="268" w:type="pct"/>
            <w:tcBorders>
              <w:top w:val="nil"/>
              <w:left w:val="nil"/>
              <w:bottom w:val="nil"/>
              <w:right w:val="nil"/>
            </w:tcBorders>
            <w:vAlign w:val="center"/>
          </w:tcPr>
          <w:p w14:paraId="4F9DF0B8"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.343</w:t>
            </w:r>
          </w:p>
        </w:tc>
        <w:tc>
          <w:tcPr>
            <w:tcW w:w="420" w:type="pct"/>
            <w:tcBorders>
              <w:top w:val="nil"/>
              <w:left w:val="nil"/>
              <w:bottom w:val="nil"/>
              <w:right w:val="nil"/>
            </w:tcBorders>
            <w:vAlign w:val="center"/>
          </w:tcPr>
          <w:p w14:paraId="7928B4A8"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.718</w:t>
            </w:r>
            <w:r w:rsidRPr="00DC5F32">
              <w:rPr>
                <w:rFonts w:ascii="Times New Roman" w:eastAsia="Gulim" w:hAnsi="Times New Roman" w:cs="Times New Roman"/>
                <w:color w:val="000000" w:themeColor="text1"/>
                <w:kern w:val="0"/>
                <w:sz w:val="16"/>
                <w:szCs w:val="16"/>
                <w:vertAlign w:val="superscript"/>
              </w:rPr>
              <w:t>*</w:t>
            </w:r>
          </w:p>
        </w:tc>
        <w:tc>
          <w:tcPr>
            <w:tcW w:w="268" w:type="pct"/>
            <w:gridSpan w:val="2"/>
            <w:tcBorders>
              <w:top w:val="nil"/>
              <w:left w:val="nil"/>
              <w:bottom w:val="nil"/>
              <w:right w:val="nil"/>
            </w:tcBorders>
            <w:vAlign w:val="center"/>
          </w:tcPr>
          <w:p w14:paraId="29A78DDD"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.348</w:t>
            </w:r>
          </w:p>
        </w:tc>
      </w:tr>
      <w:tr w:rsidR="00E9015E" w:rsidRPr="000673A6" w14:paraId="50C6F7A4" w14:textId="77777777" w:rsidTr="00C14E25">
        <w:trPr>
          <w:trHeight w:val="20"/>
        </w:trPr>
        <w:tc>
          <w:tcPr>
            <w:tcW w:w="120" w:type="pct"/>
            <w:tcBorders>
              <w:top w:val="nil"/>
              <w:left w:val="nil"/>
              <w:bottom w:val="nil"/>
              <w:right w:val="nil"/>
            </w:tcBorders>
          </w:tcPr>
          <w:p w14:paraId="660803A5"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5C80AC6D" w14:textId="77777777" w:rsidR="00E9015E" w:rsidRPr="00DC5F32" w:rsidRDefault="00E9015E" w:rsidP="00C14E25">
            <w:pPr>
              <w:rPr>
                <w:rFonts w:ascii="Times New Roman" w:eastAsia="Malgun Gothic" w:hAnsi="Times New Roman" w:cs="Times New Roman"/>
                <w:color w:val="000000"/>
                <w:sz w:val="16"/>
                <w:szCs w:val="16"/>
              </w:rPr>
            </w:pPr>
            <w:r w:rsidRPr="00DC5F32">
              <w:rPr>
                <w:rFonts w:ascii="Times New Roman" w:eastAsia="Malgun Gothic" w:hAnsi="Times New Roman" w:cs="Times New Roman"/>
                <w:color w:val="000000"/>
                <w:sz w:val="16"/>
                <w:szCs w:val="16"/>
              </w:rPr>
              <w:t>Distribution &amp; Logistics</w:t>
            </w:r>
          </w:p>
        </w:tc>
        <w:tc>
          <w:tcPr>
            <w:tcW w:w="420" w:type="pct"/>
            <w:tcBorders>
              <w:top w:val="nil"/>
              <w:left w:val="dotted" w:sz="4" w:space="0" w:color="auto"/>
              <w:bottom w:val="nil"/>
              <w:right w:val="nil"/>
            </w:tcBorders>
            <w:vAlign w:val="center"/>
          </w:tcPr>
          <w:p w14:paraId="4F63C97B"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.355</w:t>
            </w:r>
          </w:p>
        </w:tc>
        <w:tc>
          <w:tcPr>
            <w:tcW w:w="281" w:type="pct"/>
            <w:tcBorders>
              <w:top w:val="nil"/>
              <w:left w:val="nil"/>
              <w:bottom w:val="nil"/>
              <w:right w:val="nil"/>
            </w:tcBorders>
            <w:vAlign w:val="center"/>
          </w:tcPr>
          <w:p w14:paraId="42356580"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.354</w:t>
            </w:r>
          </w:p>
        </w:tc>
        <w:tc>
          <w:tcPr>
            <w:tcW w:w="420" w:type="pct"/>
            <w:tcBorders>
              <w:top w:val="nil"/>
              <w:left w:val="nil"/>
              <w:bottom w:val="nil"/>
              <w:right w:val="nil"/>
            </w:tcBorders>
            <w:vAlign w:val="center"/>
          </w:tcPr>
          <w:p w14:paraId="1583B5F8"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.313</w:t>
            </w:r>
          </w:p>
        </w:tc>
        <w:tc>
          <w:tcPr>
            <w:tcW w:w="312" w:type="pct"/>
            <w:tcBorders>
              <w:top w:val="nil"/>
              <w:left w:val="nil"/>
              <w:bottom w:val="nil"/>
              <w:right w:val="dotted" w:sz="4" w:space="0" w:color="auto"/>
            </w:tcBorders>
            <w:vAlign w:val="center"/>
          </w:tcPr>
          <w:p w14:paraId="78E8B618"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.347</w:t>
            </w:r>
          </w:p>
        </w:tc>
        <w:tc>
          <w:tcPr>
            <w:tcW w:w="420" w:type="pct"/>
            <w:tcBorders>
              <w:top w:val="nil"/>
              <w:left w:val="dotted" w:sz="4" w:space="0" w:color="auto"/>
              <w:bottom w:val="nil"/>
              <w:right w:val="nil"/>
            </w:tcBorders>
            <w:vAlign w:val="center"/>
          </w:tcPr>
          <w:p w14:paraId="129EB01B"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.102</w:t>
            </w:r>
          </w:p>
        </w:tc>
        <w:tc>
          <w:tcPr>
            <w:tcW w:w="268" w:type="pct"/>
            <w:tcBorders>
              <w:top w:val="nil"/>
              <w:left w:val="nil"/>
              <w:bottom w:val="nil"/>
              <w:right w:val="nil"/>
            </w:tcBorders>
            <w:vAlign w:val="center"/>
          </w:tcPr>
          <w:p w14:paraId="6CD6B92C"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.423</w:t>
            </w:r>
          </w:p>
        </w:tc>
        <w:tc>
          <w:tcPr>
            <w:tcW w:w="420" w:type="pct"/>
            <w:tcBorders>
              <w:top w:val="nil"/>
              <w:left w:val="nil"/>
              <w:bottom w:val="nil"/>
              <w:right w:val="nil"/>
            </w:tcBorders>
            <w:vAlign w:val="center"/>
          </w:tcPr>
          <w:p w14:paraId="048AC420"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.024</w:t>
            </w:r>
          </w:p>
        </w:tc>
        <w:tc>
          <w:tcPr>
            <w:tcW w:w="268" w:type="pct"/>
            <w:tcBorders>
              <w:top w:val="nil"/>
              <w:left w:val="nil"/>
              <w:bottom w:val="nil"/>
              <w:right w:val="nil"/>
            </w:tcBorders>
            <w:vAlign w:val="center"/>
          </w:tcPr>
          <w:p w14:paraId="5A92ABE8"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.367</w:t>
            </w:r>
          </w:p>
        </w:tc>
        <w:tc>
          <w:tcPr>
            <w:tcW w:w="420" w:type="pct"/>
            <w:tcBorders>
              <w:top w:val="nil"/>
              <w:left w:val="nil"/>
              <w:bottom w:val="nil"/>
              <w:right w:val="nil"/>
            </w:tcBorders>
            <w:vAlign w:val="center"/>
          </w:tcPr>
          <w:p w14:paraId="47D9CA88"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.028</w:t>
            </w:r>
          </w:p>
        </w:tc>
        <w:tc>
          <w:tcPr>
            <w:tcW w:w="268" w:type="pct"/>
            <w:gridSpan w:val="2"/>
            <w:tcBorders>
              <w:top w:val="nil"/>
              <w:left w:val="nil"/>
              <w:bottom w:val="nil"/>
              <w:right w:val="nil"/>
            </w:tcBorders>
            <w:vAlign w:val="center"/>
          </w:tcPr>
          <w:p w14:paraId="093BA8CA"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.368</w:t>
            </w:r>
          </w:p>
        </w:tc>
      </w:tr>
      <w:tr w:rsidR="00E9015E" w:rsidRPr="000673A6" w14:paraId="7ADDAFD1" w14:textId="77777777" w:rsidTr="00C14E25">
        <w:trPr>
          <w:trHeight w:val="20"/>
        </w:trPr>
        <w:tc>
          <w:tcPr>
            <w:tcW w:w="120" w:type="pct"/>
            <w:tcBorders>
              <w:top w:val="nil"/>
              <w:left w:val="nil"/>
              <w:bottom w:val="nil"/>
              <w:right w:val="nil"/>
            </w:tcBorders>
          </w:tcPr>
          <w:p w14:paraId="7C17397F"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2205C50F" w14:textId="77777777" w:rsidR="00E9015E" w:rsidRPr="00DC5F32" w:rsidRDefault="00E9015E" w:rsidP="00C14E25">
            <w:pPr>
              <w:rPr>
                <w:rFonts w:ascii="Times New Roman" w:eastAsia="Malgun Gothic" w:hAnsi="Times New Roman" w:cs="Times New Roman"/>
                <w:color w:val="000000"/>
                <w:sz w:val="16"/>
                <w:szCs w:val="16"/>
              </w:rPr>
            </w:pPr>
            <w:r w:rsidRPr="00DC5F32">
              <w:rPr>
                <w:rFonts w:ascii="Times New Roman" w:eastAsia="Malgun Gothic" w:hAnsi="Times New Roman" w:cs="Times New Roman"/>
                <w:color w:val="000000"/>
                <w:sz w:val="16"/>
                <w:szCs w:val="16"/>
              </w:rPr>
              <w:t>ICT Service</w:t>
            </w:r>
          </w:p>
        </w:tc>
        <w:tc>
          <w:tcPr>
            <w:tcW w:w="420" w:type="pct"/>
            <w:tcBorders>
              <w:top w:val="nil"/>
              <w:left w:val="dotted" w:sz="4" w:space="0" w:color="auto"/>
              <w:bottom w:val="nil"/>
              <w:right w:val="nil"/>
            </w:tcBorders>
            <w:vAlign w:val="center"/>
          </w:tcPr>
          <w:p w14:paraId="5265971B"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.504</w:t>
            </w:r>
          </w:p>
        </w:tc>
        <w:tc>
          <w:tcPr>
            <w:tcW w:w="281" w:type="pct"/>
            <w:tcBorders>
              <w:top w:val="nil"/>
              <w:left w:val="nil"/>
              <w:bottom w:val="nil"/>
              <w:right w:val="nil"/>
            </w:tcBorders>
            <w:vAlign w:val="center"/>
          </w:tcPr>
          <w:p w14:paraId="1E62CBAA"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.403</w:t>
            </w:r>
          </w:p>
        </w:tc>
        <w:tc>
          <w:tcPr>
            <w:tcW w:w="420" w:type="pct"/>
            <w:tcBorders>
              <w:top w:val="nil"/>
              <w:left w:val="nil"/>
              <w:bottom w:val="nil"/>
              <w:right w:val="nil"/>
            </w:tcBorders>
            <w:vAlign w:val="center"/>
          </w:tcPr>
          <w:p w14:paraId="4F2BFEF7"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.355</w:t>
            </w:r>
          </w:p>
        </w:tc>
        <w:tc>
          <w:tcPr>
            <w:tcW w:w="312" w:type="pct"/>
            <w:tcBorders>
              <w:top w:val="nil"/>
              <w:left w:val="nil"/>
              <w:bottom w:val="nil"/>
              <w:right w:val="dotted" w:sz="4" w:space="0" w:color="auto"/>
            </w:tcBorders>
            <w:vAlign w:val="center"/>
          </w:tcPr>
          <w:p w14:paraId="65E12B23"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.399</w:t>
            </w:r>
          </w:p>
        </w:tc>
        <w:tc>
          <w:tcPr>
            <w:tcW w:w="420" w:type="pct"/>
            <w:tcBorders>
              <w:top w:val="nil"/>
              <w:left w:val="dotted" w:sz="4" w:space="0" w:color="auto"/>
              <w:bottom w:val="nil"/>
              <w:right w:val="nil"/>
            </w:tcBorders>
            <w:vAlign w:val="center"/>
          </w:tcPr>
          <w:p w14:paraId="0A40BCA7"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.502</w:t>
            </w:r>
          </w:p>
        </w:tc>
        <w:tc>
          <w:tcPr>
            <w:tcW w:w="268" w:type="pct"/>
            <w:tcBorders>
              <w:top w:val="nil"/>
              <w:left w:val="nil"/>
              <w:bottom w:val="nil"/>
              <w:right w:val="nil"/>
            </w:tcBorders>
            <w:vAlign w:val="center"/>
          </w:tcPr>
          <w:p w14:paraId="70920B76"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.481</w:t>
            </w:r>
          </w:p>
        </w:tc>
        <w:tc>
          <w:tcPr>
            <w:tcW w:w="420" w:type="pct"/>
            <w:tcBorders>
              <w:top w:val="nil"/>
              <w:left w:val="nil"/>
              <w:bottom w:val="nil"/>
              <w:right w:val="nil"/>
            </w:tcBorders>
            <w:vAlign w:val="center"/>
          </w:tcPr>
          <w:p w14:paraId="2DCEA1E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.197</w:t>
            </w:r>
          </w:p>
        </w:tc>
        <w:tc>
          <w:tcPr>
            <w:tcW w:w="268" w:type="pct"/>
            <w:tcBorders>
              <w:top w:val="nil"/>
              <w:left w:val="nil"/>
              <w:bottom w:val="nil"/>
              <w:right w:val="nil"/>
            </w:tcBorders>
            <w:vAlign w:val="center"/>
          </w:tcPr>
          <w:p w14:paraId="6B270F3C"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.422</w:t>
            </w:r>
          </w:p>
        </w:tc>
        <w:tc>
          <w:tcPr>
            <w:tcW w:w="420" w:type="pct"/>
            <w:tcBorders>
              <w:top w:val="nil"/>
              <w:left w:val="nil"/>
              <w:bottom w:val="nil"/>
              <w:right w:val="nil"/>
            </w:tcBorders>
            <w:vAlign w:val="center"/>
          </w:tcPr>
          <w:p w14:paraId="54806097"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.223</w:t>
            </w:r>
          </w:p>
        </w:tc>
        <w:tc>
          <w:tcPr>
            <w:tcW w:w="268" w:type="pct"/>
            <w:gridSpan w:val="2"/>
            <w:tcBorders>
              <w:top w:val="nil"/>
              <w:left w:val="nil"/>
              <w:bottom w:val="nil"/>
              <w:right w:val="nil"/>
            </w:tcBorders>
            <w:vAlign w:val="center"/>
          </w:tcPr>
          <w:p w14:paraId="5C065AFE"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.426</w:t>
            </w:r>
          </w:p>
        </w:tc>
      </w:tr>
      <w:tr w:rsidR="00E9015E" w:rsidRPr="000673A6" w14:paraId="1417B264" w14:textId="77777777" w:rsidTr="00C14E25">
        <w:trPr>
          <w:trHeight w:val="20"/>
        </w:trPr>
        <w:tc>
          <w:tcPr>
            <w:tcW w:w="120" w:type="pct"/>
            <w:tcBorders>
              <w:top w:val="nil"/>
              <w:left w:val="nil"/>
              <w:bottom w:val="nil"/>
              <w:right w:val="nil"/>
            </w:tcBorders>
          </w:tcPr>
          <w:p w14:paraId="25AED432" w14:textId="77777777" w:rsidR="00E9015E" w:rsidRPr="00E75E6C" w:rsidRDefault="00E9015E" w:rsidP="00C14E25">
            <w:pPr>
              <w:jc w:val="center"/>
              <w:rPr>
                <w:rFonts w:ascii="Times New Roman" w:hAnsi="Times New Roman" w:cs="Times New Roman"/>
                <w:color w:val="000000" w:themeColor="text1"/>
                <w:sz w:val="14"/>
                <w:szCs w:val="14"/>
              </w:rPr>
            </w:pPr>
          </w:p>
        </w:tc>
        <w:tc>
          <w:tcPr>
            <w:tcW w:w="1383" w:type="pct"/>
            <w:tcBorders>
              <w:top w:val="nil"/>
              <w:left w:val="nil"/>
              <w:bottom w:val="nil"/>
              <w:right w:val="nil"/>
            </w:tcBorders>
          </w:tcPr>
          <w:p w14:paraId="3F0F51F7"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dotted" w:sz="4" w:space="0" w:color="auto"/>
              <w:bottom w:val="nil"/>
              <w:right w:val="nil"/>
            </w:tcBorders>
          </w:tcPr>
          <w:p w14:paraId="49C8355D" w14:textId="77777777" w:rsidR="00E9015E" w:rsidRPr="00DC5F32" w:rsidRDefault="00E9015E" w:rsidP="00C14E25">
            <w:pPr>
              <w:jc w:val="center"/>
              <w:rPr>
                <w:rFonts w:ascii="Times New Roman" w:hAnsi="Times New Roman" w:cs="Times New Roman"/>
                <w:color w:val="000000" w:themeColor="text1"/>
                <w:sz w:val="16"/>
                <w:szCs w:val="16"/>
              </w:rPr>
            </w:pPr>
          </w:p>
        </w:tc>
        <w:tc>
          <w:tcPr>
            <w:tcW w:w="281" w:type="pct"/>
            <w:tcBorders>
              <w:top w:val="nil"/>
              <w:left w:val="nil"/>
              <w:bottom w:val="nil"/>
              <w:right w:val="nil"/>
            </w:tcBorders>
          </w:tcPr>
          <w:p w14:paraId="20B41950"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nil"/>
              <w:bottom w:val="nil"/>
              <w:right w:val="nil"/>
            </w:tcBorders>
          </w:tcPr>
          <w:p w14:paraId="383BD473" w14:textId="77777777" w:rsidR="00E9015E" w:rsidRPr="00DC5F32" w:rsidRDefault="00E9015E" w:rsidP="00C14E25">
            <w:pPr>
              <w:jc w:val="center"/>
              <w:rPr>
                <w:rFonts w:ascii="Times New Roman" w:hAnsi="Times New Roman" w:cs="Times New Roman"/>
                <w:color w:val="000000" w:themeColor="text1"/>
                <w:sz w:val="16"/>
                <w:szCs w:val="16"/>
              </w:rPr>
            </w:pPr>
          </w:p>
        </w:tc>
        <w:tc>
          <w:tcPr>
            <w:tcW w:w="312" w:type="pct"/>
            <w:tcBorders>
              <w:top w:val="nil"/>
              <w:left w:val="nil"/>
              <w:bottom w:val="nil"/>
              <w:right w:val="dotted" w:sz="4" w:space="0" w:color="auto"/>
            </w:tcBorders>
          </w:tcPr>
          <w:p w14:paraId="6A521711"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dotted" w:sz="4" w:space="0" w:color="auto"/>
              <w:bottom w:val="nil"/>
              <w:right w:val="nil"/>
            </w:tcBorders>
            <w:vAlign w:val="center"/>
          </w:tcPr>
          <w:p w14:paraId="6A4BD877" w14:textId="77777777" w:rsidR="00E9015E" w:rsidRPr="00DC5F32" w:rsidRDefault="00E9015E" w:rsidP="00C14E25">
            <w:pPr>
              <w:jc w:val="center"/>
              <w:rPr>
                <w:rFonts w:ascii="Times New Roman" w:hAnsi="Times New Roman" w:cs="Times New Roman"/>
                <w:color w:val="000000" w:themeColor="text1"/>
                <w:sz w:val="16"/>
                <w:szCs w:val="16"/>
              </w:rPr>
            </w:pPr>
          </w:p>
        </w:tc>
        <w:tc>
          <w:tcPr>
            <w:tcW w:w="268" w:type="pct"/>
            <w:tcBorders>
              <w:top w:val="nil"/>
              <w:left w:val="nil"/>
              <w:bottom w:val="nil"/>
              <w:right w:val="nil"/>
            </w:tcBorders>
            <w:vAlign w:val="center"/>
          </w:tcPr>
          <w:p w14:paraId="7ABC3FA5"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nil"/>
              <w:bottom w:val="nil"/>
              <w:right w:val="nil"/>
            </w:tcBorders>
            <w:vAlign w:val="center"/>
          </w:tcPr>
          <w:p w14:paraId="22E284CB" w14:textId="77777777" w:rsidR="00E9015E" w:rsidRPr="00DC5F32" w:rsidRDefault="00E9015E" w:rsidP="00C14E25">
            <w:pPr>
              <w:jc w:val="center"/>
              <w:rPr>
                <w:rFonts w:ascii="Times New Roman" w:hAnsi="Times New Roman" w:cs="Times New Roman"/>
                <w:color w:val="000000" w:themeColor="text1"/>
                <w:sz w:val="16"/>
                <w:szCs w:val="16"/>
              </w:rPr>
            </w:pPr>
          </w:p>
        </w:tc>
        <w:tc>
          <w:tcPr>
            <w:tcW w:w="268" w:type="pct"/>
            <w:tcBorders>
              <w:top w:val="nil"/>
              <w:left w:val="nil"/>
              <w:bottom w:val="nil"/>
              <w:right w:val="nil"/>
            </w:tcBorders>
            <w:vAlign w:val="center"/>
          </w:tcPr>
          <w:p w14:paraId="670D304B"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nil"/>
              <w:bottom w:val="nil"/>
              <w:right w:val="nil"/>
            </w:tcBorders>
            <w:vAlign w:val="center"/>
          </w:tcPr>
          <w:p w14:paraId="00029134" w14:textId="77777777" w:rsidR="00E9015E" w:rsidRPr="00DC5F32" w:rsidRDefault="00E9015E" w:rsidP="00C14E25">
            <w:pPr>
              <w:jc w:val="center"/>
              <w:rPr>
                <w:rFonts w:ascii="Times New Roman" w:hAnsi="Times New Roman" w:cs="Times New Roman"/>
                <w:color w:val="000000" w:themeColor="text1"/>
                <w:sz w:val="16"/>
                <w:szCs w:val="16"/>
              </w:rPr>
            </w:pPr>
          </w:p>
        </w:tc>
        <w:tc>
          <w:tcPr>
            <w:tcW w:w="268" w:type="pct"/>
            <w:gridSpan w:val="2"/>
            <w:tcBorders>
              <w:top w:val="nil"/>
              <w:left w:val="nil"/>
              <w:bottom w:val="nil"/>
              <w:right w:val="nil"/>
            </w:tcBorders>
            <w:vAlign w:val="center"/>
          </w:tcPr>
          <w:p w14:paraId="7D893734" w14:textId="77777777" w:rsidR="00E9015E" w:rsidRPr="00DC5F32" w:rsidRDefault="00E9015E" w:rsidP="00C14E25">
            <w:pPr>
              <w:jc w:val="center"/>
              <w:rPr>
                <w:rFonts w:ascii="Times New Roman" w:hAnsi="Times New Roman" w:cs="Times New Roman"/>
                <w:color w:val="000000" w:themeColor="text1"/>
                <w:sz w:val="16"/>
                <w:szCs w:val="16"/>
              </w:rPr>
            </w:pPr>
          </w:p>
        </w:tc>
      </w:tr>
      <w:tr w:rsidR="00E9015E" w:rsidRPr="000673A6" w14:paraId="7430FB47" w14:textId="77777777" w:rsidTr="00C14E25">
        <w:trPr>
          <w:trHeight w:val="20"/>
        </w:trPr>
        <w:tc>
          <w:tcPr>
            <w:tcW w:w="1503" w:type="pct"/>
            <w:gridSpan w:val="2"/>
            <w:tcBorders>
              <w:top w:val="nil"/>
              <w:left w:val="nil"/>
              <w:bottom w:val="nil"/>
              <w:right w:val="nil"/>
            </w:tcBorders>
          </w:tcPr>
          <w:p w14:paraId="6C236856" w14:textId="77777777" w:rsidR="00E9015E" w:rsidRPr="00DC5F32" w:rsidRDefault="00E9015E" w:rsidP="00C14E25">
            <w:pPr>
              <w:ind w:firstLineChars="100" w:firstLine="160"/>
              <w:rPr>
                <w:rFonts w:ascii="Times New Roman" w:hAnsi="Times New Roman" w:cs="Times New Roman"/>
                <w:color w:val="000000" w:themeColor="text1"/>
                <w:sz w:val="16"/>
                <w:szCs w:val="16"/>
              </w:rPr>
            </w:pPr>
            <w:r w:rsidRPr="00DC5F32">
              <w:rPr>
                <w:rFonts w:ascii="Times New Roman" w:hAnsi="Times New Roman" w:cs="Times New Roman"/>
                <w:b/>
                <w:sz w:val="16"/>
                <w:szCs w:val="16"/>
              </w:rPr>
              <w:t>Industry Uncertainty</w:t>
            </w:r>
          </w:p>
        </w:tc>
        <w:tc>
          <w:tcPr>
            <w:tcW w:w="420" w:type="pct"/>
            <w:tcBorders>
              <w:top w:val="nil"/>
              <w:left w:val="dotted" w:sz="4" w:space="0" w:color="auto"/>
              <w:bottom w:val="nil"/>
              <w:right w:val="nil"/>
            </w:tcBorders>
          </w:tcPr>
          <w:p w14:paraId="2566AC6C" w14:textId="77777777" w:rsidR="00E9015E" w:rsidRPr="00DC5F32" w:rsidRDefault="00E9015E" w:rsidP="00C14E25">
            <w:pPr>
              <w:jc w:val="center"/>
              <w:rPr>
                <w:rFonts w:ascii="Times New Roman" w:hAnsi="Times New Roman" w:cs="Times New Roman"/>
                <w:color w:val="000000" w:themeColor="text1"/>
                <w:sz w:val="16"/>
                <w:szCs w:val="16"/>
              </w:rPr>
            </w:pPr>
          </w:p>
        </w:tc>
        <w:tc>
          <w:tcPr>
            <w:tcW w:w="281" w:type="pct"/>
            <w:tcBorders>
              <w:top w:val="nil"/>
              <w:left w:val="nil"/>
              <w:bottom w:val="nil"/>
              <w:right w:val="nil"/>
            </w:tcBorders>
          </w:tcPr>
          <w:p w14:paraId="6EF16467"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nil"/>
              <w:bottom w:val="nil"/>
              <w:right w:val="nil"/>
            </w:tcBorders>
          </w:tcPr>
          <w:p w14:paraId="3DA5B3F6" w14:textId="77777777" w:rsidR="00E9015E" w:rsidRPr="00DC5F32" w:rsidRDefault="00E9015E" w:rsidP="00C14E25">
            <w:pPr>
              <w:jc w:val="center"/>
              <w:rPr>
                <w:rFonts w:ascii="Times New Roman" w:hAnsi="Times New Roman" w:cs="Times New Roman"/>
                <w:color w:val="000000" w:themeColor="text1"/>
                <w:sz w:val="16"/>
                <w:szCs w:val="16"/>
              </w:rPr>
            </w:pPr>
          </w:p>
        </w:tc>
        <w:tc>
          <w:tcPr>
            <w:tcW w:w="312" w:type="pct"/>
            <w:tcBorders>
              <w:top w:val="nil"/>
              <w:left w:val="nil"/>
              <w:bottom w:val="nil"/>
              <w:right w:val="dotted" w:sz="4" w:space="0" w:color="auto"/>
            </w:tcBorders>
          </w:tcPr>
          <w:p w14:paraId="18F5B79D"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dotted" w:sz="4" w:space="0" w:color="auto"/>
              <w:bottom w:val="nil"/>
              <w:right w:val="nil"/>
            </w:tcBorders>
            <w:vAlign w:val="center"/>
          </w:tcPr>
          <w:p w14:paraId="2591D44F" w14:textId="77777777" w:rsidR="00E9015E" w:rsidRPr="00DC5F32" w:rsidRDefault="00E9015E" w:rsidP="00C14E25">
            <w:pPr>
              <w:jc w:val="center"/>
              <w:rPr>
                <w:rFonts w:ascii="Times New Roman" w:hAnsi="Times New Roman" w:cs="Times New Roman"/>
                <w:color w:val="000000" w:themeColor="text1"/>
                <w:sz w:val="16"/>
                <w:szCs w:val="16"/>
              </w:rPr>
            </w:pPr>
          </w:p>
        </w:tc>
        <w:tc>
          <w:tcPr>
            <w:tcW w:w="268" w:type="pct"/>
            <w:tcBorders>
              <w:top w:val="nil"/>
              <w:left w:val="nil"/>
              <w:bottom w:val="nil"/>
              <w:right w:val="nil"/>
            </w:tcBorders>
            <w:vAlign w:val="center"/>
          </w:tcPr>
          <w:p w14:paraId="668A9F1B"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nil"/>
              <w:bottom w:val="nil"/>
              <w:right w:val="nil"/>
            </w:tcBorders>
            <w:vAlign w:val="center"/>
          </w:tcPr>
          <w:p w14:paraId="6F06C8CA" w14:textId="77777777" w:rsidR="00E9015E" w:rsidRPr="00DC5F32" w:rsidRDefault="00E9015E" w:rsidP="00C14E25">
            <w:pPr>
              <w:jc w:val="center"/>
              <w:rPr>
                <w:rFonts w:ascii="Times New Roman" w:hAnsi="Times New Roman" w:cs="Times New Roman"/>
                <w:color w:val="000000" w:themeColor="text1"/>
                <w:sz w:val="16"/>
                <w:szCs w:val="16"/>
              </w:rPr>
            </w:pPr>
          </w:p>
        </w:tc>
        <w:tc>
          <w:tcPr>
            <w:tcW w:w="268" w:type="pct"/>
            <w:tcBorders>
              <w:top w:val="nil"/>
              <w:left w:val="nil"/>
              <w:bottom w:val="nil"/>
              <w:right w:val="nil"/>
            </w:tcBorders>
            <w:vAlign w:val="center"/>
          </w:tcPr>
          <w:p w14:paraId="7251E27E"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nil"/>
              <w:bottom w:val="nil"/>
              <w:right w:val="nil"/>
            </w:tcBorders>
            <w:vAlign w:val="center"/>
          </w:tcPr>
          <w:p w14:paraId="4A6AF861" w14:textId="77777777" w:rsidR="00E9015E" w:rsidRPr="00DC5F32" w:rsidRDefault="00E9015E" w:rsidP="00C14E25">
            <w:pPr>
              <w:jc w:val="center"/>
              <w:rPr>
                <w:rFonts w:ascii="Times New Roman" w:hAnsi="Times New Roman" w:cs="Times New Roman"/>
                <w:color w:val="000000" w:themeColor="text1"/>
                <w:sz w:val="16"/>
                <w:szCs w:val="16"/>
              </w:rPr>
            </w:pPr>
          </w:p>
        </w:tc>
        <w:tc>
          <w:tcPr>
            <w:tcW w:w="268" w:type="pct"/>
            <w:gridSpan w:val="2"/>
            <w:tcBorders>
              <w:top w:val="nil"/>
              <w:left w:val="nil"/>
              <w:bottom w:val="nil"/>
              <w:right w:val="nil"/>
            </w:tcBorders>
            <w:vAlign w:val="center"/>
          </w:tcPr>
          <w:p w14:paraId="04C77DC7" w14:textId="77777777" w:rsidR="00E9015E" w:rsidRPr="00DC5F32" w:rsidRDefault="00E9015E" w:rsidP="00C14E25">
            <w:pPr>
              <w:jc w:val="center"/>
              <w:rPr>
                <w:rFonts w:ascii="Times New Roman" w:hAnsi="Times New Roman" w:cs="Times New Roman"/>
                <w:color w:val="000000" w:themeColor="text1"/>
                <w:sz w:val="16"/>
                <w:szCs w:val="16"/>
              </w:rPr>
            </w:pPr>
          </w:p>
        </w:tc>
      </w:tr>
      <w:tr w:rsidR="00E9015E" w:rsidRPr="000673A6" w14:paraId="20784E39" w14:textId="77777777" w:rsidTr="00C14E25">
        <w:trPr>
          <w:trHeight w:val="20"/>
        </w:trPr>
        <w:tc>
          <w:tcPr>
            <w:tcW w:w="120" w:type="pct"/>
            <w:tcBorders>
              <w:top w:val="nil"/>
              <w:left w:val="nil"/>
              <w:bottom w:val="nil"/>
              <w:right w:val="nil"/>
            </w:tcBorders>
          </w:tcPr>
          <w:p w14:paraId="1624D7A5"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1E718A5E" w14:textId="77777777" w:rsidR="00E9015E" w:rsidRPr="00DC5F32" w:rsidRDefault="00E9015E" w:rsidP="00C14E25">
            <w:pPr>
              <w:jc w:val="left"/>
              <w:rPr>
                <w:rFonts w:ascii="Times New Roman" w:hAnsi="Times New Roman" w:cs="Times New Roman"/>
                <w:sz w:val="16"/>
                <w:szCs w:val="16"/>
              </w:rPr>
            </w:pPr>
            <w:r w:rsidRPr="00DC5F32">
              <w:rPr>
                <w:rFonts w:ascii="Times New Roman" w:hAnsi="Times New Roman" w:cs="Times New Roman"/>
                <w:sz w:val="16"/>
                <w:szCs w:val="16"/>
              </w:rPr>
              <w:t>Demand uncertainty</w:t>
            </w:r>
          </w:p>
        </w:tc>
        <w:tc>
          <w:tcPr>
            <w:tcW w:w="420" w:type="pct"/>
            <w:tcBorders>
              <w:top w:val="nil"/>
              <w:left w:val="dotted" w:sz="4" w:space="0" w:color="auto"/>
              <w:bottom w:val="nil"/>
              <w:right w:val="nil"/>
            </w:tcBorders>
            <w:vAlign w:val="center"/>
          </w:tcPr>
          <w:p w14:paraId="04D5FF2F"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.033</w:t>
            </w:r>
          </w:p>
        </w:tc>
        <w:tc>
          <w:tcPr>
            <w:tcW w:w="281" w:type="pct"/>
            <w:tcBorders>
              <w:top w:val="nil"/>
              <w:left w:val="nil"/>
              <w:bottom w:val="nil"/>
              <w:right w:val="nil"/>
            </w:tcBorders>
            <w:vAlign w:val="center"/>
          </w:tcPr>
          <w:p w14:paraId="20AB690C"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.090</w:t>
            </w:r>
          </w:p>
        </w:tc>
        <w:tc>
          <w:tcPr>
            <w:tcW w:w="420" w:type="pct"/>
            <w:tcBorders>
              <w:top w:val="nil"/>
              <w:left w:val="nil"/>
              <w:bottom w:val="nil"/>
              <w:right w:val="nil"/>
            </w:tcBorders>
            <w:vAlign w:val="center"/>
          </w:tcPr>
          <w:p w14:paraId="6AE9A2F6"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.082</w:t>
            </w:r>
          </w:p>
        </w:tc>
        <w:tc>
          <w:tcPr>
            <w:tcW w:w="312" w:type="pct"/>
            <w:tcBorders>
              <w:top w:val="nil"/>
              <w:left w:val="nil"/>
              <w:bottom w:val="nil"/>
              <w:right w:val="dotted" w:sz="4" w:space="0" w:color="auto"/>
            </w:tcBorders>
            <w:vAlign w:val="center"/>
          </w:tcPr>
          <w:p w14:paraId="201D9AA6"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.090</w:t>
            </w:r>
          </w:p>
        </w:tc>
        <w:tc>
          <w:tcPr>
            <w:tcW w:w="420" w:type="pct"/>
            <w:tcBorders>
              <w:top w:val="nil"/>
              <w:left w:val="dotted" w:sz="4" w:space="0" w:color="auto"/>
              <w:bottom w:val="nil"/>
              <w:right w:val="nil"/>
            </w:tcBorders>
            <w:vAlign w:val="center"/>
          </w:tcPr>
          <w:p w14:paraId="2AC29FB5"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.069</w:t>
            </w:r>
          </w:p>
        </w:tc>
        <w:tc>
          <w:tcPr>
            <w:tcW w:w="268" w:type="pct"/>
            <w:tcBorders>
              <w:top w:val="nil"/>
              <w:left w:val="nil"/>
              <w:bottom w:val="nil"/>
              <w:right w:val="nil"/>
            </w:tcBorders>
            <w:vAlign w:val="center"/>
          </w:tcPr>
          <w:p w14:paraId="0775AE96"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.107</w:t>
            </w:r>
          </w:p>
        </w:tc>
        <w:tc>
          <w:tcPr>
            <w:tcW w:w="420" w:type="pct"/>
            <w:tcBorders>
              <w:top w:val="nil"/>
              <w:left w:val="nil"/>
              <w:bottom w:val="nil"/>
              <w:right w:val="nil"/>
            </w:tcBorders>
            <w:vAlign w:val="center"/>
          </w:tcPr>
          <w:p w14:paraId="48B75D13"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.080</w:t>
            </w:r>
          </w:p>
        </w:tc>
        <w:tc>
          <w:tcPr>
            <w:tcW w:w="268" w:type="pct"/>
            <w:tcBorders>
              <w:top w:val="nil"/>
              <w:left w:val="nil"/>
              <w:bottom w:val="nil"/>
              <w:right w:val="nil"/>
            </w:tcBorders>
            <w:vAlign w:val="center"/>
          </w:tcPr>
          <w:p w14:paraId="3D7A7EAA"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.094</w:t>
            </w:r>
          </w:p>
        </w:tc>
        <w:tc>
          <w:tcPr>
            <w:tcW w:w="420" w:type="pct"/>
            <w:tcBorders>
              <w:top w:val="nil"/>
              <w:left w:val="nil"/>
              <w:bottom w:val="nil"/>
              <w:right w:val="nil"/>
            </w:tcBorders>
            <w:vAlign w:val="center"/>
          </w:tcPr>
          <w:p w14:paraId="1F5A14A7"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.068</w:t>
            </w:r>
          </w:p>
        </w:tc>
        <w:tc>
          <w:tcPr>
            <w:tcW w:w="268" w:type="pct"/>
            <w:gridSpan w:val="2"/>
            <w:tcBorders>
              <w:top w:val="nil"/>
              <w:left w:val="nil"/>
              <w:bottom w:val="nil"/>
              <w:right w:val="nil"/>
            </w:tcBorders>
            <w:vAlign w:val="center"/>
          </w:tcPr>
          <w:p w14:paraId="5DD71CCA"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.096</w:t>
            </w:r>
          </w:p>
        </w:tc>
      </w:tr>
      <w:tr w:rsidR="00E9015E" w:rsidRPr="000673A6" w14:paraId="12719F4D" w14:textId="77777777" w:rsidTr="00C14E25">
        <w:trPr>
          <w:trHeight w:val="20"/>
        </w:trPr>
        <w:tc>
          <w:tcPr>
            <w:tcW w:w="120" w:type="pct"/>
            <w:tcBorders>
              <w:top w:val="nil"/>
              <w:left w:val="nil"/>
              <w:bottom w:val="nil"/>
              <w:right w:val="nil"/>
            </w:tcBorders>
          </w:tcPr>
          <w:p w14:paraId="425D9635"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1B583D42" w14:textId="77777777" w:rsidR="00E9015E" w:rsidRPr="00DC5F32" w:rsidRDefault="00E9015E" w:rsidP="00C14E25">
            <w:pPr>
              <w:jc w:val="left"/>
              <w:rPr>
                <w:rFonts w:ascii="Times New Roman" w:hAnsi="Times New Roman" w:cs="Times New Roman"/>
                <w:sz w:val="16"/>
                <w:szCs w:val="16"/>
              </w:rPr>
            </w:pPr>
            <w:r w:rsidRPr="00DC5F32">
              <w:rPr>
                <w:rFonts w:ascii="Times New Roman" w:hAnsi="Times New Roman" w:cs="Times New Roman"/>
                <w:sz w:val="16"/>
                <w:szCs w:val="16"/>
              </w:rPr>
              <w:t>Technology uncertainty</w:t>
            </w:r>
          </w:p>
        </w:tc>
        <w:tc>
          <w:tcPr>
            <w:tcW w:w="420" w:type="pct"/>
            <w:tcBorders>
              <w:top w:val="nil"/>
              <w:left w:val="dotted" w:sz="4" w:space="0" w:color="auto"/>
              <w:bottom w:val="nil"/>
              <w:right w:val="nil"/>
            </w:tcBorders>
            <w:vAlign w:val="center"/>
          </w:tcPr>
          <w:p w14:paraId="2332C3D3"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.176</w:t>
            </w:r>
            <w:r w:rsidRPr="00DC5F32">
              <w:rPr>
                <w:rFonts w:ascii="Times New Roman" w:eastAsia="Gulim" w:hAnsi="Times New Roman" w:cs="Times New Roman"/>
                <w:kern w:val="0"/>
                <w:sz w:val="16"/>
                <w:szCs w:val="16"/>
                <w:vertAlign w:val="superscript"/>
              </w:rPr>
              <w:t>+</w:t>
            </w:r>
          </w:p>
        </w:tc>
        <w:tc>
          <w:tcPr>
            <w:tcW w:w="281" w:type="pct"/>
            <w:tcBorders>
              <w:top w:val="nil"/>
              <w:left w:val="nil"/>
              <w:bottom w:val="nil"/>
              <w:right w:val="nil"/>
            </w:tcBorders>
            <w:vAlign w:val="center"/>
          </w:tcPr>
          <w:p w14:paraId="6D8F4DFE"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.095</w:t>
            </w:r>
          </w:p>
        </w:tc>
        <w:tc>
          <w:tcPr>
            <w:tcW w:w="420" w:type="pct"/>
            <w:tcBorders>
              <w:top w:val="nil"/>
              <w:left w:val="nil"/>
              <w:bottom w:val="nil"/>
              <w:right w:val="nil"/>
            </w:tcBorders>
            <w:vAlign w:val="center"/>
          </w:tcPr>
          <w:p w14:paraId="2DAFE909"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.156</w:t>
            </w:r>
            <w:r w:rsidRPr="00DC5F32">
              <w:rPr>
                <w:rFonts w:ascii="Times New Roman" w:eastAsia="Gulim" w:hAnsi="Times New Roman" w:cs="Times New Roman"/>
                <w:kern w:val="0"/>
                <w:sz w:val="16"/>
                <w:szCs w:val="16"/>
                <w:vertAlign w:val="superscript"/>
              </w:rPr>
              <w:t>+</w:t>
            </w:r>
          </w:p>
        </w:tc>
        <w:tc>
          <w:tcPr>
            <w:tcW w:w="312" w:type="pct"/>
            <w:tcBorders>
              <w:top w:val="nil"/>
              <w:left w:val="nil"/>
              <w:bottom w:val="nil"/>
              <w:right w:val="dotted" w:sz="4" w:space="0" w:color="auto"/>
            </w:tcBorders>
            <w:vAlign w:val="center"/>
          </w:tcPr>
          <w:p w14:paraId="508BB724"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.093</w:t>
            </w:r>
          </w:p>
        </w:tc>
        <w:tc>
          <w:tcPr>
            <w:tcW w:w="420" w:type="pct"/>
            <w:tcBorders>
              <w:top w:val="nil"/>
              <w:left w:val="dotted" w:sz="4" w:space="0" w:color="auto"/>
              <w:bottom w:val="nil"/>
              <w:right w:val="nil"/>
            </w:tcBorders>
            <w:vAlign w:val="center"/>
          </w:tcPr>
          <w:p w14:paraId="1AFDB4C0"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-.142</w:t>
            </w:r>
          </w:p>
        </w:tc>
        <w:tc>
          <w:tcPr>
            <w:tcW w:w="268" w:type="pct"/>
            <w:tcBorders>
              <w:top w:val="nil"/>
              <w:left w:val="nil"/>
              <w:bottom w:val="nil"/>
              <w:right w:val="nil"/>
            </w:tcBorders>
            <w:vAlign w:val="center"/>
          </w:tcPr>
          <w:p w14:paraId="120BE6F8"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.113</w:t>
            </w:r>
          </w:p>
        </w:tc>
        <w:tc>
          <w:tcPr>
            <w:tcW w:w="420" w:type="pct"/>
            <w:tcBorders>
              <w:top w:val="nil"/>
              <w:left w:val="nil"/>
              <w:bottom w:val="nil"/>
              <w:right w:val="nil"/>
            </w:tcBorders>
            <w:vAlign w:val="center"/>
          </w:tcPr>
          <w:p w14:paraId="6DA87AED"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-.208</w:t>
            </w:r>
            <w:r w:rsidRPr="00DC5F32">
              <w:rPr>
                <w:rFonts w:ascii="Times New Roman" w:eastAsia="Gulim" w:hAnsi="Times New Roman" w:cs="Times New Roman"/>
                <w:color w:val="000000" w:themeColor="text1"/>
                <w:kern w:val="0"/>
                <w:sz w:val="16"/>
                <w:szCs w:val="16"/>
                <w:vertAlign w:val="superscript"/>
              </w:rPr>
              <w:t>*</w:t>
            </w:r>
          </w:p>
        </w:tc>
        <w:tc>
          <w:tcPr>
            <w:tcW w:w="268" w:type="pct"/>
            <w:tcBorders>
              <w:top w:val="nil"/>
              <w:left w:val="nil"/>
              <w:bottom w:val="nil"/>
              <w:right w:val="nil"/>
            </w:tcBorders>
            <w:vAlign w:val="center"/>
          </w:tcPr>
          <w:p w14:paraId="7380D732"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.099</w:t>
            </w:r>
          </w:p>
        </w:tc>
        <w:tc>
          <w:tcPr>
            <w:tcW w:w="420" w:type="pct"/>
            <w:tcBorders>
              <w:top w:val="nil"/>
              <w:left w:val="nil"/>
              <w:bottom w:val="nil"/>
              <w:right w:val="nil"/>
            </w:tcBorders>
            <w:vAlign w:val="center"/>
          </w:tcPr>
          <w:p w14:paraId="30CC982B"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-.206</w:t>
            </w:r>
            <w:r w:rsidRPr="00DC5F32">
              <w:rPr>
                <w:rFonts w:ascii="Times New Roman" w:eastAsia="Gulim" w:hAnsi="Times New Roman" w:cs="Times New Roman"/>
                <w:color w:val="000000" w:themeColor="text1"/>
                <w:kern w:val="0"/>
                <w:sz w:val="16"/>
                <w:szCs w:val="16"/>
                <w:vertAlign w:val="superscript"/>
              </w:rPr>
              <w:t>*</w:t>
            </w:r>
          </w:p>
        </w:tc>
        <w:tc>
          <w:tcPr>
            <w:tcW w:w="268" w:type="pct"/>
            <w:gridSpan w:val="2"/>
            <w:tcBorders>
              <w:top w:val="nil"/>
              <w:left w:val="nil"/>
              <w:bottom w:val="nil"/>
              <w:right w:val="nil"/>
            </w:tcBorders>
            <w:vAlign w:val="center"/>
          </w:tcPr>
          <w:p w14:paraId="33F67EF7"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.100</w:t>
            </w:r>
          </w:p>
        </w:tc>
      </w:tr>
      <w:tr w:rsidR="00E9015E" w:rsidRPr="000673A6" w14:paraId="7F4103C6" w14:textId="77777777" w:rsidTr="00C14E25">
        <w:trPr>
          <w:trHeight w:val="20"/>
        </w:trPr>
        <w:tc>
          <w:tcPr>
            <w:tcW w:w="120" w:type="pct"/>
            <w:tcBorders>
              <w:top w:val="nil"/>
              <w:left w:val="nil"/>
              <w:bottom w:val="nil"/>
              <w:right w:val="nil"/>
            </w:tcBorders>
          </w:tcPr>
          <w:p w14:paraId="2BF91116" w14:textId="77777777" w:rsidR="00E9015E" w:rsidRPr="00E75E6C" w:rsidRDefault="00E9015E" w:rsidP="00C14E25">
            <w:pPr>
              <w:widowControl/>
              <w:autoSpaceDE/>
              <w:autoSpaceDN/>
              <w:jc w:val="center"/>
              <w:rPr>
                <w:rFonts w:ascii="Times New Roman" w:eastAsia="Gulim" w:hAnsi="Times New Roman" w:cs="Times New Roman"/>
                <w:bCs/>
                <w:color w:val="000000" w:themeColor="text1"/>
                <w:kern w:val="0"/>
                <w:sz w:val="14"/>
                <w:szCs w:val="14"/>
              </w:rPr>
            </w:pPr>
          </w:p>
        </w:tc>
        <w:tc>
          <w:tcPr>
            <w:tcW w:w="1383" w:type="pct"/>
            <w:tcBorders>
              <w:top w:val="nil"/>
              <w:left w:val="nil"/>
              <w:bottom w:val="nil"/>
              <w:right w:val="nil"/>
            </w:tcBorders>
          </w:tcPr>
          <w:p w14:paraId="0D1130BE"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420" w:type="pct"/>
            <w:tcBorders>
              <w:top w:val="nil"/>
              <w:left w:val="dotted" w:sz="4" w:space="0" w:color="auto"/>
              <w:bottom w:val="nil"/>
              <w:right w:val="nil"/>
            </w:tcBorders>
          </w:tcPr>
          <w:p w14:paraId="6787A1E4"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281" w:type="pct"/>
            <w:tcBorders>
              <w:top w:val="nil"/>
              <w:left w:val="nil"/>
              <w:bottom w:val="nil"/>
              <w:right w:val="nil"/>
            </w:tcBorders>
          </w:tcPr>
          <w:p w14:paraId="595AA2DC"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420" w:type="pct"/>
            <w:tcBorders>
              <w:top w:val="nil"/>
              <w:left w:val="nil"/>
              <w:bottom w:val="nil"/>
              <w:right w:val="nil"/>
            </w:tcBorders>
          </w:tcPr>
          <w:p w14:paraId="0526B581"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312" w:type="pct"/>
            <w:tcBorders>
              <w:top w:val="nil"/>
              <w:left w:val="nil"/>
              <w:bottom w:val="nil"/>
              <w:right w:val="dotted" w:sz="4" w:space="0" w:color="auto"/>
            </w:tcBorders>
          </w:tcPr>
          <w:p w14:paraId="390DD8B3"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420" w:type="pct"/>
            <w:tcBorders>
              <w:top w:val="nil"/>
              <w:left w:val="dotted" w:sz="4" w:space="0" w:color="auto"/>
              <w:bottom w:val="nil"/>
              <w:right w:val="nil"/>
            </w:tcBorders>
            <w:vAlign w:val="center"/>
          </w:tcPr>
          <w:p w14:paraId="633F25C4"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268" w:type="pct"/>
            <w:tcBorders>
              <w:top w:val="nil"/>
              <w:left w:val="nil"/>
              <w:bottom w:val="nil"/>
              <w:right w:val="nil"/>
            </w:tcBorders>
            <w:vAlign w:val="center"/>
          </w:tcPr>
          <w:p w14:paraId="0898A8C6"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nil"/>
              <w:bottom w:val="nil"/>
              <w:right w:val="nil"/>
            </w:tcBorders>
            <w:vAlign w:val="center"/>
          </w:tcPr>
          <w:p w14:paraId="638F5BDD"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268" w:type="pct"/>
            <w:tcBorders>
              <w:top w:val="nil"/>
              <w:left w:val="nil"/>
              <w:bottom w:val="nil"/>
              <w:right w:val="nil"/>
            </w:tcBorders>
            <w:vAlign w:val="center"/>
          </w:tcPr>
          <w:p w14:paraId="0DC4265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nil"/>
              <w:bottom w:val="nil"/>
              <w:right w:val="nil"/>
            </w:tcBorders>
            <w:vAlign w:val="center"/>
          </w:tcPr>
          <w:p w14:paraId="3900D25E"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268" w:type="pct"/>
            <w:gridSpan w:val="2"/>
            <w:tcBorders>
              <w:top w:val="nil"/>
              <w:left w:val="nil"/>
              <w:bottom w:val="nil"/>
              <w:right w:val="nil"/>
            </w:tcBorders>
            <w:vAlign w:val="center"/>
          </w:tcPr>
          <w:p w14:paraId="6F934167"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r>
      <w:tr w:rsidR="00E9015E" w:rsidRPr="000673A6" w14:paraId="0F3E0B32" w14:textId="77777777" w:rsidTr="00C14E25">
        <w:trPr>
          <w:trHeight w:val="20"/>
        </w:trPr>
        <w:tc>
          <w:tcPr>
            <w:tcW w:w="1503" w:type="pct"/>
            <w:gridSpan w:val="2"/>
            <w:tcBorders>
              <w:top w:val="nil"/>
              <w:left w:val="nil"/>
              <w:bottom w:val="nil"/>
              <w:right w:val="nil"/>
            </w:tcBorders>
          </w:tcPr>
          <w:p w14:paraId="7C3AD0C4" w14:textId="77777777" w:rsidR="00E9015E" w:rsidRPr="00DC5F32" w:rsidRDefault="00E9015E" w:rsidP="00C14E25">
            <w:pPr>
              <w:jc w:val="left"/>
              <w:rPr>
                <w:rFonts w:ascii="Times New Roman" w:hAnsi="Times New Roman" w:cs="Times New Roman"/>
                <w:sz w:val="16"/>
                <w:szCs w:val="16"/>
              </w:rPr>
            </w:pPr>
            <w:r w:rsidRPr="00DC5F32">
              <w:rPr>
                <w:rFonts w:ascii="Times New Roman" w:hAnsi="Times New Roman" w:cs="Times New Roman"/>
                <w:b/>
                <w:sz w:val="16"/>
                <w:szCs w:val="16"/>
              </w:rPr>
              <w:t>Firm-level Control</w:t>
            </w:r>
          </w:p>
        </w:tc>
        <w:tc>
          <w:tcPr>
            <w:tcW w:w="420" w:type="pct"/>
            <w:tcBorders>
              <w:top w:val="nil"/>
              <w:left w:val="dotted" w:sz="4" w:space="0" w:color="auto"/>
              <w:bottom w:val="nil"/>
              <w:right w:val="nil"/>
            </w:tcBorders>
          </w:tcPr>
          <w:p w14:paraId="7767E98F"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281" w:type="pct"/>
            <w:tcBorders>
              <w:top w:val="nil"/>
              <w:left w:val="nil"/>
              <w:bottom w:val="nil"/>
              <w:right w:val="nil"/>
            </w:tcBorders>
          </w:tcPr>
          <w:p w14:paraId="6878049D"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420" w:type="pct"/>
            <w:tcBorders>
              <w:top w:val="nil"/>
              <w:left w:val="nil"/>
              <w:bottom w:val="nil"/>
              <w:right w:val="nil"/>
            </w:tcBorders>
          </w:tcPr>
          <w:p w14:paraId="5F55EA01"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312" w:type="pct"/>
            <w:tcBorders>
              <w:top w:val="nil"/>
              <w:left w:val="nil"/>
              <w:bottom w:val="nil"/>
              <w:right w:val="dotted" w:sz="4" w:space="0" w:color="auto"/>
            </w:tcBorders>
          </w:tcPr>
          <w:p w14:paraId="7DFF0293"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420" w:type="pct"/>
            <w:tcBorders>
              <w:top w:val="nil"/>
              <w:left w:val="dotted" w:sz="4" w:space="0" w:color="auto"/>
              <w:bottom w:val="nil"/>
              <w:right w:val="nil"/>
            </w:tcBorders>
            <w:vAlign w:val="center"/>
          </w:tcPr>
          <w:p w14:paraId="3B12B5EB"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268" w:type="pct"/>
            <w:tcBorders>
              <w:top w:val="nil"/>
              <w:left w:val="nil"/>
              <w:bottom w:val="nil"/>
              <w:right w:val="nil"/>
            </w:tcBorders>
            <w:vAlign w:val="center"/>
          </w:tcPr>
          <w:p w14:paraId="57D9BD3B"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nil"/>
              <w:bottom w:val="nil"/>
              <w:right w:val="nil"/>
            </w:tcBorders>
            <w:vAlign w:val="center"/>
          </w:tcPr>
          <w:p w14:paraId="573D5780" w14:textId="77777777" w:rsidR="00E9015E" w:rsidRPr="00DC5F32" w:rsidRDefault="00E9015E" w:rsidP="00C14E25">
            <w:pPr>
              <w:widowControl/>
              <w:autoSpaceDE/>
              <w:autoSpaceDN/>
              <w:jc w:val="center"/>
              <w:rPr>
                <w:rFonts w:ascii="Times New Roman" w:eastAsia="Gulim" w:hAnsi="Times New Roman" w:cs="Times New Roman"/>
                <w:bCs/>
                <w:color w:val="000000" w:themeColor="text1"/>
                <w:kern w:val="0"/>
                <w:sz w:val="16"/>
                <w:szCs w:val="16"/>
              </w:rPr>
            </w:pPr>
          </w:p>
        </w:tc>
        <w:tc>
          <w:tcPr>
            <w:tcW w:w="268" w:type="pct"/>
            <w:tcBorders>
              <w:top w:val="nil"/>
              <w:left w:val="nil"/>
              <w:bottom w:val="nil"/>
              <w:right w:val="nil"/>
            </w:tcBorders>
            <w:vAlign w:val="center"/>
          </w:tcPr>
          <w:p w14:paraId="6752A5E2"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420" w:type="pct"/>
            <w:tcBorders>
              <w:top w:val="nil"/>
              <w:left w:val="nil"/>
              <w:bottom w:val="nil"/>
              <w:right w:val="nil"/>
            </w:tcBorders>
            <w:vAlign w:val="center"/>
          </w:tcPr>
          <w:p w14:paraId="68B2CDE1"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c>
          <w:tcPr>
            <w:tcW w:w="268" w:type="pct"/>
            <w:gridSpan w:val="2"/>
            <w:tcBorders>
              <w:top w:val="nil"/>
              <w:left w:val="nil"/>
              <w:bottom w:val="nil"/>
              <w:right w:val="nil"/>
            </w:tcBorders>
            <w:vAlign w:val="center"/>
          </w:tcPr>
          <w:p w14:paraId="2E911777"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p>
        </w:tc>
      </w:tr>
      <w:tr w:rsidR="00E9015E" w:rsidRPr="000673A6" w14:paraId="1C553107" w14:textId="77777777" w:rsidTr="00C14E25">
        <w:trPr>
          <w:trHeight w:val="20"/>
        </w:trPr>
        <w:tc>
          <w:tcPr>
            <w:tcW w:w="120" w:type="pct"/>
            <w:tcBorders>
              <w:top w:val="nil"/>
              <w:left w:val="nil"/>
              <w:bottom w:val="nil"/>
              <w:right w:val="nil"/>
            </w:tcBorders>
          </w:tcPr>
          <w:p w14:paraId="5A404445"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6E87F35D" w14:textId="77777777" w:rsidR="00E9015E" w:rsidRPr="00DC5F32" w:rsidRDefault="00E9015E" w:rsidP="00C14E25">
            <w:pPr>
              <w:jc w:val="left"/>
              <w:rPr>
                <w:rFonts w:ascii="Times New Roman" w:hAnsi="Times New Roman" w:cs="Times New Roman"/>
                <w:sz w:val="16"/>
                <w:szCs w:val="16"/>
              </w:rPr>
            </w:pPr>
            <w:r w:rsidRPr="00DC5F32">
              <w:rPr>
                <w:rFonts w:ascii="Times New Roman" w:hAnsi="Times New Roman" w:cs="Times New Roman"/>
                <w:sz w:val="16"/>
                <w:szCs w:val="16"/>
              </w:rPr>
              <w:t>Firm size (natural logarithm of annual sales)</w:t>
            </w:r>
          </w:p>
        </w:tc>
        <w:tc>
          <w:tcPr>
            <w:tcW w:w="420" w:type="pct"/>
            <w:tcBorders>
              <w:top w:val="nil"/>
              <w:left w:val="dotted" w:sz="4" w:space="0" w:color="auto"/>
              <w:bottom w:val="nil"/>
              <w:right w:val="nil"/>
            </w:tcBorders>
            <w:vAlign w:val="center"/>
          </w:tcPr>
          <w:p w14:paraId="709030FE"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.118</w:t>
            </w:r>
            <w:r w:rsidRPr="00DC5F32">
              <w:rPr>
                <w:rFonts w:ascii="Times New Roman" w:eastAsia="Gulim" w:hAnsi="Times New Roman" w:cs="Times New Roman"/>
                <w:kern w:val="0"/>
                <w:sz w:val="16"/>
                <w:szCs w:val="16"/>
                <w:vertAlign w:val="superscript"/>
              </w:rPr>
              <w:t>+</w:t>
            </w:r>
          </w:p>
        </w:tc>
        <w:tc>
          <w:tcPr>
            <w:tcW w:w="281" w:type="pct"/>
            <w:tcBorders>
              <w:top w:val="nil"/>
              <w:left w:val="nil"/>
              <w:bottom w:val="nil"/>
              <w:right w:val="nil"/>
            </w:tcBorders>
            <w:vAlign w:val="center"/>
          </w:tcPr>
          <w:p w14:paraId="66B46400"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.071</w:t>
            </w:r>
          </w:p>
        </w:tc>
        <w:tc>
          <w:tcPr>
            <w:tcW w:w="420" w:type="pct"/>
            <w:tcBorders>
              <w:top w:val="nil"/>
              <w:left w:val="nil"/>
              <w:bottom w:val="nil"/>
              <w:right w:val="nil"/>
            </w:tcBorders>
            <w:vAlign w:val="center"/>
          </w:tcPr>
          <w:p w14:paraId="316D4B36"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.099</w:t>
            </w:r>
          </w:p>
        </w:tc>
        <w:tc>
          <w:tcPr>
            <w:tcW w:w="312" w:type="pct"/>
            <w:tcBorders>
              <w:top w:val="nil"/>
              <w:left w:val="nil"/>
              <w:bottom w:val="nil"/>
              <w:right w:val="dotted" w:sz="4" w:space="0" w:color="auto"/>
            </w:tcBorders>
            <w:vAlign w:val="center"/>
          </w:tcPr>
          <w:p w14:paraId="48EB3015"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.070</w:t>
            </w:r>
          </w:p>
        </w:tc>
        <w:tc>
          <w:tcPr>
            <w:tcW w:w="420" w:type="pct"/>
            <w:tcBorders>
              <w:top w:val="nil"/>
              <w:left w:val="dotted" w:sz="4" w:space="0" w:color="auto"/>
              <w:bottom w:val="nil"/>
              <w:right w:val="nil"/>
            </w:tcBorders>
            <w:vAlign w:val="center"/>
          </w:tcPr>
          <w:p w14:paraId="01A06AD4"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.037</w:t>
            </w:r>
          </w:p>
        </w:tc>
        <w:tc>
          <w:tcPr>
            <w:tcW w:w="268" w:type="pct"/>
            <w:tcBorders>
              <w:top w:val="nil"/>
              <w:left w:val="nil"/>
              <w:bottom w:val="nil"/>
              <w:right w:val="nil"/>
            </w:tcBorders>
            <w:vAlign w:val="center"/>
          </w:tcPr>
          <w:p w14:paraId="022EE84A"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.084</w:t>
            </w:r>
          </w:p>
        </w:tc>
        <w:tc>
          <w:tcPr>
            <w:tcW w:w="420" w:type="pct"/>
            <w:tcBorders>
              <w:top w:val="nil"/>
              <w:left w:val="nil"/>
              <w:bottom w:val="nil"/>
              <w:right w:val="nil"/>
            </w:tcBorders>
            <w:vAlign w:val="center"/>
          </w:tcPr>
          <w:p w14:paraId="5C9204D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-.032</w:t>
            </w:r>
          </w:p>
        </w:tc>
        <w:tc>
          <w:tcPr>
            <w:tcW w:w="268" w:type="pct"/>
            <w:tcBorders>
              <w:top w:val="nil"/>
              <w:left w:val="nil"/>
              <w:bottom w:val="nil"/>
              <w:right w:val="nil"/>
            </w:tcBorders>
            <w:vAlign w:val="center"/>
          </w:tcPr>
          <w:p w14:paraId="68D1C7D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.074</w:t>
            </w:r>
          </w:p>
        </w:tc>
        <w:tc>
          <w:tcPr>
            <w:tcW w:w="420" w:type="pct"/>
            <w:tcBorders>
              <w:top w:val="nil"/>
              <w:left w:val="nil"/>
              <w:bottom w:val="nil"/>
              <w:right w:val="nil"/>
            </w:tcBorders>
            <w:vAlign w:val="center"/>
          </w:tcPr>
          <w:p w14:paraId="52ED93F9"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-.030</w:t>
            </w:r>
          </w:p>
        </w:tc>
        <w:tc>
          <w:tcPr>
            <w:tcW w:w="268" w:type="pct"/>
            <w:gridSpan w:val="2"/>
            <w:tcBorders>
              <w:top w:val="nil"/>
              <w:left w:val="nil"/>
              <w:bottom w:val="nil"/>
              <w:right w:val="nil"/>
            </w:tcBorders>
            <w:vAlign w:val="center"/>
          </w:tcPr>
          <w:p w14:paraId="7F5288C0"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.074</w:t>
            </w:r>
          </w:p>
        </w:tc>
      </w:tr>
      <w:tr w:rsidR="00E9015E" w:rsidRPr="000673A6" w14:paraId="24AD897B" w14:textId="77777777" w:rsidTr="00C14E25">
        <w:trPr>
          <w:trHeight w:val="20"/>
        </w:trPr>
        <w:tc>
          <w:tcPr>
            <w:tcW w:w="120" w:type="pct"/>
            <w:tcBorders>
              <w:top w:val="nil"/>
              <w:left w:val="nil"/>
              <w:bottom w:val="nil"/>
              <w:right w:val="nil"/>
            </w:tcBorders>
          </w:tcPr>
          <w:p w14:paraId="0B469603"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2DF5BAF8" w14:textId="77777777" w:rsidR="00E9015E" w:rsidRPr="00DC5F32" w:rsidRDefault="00E9015E" w:rsidP="00C14E25">
            <w:pPr>
              <w:jc w:val="left"/>
              <w:rPr>
                <w:rFonts w:ascii="Times New Roman" w:hAnsi="Times New Roman" w:cs="Times New Roman"/>
                <w:sz w:val="16"/>
                <w:szCs w:val="16"/>
              </w:rPr>
            </w:pPr>
            <w:r w:rsidRPr="00DC5F32">
              <w:rPr>
                <w:rFonts w:ascii="Times New Roman" w:hAnsi="Times New Roman" w:cs="Times New Roman"/>
                <w:color w:val="000000"/>
                <w:kern w:val="0"/>
                <w:sz w:val="16"/>
                <w:szCs w:val="16"/>
              </w:rPr>
              <w:t>Firm age</w:t>
            </w:r>
          </w:p>
        </w:tc>
        <w:tc>
          <w:tcPr>
            <w:tcW w:w="420" w:type="pct"/>
            <w:tcBorders>
              <w:top w:val="nil"/>
              <w:left w:val="dotted" w:sz="4" w:space="0" w:color="auto"/>
              <w:bottom w:val="nil"/>
              <w:right w:val="nil"/>
            </w:tcBorders>
            <w:vAlign w:val="center"/>
          </w:tcPr>
          <w:p w14:paraId="471299AE"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.003</w:t>
            </w:r>
          </w:p>
        </w:tc>
        <w:tc>
          <w:tcPr>
            <w:tcW w:w="281" w:type="pct"/>
            <w:tcBorders>
              <w:top w:val="nil"/>
              <w:left w:val="nil"/>
              <w:bottom w:val="nil"/>
              <w:right w:val="nil"/>
            </w:tcBorders>
            <w:vAlign w:val="center"/>
          </w:tcPr>
          <w:p w14:paraId="2F9E7D08"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.008</w:t>
            </w:r>
          </w:p>
        </w:tc>
        <w:tc>
          <w:tcPr>
            <w:tcW w:w="420" w:type="pct"/>
            <w:tcBorders>
              <w:top w:val="nil"/>
              <w:left w:val="nil"/>
              <w:bottom w:val="nil"/>
              <w:right w:val="nil"/>
            </w:tcBorders>
            <w:vAlign w:val="center"/>
          </w:tcPr>
          <w:p w14:paraId="6E2F670F"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.002</w:t>
            </w:r>
          </w:p>
        </w:tc>
        <w:tc>
          <w:tcPr>
            <w:tcW w:w="312" w:type="pct"/>
            <w:tcBorders>
              <w:top w:val="nil"/>
              <w:left w:val="nil"/>
              <w:bottom w:val="nil"/>
              <w:right w:val="dotted" w:sz="4" w:space="0" w:color="auto"/>
            </w:tcBorders>
            <w:vAlign w:val="center"/>
          </w:tcPr>
          <w:p w14:paraId="2B918B68"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.008</w:t>
            </w:r>
          </w:p>
        </w:tc>
        <w:tc>
          <w:tcPr>
            <w:tcW w:w="420" w:type="pct"/>
            <w:tcBorders>
              <w:top w:val="nil"/>
              <w:left w:val="dotted" w:sz="4" w:space="0" w:color="auto"/>
              <w:bottom w:val="nil"/>
              <w:right w:val="nil"/>
            </w:tcBorders>
            <w:vAlign w:val="center"/>
          </w:tcPr>
          <w:p w14:paraId="099DF06C"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-.004</w:t>
            </w:r>
          </w:p>
        </w:tc>
        <w:tc>
          <w:tcPr>
            <w:tcW w:w="268" w:type="pct"/>
            <w:tcBorders>
              <w:top w:val="nil"/>
              <w:left w:val="nil"/>
              <w:bottom w:val="nil"/>
              <w:right w:val="nil"/>
            </w:tcBorders>
            <w:vAlign w:val="center"/>
          </w:tcPr>
          <w:p w14:paraId="0B1D1855"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.009</w:t>
            </w:r>
          </w:p>
        </w:tc>
        <w:tc>
          <w:tcPr>
            <w:tcW w:w="420" w:type="pct"/>
            <w:tcBorders>
              <w:top w:val="nil"/>
              <w:left w:val="nil"/>
              <w:bottom w:val="nil"/>
              <w:right w:val="nil"/>
            </w:tcBorders>
            <w:vAlign w:val="center"/>
          </w:tcPr>
          <w:p w14:paraId="763B3816"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-.011</w:t>
            </w:r>
          </w:p>
        </w:tc>
        <w:tc>
          <w:tcPr>
            <w:tcW w:w="268" w:type="pct"/>
            <w:tcBorders>
              <w:top w:val="nil"/>
              <w:left w:val="nil"/>
              <w:bottom w:val="nil"/>
              <w:right w:val="nil"/>
            </w:tcBorders>
            <w:vAlign w:val="center"/>
          </w:tcPr>
          <w:p w14:paraId="58E3A192"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.008</w:t>
            </w:r>
          </w:p>
        </w:tc>
        <w:tc>
          <w:tcPr>
            <w:tcW w:w="420" w:type="pct"/>
            <w:tcBorders>
              <w:top w:val="nil"/>
              <w:left w:val="nil"/>
              <w:bottom w:val="nil"/>
              <w:right w:val="nil"/>
            </w:tcBorders>
            <w:vAlign w:val="center"/>
          </w:tcPr>
          <w:p w14:paraId="2FBA485D"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-.011</w:t>
            </w:r>
          </w:p>
        </w:tc>
        <w:tc>
          <w:tcPr>
            <w:tcW w:w="268" w:type="pct"/>
            <w:gridSpan w:val="2"/>
            <w:tcBorders>
              <w:top w:val="nil"/>
              <w:left w:val="nil"/>
              <w:bottom w:val="nil"/>
              <w:right w:val="nil"/>
            </w:tcBorders>
            <w:vAlign w:val="center"/>
          </w:tcPr>
          <w:p w14:paraId="1876E7F6"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.008</w:t>
            </w:r>
          </w:p>
        </w:tc>
      </w:tr>
      <w:tr w:rsidR="00E9015E" w:rsidRPr="000673A6" w14:paraId="6007CA78" w14:textId="77777777" w:rsidTr="00C14E25">
        <w:trPr>
          <w:trHeight w:val="20"/>
        </w:trPr>
        <w:tc>
          <w:tcPr>
            <w:tcW w:w="120" w:type="pct"/>
            <w:tcBorders>
              <w:top w:val="nil"/>
              <w:left w:val="nil"/>
              <w:bottom w:val="nil"/>
              <w:right w:val="nil"/>
            </w:tcBorders>
          </w:tcPr>
          <w:p w14:paraId="3080079B"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3AB08992" w14:textId="77777777" w:rsidR="00E9015E" w:rsidRPr="00DC5F32" w:rsidRDefault="00E9015E" w:rsidP="00C14E25">
            <w:pPr>
              <w:jc w:val="left"/>
              <w:rPr>
                <w:rFonts w:ascii="Times New Roman" w:hAnsi="Times New Roman" w:cs="Times New Roman"/>
                <w:sz w:val="16"/>
                <w:szCs w:val="16"/>
              </w:rPr>
            </w:pPr>
            <w:r w:rsidRPr="00DC5F32">
              <w:rPr>
                <w:rFonts w:ascii="Times New Roman" w:hAnsi="Times New Roman" w:cs="Times New Roman" w:hint="eastAsia"/>
                <w:sz w:val="16"/>
                <w:szCs w:val="16"/>
              </w:rPr>
              <w:t>Supplier</w:t>
            </w:r>
            <w:r w:rsidRPr="00DC5F32">
              <w:rPr>
                <w:rFonts w:ascii="Times New Roman" w:hAnsi="Times New Roman" w:cs="Times New Roman"/>
                <w:sz w:val="16"/>
                <w:szCs w:val="16"/>
              </w:rPr>
              <w:t>’</w:t>
            </w:r>
            <w:r w:rsidRPr="00DC5F32">
              <w:rPr>
                <w:rFonts w:ascii="Times New Roman" w:hAnsi="Times New Roman" w:cs="Times New Roman" w:hint="eastAsia"/>
                <w:sz w:val="16"/>
                <w:szCs w:val="16"/>
              </w:rPr>
              <w:t>s digita</w:t>
            </w:r>
            <w:r>
              <w:rPr>
                <w:rFonts w:ascii="Times New Roman" w:hAnsi="Times New Roman" w:cs="Times New Roman" w:hint="eastAsia"/>
                <w:sz w:val="16"/>
                <w:szCs w:val="16"/>
              </w:rPr>
              <w:t>l</w:t>
            </w:r>
            <w:r>
              <w:rPr>
                <w:rFonts w:ascii="Times New Roman" w:hAnsi="Times New Roman" w:cs="Times New Roman"/>
                <w:sz w:val="16"/>
                <w:szCs w:val="16"/>
              </w:rPr>
              <w:t xml:space="preserve"> technology adoption</w:t>
            </w:r>
            <w:r w:rsidRPr="00DC5F32">
              <w:rPr>
                <w:rFonts w:ascii="Times New Roman" w:hAnsi="Times New Roman" w:cs="Times New Roman"/>
                <w:color w:val="000000"/>
                <w:kern w:val="0"/>
                <w:sz w:val="16"/>
                <w:szCs w:val="16"/>
              </w:rPr>
              <w:t xml:space="preserve"> </w:t>
            </w:r>
          </w:p>
        </w:tc>
        <w:tc>
          <w:tcPr>
            <w:tcW w:w="420" w:type="pct"/>
            <w:tcBorders>
              <w:top w:val="nil"/>
              <w:left w:val="dotted" w:sz="4" w:space="0" w:color="auto"/>
              <w:bottom w:val="nil"/>
              <w:right w:val="nil"/>
            </w:tcBorders>
            <w:vAlign w:val="center"/>
          </w:tcPr>
          <w:p w14:paraId="219A6BB9"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-.745</w:t>
            </w:r>
            <w:r w:rsidRPr="00DC5F32">
              <w:rPr>
                <w:rFonts w:ascii="Times New Roman" w:eastAsia="Gulim" w:hAnsi="Times New Roman" w:cs="Times New Roman"/>
                <w:kern w:val="0"/>
                <w:sz w:val="16"/>
                <w:szCs w:val="16"/>
                <w:vertAlign w:val="superscript"/>
              </w:rPr>
              <w:t>+</w:t>
            </w:r>
          </w:p>
        </w:tc>
        <w:tc>
          <w:tcPr>
            <w:tcW w:w="281" w:type="pct"/>
            <w:tcBorders>
              <w:top w:val="nil"/>
              <w:left w:val="nil"/>
              <w:bottom w:val="nil"/>
              <w:right w:val="nil"/>
            </w:tcBorders>
            <w:vAlign w:val="center"/>
          </w:tcPr>
          <w:p w14:paraId="3C236F33"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.394</w:t>
            </w:r>
          </w:p>
        </w:tc>
        <w:tc>
          <w:tcPr>
            <w:tcW w:w="420" w:type="pct"/>
            <w:tcBorders>
              <w:top w:val="nil"/>
              <w:left w:val="nil"/>
              <w:bottom w:val="nil"/>
              <w:right w:val="nil"/>
            </w:tcBorders>
            <w:vAlign w:val="center"/>
          </w:tcPr>
          <w:p w14:paraId="366DCCF2"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-.137</w:t>
            </w:r>
          </w:p>
        </w:tc>
        <w:tc>
          <w:tcPr>
            <w:tcW w:w="312" w:type="pct"/>
            <w:tcBorders>
              <w:top w:val="nil"/>
              <w:left w:val="nil"/>
              <w:bottom w:val="nil"/>
              <w:right w:val="dotted" w:sz="4" w:space="0" w:color="auto"/>
            </w:tcBorders>
            <w:vAlign w:val="center"/>
          </w:tcPr>
          <w:p w14:paraId="2D5C3C74"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.457</w:t>
            </w:r>
          </w:p>
        </w:tc>
        <w:tc>
          <w:tcPr>
            <w:tcW w:w="420" w:type="pct"/>
            <w:tcBorders>
              <w:top w:val="nil"/>
              <w:left w:val="dotted" w:sz="4" w:space="0" w:color="auto"/>
              <w:bottom w:val="nil"/>
              <w:right w:val="nil"/>
            </w:tcBorders>
            <w:vAlign w:val="center"/>
          </w:tcPr>
          <w:p w14:paraId="4687EE21"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.850</w:t>
            </w:r>
            <w:r w:rsidRPr="00DC5F32">
              <w:rPr>
                <w:rFonts w:ascii="Times New Roman" w:eastAsia="Gulim" w:hAnsi="Times New Roman" w:cs="Times New Roman"/>
                <w:color w:val="000000" w:themeColor="text1"/>
                <w:kern w:val="0"/>
                <w:sz w:val="16"/>
                <w:szCs w:val="16"/>
                <w:vertAlign w:val="superscript"/>
              </w:rPr>
              <w:t>+</w:t>
            </w:r>
          </w:p>
        </w:tc>
        <w:tc>
          <w:tcPr>
            <w:tcW w:w="268" w:type="pct"/>
            <w:tcBorders>
              <w:top w:val="nil"/>
              <w:left w:val="nil"/>
              <w:bottom w:val="nil"/>
              <w:right w:val="nil"/>
            </w:tcBorders>
            <w:vAlign w:val="center"/>
          </w:tcPr>
          <w:p w14:paraId="67C74679"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.470</w:t>
            </w:r>
          </w:p>
        </w:tc>
        <w:tc>
          <w:tcPr>
            <w:tcW w:w="420" w:type="pct"/>
            <w:tcBorders>
              <w:top w:val="nil"/>
              <w:left w:val="nil"/>
              <w:bottom w:val="nil"/>
              <w:right w:val="nil"/>
            </w:tcBorders>
            <w:vAlign w:val="center"/>
          </w:tcPr>
          <w:p w14:paraId="62E76BAB"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1.517</w:t>
            </w:r>
            <w:r w:rsidRPr="00DC5F32">
              <w:rPr>
                <w:rFonts w:ascii="Times New Roman" w:eastAsia="Gulim" w:hAnsi="Times New Roman" w:cs="Times New Roman"/>
                <w:color w:val="000000" w:themeColor="text1"/>
                <w:kern w:val="0"/>
                <w:sz w:val="16"/>
                <w:szCs w:val="16"/>
                <w:vertAlign w:val="superscript"/>
              </w:rPr>
              <w:t>***</w:t>
            </w:r>
          </w:p>
        </w:tc>
        <w:tc>
          <w:tcPr>
            <w:tcW w:w="268" w:type="pct"/>
            <w:tcBorders>
              <w:top w:val="nil"/>
              <w:left w:val="nil"/>
              <w:bottom w:val="nil"/>
              <w:right w:val="nil"/>
            </w:tcBorders>
            <w:vAlign w:val="center"/>
          </w:tcPr>
          <w:p w14:paraId="631A658C"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.421</w:t>
            </w:r>
          </w:p>
        </w:tc>
        <w:tc>
          <w:tcPr>
            <w:tcW w:w="420" w:type="pct"/>
            <w:tcBorders>
              <w:top w:val="nil"/>
              <w:left w:val="nil"/>
              <w:bottom w:val="nil"/>
              <w:right w:val="nil"/>
            </w:tcBorders>
            <w:vAlign w:val="center"/>
          </w:tcPr>
          <w:p w14:paraId="06B69151"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1.370</w:t>
            </w:r>
            <w:r w:rsidRPr="00DC5F32">
              <w:rPr>
                <w:rFonts w:ascii="Times New Roman" w:eastAsia="Gulim" w:hAnsi="Times New Roman" w:cs="Times New Roman"/>
                <w:color w:val="000000" w:themeColor="text1"/>
                <w:kern w:val="0"/>
                <w:sz w:val="16"/>
                <w:szCs w:val="16"/>
                <w:vertAlign w:val="superscript"/>
              </w:rPr>
              <w:t>**</w:t>
            </w:r>
          </w:p>
        </w:tc>
        <w:tc>
          <w:tcPr>
            <w:tcW w:w="268" w:type="pct"/>
            <w:gridSpan w:val="2"/>
            <w:tcBorders>
              <w:top w:val="nil"/>
              <w:left w:val="nil"/>
              <w:bottom w:val="nil"/>
              <w:right w:val="nil"/>
            </w:tcBorders>
            <w:vAlign w:val="center"/>
          </w:tcPr>
          <w:p w14:paraId="24F181A8"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.488</w:t>
            </w:r>
          </w:p>
        </w:tc>
      </w:tr>
      <w:tr w:rsidR="00E9015E" w:rsidRPr="000673A6" w14:paraId="41707B73" w14:textId="77777777" w:rsidTr="00C14E25">
        <w:trPr>
          <w:trHeight w:val="20"/>
        </w:trPr>
        <w:tc>
          <w:tcPr>
            <w:tcW w:w="120" w:type="pct"/>
            <w:tcBorders>
              <w:top w:val="nil"/>
              <w:left w:val="nil"/>
              <w:bottom w:val="nil"/>
              <w:right w:val="nil"/>
            </w:tcBorders>
          </w:tcPr>
          <w:p w14:paraId="25EF3F87" w14:textId="77777777" w:rsidR="00E9015E" w:rsidRPr="00E75E6C" w:rsidRDefault="00E9015E" w:rsidP="00C14E25">
            <w:pPr>
              <w:adjustRightInd w:val="0"/>
              <w:ind w:left="800" w:right="60"/>
              <w:jc w:val="center"/>
              <w:rPr>
                <w:rFonts w:ascii="Times New Roman" w:hAnsi="Times New Roman" w:cs="Times New Roman"/>
                <w:color w:val="000000" w:themeColor="text1"/>
                <w:kern w:val="0"/>
                <w:sz w:val="14"/>
                <w:szCs w:val="14"/>
              </w:rPr>
            </w:pPr>
          </w:p>
        </w:tc>
        <w:tc>
          <w:tcPr>
            <w:tcW w:w="1383" w:type="pct"/>
            <w:tcBorders>
              <w:top w:val="nil"/>
              <w:left w:val="nil"/>
              <w:bottom w:val="nil"/>
              <w:right w:val="nil"/>
            </w:tcBorders>
          </w:tcPr>
          <w:p w14:paraId="6664E107"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dotted" w:sz="4" w:space="0" w:color="auto"/>
              <w:bottom w:val="nil"/>
              <w:right w:val="nil"/>
            </w:tcBorders>
          </w:tcPr>
          <w:p w14:paraId="4719B238"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81" w:type="pct"/>
            <w:tcBorders>
              <w:top w:val="nil"/>
              <w:left w:val="nil"/>
              <w:bottom w:val="nil"/>
              <w:right w:val="nil"/>
            </w:tcBorders>
          </w:tcPr>
          <w:p w14:paraId="3FD6DEAB"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nil"/>
              <w:bottom w:val="nil"/>
              <w:right w:val="nil"/>
            </w:tcBorders>
          </w:tcPr>
          <w:p w14:paraId="3129152C"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312" w:type="pct"/>
            <w:tcBorders>
              <w:top w:val="nil"/>
              <w:left w:val="nil"/>
              <w:bottom w:val="nil"/>
              <w:right w:val="dotted" w:sz="4" w:space="0" w:color="auto"/>
            </w:tcBorders>
          </w:tcPr>
          <w:p w14:paraId="101E04AA"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dotted" w:sz="4" w:space="0" w:color="auto"/>
              <w:bottom w:val="nil"/>
              <w:right w:val="nil"/>
            </w:tcBorders>
            <w:vAlign w:val="center"/>
          </w:tcPr>
          <w:p w14:paraId="6AA5B2C4"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68" w:type="pct"/>
            <w:tcBorders>
              <w:top w:val="nil"/>
              <w:left w:val="nil"/>
              <w:bottom w:val="nil"/>
              <w:right w:val="nil"/>
            </w:tcBorders>
            <w:vAlign w:val="center"/>
          </w:tcPr>
          <w:p w14:paraId="71C7EE34"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nil"/>
              <w:bottom w:val="nil"/>
              <w:right w:val="nil"/>
            </w:tcBorders>
            <w:vAlign w:val="center"/>
          </w:tcPr>
          <w:p w14:paraId="1E0A3B67"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68" w:type="pct"/>
            <w:tcBorders>
              <w:top w:val="nil"/>
              <w:left w:val="nil"/>
              <w:bottom w:val="nil"/>
              <w:right w:val="nil"/>
            </w:tcBorders>
            <w:vAlign w:val="center"/>
          </w:tcPr>
          <w:p w14:paraId="0995914C"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nil"/>
              <w:bottom w:val="nil"/>
              <w:right w:val="nil"/>
            </w:tcBorders>
            <w:vAlign w:val="center"/>
          </w:tcPr>
          <w:p w14:paraId="49F3D0E6"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68" w:type="pct"/>
            <w:gridSpan w:val="2"/>
            <w:tcBorders>
              <w:top w:val="nil"/>
              <w:left w:val="nil"/>
              <w:bottom w:val="nil"/>
              <w:right w:val="nil"/>
            </w:tcBorders>
            <w:vAlign w:val="center"/>
          </w:tcPr>
          <w:p w14:paraId="29A1DB8D"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r>
      <w:tr w:rsidR="00E9015E" w:rsidRPr="000673A6" w14:paraId="486A39B9" w14:textId="77777777" w:rsidTr="00C14E25">
        <w:trPr>
          <w:trHeight w:val="20"/>
        </w:trPr>
        <w:tc>
          <w:tcPr>
            <w:tcW w:w="1503" w:type="pct"/>
            <w:gridSpan w:val="2"/>
            <w:tcBorders>
              <w:top w:val="nil"/>
              <w:left w:val="nil"/>
              <w:bottom w:val="nil"/>
              <w:right w:val="nil"/>
            </w:tcBorders>
          </w:tcPr>
          <w:p w14:paraId="133CD2B5" w14:textId="77777777" w:rsidR="00E9015E" w:rsidRPr="00DC5F32" w:rsidRDefault="00E9015E" w:rsidP="00C14E25">
            <w:pPr>
              <w:jc w:val="left"/>
              <w:rPr>
                <w:rFonts w:ascii="Times New Roman" w:hAnsi="Times New Roman" w:cs="Times New Roman"/>
                <w:b/>
                <w:sz w:val="16"/>
                <w:szCs w:val="16"/>
              </w:rPr>
            </w:pPr>
            <w:proofErr w:type="spellStart"/>
            <w:r w:rsidRPr="00DC5F32">
              <w:rPr>
                <w:rFonts w:ascii="Times New Roman" w:hAnsi="Times New Roman" w:cs="Times New Roman"/>
                <w:b/>
                <w:sz w:val="16"/>
                <w:szCs w:val="16"/>
              </w:rPr>
              <w:t>Interorganization</w:t>
            </w:r>
            <w:proofErr w:type="spellEnd"/>
            <w:r w:rsidRPr="00DC5F32">
              <w:rPr>
                <w:rFonts w:ascii="Times New Roman" w:hAnsi="Times New Roman" w:cs="Times New Roman"/>
                <w:b/>
                <w:sz w:val="16"/>
                <w:szCs w:val="16"/>
              </w:rPr>
              <w:t>-level Control</w:t>
            </w:r>
          </w:p>
        </w:tc>
        <w:tc>
          <w:tcPr>
            <w:tcW w:w="420" w:type="pct"/>
            <w:tcBorders>
              <w:top w:val="nil"/>
              <w:left w:val="dotted" w:sz="4" w:space="0" w:color="auto"/>
              <w:bottom w:val="nil"/>
              <w:right w:val="nil"/>
            </w:tcBorders>
          </w:tcPr>
          <w:p w14:paraId="1F6C1AC2"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81" w:type="pct"/>
            <w:tcBorders>
              <w:top w:val="nil"/>
              <w:left w:val="nil"/>
              <w:bottom w:val="nil"/>
              <w:right w:val="nil"/>
            </w:tcBorders>
          </w:tcPr>
          <w:p w14:paraId="114B5660"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nil"/>
              <w:bottom w:val="nil"/>
              <w:right w:val="nil"/>
            </w:tcBorders>
          </w:tcPr>
          <w:p w14:paraId="123D68CF"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312" w:type="pct"/>
            <w:tcBorders>
              <w:top w:val="nil"/>
              <w:left w:val="nil"/>
              <w:bottom w:val="nil"/>
              <w:right w:val="dotted" w:sz="4" w:space="0" w:color="auto"/>
            </w:tcBorders>
          </w:tcPr>
          <w:p w14:paraId="58EA8F0F"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dotted" w:sz="4" w:space="0" w:color="auto"/>
              <w:bottom w:val="nil"/>
              <w:right w:val="nil"/>
            </w:tcBorders>
            <w:vAlign w:val="center"/>
          </w:tcPr>
          <w:p w14:paraId="397F25B1"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68" w:type="pct"/>
            <w:tcBorders>
              <w:top w:val="nil"/>
              <w:left w:val="nil"/>
              <w:bottom w:val="nil"/>
              <w:right w:val="nil"/>
            </w:tcBorders>
            <w:vAlign w:val="center"/>
          </w:tcPr>
          <w:p w14:paraId="5DD5B8B6"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nil"/>
              <w:bottom w:val="nil"/>
              <w:right w:val="nil"/>
            </w:tcBorders>
            <w:vAlign w:val="center"/>
          </w:tcPr>
          <w:p w14:paraId="6B1C0DE8"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68" w:type="pct"/>
            <w:tcBorders>
              <w:top w:val="nil"/>
              <w:left w:val="nil"/>
              <w:bottom w:val="nil"/>
              <w:right w:val="nil"/>
            </w:tcBorders>
            <w:vAlign w:val="center"/>
          </w:tcPr>
          <w:p w14:paraId="2E4E7DC9"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420" w:type="pct"/>
            <w:tcBorders>
              <w:top w:val="nil"/>
              <w:left w:val="nil"/>
              <w:bottom w:val="nil"/>
              <w:right w:val="nil"/>
            </w:tcBorders>
            <w:vAlign w:val="center"/>
          </w:tcPr>
          <w:p w14:paraId="143C4F48"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c>
          <w:tcPr>
            <w:tcW w:w="268" w:type="pct"/>
            <w:gridSpan w:val="2"/>
            <w:tcBorders>
              <w:top w:val="nil"/>
              <w:left w:val="nil"/>
              <w:bottom w:val="nil"/>
              <w:right w:val="nil"/>
            </w:tcBorders>
            <w:vAlign w:val="center"/>
          </w:tcPr>
          <w:p w14:paraId="68BA26AA" w14:textId="77777777" w:rsidR="00E9015E" w:rsidRPr="00DC5F32" w:rsidRDefault="00E9015E" w:rsidP="00C14E25">
            <w:pPr>
              <w:adjustRightInd w:val="0"/>
              <w:ind w:left="800" w:right="60"/>
              <w:jc w:val="center"/>
              <w:rPr>
                <w:rFonts w:ascii="Times New Roman" w:hAnsi="Times New Roman" w:cs="Times New Roman"/>
                <w:color w:val="000000" w:themeColor="text1"/>
                <w:kern w:val="0"/>
                <w:sz w:val="16"/>
                <w:szCs w:val="16"/>
              </w:rPr>
            </w:pPr>
          </w:p>
        </w:tc>
      </w:tr>
      <w:tr w:rsidR="00E9015E" w:rsidRPr="000673A6" w14:paraId="417F8FC0" w14:textId="77777777" w:rsidTr="00C14E25">
        <w:trPr>
          <w:trHeight w:val="20"/>
        </w:trPr>
        <w:tc>
          <w:tcPr>
            <w:tcW w:w="120" w:type="pct"/>
            <w:tcBorders>
              <w:top w:val="nil"/>
              <w:left w:val="nil"/>
              <w:bottom w:val="nil"/>
              <w:right w:val="nil"/>
            </w:tcBorders>
          </w:tcPr>
          <w:p w14:paraId="2E35529D"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4EAF13CC" w14:textId="77777777" w:rsidR="00E9015E" w:rsidRPr="00DC5F32" w:rsidRDefault="00E9015E" w:rsidP="00C14E25">
            <w:pPr>
              <w:jc w:val="left"/>
              <w:rPr>
                <w:rFonts w:ascii="Times New Roman" w:hAnsi="Times New Roman" w:cs="Times New Roman"/>
                <w:sz w:val="16"/>
                <w:szCs w:val="16"/>
              </w:rPr>
            </w:pPr>
            <w:r w:rsidRPr="00DC5F32">
              <w:rPr>
                <w:rFonts w:ascii="Times New Roman" w:hAnsi="Times New Roman" w:cs="Times New Roman"/>
                <w:sz w:val="16"/>
                <w:szCs w:val="16"/>
              </w:rPr>
              <w:t>Relationship duration</w:t>
            </w:r>
          </w:p>
        </w:tc>
        <w:tc>
          <w:tcPr>
            <w:tcW w:w="420" w:type="pct"/>
            <w:tcBorders>
              <w:top w:val="nil"/>
              <w:left w:val="dotted" w:sz="4" w:space="0" w:color="auto"/>
              <w:bottom w:val="nil"/>
              <w:right w:val="nil"/>
            </w:tcBorders>
            <w:vAlign w:val="center"/>
          </w:tcPr>
          <w:p w14:paraId="2D974CE1"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.019</w:t>
            </w:r>
            <w:r w:rsidRPr="00DC5F32">
              <w:rPr>
                <w:rFonts w:ascii="Times New Roman" w:eastAsia="Gulim" w:hAnsi="Times New Roman" w:cs="Times New Roman"/>
                <w:kern w:val="0"/>
                <w:sz w:val="16"/>
                <w:szCs w:val="16"/>
                <w:vertAlign w:val="superscript"/>
              </w:rPr>
              <w:t>**</w:t>
            </w:r>
          </w:p>
        </w:tc>
        <w:tc>
          <w:tcPr>
            <w:tcW w:w="281" w:type="pct"/>
            <w:tcBorders>
              <w:top w:val="nil"/>
              <w:left w:val="nil"/>
              <w:bottom w:val="nil"/>
              <w:right w:val="nil"/>
            </w:tcBorders>
            <w:vAlign w:val="center"/>
          </w:tcPr>
          <w:p w14:paraId="206D306D"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.007</w:t>
            </w:r>
          </w:p>
        </w:tc>
        <w:tc>
          <w:tcPr>
            <w:tcW w:w="420" w:type="pct"/>
            <w:tcBorders>
              <w:top w:val="nil"/>
              <w:left w:val="nil"/>
              <w:bottom w:val="nil"/>
              <w:right w:val="nil"/>
            </w:tcBorders>
            <w:vAlign w:val="center"/>
          </w:tcPr>
          <w:p w14:paraId="17E79387"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.020</w:t>
            </w:r>
            <w:r w:rsidRPr="00DC5F32">
              <w:rPr>
                <w:rFonts w:ascii="Times New Roman" w:eastAsia="Gulim" w:hAnsi="Times New Roman" w:cs="Times New Roman"/>
                <w:kern w:val="0"/>
                <w:sz w:val="16"/>
                <w:szCs w:val="16"/>
                <w:vertAlign w:val="superscript"/>
              </w:rPr>
              <w:t>**</w:t>
            </w:r>
          </w:p>
        </w:tc>
        <w:tc>
          <w:tcPr>
            <w:tcW w:w="312" w:type="pct"/>
            <w:tcBorders>
              <w:top w:val="nil"/>
              <w:left w:val="nil"/>
              <w:bottom w:val="nil"/>
              <w:right w:val="dotted" w:sz="4" w:space="0" w:color="auto"/>
            </w:tcBorders>
            <w:vAlign w:val="center"/>
          </w:tcPr>
          <w:p w14:paraId="2A1351EC"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.007</w:t>
            </w:r>
          </w:p>
        </w:tc>
        <w:tc>
          <w:tcPr>
            <w:tcW w:w="420" w:type="pct"/>
            <w:tcBorders>
              <w:top w:val="nil"/>
              <w:left w:val="dotted" w:sz="4" w:space="0" w:color="auto"/>
              <w:bottom w:val="nil"/>
              <w:right w:val="nil"/>
            </w:tcBorders>
            <w:vAlign w:val="center"/>
          </w:tcPr>
          <w:p w14:paraId="423AA732"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-.006</w:t>
            </w:r>
          </w:p>
        </w:tc>
        <w:tc>
          <w:tcPr>
            <w:tcW w:w="268" w:type="pct"/>
            <w:tcBorders>
              <w:top w:val="nil"/>
              <w:left w:val="nil"/>
              <w:bottom w:val="nil"/>
              <w:right w:val="nil"/>
            </w:tcBorders>
            <w:vAlign w:val="center"/>
          </w:tcPr>
          <w:p w14:paraId="5F2D088C"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.009</w:t>
            </w:r>
          </w:p>
        </w:tc>
        <w:tc>
          <w:tcPr>
            <w:tcW w:w="420" w:type="pct"/>
            <w:tcBorders>
              <w:top w:val="nil"/>
              <w:left w:val="nil"/>
              <w:bottom w:val="nil"/>
              <w:right w:val="nil"/>
            </w:tcBorders>
            <w:vAlign w:val="center"/>
          </w:tcPr>
          <w:p w14:paraId="5DADC577"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-.007</w:t>
            </w:r>
          </w:p>
        </w:tc>
        <w:tc>
          <w:tcPr>
            <w:tcW w:w="268" w:type="pct"/>
            <w:tcBorders>
              <w:top w:val="nil"/>
              <w:left w:val="nil"/>
              <w:bottom w:val="nil"/>
              <w:right w:val="nil"/>
            </w:tcBorders>
            <w:vAlign w:val="center"/>
          </w:tcPr>
          <w:p w14:paraId="6E7D4191"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.008</w:t>
            </w:r>
          </w:p>
        </w:tc>
        <w:tc>
          <w:tcPr>
            <w:tcW w:w="420" w:type="pct"/>
            <w:tcBorders>
              <w:top w:val="nil"/>
              <w:left w:val="nil"/>
              <w:bottom w:val="nil"/>
              <w:right w:val="nil"/>
            </w:tcBorders>
            <w:vAlign w:val="center"/>
          </w:tcPr>
          <w:p w14:paraId="564941A0"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-.007</w:t>
            </w:r>
          </w:p>
        </w:tc>
        <w:tc>
          <w:tcPr>
            <w:tcW w:w="268" w:type="pct"/>
            <w:gridSpan w:val="2"/>
            <w:tcBorders>
              <w:top w:val="nil"/>
              <w:left w:val="nil"/>
              <w:bottom w:val="nil"/>
              <w:right w:val="nil"/>
            </w:tcBorders>
            <w:vAlign w:val="center"/>
          </w:tcPr>
          <w:p w14:paraId="53676AF8"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.008</w:t>
            </w:r>
          </w:p>
        </w:tc>
      </w:tr>
      <w:tr w:rsidR="00E9015E" w:rsidRPr="000673A6" w14:paraId="181A1ED5" w14:textId="77777777" w:rsidTr="00C14E25">
        <w:trPr>
          <w:trHeight w:val="20"/>
        </w:trPr>
        <w:tc>
          <w:tcPr>
            <w:tcW w:w="120" w:type="pct"/>
            <w:tcBorders>
              <w:top w:val="nil"/>
              <w:left w:val="nil"/>
              <w:bottom w:val="nil"/>
              <w:right w:val="nil"/>
            </w:tcBorders>
          </w:tcPr>
          <w:p w14:paraId="55BA828E" w14:textId="77777777" w:rsidR="00E9015E" w:rsidRPr="00E75E6C" w:rsidRDefault="00E9015E" w:rsidP="00C14E25">
            <w:pPr>
              <w:widowControl/>
              <w:autoSpaceDE/>
              <w:autoSpaceDN/>
              <w:jc w:val="center"/>
              <w:rPr>
                <w:rFonts w:ascii="Times New Roman" w:eastAsia="Gulim" w:hAnsi="Times New Roman" w:cs="Times New Roman"/>
                <w:color w:val="000000" w:themeColor="text1"/>
                <w:kern w:val="0"/>
                <w:sz w:val="14"/>
                <w:szCs w:val="14"/>
              </w:rPr>
            </w:pPr>
          </w:p>
        </w:tc>
        <w:tc>
          <w:tcPr>
            <w:tcW w:w="1383" w:type="pct"/>
            <w:tcBorders>
              <w:top w:val="nil"/>
              <w:left w:val="nil"/>
              <w:bottom w:val="nil"/>
              <w:right w:val="nil"/>
            </w:tcBorders>
          </w:tcPr>
          <w:p w14:paraId="6F2F5833" w14:textId="77777777" w:rsidR="00E9015E" w:rsidRPr="00DC5F32" w:rsidRDefault="00E9015E" w:rsidP="00C14E25">
            <w:pPr>
              <w:jc w:val="left"/>
              <w:rPr>
                <w:rFonts w:ascii="Times New Roman" w:hAnsi="Times New Roman" w:cs="Times New Roman"/>
                <w:sz w:val="16"/>
                <w:szCs w:val="16"/>
              </w:rPr>
            </w:pPr>
            <w:r w:rsidRPr="00DC5F32">
              <w:rPr>
                <w:rFonts w:ascii="Times New Roman" w:hAnsi="Times New Roman" w:cs="Times New Roman"/>
                <w:sz w:val="16"/>
                <w:szCs w:val="16"/>
              </w:rPr>
              <w:t>Buyer’s dependence on the supplier</w:t>
            </w:r>
          </w:p>
        </w:tc>
        <w:tc>
          <w:tcPr>
            <w:tcW w:w="420" w:type="pct"/>
            <w:tcBorders>
              <w:top w:val="nil"/>
              <w:left w:val="dotted" w:sz="4" w:space="0" w:color="auto"/>
              <w:bottom w:val="nil"/>
              <w:right w:val="nil"/>
            </w:tcBorders>
            <w:vAlign w:val="center"/>
          </w:tcPr>
          <w:p w14:paraId="06579BD6"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.091</w:t>
            </w:r>
          </w:p>
        </w:tc>
        <w:tc>
          <w:tcPr>
            <w:tcW w:w="281" w:type="pct"/>
            <w:tcBorders>
              <w:top w:val="nil"/>
              <w:left w:val="nil"/>
              <w:bottom w:val="nil"/>
              <w:right w:val="nil"/>
            </w:tcBorders>
            <w:vAlign w:val="center"/>
          </w:tcPr>
          <w:p w14:paraId="6A02053B"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.098</w:t>
            </w:r>
          </w:p>
        </w:tc>
        <w:tc>
          <w:tcPr>
            <w:tcW w:w="420" w:type="pct"/>
            <w:tcBorders>
              <w:top w:val="nil"/>
              <w:left w:val="nil"/>
              <w:bottom w:val="nil"/>
              <w:right w:val="nil"/>
            </w:tcBorders>
            <w:vAlign w:val="center"/>
          </w:tcPr>
          <w:p w14:paraId="6A8F93E1"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.114</w:t>
            </w:r>
          </w:p>
        </w:tc>
        <w:tc>
          <w:tcPr>
            <w:tcW w:w="312" w:type="pct"/>
            <w:tcBorders>
              <w:top w:val="nil"/>
              <w:left w:val="nil"/>
              <w:bottom w:val="nil"/>
              <w:right w:val="dotted" w:sz="4" w:space="0" w:color="auto"/>
            </w:tcBorders>
            <w:vAlign w:val="center"/>
          </w:tcPr>
          <w:p w14:paraId="21290AB6" w14:textId="77777777" w:rsidR="00E9015E" w:rsidRPr="00DC5F32" w:rsidRDefault="00E9015E" w:rsidP="00C14E25">
            <w:pPr>
              <w:widowControl/>
              <w:autoSpaceDE/>
              <w:autoSpaceDN/>
              <w:jc w:val="center"/>
              <w:rPr>
                <w:rFonts w:ascii="Times New Roman" w:eastAsia="Gulim" w:hAnsi="Times New Roman" w:cs="Times New Roman"/>
                <w:kern w:val="0"/>
                <w:sz w:val="16"/>
                <w:szCs w:val="16"/>
              </w:rPr>
            </w:pPr>
            <w:r w:rsidRPr="00DC5F32">
              <w:rPr>
                <w:rFonts w:ascii="Times New Roman" w:eastAsia="Gulim" w:hAnsi="Times New Roman" w:cs="Times New Roman"/>
                <w:kern w:val="0"/>
                <w:sz w:val="16"/>
                <w:szCs w:val="16"/>
              </w:rPr>
              <w:t>.096</w:t>
            </w:r>
          </w:p>
        </w:tc>
        <w:tc>
          <w:tcPr>
            <w:tcW w:w="420" w:type="pct"/>
            <w:tcBorders>
              <w:top w:val="nil"/>
              <w:left w:val="dotted" w:sz="4" w:space="0" w:color="auto"/>
              <w:bottom w:val="nil"/>
              <w:right w:val="nil"/>
            </w:tcBorders>
            <w:vAlign w:val="center"/>
          </w:tcPr>
          <w:p w14:paraId="3E8CB824"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-.186</w:t>
            </w:r>
          </w:p>
        </w:tc>
        <w:tc>
          <w:tcPr>
            <w:tcW w:w="268" w:type="pct"/>
            <w:tcBorders>
              <w:top w:val="nil"/>
              <w:left w:val="nil"/>
              <w:bottom w:val="nil"/>
              <w:right w:val="nil"/>
            </w:tcBorders>
            <w:vAlign w:val="center"/>
          </w:tcPr>
          <w:p w14:paraId="3781169E"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.117</w:t>
            </w:r>
          </w:p>
        </w:tc>
        <w:tc>
          <w:tcPr>
            <w:tcW w:w="420" w:type="pct"/>
            <w:tcBorders>
              <w:top w:val="nil"/>
              <w:left w:val="nil"/>
              <w:bottom w:val="nil"/>
              <w:right w:val="nil"/>
            </w:tcBorders>
            <w:vAlign w:val="center"/>
          </w:tcPr>
          <w:p w14:paraId="6E4D878F"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-.070</w:t>
            </w:r>
          </w:p>
        </w:tc>
        <w:tc>
          <w:tcPr>
            <w:tcW w:w="268" w:type="pct"/>
            <w:tcBorders>
              <w:top w:val="nil"/>
              <w:left w:val="nil"/>
              <w:bottom w:val="nil"/>
              <w:right w:val="nil"/>
            </w:tcBorders>
            <w:vAlign w:val="center"/>
          </w:tcPr>
          <w:p w14:paraId="2F5662D3"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.105</w:t>
            </w:r>
          </w:p>
        </w:tc>
        <w:tc>
          <w:tcPr>
            <w:tcW w:w="420" w:type="pct"/>
            <w:tcBorders>
              <w:top w:val="nil"/>
              <w:left w:val="nil"/>
              <w:bottom w:val="nil"/>
              <w:right w:val="nil"/>
            </w:tcBorders>
            <w:vAlign w:val="center"/>
          </w:tcPr>
          <w:p w14:paraId="201A0575"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-.073</w:t>
            </w:r>
          </w:p>
        </w:tc>
        <w:tc>
          <w:tcPr>
            <w:tcW w:w="268" w:type="pct"/>
            <w:gridSpan w:val="2"/>
            <w:tcBorders>
              <w:top w:val="nil"/>
              <w:left w:val="nil"/>
              <w:bottom w:val="nil"/>
              <w:right w:val="nil"/>
            </w:tcBorders>
            <w:vAlign w:val="center"/>
          </w:tcPr>
          <w:p w14:paraId="215013F3" w14:textId="77777777" w:rsidR="00E9015E" w:rsidRPr="00DC5F32" w:rsidRDefault="00E9015E" w:rsidP="00C14E25">
            <w:pPr>
              <w:widowControl/>
              <w:autoSpaceDE/>
              <w:autoSpaceDN/>
              <w:jc w:val="center"/>
              <w:rPr>
                <w:rFonts w:ascii="Times New Roman" w:eastAsia="Gulim" w:hAnsi="Times New Roman" w:cs="Times New Roman"/>
                <w:color w:val="000000" w:themeColor="text1"/>
                <w:kern w:val="0"/>
                <w:sz w:val="16"/>
                <w:szCs w:val="16"/>
              </w:rPr>
            </w:pPr>
            <w:r w:rsidRPr="00DC5F32">
              <w:rPr>
                <w:rFonts w:ascii="Times New Roman" w:eastAsia="Gulim" w:hAnsi="Times New Roman" w:cs="Times New Roman"/>
                <w:color w:val="000000" w:themeColor="text1"/>
                <w:kern w:val="0"/>
                <w:sz w:val="16"/>
                <w:szCs w:val="16"/>
              </w:rPr>
              <w:t>.105</w:t>
            </w:r>
          </w:p>
        </w:tc>
      </w:tr>
      <w:tr w:rsidR="00E9015E" w:rsidRPr="000673A6" w14:paraId="474016C6" w14:textId="77777777" w:rsidTr="00C14E25">
        <w:trPr>
          <w:trHeight w:val="20"/>
        </w:trPr>
        <w:tc>
          <w:tcPr>
            <w:tcW w:w="120" w:type="pct"/>
            <w:tcBorders>
              <w:top w:val="nil"/>
              <w:left w:val="nil"/>
              <w:bottom w:val="nil"/>
              <w:right w:val="nil"/>
            </w:tcBorders>
          </w:tcPr>
          <w:p w14:paraId="3D1D84C8" w14:textId="77777777" w:rsidR="00E9015E" w:rsidRPr="00E75E6C" w:rsidRDefault="00E9015E" w:rsidP="00C14E25">
            <w:pPr>
              <w:jc w:val="center"/>
              <w:rPr>
                <w:rFonts w:ascii="Times New Roman" w:hAnsi="Times New Roman" w:cs="Times New Roman"/>
                <w:color w:val="000000" w:themeColor="text1"/>
                <w:sz w:val="14"/>
                <w:szCs w:val="14"/>
              </w:rPr>
            </w:pPr>
          </w:p>
        </w:tc>
        <w:tc>
          <w:tcPr>
            <w:tcW w:w="1383" w:type="pct"/>
            <w:tcBorders>
              <w:top w:val="nil"/>
              <w:left w:val="nil"/>
              <w:bottom w:val="nil"/>
              <w:right w:val="nil"/>
            </w:tcBorders>
          </w:tcPr>
          <w:p w14:paraId="307BB75C"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dotted" w:sz="4" w:space="0" w:color="auto"/>
              <w:bottom w:val="nil"/>
              <w:right w:val="nil"/>
            </w:tcBorders>
          </w:tcPr>
          <w:p w14:paraId="153621EF" w14:textId="77777777" w:rsidR="00E9015E" w:rsidRPr="00DC5F32" w:rsidRDefault="00E9015E" w:rsidP="00C14E25">
            <w:pPr>
              <w:jc w:val="center"/>
              <w:rPr>
                <w:rFonts w:ascii="Times New Roman" w:hAnsi="Times New Roman" w:cs="Times New Roman"/>
                <w:color w:val="000000" w:themeColor="text1"/>
                <w:sz w:val="16"/>
                <w:szCs w:val="16"/>
              </w:rPr>
            </w:pPr>
          </w:p>
        </w:tc>
        <w:tc>
          <w:tcPr>
            <w:tcW w:w="281" w:type="pct"/>
            <w:tcBorders>
              <w:top w:val="nil"/>
              <w:left w:val="nil"/>
              <w:bottom w:val="nil"/>
              <w:right w:val="nil"/>
            </w:tcBorders>
          </w:tcPr>
          <w:p w14:paraId="58C09BAC"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nil"/>
              <w:bottom w:val="nil"/>
              <w:right w:val="nil"/>
            </w:tcBorders>
          </w:tcPr>
          <w:p w14:paraId="70210B1F" w14:textId="77777777" w:rsidR="00E9015E" w:rsidRPr="00DC5F32" w:rsidRDefault="00E9015E" w:rsidP="00C14E25">
            <w:pPr>
              <w:jc w:val="center"/>
              <w:rPr>
                <w:rFonts w:ascii="Times New Roman" w:hAnsi="Times New Roman" w:cs="Times New Roman"/>
                <w:color w:val="000000" w:themeColor="text1"/>
                <w:sz w:val="16"/>
                <w:szCs w:val="16"/>
              </w:rPr>
            </w:pPr>
          </w:p>
        </w:tc>
        <w:tc>
          <w:tcPr>
            <w:tcW w:w="312" w:type="pct"/>
            <w:tcBorders>
              <w:top w:val="nil"/>
              <w:left w:val="nil"/>
              <w:bottom w:val="nil"/>
              <w:right w:val="dotted" w:sz="4" w:space="0" w:color="auto"/>
            </w:tcBorders>
          </w:tcPr>
          <w:p w14:paraId="3EB484D8"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dotted" w:sz="4" w:space="0" w:color="auto"/>
              <w:bottom w:val="nil"/>
              <w:right w:val="nil"/>
            </w:tcBorders>
            <w:vAlign w:val="center"/>
          </w:tcPr>
          <w:p w14:paraId="2E59318E" w14:textId="77777777" w:rsidR="00E9015E" w:rsidRPr="00DC5F32" w:rsidRDefault="00E9015E" w:rsidP="00C14E25">
            <w:pPr>
              <w:jc w:val="center"/>
              <w:rPr>
                <w:rFonts w:ascii="Times New Roman" w:hAnsi="Times New Roman" w:cs="Times New Roman"/>
                <w:color w:val="000000" w:themeColor="text1"/>
                <w:sz w:val="16"/>
                <w:szCs w:val="16"/>
              </w:rPr>
            </w:pPr>
          </w:p>
        </w:tc>
        <w:tc>
          <w:tcPr>
            <w:tcW w:w="268" w:type="pct"/>
            <w:tcBorders>
              <w:top w:val="nil"/>
              <w:left w:val="nil"/>
              <w:bottom w:val="nil"/>
              <w:right w:val="nil"/>
            </w:tcBorders>
            <w:vAlign w:val="center"/>
          </w:tcPr>
          <w:p w14:paraId="2ECEDB52"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nil"/>
              <w:bottom w:val="nil"/>
              <w:right w:val="nil"/>
            </w:tcBorders>
            <w:vAlign w:val="center"/>
          </w:tcPr>
          <w:p w14:paraId="50C09E3F" w14:textId="77777777" w:rsidR="00E9015E" w:rsidRPr="00DC5F32" w:rsidRDefault="00E9015E" w:rsidP="00C14E25">
            <w:pPr>
              <w:jc w:val="center"/>
              <w:rPr>
                <w:rFonts w:ascii="Times New Roman" w:hAnsi="Times New Roman" w:cs="Times New Roman"/>
                <w:color w:val="000000" w:themeColor="text1"/>
                <w:sz w:val="16"/>
                <w:szCs w:val="16"/>
              </w:rPr>
            </w:pPr>
          </w:p>
        </w:tc>
        <w:tc>
          <w:tcPr>
            <w:tcW w:w="268" w:type="pct"/>
            <w:tcBorders>
              <w:top w:val="nil"/>
              <w:left w:val="nil"/>
              <w:bottom w:val="nil"/>
              <w:right w:val="nil"/>
            </w:tcBorders>
            <w:vAlign w:val="center"/>
          </w:tcPr>
          <w:p w14:paraId="0883BF57" w14:textId="77777777" w:rsidR="00E9015E" w:rsidRPr="00DC5F32" w:rsidRDefault="00E9015E" w:rsidP="00C14E25">
            <w:pPr>
              <w:jc w:val="center"/>
              <w:rPr>
                <w:rFonts w:ascii="Times New Roman" w:hAnsi="Times New Roman" w:cs="Times New Roman"/>
                <w:color w:val="000000" w:themeColor="text1"/>
                <w:sz w:val="16"/>
                <w:szCs w:val="16"/>
              </w:rPr>
            </w:pPr>
          </w:p>
        </w:tc>
        <w:tc>
          <w:tcPr>
            <w:tcW w:w="420" w:type="pct"/>
            <w:tcBorders>
              <w:top w:val="nil"/>
              <w:left w:val="nil"/>
              <w:bottom w:val="nil"/>
              <w:right w:val="nil"/>
            </w:tcBorders>
            <w:vAlign w:val="center"/>
          </w:tcPr>
          <w:p w14:paraId="41502806" w14:textId="77777777" w:rsidR="00E9015E" w:rsidRPr="00DC5F32" w:rsidRDefault="00E9015E" w:rsidP="00C14E25">
            <w:pPr>
              <w:jc w:val="center"/>
              <w:rPr>
                <w:rFonts w:ascii="Times New Roman" w:hAnsi="Times New Roman" w:cs="Times New Roman"/>
                <w:color w:val="000000" w:themeColor="text1"/>
                <w:sz w:val="16"/>
                <w:szCs w:val="16"/>
              </w:rPr>
            </w:pPr>
          </w:p>
        </w:tc>
        <w:tc>
          <w:tcPr>
            <w:tcW w:w="268" w:type="pct"/>
            <w:gridSpan w:val="2"/>
            <w:tcBorders>
              <w:top w:val="nil"/>
              <w:left w:val="nil"/>
              <w:bottom w:val="nil"/>
              <w:right w:val="nil"/>
            </w:tcBorders>
            <w:vAlign w:val="center"/>
          </w:tcPr>
          <w:p w14:paraId="3B1C4998" w14:textId="77777777" w:rsidR="00E9015E" w:rsidRPr="00DC5F32" w:rsidRDefault="00E9015E" w:rsidP="00C14E25">
            <w:pPr>
              <w:jc w:val="center"/>
              <w:rPr>
                <w:rFonts w:ascii="Times New Roman" w:hAnsi="Times New Roman" w:cs="Times New Roman"/>
                <w:color w:val="000000" w:themeColor="text1"/>
                <w:sz w:val="16"/>
                <w:szCs w:val="16"/>
              </w:rPr>
            </w:pPr>
          </w:p>
        </w:tc>
      </w:tr>
      <w:tr w:rsidR="00E9015E" w:rsidRPr="000673A6" w14:paraId="17DC60A1" w14:textId="77777777" w:rsidTr="00C14E25">
        <w:trPr>
          <w:trHeight w:val="20"/>
        </w:trPr>
        <w:tc>
          <w:tcPr>
            <w:tcW w:w="1503" w:type="pct"/>
            <w:gridSpan w:val="2"/>
            <w:tcBorders>
              <w:top w:val="nil"/>
              <w:left w:val="nil"/>
              <w:bottom w:val="nil"/>
              <w:right w:val="nil"/>
            </w:tcBorders>
          </w:tcPr>
          <w:p w14:paraId="00B67982" w14:textId="77777777" w:rsidR="00E9015E" w:rsidRPr="00DC5F32" w:rsidRDefault="00E9015E" w:rsidP="00C14E25">
            <w:pPr>
              <w:rPr>
                <w:rFonts w:ascii="Times New Roman" w:hAnsi="Times New Roman" w:cs="Times New Roman"/>
                <w:sz w:val="16"/>
                <w:szCs w:val="16"/>
              </w:rPr>
            </w:pPr>
            <w:r w:rsidRPr="00DC5F32">
              <w:rPr>
                <w:rFonts w:ascii="Times New Roman" w:hAnsi="Times New Roman" w:cs="Times New Roman"/>
                <w:sz w:val="16"/>
                <w:szCs w:val="16"/>
              </w:rPr>
              <w:t>R</w:t>
            </w:r>
            <w:r w:rsidRPr="00DC5F32">
              <w:rPr>
                <w:rFonts w:ascii="Times New Roman" w:hAnsi="Times New Roman" w:cs="Times New Roman"/>
                <w:sz w:val="16"/>
                <w:szCs w:val="16"/>
                <w:vertAlign w:val="superscript"/>
              </w:rPr>
              <w:t>2</w:t>
            </w:r>
          </w:p>
        </w:tc>
        <w:tc>
          <w:tcPr>
            <w:tcW w:w="701" w:type="pct"/>
            <w:gridSpan w:val="2"/>
            <w:tcBorders>
              <w:top w:val="nil"/>
              <w:left w:val="dotted" w:sz="4" w:space="0" w:color="auto"/>
              <w:bottom w:val="nil"/>
              <w:right w:val="nil"/>
            </w:tcBorders>
            <w:vAlign w:val="center"/>
          </w:tcPr>
          <w:p w14:paraId="73601FF4"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.289</w:t>
            </w:r>
          </w:p>
        </w:tc>
        <w:tc>
          <w:tcPr>
            <w:tcW w:w="731" w:type="pct"/>
            <w:gridSpan w:val="2"/>
            <w:tcBorders>
              <w:top w:val="nil"/>
              <w:left w:val="nil"/>
              <w:bottom w:val="nil"/>
              <w:right w:val="dotted" w:sz="4" w:space="0" w:color="auto"/>
            </w:tcBorders>
            <w:vAlign w:val="center"/>
          </w:tcPr>
          <w:p w14:paraId="49B6C888"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.327</w:t>
            </w:r>
          </w:p>
        </w:tc>
        <w:tc>
          <w:tcPr>
            <w:tcW w:w="688" w:type="pct"/>
            <w:gridSpan w:val="2"/>
            <w:tcBorders>
              <w:top w:val="nil"/>
              <w:left w:val="dotted" w:sz="4" w:space="0" w:color="auto"/>
              <w:bottom w:val="nil"/>
              <w:right w:val="nil"/>
            </w:tcBorders>
            <w:vAlign w:val="center"/>
          </w:tcPr>
          <w:p w14:paraId="0437D636"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.200</w:t>
            </w:r>
          </w:p>
        </w:tc>
        <w:tc>
          <w:tcPr>
            <w:tcW w:w="688" w:type="pct"/>
            <w:gridSpan w:val="2"/>
            <w:tcBorders>
              <w:top w:val="nil"/>
              <w:left w:val="nil"/>
              <w:bottom w:val="nil"/>
              <w:right w:val="nil"/>
            </w:tcBorders>
            <w:vAlign w:val="center"/>
          </w:tcPr>
          <w:p w14:paraId="6D21900F"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.425</w:t>
            </w:r>
          </w:p>
        </w:tc>
        <w:tc>
          <w:tcPr>
            <w:tcW w:w="688" w:type="pct"/>
            <w:gridSpan w:val="3"/>
            <w:tcBorders>
              <w:top w:val="nil"/>
              <w:left w:val="nil"/>
              <w:bottom w:val="nil"/>
              <w:right w:val="nil"/>
            </w:tcBorders>
            <w:vAlign w:val="center"/>
          </w:tcPr>
          <w:p w14:paraId="3BA0835D"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.427</w:t>
            </w:r>
          </w:p>
        </w:tc>
      </w:tr>
      <w:tr w:rsidR="00E9015E" w:rsidRPr="000673A6" w14:paraId="4AC2A21A" w14:textId="77777777" w:rsidTr="00C14E25">
        <w:trPr>
          <w:trHeight w:val="20"/>
        </w:trPr>
        <w:tc>
          <w:tcPr>
            <w:tcW w:w="1503" w:type="pct"/>
            <w:gridSpan w:val="2"/>
            <w:tcBorders>
              <w:top w:val="nil"/>
              <w:left w:val="nil"/>
              <w:bottom w:val="nil"/>
              <w:right w:val="nil"/>
            </w:tcBorders>
          </w:tcPr>
          <w:p w14:paraId="7C73ABCB" w14:textId="77777777" w:rsidR="00E9015E" w:rsidRPr="00DC5F32" w:rsidRDefault="00E9015E" w:rsidP="00C14E25">
            <w:pPr>
              <w:rPr>
                <w:rFonts w:ascii="Times New Roman" w:hAnsi="Times New Roman" w:cs="Times New Roman"/>
                <w:sz w:val="16"/>
                <w:szCs w:val="16"/>
              </w:rPr>
            </w:pPr>
            <w:r w:rsidRPr="00DC5F32">
              <w:rPr>
                <w:rFonts w:ascii="Times New Roman" w:hAnsi="Times New Roman" w:cs="Times New Roman"/>
                <w:sz w:val="16"/>
                <w:szCs w:val="16"/>
              </w:rPr>
              <w:t>Adjusted R</w:t>
            </w:r>
            <w:r w:rsidRPr="00DC5F32">
              <w:rPr>
                <w:rFonts w:ascii="Times New Roman" w:hAnsi="Times New Roman" w:cs="Times New Roman"/>
                <w:sz w:val="16"/>
                <w:szCs w:val="16"/>
                <w:vertAlign w:val="superscript"/>
              </w:rPr>
              <w:t>2</w:t>
            </w:r>
          </w:p>
        </w:tc>
        <w:tc>
          <w:tcPr>
            <w:tcW w:w="701" w:type="pct"/>
            <w:gridSpan w:val="2"/>
            <w:tcBorders>
              <w:top w:val="nil"/>
              <w:left w:val="dotted" w:sz="4" w:space="0" w:color="auto"/>
              <w:bottom w:val="nil"/>
              <w:right w:val="nil"/>
            </w:tcBorders>
            <w:vAlign w:val="center"/>
          </w:tcPr>
          <w:p w14:paraId="7C928A7F"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.191</w:t>
            </w:r>
          </w:p>
        </w:tc>
        <w:tc>
          <w:tcPr>
            <w:tcW w:w="731" w:type="pct"/>
            <w:gridSpan w:val="2"/>
            <w:tcBorders>
              <w:top w:val="nil"/>
              <w:left w:val="nil"/>
              <w:bottom w:val="nil"/>
              <w:right w:val="dotted" w:sz="4" w:space="0" w:color="auto"/>
            </w:tcBorders>
            <w:vAlign w:val="center"/>
          </w:tcPr>
          <w:p w14:paraId="1CD81ECD"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.227</w:t>
            </w:r>
          </w:p>
        </w:tc>
        <w:tc>
          <w:tcPr>
            <w:tcW w:w="688" w:type="pct"/>
            <w:gridSpan w:val="2"/>
            <w:tcBorders>
              <w:top w:val="nil"/>
              <w:left w:val="dotted" w:sz="4" w:space="0" w:color="auto"/>
              <w:bottom w:val="nil"/>
              <w:right w:val="nil"/>
            </w:tcBorders>
            <w:vAlign w:val="center"/>
          </w:tcPr>
          <w:p w14:paraId="2A227145"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.089</w:t>
            </w:r>
          </w:p>
        </w:tc>
        <w:tc>
          <w:tcPr>
            <w:tcW w:w="688" w:type="pct"/>
            <w:gridSpan w:val="2"/>
            <w:tcBorders>
              <w:top w:val="nil"/>
              <w:left w:val="nil"/>
              <w:bottom w:val="nil"/>
              <w:right w:val="nil"/>
            </w:tcBorders>
            <w:vAlign w:val="center"/>
          </w:tcPr>
          <w:p w14:paraId="066032E5"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.327</w:t>
            </w:r>
          </w:p>
        </w:tc>
        <w:tc>
          <w:tcPr>
            <w:tcW w:w="688" w:type="pct"/>
            <w:gridSpan w:val="3"/>
            <w:tcBorders>
              <w:top w:val="nil"/>
              <w:left w:val="nil"/>
              <w:bottom w:val="nil"/>
              <w:right w:val="nil"/>
            </w:tcBorders>
            <w:vAlign w:val="center"/>
          </w:tcPr>
          <w:p w14:paraId="338D31F7"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.323</w:t>
            </w:r>
          </w:p>
        </w:tc>
      </w:tr>
      <w:tr w:rsidR="00E9015E" w:rsidRPr="000673A6" w14:paraId="179FE513" w14:textId="77777777" w:rsidTr="00C14E25">
        <w:trPr>
          <w:trHeight w:val="20"/>
        </w:trPr>
        <w:tc>
          <w:tcPr>
            <w:tcW w:w="1503" w:type="pct"/>
            <w:gridSpan w:val="2"/>
            <w:tcBorders>
              <w:top w:val="nil"/>
              <w:left w:val="nil"/>
              <w:bottom w:val="nil"/>
              <w:right w:val="nil"/>
            </w:tcBorders>
          </w:tcPr>
          <w:p w14:paraId="27D1A354" w14:textId="77777777" w:rsidR="00E9015E" w:rsidRPr="00DC5F32" w:rsidRDefault="00E9015E" w:rsidP="00C14E25">
            <w:pPr>
              <w:rPr>
                <w:rFonts w:ascii="Times New Roman" w:hAnsi="Times New Roman" w:cs="Times New Roman"/>
                <w:sz w:val="16"/>
                <w:szCs w:val="16"/>
              </w:rPr>
            </w:pPr>
            <w:r w:rsidRPr="00DC5F32">
              <w:rPr>
                <w:rFonts w:ascii="Times New Roman" w:hAnsi="Times New Roman" w:cs="Times New Roman"/>
                <w:sz w:val="16"/>
                <w:szCs w:val="16"/>
              </w:rPr>
              <w:t>F-value</w:t>
            </w:r>
          </w:p>
        </w:tc>
        <w:tc>
          <w:tcPr>
            <w:tcW w:w="701" w:type="pct"/>
            <w:gridSpan w:val="2"/>
            <w:tcBorders>
              <w:top w:val="nil"/>
              <w:left w:val="dotted" w:sz="4" w:space="0" w:color="auto"/>
              <w:bottom w:val="nil"/>
              <w:right w:val="nil"/>
            </w:tcBorders>
            <w:vAlign w:val="center"/>
          </w:tcPr>
          <w:p w14:paraId="307385DD"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2.952</w:t>
            </w:r>
          </w:p>
        </w:tc>
        <w:tc>
          <w:tcPr>
            <w:tcW w:w="731" w:type="pct"/>
            <w:gridSpan w:val="2"/>
            <w:tcBorders>
              <w:top w:val="nil"/>
              <w:left w:val="nil"/>
              <w:bottom w:val="nil"/>
              <w:right w:val="dotted" w:sz="4" w:space="0" w:color="auto"/>
            </w:tcBorders>
            <w:vAlign w:val="center"/>
          </w:tcPr>
          <w:p w14:paraId="5AE3398A"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3.275</w:t>
            </w:r>
          </w:p>
        </w:tc>
        <w:tc>
          <w:tcPr>
            <w:tcW w:w="688" w:type="pct"/>
            <w:gridSpan w:val="2"/>
            <w:tcBorders>
              <w:top w:val="nil"/>
              <w:left w:val="dotted" w:sz="4" w:space="0" w:color="auto"/>
              <w:bottom w:val="nil"/>
              <w:right w:val="nil"/>
            </w:tcBorders>
            <w:vAlign w:val="center"/>
          </w:tcPr>
          <w:p w14:paraId="5A233D32"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1.812</w:t>
            </w:r>
          </w:p>
        </w:tc>
        <w:tc>
          <w:tcPr>
            <w:tcW w:w="688" w:type="pct"/>
            <w:gridSpan w:val="2"/>
            <w:tcBorders>
              <w:top w:val="nil"/>
              <w:left w:val="nil"/>
              <w:bottom w:val="nil"/>
              <w:right w:val="nil"/>
            </w:tcBorders>
            <w:vAlign w:val="center"/>
          </w:tcPr>
          <w:p w14:paraId="14EF8DBE"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4.346</w:t>
            </w:r>
          </w:p>
        </w:tc>
        <w:tc>
          <w:tcPr>
            <w:tcW w:w="688" w:type="pct"/>
            <w:gridSpan w:val="3"/>
            <w:tcBorders>
              <w:top w:val="nil"/>
              <w:left w:val="nil"/>
              <w:bottom w:val="nil"/>
              <w:right w:val="nil"/>
            </w:tcBorders>
            <w:vAlign w:val="center"/>
          </w:tcPr>
          <w:p w14:paraId="451D7F0D"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4.111</w:t>
            </w:r>
          </w:p>
        </w:tc>
      </w:tr>
      <w:tr w:rsidR="00E9015E" w:rsidRPr="000673A6" w14:paraId="770A8A5A" w14:textId="77777777" w:rsidTr="00C14E25">
        <w:trPr>
          <w:trHeight w:val="20"/>
        </w:trPr>
        <w:tc>
          <w:tcPr>
            <w:tcW w:w="1503" w:type="pct"/>
            <w:gridSpan w:val="2"/>
            <w:tcBorders>
              <w:top w:val="nil"/>
              <w:left w:val="nil"/>
              <w:bottom w:val="nil"/>
              <w:right w:val="nil"/>
            </w:tcBorders>
          </w:tcPr>
          <w:p w14:paraId="6C23CB16" w14:textId="77777777" w:rsidR="00E9015E" w:rsidRPr="00DC5F32" w:rsidRDefault="00E9015E" w:rsidP="00C14E25">
            <w:pPr>
              <w:rPr>
                <w:rFonts w:ascii="Times New Roman" w:hAnsi="Times New Roman" w:cs="Times New Roman"/>
                <w:sz w:val="16"/>
                <w:szCs w:val="16"/>
              </w:rPr>
            </w:pPr>
            <w:r w:rsidRPr="00DC5F32">
              <w:rPr>
                <w:rFonts w:ascii="Times New Roman" w:hAnsi="Times New Roman" w:cs="Times New Roman"/>
                <w:sz w:val="16"/>
                <w:szCs w:val="16"/>
              </w:rPr>
              <w:t>R</w:t>
            </w:r>
            <w:r w:rsidRPr="00DC5F32">
              <w:rPr>
                <w:rFonts w:ascii="Times New Roman" w:hAnsi="Times New Roman" w:cs="Times New Roman"/>
                <w:sz w:val="16"/>
                <w:szCs w:val="16"/>
                <w:vertAlign w:val="superscript"/>
              </w:rPr>
              <w:t xml:space="preserve">2 </w:t>
            </w:r>
            <w:r w:rsidRPr="00DC5F32">
              <w:rPr>
                <w:rFonts w:ascii="Times New Roman" w:hAnsi="Times New Roman" w:cs="Times New Roman"/>
                <w:sz w:val="16"/>
                <w:szCs w:val="16"/>
              </w:rPr>
              <w:t>change</w:t>
            </w:r>
          </w:p>
        </w:tc>
        <w:tc>
          <w:tcPr>
            <w:tcW w:w="701" w:type="pct"/>
            <w:gridSpan w:val="2"/>
            <w:tcBorders>
              <w:top w:val="nil"/>
              <w:left w:val="dotted" w:sz="4" w:space="0" w:color="auto"/>
              <w:bottom w:val="nil"/>
              <w:right w:val="nil"/>
            </w:tcBorders>
            <w:vAlign w:val="center"/>
          </w:tcPr>
          <w:p w14:paraId="34330C3F"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w:t>
            </w:r>
          </w:p>
        </w:tc>
        <w:tc>
          <w:tcPr>
            <w:tcW w:w="731" w:type="pct"/>
            <w:gridSpan w:val="2"/>
            <w:tcBorders>
              <w:top w:val="nil"/>
              <w:left w:val="nil"/>
              <w:bottom w:val="nil"/>
              <w:right w:val="dotted" w:sz="4" w:space="0" w:color="auto"/>
            </w:tcBorders>
            <w:vAlign w:val="center"/>
          </w:tcPr>
          <w:p w14:paraId="25698D1A"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.038</w:t>
            </w:r>
          </w:p>
        </w:tc>
        <w:tc>
          <w:tcPr>
            <w:tcW w:w="688" w:type="pct"/>
            <w:gridSpan w:val="2"/>
            <w:tcBorders>
              <w:top w:val="nil"/>
              <w:left w:val="dotted" w:sz="4" w:space="0" w:color="auto"/>
              <w:bottom w:val="nil"/>
              <w:right w:val="nil"/>
            </w:tcBorders>
            <w:vAlign w:val="center"/>
          </w:tcPr>
          <w:p w14:paraId="5D56EB78"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w:t>
            </w:r>
          </w:p>
        </w:tc>
        <w:tc>
          <w:tcPr>
            <w:tcW w:w="688" w:type="pct"/>
            <w:gridSpan w:val="2"/>
            <w:tcBorders>
              <w:top w:val="nil"/>
              <w:left w:val="nil"/>
              <w:bottom w:val="nil"/>
              <w:right w:val="nil"/>
            </w:tcBorders>
            <w:vAlign w:val="center"/>
          </w:tcPr>
          <w:p w14:paraId="6A94504E"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.225</w:t>
            </w:r>
          </w:p>
        </w:tc>
        <w:tc>
          <w:tcPr>
            <w:tcW w:w="688" w:type="pct"/>
            <w:gridSpan w:val="3"/>
            <w:tcBorders>
              <w:top w:val="nil"/>
              <w:left w:val="nil"/>
              <w:bottom w:val="nil"/>
              <w:right w:val="nil"/>
            </w:tcBorders>
            <w:vAlign w:val="center"/>
          </w:tcPr>
          <w:p w14:paraId="56D9A7E3"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.002</w:t>
            </w:r>
          </w:p>
        </w:tc>
      </w:tr>
      <w:tr w:rsidR="00E9015E" w:rsidRPr="000673A6" w14:paraId="1E07F7BB" w14:textId="77777777" w:rsidTr="00C14E25">
        <w:trPr>
          <w:trHeight w:val="20"/>
        </w:trPr>
        <w:tc>
          <w:tcPr>
            <w:tcW w:w="1503" w:type="pct"/>
            <w:gridSpan w:val="2"/>
            <w:tcBorders>
              <w:top w:val="nil"/>
              <w:left w:val="nil"/>
              <w:bottom w:val="nil"/>
              <w:right w:val="nil"/>
            </w:tcBorders>
          </w:tcPr>
          <w:p w14:paraId="6A6A8532" w14:textId="77777777" w:rsidR="00E9015E" w:rsidRPr="00DC5F32" w:rsidRDefault="00E9015E" w:rsidP="00C14E25">
            <w:pPr>
              <w:rPr>
                <w:rFonts w:ascii="Times New Roman" w:hAnsi="Times New Roman" w:cs="Times New Roman"/>
                <w:sz w:val="16"/>
                <w:szCs w:val="16"/>
              </w:rPr>
            </w:pPr>
            <w:r w:rsidRPr="00DC5F32">
              <w:rPr>
                <w:rFonts w:ascii="Times New Roman" w:hAnsi="Times New Roman" w:cs="Times New Roman"/>
                <w:sz w:val="16"/>
                <w:szCs w:val="16"/>
              </w:rPr>
              <w:t>F change</w:t>
            </w:r>
          </w:p>
        </w:tc>
        <w:tc>
          <w:tcPr>
            <w:tcW w:w="701" w:type="pct"/>
            <w:gridSpan w:val="2"/>
            <w:tcBorders>
              <w:top w:val="nil"/>
              <w:left w:val="dotted" w:sz="4" w:space="0" w:color="auto"/>
              <w:bottom w:val="nil"/>
              <w:right w:val="nil"/>
            </w:tcBorders>
            <w:vAlign w:val="center"/>
          </w:tcPr>
          <w:p w14:paraId="1384BB97"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w:t>
            </w:r>
          </w:p>
        </w:tc>
        <w:tc>
          <w:tcPr>
            <w:tcW w:w="731" w:type="pct"/>
            <w:gridSpan w:val="2"/>
            <w:tcBorders>
              <w:top w:val="nil"/>
              <w:left w:val="nil"/>
              <w:bottom w:val="nil"/>
              <w:right w:val="dotted" w:sz="4" w:space="0" w:color="auto"/>
            </w:tcBorders>
            <w:vAlign w:val="center"/>
          </w:tcPr>
          <w:p w14:paraId="661D3CF6"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6.063</w:t>
            </w:r>
          </w:p>
        </w:tc>
        <w:tc>
          <w:tcPr>
            <w:tcW w:w="688" w:type="pct"/>
            <w:gridSpan w:val="2"/>
            <w:tcBorders>
              <w:top w:val="nil"/>
              <w:left w:val="dotted" w:sz="4" w:space="0" w:color="auto"/>
              <w:bottom w:val="nil"/>
              <w:right w:val="nil"/>
            </w:tcBorders>
            <w:vAlign w:val="center"/>
          </w:tcPr>
          <w:p w14:paraId="0AB8908C"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w:t>
            </w:r>
          </w:p>
        </w:tc>
        <w:tc>
          <w:tcPr>
            <w:tcW w:w="688" w:type="pct"/>
            <w:gridSpan w:val="2"/>
            <w:tcBorders>
              <w:top w:val="nil"/>
              <w:left w:val="nil"/>
              <w:bottom w:val="nil"/>
              <w:right w:val="nil"/>
            </w:tcBorders>
            <w:vAlign w:val="center"/>
          </w:tcPr>
          <w:p w14:paraId="658E02E7"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13.821</w:t>
            </w:r>
          </w:p>
        </w:tc>
        <w:tc>
          <w:tcPr>
            <w:tcW w:w="688" w:type="pct"/>
            <w:gridSpan w:val="3"/>
            <w:tcBorders>
              <w:top w:val="nil"/>
              <w:left w:val="nil"/>
              <w:bottom w:val="nil"/>
              <w:right w:val="nil"/>
            </w:tcBorders>
            <w:vAlign w:val="center"/>
          </w:tcPr>
          <w:p w14:paraId="14125307" w14:textId="77777777" w:rsidR="00E9015E" w:rsidRPr="00DC5F32" w:rsidRDefault="00E9015E" w:rsidP="00C14E25">
            <w:pPr>
              <w:jc w:val="center"/>
              <w:rPr>
                <w:rFonts w:ascii="Times New Roman" w:hAnsi="Times New Roman" w:cs="Times New Roman"/>
                <w:sz w:val="16"/>
                <w:szCs w:val="16"/>
              </w:rPr>
            </w:pPr>
            <w:r w:rsidRPr="00DC5F32">
              <w:rPr>
                <w:rFonts w:ascii="Times New Roman" w:hAnsi="Times New Roman" w:cs="Times New Roman"/>
                <w:sz w:val="16"/>
                <w:szCs w:val="16"/>
              </w:rPr>
              <w:t>.363</w:t>
            </w:r>
          </w:p>
        </w:tc>
      </w:tr>
      <w:tr w:rsidR="00E9015E" w:rsidRPr="000673A6" w14:paraId="730B2D89" w14:textId="77777777" w:rsidTr="00C14E25">
        <w:trPr>
          <w:trHeight w:val="20"/>
        </w:trPr>
        <w:tc>
          <w:tcPr>
            <w:tcW w:w="1503" w:type="pct"/>
            <w:gridSpan w:val="2"/>
            <w:tcBorders>
              <w:top w:val="nil"/>
              <w:left w:val="nil"/>
              <w:bottom w:val="single" w:sz="12" w:space="0" w:color="auto"/>
              <w:right w:val="nil"/>
            </w:tcBorders>
          </w:tcPr>
          <w:p w14:paraId="32B77FA6" w14:textId="77777777" w:rsidR="00E9015E" w:rsidRPr="00E75E6C" w:rsidRDefault="00E9015E" w:rsidP="00C14E25">
            <w:pPr>
              <w:rPr>
                <w:rFonts w:ascii="Times New Roman" w:hAnsi="Times New Roman" w:cs="Times New Roman"/>
                <w:sz w:val="14"/>
                <w:szCs w:val="14"/>
              </w:rPr>
            </w:pPr>
            <w:r w:rsidRPr="00E75E6C">
              <w:rPr>
                <w:rFonts w:ascii="Times New Roman" w:hAnsi="Times New Roman" w:cs="Times New Roman"/>
                <w:sz w:val="14"/>
                <w:szCs w:val="14"/>
              </w:rPr>
              <w:t>p-value</w:t>
            </w:r>
          </w:p>
        </w:tc>
        <w:tc>
          <w:tcPr>
            <w:tcW w:w="701" w:type="pct"/>
            <w:gridSpan w:val="2"/>
            <w:tcBorders>
              <w:top w:val="nil"/>
              <w:left w:val="dotted" w:sz="4" w:space="0" w:color="auto"/>
              <w:bottom w:val="single" w:sz="12" w:space="0" w:color="auto"/>
              <w:right w:val="nil"/>
            </w:tcBorders>
            <w:vAlign w:val="center"/>
          </w:tcPr>
          <w:p w14:paraId="44A8DE6B" w14:textId="77777777" w:rsidR="00E9015E" w:rsidRPr="00E75E6C" w:rsidRDefault="00E9015E" w:rsidP="00C14E25">
            <w:pPr>
              <w:jc w:val="center"/>
              <w:rPr>
                <w:rFonts w:ascii="Times New Roman" w:hAnsi="Times New Roman" w:cs="Times New Roman"/>
                <w:sz w:val="14"/>
                <w:szCs w:val="14"/>
              </w:rPr>
            </w:pPr>
            <w:r w:rsidRPr="00E75E6C">
              <w:rPr>
                <w:rFonts w:ascii="Times New Roman" w:hAnsi="Times New Roman" w:cs="Times New Roman"/>
                <w:sz w:val="14"/>
                <w:szCs w:val="14"/>
              </w:rPr>
              <w:t>.001</w:t>
            </w:r>
          </w:p>
        </w:tc>
        <w:tc>
          <w:tcPr>
            <w:tcW w:w="731" w:type="pct"/>
            <w:gridSpan w:val="2"/>
            <w:tcBorders>
              <w:top w:val="nil"/>
              <w:left w:val="nil"/>
              <w:bottom w:val="single" w:sz="12" w:space="0" w:color="auto"/>
              <w:right w:val="dotted" w:sz="4" w:space="0" w:color="auto"/>
            </w:tcBorders>
            <w:vAlign w:val="center"/>
          </w:tcPr>
          <w:p w14:paraId="1D6983EB" w14:textId="77777777" w:rsidR="00E9015E" w:rsidRPr="00E75E6C" w:rsidRDefault="00E9015E" w:rsidP="00C14E25">
            <w:pPr>
              <w:jc w:val="center"/>
              <w:rPr>
                <w:rFonts w:ascii="Times New Roman" w:hAnsi="Times New Roman" w:cs="Times New Roman"/>
                <w:sz w:val="14"/>
                <w:szCs w:val="14"/>
              </w:rPr>
            </w:pPr>
            <w:r w:rsidRPr="00E75E6C">
              <w:rPr>
                <w:rFonts w:ascii="Times New Roman" w:hAnsi="Times New Roman" w:cs="Times New Roman"/>
                <w:sz w:val="14"/>
                <w:szCs w:val="14"/>
              </w:rPr>
              <w:t>.000</w:t>
            </w:r>
          </w:p>
        </w:tc>
        <w:tc>
          <w:tcPr>
            <w:tcW w:w="688" w:type="pct"/>
            <w:gridSpan w:val="2"/>
            <w:tcBorders>
              <w:top w:val="nil"/>
              <w:left w:val="dotted" w:sz="4" w:space="0" w:color="auto"/>
              <w:bottom w:val="single" w:sz="12" w:space="0" w:color="auto"/>
              <w:right w:val="nil"/>
            </w:tcBorders>
            <w:vAlign w:val="center"/>
          </w:tcPr>
          <w:p w14:paraId="73F68810" w14:textId="77777777" w:rsidR="00E9015E" w:rsidRPr="00E75E6C" w:rsidRDefault="00E9015E" w:rsidP="00C14E25">
            <w:pPr>
              <w:jc w:val="center"/>
              <w:rPr>
                <w:rFonts w:ascii="Times New Roman" w:hAnsi="Times New Roman" w:cs="Times New Roman"/>
                <w:sz w:val="14"/>
                <w:szCs w:val="14"/>
              </w:rPr>
            </w:pPr>
            <w:r w:rsidRPr="00E75E6C">
              <w:rPr>
                <w:rFonts w:ascii="Times New Roman" w:hAnsi="Times New Roman" w:cs="Times New Roman"/>
                <w:sz w:val="14"/>
                <w:szCs w:val="14"/>
              </w:rPr>
              <w:t>.042</w:t>
            </w:r>
          </w:p>
        </w:tc>
        <w:tc>
          <w:tcPr>
            <w:tcW w:w="688" w:type="pct"/>
            <w:gridSpan w:val="2"/>
            <w:tcBorders>
              <w:top w:val="nil"/>
              <w:left w:val="nil"/>
              <w:bottom w:val="single" w:sz="12" w:space="0" w:color="auto"/>
              <w:right w:val="nil"/>
            </w:tcBorders>
            <w:vAlign w:val="center"/>
          </w:tcPr>
          <w:p w14:paraId="53CEC8C5" w14:textId="77777777" w:rsidR="00E9015E" w:rsidRPr="00E75E6C" w:rsidRDefault="00E9015E" w:rsidP="00C14E25">
            <w:pPr>
              <w:jc w:val="center"/>
              <w:rPr>
                <w:rFonts w:ascii="Times New Roman" w:hAnsi="Times New Roman" w:cs="Times New Roman"/>
                <w:sz w:val="14"/>
                <w:szCs w:val="14"/>
              </w:rPr>
            </w:pPr>
            <w:r w:rsidRPr="00E75E6C">
              <w:rPr>
                <w:rFonts w:ascii="Times New Roman" w:hAnsi="Times New Roman" w:cs="Times New Roman"/>
                <w:sz w:val="14"/>
                <w:szCs w:val="14"/>
              </w:rPr>
              <w:t>.000</w:t>
            </w:r>
          </w:p>
        </w:tc>
        <w:tc>
          <w:tcPr>
            <w:tcW w:w="688" w:type="pct"/>
            <w:gridSpan w:val="3"/>
            <w:tcBorders>
              <w:top w:val="nil"/>
              <w:left w:val="nil"/>
              <w:bottom w:val="single" w:sz="12" w:space="0" w:color="auto"/>
              <w:right w:val="nil"/>
            </w:tcBorders>
            <w:vAlign w:val="center"/>
          </w:tcPr>
          <w:p w14:paraId="3EF90A41" w14:textId="77777777" w:rsidR="00E9015E" w:rsidRPr="00E75E6C" w:rsidRDefault="00E9015E" w:rsidP="00C14E25">
            <w:pPr>
              <w:jc w:val="center"/>
              <w:rPr>
                <w:rFonts w:ascii="Times New Roman" w:hAnsi="Times New Roman" w:cs="Times New Roman"/>
                <w:sz w:val="14"/>
                <w:szCs w:val="14"/>
              </w:rPr>
            </w:pPr>
            <w:r w:rsidRPr="00E75E6C">
              <w:rPr>
                <w:rFonts w:ascii="Times New Roman" w:hAnsi="Times New Roman" w:cs="Times New Roman"/>
                <w:sz w:val="14"/>
                <w:szCs w:val="14"/>
              </w:rPr>
              <w:t>.000</w:t>
            </w:r>
          </w:p>
        </w:tc>
      </w:tr>
      <w:tr w:rsidR="00E9015E" w:rsidRPr="000673A6" w14:paraId="18810A80" w14:textId="77777777" w:rsidTr="00C14E25">
        <w:trPr>
          <w:gridAfter w:val="1"/>
          <w:wAfter w:w="21" w:type="pct"/>
          <w:trHeight w:val="20"/>
        </w:trPr>
        <w:tc>
          <w:tcPr>
            <w:tcW w:w="4979" w:type="pct"/>
            <w:gridSpan w:val="12"/>
            <w:tcBorders>
              <w:top w:val="single" w:sz="12" w:space="0" w:color="auto"/>
              <w:left w:val="nil"/>
              <w:bottom w:val="nil"/>
              <w:right w:val="nil"/>
            </w:tcBorders>
          </w:tcPr>
          <w:p w14:paraId="0EDEDD61" w14:textId="77777777" w:rsidR="00E9015E" w:rsidRDefault="00E9015E" w:rsidP="00C14E25">
            <w:pPr>
              <w:rPr>
                <w:rFonts w:ascii="Times New Roman" w:hAnsi="Times New Roman" w:cs="Times New Roman"/>
                <w:kern w:val="0"/>
                <w:sz w:val="14"/>
                <w:szCs w:val="14"/>
              </w:rPr>
            </w:pPr>
            <w:r w:rsidRPr="000673A6">
              <w:rPr>
                <w:rFonts w:ascii="Times New Roman" w:eastAsia="Malgun Gothic" w:hAnsi="Times New Roman" w:cs="Times New Roman"/>
                <w:kern w:val="0"/>
                <w:sz w:val="14"/>
                <w:szCs w:val="14"/>
                <w:vertAlign w:val="superscript"/>
              </w:rPr>
              <w:t>+</w:t>
            </w:r>
            <w:r w:rsidRPr="000673A6">
              <w:rPr>
                <w:rFonts w:ascii="Times New Roman" w:eastAsia="Malgun Gothic" w:hAnsi="Times New Roman" w:cs="Times New Roman"/>
                <w:kern w:val="0"/>
                <w:sz w:val="14"/>
                <w:szCs w:val="14"/>
              </w:rPr>
              <w:t xml:space="preserve"> </w:t>
            </w:r>
            <w:r w:rsidRPr="000673A6">
              <w:rPr>
                <w:rFonts w:ascii="Times New Roman" w:hAnsi="Times New Roman" w:cs="Times New Roman"/>
                <w:i/>
                <w:kern w:val="0"/>
                <w:sz w:val="14"/>
                <w:szCs w:val="14"/>
              </w:rPr>
              <w:t>p</w:t>
            </w:r>
            <w:r w:rsidRPr="000673A6">
              <w:rPr>
                <w:rFonts w:ascii="Times New Roman" w:hAnsi="Times New Roman" w:cs="Times New Roman"/>
                <w:kern w:val="0"/>
                <w:sz w:val="14"/>
                <w:szCs w:val="14"/>
              </w:rPr>
              <w:t xml:space="preserve"> &lt; .1; </w:t>
            </w:r>
            <w:r w:rsidRPr="000673A6">
              <w:rPr>
                <w:rFonts w:ascii="Times New Roman" w:hAnsi="Times New Roman" w:cs="Times New Roman"/>
                <w:kern w:val="0"/>
                <w:sz w:val="14"/>
                <w:szCs w:val="14"/>
                <w:vertAlign w:val="superscript"/>
              </w:rPr>
              <w:t>*</w:t>
            </w:r>
            <w:r w:rsidRPr="000673A6">
              <w:rPr>
                <w:rFonts w:ascii="Times New Roman" w:hAnsi="Times New Roman" w:cs="Times New Roman"/>
                <w:kern w:val="0"/>
                <w:sz w:val="14"/>
                <w:szCs w:val="14"/>
              </w:rPr>
              <w:t xml:space="preserve"> </w:t>
            </w:r>
            <w:r w:rsidRPr="000673A6">
              <w:rPr>
                <w:rFonts w:ascii="Times New Roman" w:hAnsi="Times New Roman" w:cs="Times New Roman"/>
                <w:i/>
                <w:kern w:val="0"/>
                <w:sz w:val="14"/>
                <w:szCs w:val="14"/>
              </w:rPr>
              <w:t>p</w:t>
            </w:r>
            <w:r w:rsidRPr="000673A6">
              <w:rPr>
                <w:rFonts w:ascii="Times New Roman" w:hAnsi="Times New Roman" w:cs="Times New Roman"/>
                <w:kern w:val="0"/>
                <w:sz w:val="14"/>
                <w:szCs w:val="14"/>
              </w:rPr>
              <w:t xml:space="preserve"> &lt; .05; </w:t>
            </w:r>
            <w:r w:rsidRPr="000673A6">
              <w:rPr>
                <w:rFonts w:ascii="Times New Roman" w:hAnsi="Times New Roman" w:cs="Times New Roman"/>
                <w:kern w:val="0"/>
                <w:sz w:val="14"/>
                <w:szCs w:val="14"/>
                <w:vertAlign w:val="superscript"/>
              </w:rPr>
              <w:t xml:space="preserve">** </w:t>
            </w:r>
            <w:r w:rsidRPr="000673A6">
              <w:rPr>
                <w:rFonts w:ascii="Times New Roman" w:hAnsi="Times New Roman" w:cs="Times New Roman"/>
                <w:i/>
                <w:kern w:val="0"/>
                <w:sz w:val="14"/>
                <w:szCs w:val="14"/>
              </w:rPr>
              <w:t>p</w:t>
            </w:r>
            <w:r w:rsidRPr="000673A6">
              <w:rPr>
                <w:rFonts w:ascii="Times New Roman" w:hAnsi="Times New Roman" w:cs="Times New Roman"/>
                <w:kern w:val="0"/>
                <w:sz w:val="14"/>
                <w:szCs w:val="14"/>
              </w:rPr>
              <w:t xml:space="preserve"> &lt; .01; </w:t>
            </w:r>
            <w:r w:rsidRPr="000673A6">
              <w:rPr>
                <w:rFonts w:ascii="Times New Roman" w:hAnsi="Times New Roman" w:cs="Times New Roman"/>
                <w:kern w:val="0"/>
                <w:sz w:val="14"/>
                <w:szCs w:val="14"/>
                <w:vertAlign w:val="superscript"/>
              </w:rPr>
              <w:t xml:space="preserve">*** </w:t>
            </w:r>
            <w:r w:rsidRPr="000673A6">
              <w:rPr>
                <w:rFonts w:ascii="Times New Roman" w:hAnsi="Times New Roman" w:cs="Times New Roman"/>
                <w:i/>
                <w:kern w:val="0"/>
                <w:sz w:val="14"/>
                <w:szCs w:val="14"/>
              </w:rPr>
              <w:t>p</w:t>
            </w:r>
            <w:r w:rsidRPr="000673A6">
              <w:rPr>
                <w:rFonts w:ascii="Times New Roman" w:hAnsi="Times New Roman" w:cs="Times New Roman"/>
                <w:kern w:val="0"/>
                <w:sz w:val="14"/>
                <w:szCs w:val="14"/>
              </w:rPr>
              <w:t xml:space="preserve"> &lt; .001, two-tailed test</w:t>
            </w:r>
          </w:p>
          <w:p w14:paraId="16DF886A" w14:textId="77777777" w:rsidR="00E9015E" w:rsidRPr="000673A6" w:rsidRDefault="00E9015E" w:rsidP="00C14E25">
            <w:pPr>
              <w:rPr>
                <w:rFonts w:ascii="Times New Roman" w:hAnsi="Times New Roman" w:cs="Times New Roman"/>
                <w:sz w:val="15"/>
                <w:szCs w:val="15"/>
              </w:rPr>
            </w:pPr>
            <w:r w:rsidRPr="000673A6">
              <w:rPr>
                <w:rFonts w:ascii="Times New Roman" w:hAnsi="Times New Roman" w:cs="Times New Roman"/>
                <w:sz w:val="14"/>
                <w:szCs w:val="14"/>
              </w:rPr>
              <w:t>All estimates are unstandardized coefficient</w:t>
            </w:r>
            <w:r>
              <w:rPr>
                <w:rFonts w:ascii="Times New Roman" w:hAnsi="Times New Roman" w:cs="Times New Roman" w:hint="eastAsia"/>
                <w:sz w:val="14"/>
                <w:szCs w:val="14"/>
              </w:rPr>
              <w:t>s</w:t>
            </w:r>
            <w:r>
              <w:rPr>
                <w:rFonts w:ascii="Times New Roman" w:hAnsi="Times New Roman" w:cs="Times New Roman" w:hint="eastAsia"/>
                <w:kern w:val="0"/>
                <w:sz w:val="14"/>
                <w:szCs w:val="14"/>
              </w:rPr>
              <w:t xml:space="preserve"> </w:t>
            </w:r>
          </w:p>
        </w:tc>
      </w:tr>
    </w:tbl>
    <w:p w14:paraId="297C889F" w14:textId="77777777" w:rsidR="00E9015E" w:rsidRPr="00DC5F32" w:rsidRDefault="00E9015E" w:rsidP="00E9015E">
      <w:pPr>
        <w:rPr>
          <w:sz w:val="14"/>
          <w:szCs w:val="16"/>
          <w:vertAlign w:val="superscript"/>
        </w:rPr>
      </w:pPr>
    </w:p>
    <w:p w14:paraId="2992177A" w14:textId="77777777" w:rsidR="00E9015E" w:rsidRDefault="00E9015E" w:rsidP="00E9015E">
      <w:pPr>
        <w:rPr>
          <w:sz w:val="14"/>
          <w:szCs w:val="16"/>
          <w:vertAlign w:val="superscript"/>
        </w:rPr>
      </w:pPr>
    </w:p>
    <w:p w14:paraId="649B6362" w14:textId="77777777" w:rsidR="00E9015E" w:rsidRDefault="00E9015E" w:rsidP="00E9015E">
      <w:pPr>
        <w:rPr>
          <w:sz w:val="14"/>
          <w:szCs w:val="16"/>
          <w:vertAlign w:val="superscript"/>
        </w:rPr>
      </w:pPr>
    </w:p>
    <w:p w14:paraId="38408C0E" w14:textId="77777777" w:rsidR="00E9015E" w:rsidRDefault="00E9015E" w:rsidP="00E9015E">
      <w:pPr>
        <w:rPr>
          <w:sz w:val="14"/>
          <w:szCs w:val="16"/>
          <w:vertAlign w:val="superscript"/>
        </w:rPr>
      </w:pPr>
    </w:p>
    <w:p w14:paraId="1F49CCAE" w14:textId="77777777" w:rsidR="00E9015E" w:rsidRDefault="00E9015E" w:rsidP="00E9015E">
      <w:pPr>
        <w:rPr>
          <w:sz w:val="14"/>
          <w:szCs w:val="16"/>
          <w:vertAlign w:val="superscript"/>
        </w:rPr>
      </w:pPr>
    </w:p>
    <w:p w14:paraId="6D3DEFA6" w14:textId="77777777" w:rsidR="00E9015E" w:rsidRDefault="00E9015E" w:rsidP="00E9015E">
      <w:pPr>
        <w:rPr>
          <w:sz w:val="14"/>
          <w:szCs w:val="16"/>
          <w:vertAlign w:val="superscript"/>
        </w:rPr>
      </w:pPr>
    </w:p>
    <w:p w14:paraId="7C1F953C" w14:textId="77777777" w:rsidR="00E9015E" w:rsidRDefault="00E9015E" w:rsidP="00E9015E">
      <w:pPr>
        <w:rPr>
          <w:sz w:val="14"/>
          <w:szCs w:val="16"/>
          <w:vertAlign w:val="superscript"/>
        </w:rPr>
        <w:sectPr w:rsidR="00E9015E" w:rsidSect="00DC5F32">
          <w:pgSz w:w="11906" w:h="16838"/>
          <w:pgMar w:top="1440" w:right="1440" w:bottom="1701" w:left="1440" w:header="851" w:footer="992" w:gutter="0"/>
          <w:cols w:space="425"/>
          <w:docGrid w:linePitch="360"/>
        </w:sectPr>
      </w:pPr>
    </w:p>
    <w:p w14:paraId="62AD0838" w14:textId="77777777" w:rsidR="00E9015E" w:rsidRDefault="00E9015E" w:rsidP="00E9015E">
      <w:pPr>
        <w:rPr>
          <w:sz w:val="14"/>
          <w:szCs w:val="14"/>
        </w:rPr>
      </w:pPr>
    </w:p>
    <w:tbl>
      <w:tblPr>
        <w:tblStyle w:val="TableGrid1"/>
        <w:tblpPr w:leftFromText="142" w:rightFromText="142" w:vertAnchor="text" w:horzAnchor="margin" w:tblpY="695"/>
        <w:tblW w:w="5000" w:type="pct"/>
        <w:tblLook w:val="04A0" w:firstRow="1" w:lastRow="0" w:firstColumn="1" w:lastColumn="0" w:noHBand="0" w:noVBand="1"/>
      </w:tblPr>
      <w:tblGrid>
        <w:gridCol w:w="661"/>
        <w:gridCol w:w="4291"/>
        <w:gridCol w:w="2036"/>
        <w:gridCol w:w="2038"/>
      </w:tblGrid>
      <w:tr w:rsidR="00E9015E" w:rsidRPr="000673A6" w14:paraId="146E02DA" w14:textId="77777777" w:rsidTr="00C14E25">
        <w:trPr>
          <w:trHeight w:val="397"/>
        </w:trPr>
        <w:tc>
          <w:tcPr>
            <w:tcW w:w="5000" w:type="pct"/>
            <w:gridSpan w:val="4"/>
            <w:tcBorders>
              <w:top w:val="nil"/>
              <w:left w:val="nil"/>
              <w:bottom w:val="single" w:sz="12" w:space="0" w:color="auto"/>
              <w:right w:val="nil"/>
            </w:tcBorders>
          </w:tcPr>
          <w:p w14:paraId="23213C10" w14:textId="77777777" w:rsidR="00E9015E" w:rsidRPr="000673A6" w:rsidRDefault="00E9015E" w:rsidP="00C14E25">
            <w:pPr>
              <w:widowControl/>
              <w:autoSpaceDE/>
              <w:autoSpaceDN/>
              <w:jc w:val="center"/>
              <w:rPr>
                <w:rFonts w:ascii="Times New Roman" w:hAnsi="Times New Roman" w:cs="Times New Roman"/>
                <w:b/>
                <w:caps/>
                <w:szCs w:val="18"/>
              </w:rPr>
            </w:pPr>
            <w:r>
              <w:rPr>
                <w:rFonts w:ascii="Times New Roman" w:hAnsi="Times New Roman" w:cs="Times New Roman" w:hint="eastAsia"/>
                <w:b/>
                <w:caps/>
                <w:szCs w:val="18"/>
              </w:rPr>
              <w:t>APPENDIX</w:t>
            </w:r>
            <w:r w:rsidRPr="000673A6">
              <w:rPr>
                <w:rFonts w:ascii="Times New Roman" w:hAnsi="Times New Roman" w:cs="Times New Roman"/>
                <w:b/>
                <w:caps/>
                <w:szCs w:val="18"/>
              </w:rPr>
              <w:t xml:space="preserve"> </w:t>
            </w:r>
            <w:r w:rsidRPr="000673A6">
              <w:rPr>
                <w:rFonts w:ascii="Times New Roman" w:eastAsia="Arial Unicode MS" w:hAnsi="Times New Roman" w:cs="Times New Roman"/>
                <w:b/>
                <w:caps/>
                <w:szCs w:val="18"/>
              </w:rPr>
              <w:t>Ⅰ</w:t>
            </w:r>
          </w:p>
          <w:p w14:paraId="4D0A04FC" w14:textId="77777777" w:rsidR="00E9015E" w:rsidRPr="000673A6" w:rsidRDefault="00E9015E" w:rsidP="00C14E25">
            <w:pPr>
              <w:jc w:val="center"/>
              <w:rPr>
                <w:rFonts w:ascii="Times New Roman" w:hAnsi="Times New Roman" w:cs="Times New Roman"/>
                <w:b/>
                <w:szCs w:val="18"/>
              </w:rPr>
            </w:pPr>
            <w:r w:rsidRPr="000673A6">
              <w:rPr>
                <w:rFonts w:ascii="Times New Roman" w:hAnsi="Times New Roman" w:cs="Times New Roman"/>
                <w:b/>
                <w:szCs w:val="18"/>
              </w:rPr>
              <w:t>Sample Distribution: Industry, Number of Employees, Sales, Relational Attributes</w:t>
            </w:r>
          </w:p>
        </w:tc>
      </w:tr>
      <w:tr w:rsidR="00E9015E" w:rsidRPr="000673A6" w14:paraId="372C2016" w14:textId="77777777" w:rsidTr="00C14E25">
        <w:trPr>
          <w:trHeight w:val="449"/>
        </w:trPr>
        <w:tc>
          <w:tcPr>
            <w:tcW w:w="2743" w:type="pct"/>
            <w:gridSpan w:val="2"/>
            <w:tcBorders>
              <w:top w:val="single" w:sz="12" w:space="0" w:color="auto"/>
              <w:left w:val="nil"/>
              <w:bottom w:val="single" w:sz="12" w:space="0" w:color="auto"/>
              <w:right w:val="nil"/>
            </w:tcBorders>
          </w:tcPr>
          <w:p w14:paraId="5B702DB9" w14:textId="77777777" w:rsidR="00E9015E" w:rsidRPr="000673A6" w:rsidRDefault="00E9015E" w:rsidP="00C14E25">
            <w:pPr>
              <w:jc w:val="center"/>
              <w:rPr>
                <w:rFonts w:ascii="Times New Roman" w:hAnsi="Times New Roman" w:cs="Times New Roman"/>
                <w:b/>
                <w:sz w:val="18"/>
                <w:szCs w:val="18"/>
              </w:rPr>
            </w:pPr>
          </w:p>
        </w:tc>
        <w:tc>
          <w:tcPr>
            <w:tcW w:w="1128" w:type="pct"/>
            <w:tcBorders>
              <w:top w:val="single" w:sz="12" w:space="0" w:color="auto"/>
              <w:left w:val="nil"/>
              <w:bottom w:val="single" w:sz="12" w:space="0" w:color="auto"/>
              <w:right w:val="nil"/>
            </w:tcBorders>
            <w:vAlign w:val="center"/>
          </w:tcPr>
          <w:p w14:paraId="79970BD0" w14:textId="77777777" w:rsidR="00E9015E" w:rsidRPr="000673A6" w:rsidRDefault="00E9015E" w:rsidP="00C14E25">
            <w:pPr>
              <w:jc w:val="center"/>
              <w:rPr>
                <w:rFonts w:ascii="Times New Roman" w:hAnsi="Times New Roman" w:cs="Times New Roman"/>
                <w:b/>
                <w:sz w:val="18"/>
                <w:szCs w:val="18"/>
              </w:rPr>
            </w:pPr>
            <w:r w:rsidRPr="000673A6">
              <w:rPr>
                <w:rFonts w:ascii="Times New Roman" w:hAnsi="Times New Roman" w:cs="Times New Roman"/>
                <w:b/>
                <w:sz w:val="18"/>
                <w:szCs w:val="18"/>
              </w:rPr>
              <w:t>Frequency</w:t>
            </w:r>
          </w:p>
        </w:tc>
        <w:tc>
          <w:tcPr>
            <w:tcW w:w="1129" w:type="pct"/>
            <w:tcBorders>
              <w:top w:val="single" w:sz="12" w:space="0" w:color="auto"/>
              <w:left w:val="nil"/>
              <w:bottom w:val="single" w:sz="12" w:space="0" w:color="auto"/>
              <w:right w:val="nil"/>
            </w:tcBorders>
            <w:vAlign w:val="center"/>
          </w:tcPr>
          <w:p w14:paraId="32AD2333" w14:textId="77777777" w:rsidR="00E9015E" w:rsidRPr="000673A6" w:rsidRDefault="00E9015E" w:rsidP="00C14E25">
            <w:pPr>
              <w:jc w:val="center"/>
              <w:rPr>
                <w:rFonts w:ascii="Times New Roman" w:hAnsi="Times New Roman" w:cs="Times New Roman"/>
                <w:b/>
                <w:sz w:val="18"/>
                <w:szCs w:val="18"/>
              </w:rPr>
            </w:pPr>
            <w:r w:rsidRPr="000673A6">
              <w:rPr>
                <w:rFonts w:ascii="Times New Roman" w:hAnsi="Times New Roman" w:cs="Times New Roman"/>
                <w:b/>
                <w:sz w:val="18"/>
                <w:szCs w:val="18"/>
              </w:rPr>
              <w:t>Percent</w:t>
            </w:r>
          </w:p>
        </w:tc>
      </w:tr>
      <w:tr w:rsidR="00E9015E" w:rsidRPr="000673A6" w14:paraId="4535C5A5" w14:textId="77777777" w:rsidTr="00C14E25">
        <w:tc>
          <w:tcPr>
            <w:tcW w:w="2743" w:type="pct"/>
            <w:gridSpan w:val="2"/>
            <w:tcBorders>
              <w:top w:val="single" w:sz="12" w:space="0" w:color="auto"/>
              <w:left w:val="nil"/>
              <w:bottom w:val="nil"/>
              <w:right w:val="nil"/>
            </w:tcBorders>
          </w:tcPr>
          <w:p w14:paraId="32D7CD8D" w14:textId="77777777" w:rsidR="00E9015E" w:rsidRPr="000673A6" w:rsidRDefault="00E9015E" w:rsidP="00C14E25">
            <w:pPr>
              <w:rPr>
                <w:rFonts w:ascii="Times New Roman" w:hAnsi="Times New Roman" w:cs="Times New Roman"/>
                <w:b/>
                <w:bCs/>
                <w:color w:val="000000" w:themeColor="text1"/>
                <w:sz w:val="18"/>
                <w:szCs w:val="18"/>
              </w:rPr>
            </w:pPr>
            <w:r w:rsidRPr="000673A6">
              <w:rPr>
                <w:rFonts w:ascii="Times New Roman" w:hAnsi="Times New Roman" w:cs="Times New Roman"/>
                <w:b/>
                <w:bCs/>
                <w:color w:val="000000" w:themeColor="text1"/>
                <w:sz w:val="18"/>
                <w:szCs w:val="18"/>
              </w:rPr>
              <w:t xml:space="preserve">Industry </w:t>
            </w:r>
          </w:p>
        </w:tc>
        <w:tc>
          <w:tcPr>
            <w:tcW w:w="1128" w:type="pct"/>
            <w:tcBorders>
              <w:top w:val="single" w:sz="12" w:space="0" w:color="auto"/>
              <w:left w:val="nil"/>
              <w:bottom w:val="nil"/>
              <w:right w:val="nil"/>
            </w:tcBorders>
            <w:vAlign w:val="center"/>
          </w:tcPr>
          <w:p w14:paraId="1BF560BC" w14:textId="77777777" w:rsidR="00E9015E" w:rsidRPr="000673A6" w:rsidRDefault="00E9015E" w:rsidP="00C14E25">
            <w:pPr>
              <w:jc w:val="center"/>
              <w:rPr>
                <w:rFonts w:ascii="Times New Roman" w:hAnsi="Times New Roman" w:cs="Times New Roman"/>
                <w:sz w:val="18"/>
                <w:szCs w:val="18"/>
              </w:rPr>
            </w:pPr>
          </w:p>
        </w:tc>
        <w:tc>
          <w:tcPr>
            <w:tcW w:w="1129" w:type="pct"/>
            <w:tcBorders>
              <w:top w:val="single" w:sz="12" w:space="0" w:color="auto"/>
              <w:left w:val="nil"/>
              <w:bottom w:val="nil"/>
              <w:right w:val="nil"/>
            </w:tcBorders>
            <w:vAlign w:val="center"/>
          </w:tcPr>
          <w:p w14:paraId="2F8CBCDA" w14:textId="77777777" w:rsidR="00E9015E" w:rsidRPr="000673A6" w:rsidRDefault="00E9015E" w:rsidP="00C14E25">
            <w:pPr>
              <w:jc w:val="center"/>
              <w:rPr>
                <w:rFonts w:ascii="Times New Roman" w:hAnsi="Times New Roman" w:cs="Times New Roman"/>
                <w:sz w:val="18"/>
                <w:szCs w:val="18"/>
              </w:rPr>
            </w:pPr>
          </w:p>
        </w:tc>
      </w:tr>
      <w:tr w:rsidR="00E9015E" w:rsidRPr="000673A6" w14:paraId="56175CA2" w14:textId="77777777" w:rsidTr="00C14E25">
        <w:tc>
          <w:tcPr>
            <w:tcW w:w="366" w:type="pct"/>
            <w:tcBorders>
              <w:top w:val="nil"/>
              <w:left w:val="nil"/>
              <w:bottom w:val="nil"/>
              <w:right w:val="nil"/>
            </w:tcBorders>
          </w:tcPr>
          <w:p w14:paraId="3AEC2B99" w14:textId="77777777" w:rsidR="00E9015E" w:rsidRPr="000673A6" w:rsidRDefault="00E9015E" w:rsidP="00C14E25">
            <w:pPr>
              <w:rPr>
                <w:rFonts w:ascii="Times New Roman" w:eastAsia="Malgun Gothic" w:hAnsi="Times New Roman" w:cs="Times New Roman"/>
                <w:color w:val="000000"/>
                <w:sz w:val="18"/>
              </w:rPr>
            </w:pPr>
          </w:p>
        </w:tc>
        <w:tc>
          <w:tcPr>
            <w:tcW w:w="2377" w:type="pct"/>
            <w:tcBorders>
              <w:top w:val="nil"/>
              <w:left w:val="nil"/>
              <w:bottom w:val="nil"/>
              <w:right w:val="nil"/>
            </w:tcBorders>
          </w:tcPr>
          <w:p w14:paraId="11517290" w14:textId="77777777" w:rsidR="00E9015E" w:rsidRPr="000673A6" w:rsidRDefault="00E9015E" w:rsidP="00C14E25">
            <w:pPr>
              <w:rPr>
                <w:rFonts w:ascii="Times New Roman" w:eastAsia="Malgun Gothic" w:hAnsi="Times New Roman" w:cs="Times New Roman"/>
                <w:color w:val="000000"/>
                <w:sz w:val="18"/>
              </w:rPr>
            </w:pPr>
            <w:r w:rsidRPr="000673A6">
              <w:rPr>
                <w:rFonts w:ascii="Times New Roman" w:eastAsia="Malgun Gothic" w:hAnsi="Times New Roman" w:cs="Times New Roman"/>
                <w:color w:val="000000"/>
                <w:sz w:val="18"/>
              </w:rPr>
              <w:t>Chemicals &amp; Rubber</w:t>
            </w:r>
          </w:p>
        </w:tc>
        <w:tc>
          <w:tcPr>
            <w:tcW w:w="1128" w:type="pct"/>
            <w:tcBorders>
              <w:top w:val="nil"/>
              <w:left w:val="nil"/>
              <w:bottom w:val="nil"/>
              <w:right w:val="nil"/>
            </w:tcBorders>
          </w:tcPr>
          <w:p w14:paraId="7CA4B9F4"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8</w:t>
            </w:r>
          </w:p>
        </w:tc>
        <w:tc>
          <w:tcPr>
            <w:tcW w:w="1129" w:type="pct"/>
            <w:tcBorders>
              <w:top w:val="nil"/>
              <w:left w:val="nil"/>
              <w:bottom w:val="nil"/>
              <w:right w:val="nil"/>
            </w:tcBorders>
          </w:tcPr>
          <w:p w14:paraId="567EB5F5"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6.4</w:t>
            </w:r>
          </w:p>
        </w:tc>
      </w:tr>
      <w:tr w:rsidR="00E9015E" w:rsidRPr="000673A6" w14:paraId="6362FC80" w14:textId="77777777" w:rsidTr="00C14E25">
        <w:tc>
          <w:tcPr>
            <w:tcW w:w="366" w:type="pct"/>
            <w:tcBorders>
              <w:top w:val="nil"/>
              <w:left w:val="nil"/>
              <w:bottom w:val="nil"/>
              <w:right w:val="nil"/>
            </w:tcBorders>
          </w:tcPr>
          <w:p w14:paraId="59498A84" w14:textId="77777777" w:rsidR="00E9015E" w:rsidRPr="000673A6" w:rsidRDefault="00E9015E" w:rsidP="00C14E25">
            <w:pPr>
              <w:rPr>
                <w:rFonts w:ascii="Times New Roman" w:eastAsia="Malgun Gothic" w:hAnsi="Times New Roman" w:cs="Times New Roman"/>
                <w:color w:val="000000"/>
                <w:sz w:val="18"/>
              </w:rPr>
            </w:pPr>
          </w:p>
        </w:tc>
        <w:tc>
          <w:tcPr>
            <w:tcW w:w="2377" w:type="pct"/>
            <w:tcBorders>
              <w:top w:val="nil"/>
              <w:left w:val="nil"/>
              <w:bottom w:val="nil"/>
              <w:right w:val="nil"/>
            </w:tcBorders>
          </w:tcPr>
          <w:p w14:paraId="7553D7B8" w14:textId="77777777" w:rsidR="00E9015E" w:rsidRPr="000673A6" w:rsidRDefault="00E9015E" w:rsidP="00C14E25">
            <w:pPr>
              <w:rPr>
                <w:rFonts w:ascii="Times New Roman" w:eastAsia="Malgun Gothic" w:hAnsi="Times New Roman" w:cs="Times New Roman"/>
                <w:color w:val="000000"/>
                <w:sz w:val="18"/>
              </w:rPr>
            </w:pPr>
            <w:r w:rsidRPr="000673A6">
              <w:rPr>
                <w:rFonts w:ascii="Times New Roman" w:eastAsia="Malgun Gothic" w:hAnsi="Times New Roman" w:cs="Times New Roman"/>
                <w:color w:val="000000"/>
                <w:sz w:val="18"/>
              </w:rPr>
              <w:t>Metals</w:t>
            </w:r>
          </w:p>
        </w:tc>
        <w:tc>
          <w:tcPr>
            <w:tcW w:w="1128" w:type="pct"/>
            <w:tcBorders>
              <w:top w:val="nil"/>
              <w:left w:val="nil"/>
              <w:bottom w:val="nil"/>
              <w:right w:val="nil"/>
            </w:tcBorders>
          </w:tcPr>
          <w:p w14:paraId="2C87B205"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12</w:t>
            </w:r>
          </w:p>
        </w:tc>
        <w:tc>
          <w:tcPr>
            <w:tcW w:w="1129" w:type="pct"/>
            <w:tcBorders>
              <w:top w:val="nil"/>
              <w:left w:val="nil"/>
              <w:bottom w:val="nil"/>
              <w:right w:val="nil"/>
            </w:tcBorders>
          </w:tcPr>
          <w:p w14:paraId="6CC52D2D"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9.6</w:t>
            </w:r>
          </w:p>
        </w:tc>
      </w:tr>
      <w:tr w:rsidR="00E9015E" w:rsidRPr="000673A6" w14:paraId="6947A40D" w14:textId="77777777" w:rsidTr="00C14E25">
        <w:tc>
          <w:tcPr>
            <w:tcW w:w="366" w:type="pct"/>
            <w:tcBorders>
              <w:top w:val="nil"/>
              <w:left w:val="nil"/>
              <w:bottom w:val="nil"/>
              <w:right w:val="nil"/>
            </w:tcBorders>
          </w:tcPr>
          <w:p w14:paraId="677D9CBB" w14:textId="77777777" w:rsidR="00E9015E" w:rsidRPr="000673A6" w:rsidRDefault="00E9015E" w:rsidP="00C14E25">
            <w:pPr>
              <w:rPr>
                <w:rFonts w:ascii="Times New Roman" w:eastAsia="Malgun Gothic" w:hAnsi="Times New Roman" w:cs="Times New Roman"/>
                <w:color w:val="000000"/>
                <w:sz w:val="18"/>
              </w:rPr>
            </w:pPr>
          </w:p>
        </w:tc>
        <w:tc>
          <w:tcPr>
            <w:tcW w:w="2377" w:type="pct"/>
            <w:tcBorders>
              <w:top w:val="nil"/>
              <w:left w:val="nil"/>
              <w:bottom w:val="nil"/>
              <w:right w:val="nil"/>
            </w:tcBorders>
          </w:tcPr>
          <w:p w14:paraId="58F290CB" w14:textId="77777777" w:rsidR="00E9015E" w:rsidRPr="000673A6" w:rsidRDefault="00E9015E" w:rsidP="00C14E25">
            <w:pPr>
              <w:rPr>
                <w:rFonts w:ascii="Times New Roman" w:eastAsia="Malgun Gothic" w:hAnsi="Times New Roman" w:cs="Times New Roman"/>
                <w:color w:val="000000"/>
                <w:sz w:val="18"/>
              </w:rPr>
            </w:pPr>
            <w:r w:rsidRPr="000673A6">
              <w:rPr>
                <w:rFonts w:ascii="Times New Roman" w:eastAsia="Malgun Gothic" w:hAnsi="Times New Roman" w:cs="Times New Roman"/>
                <w:color w:val="000000"/>
                <w:sz w:val="18"/>
              </w:rPr>
              <w:t>Electronics</w:t>
            </w:r>
          </w:p>
        </w:tc>
        <w:tc>
          <w:tcPr>
            <w:tcW w:w="1128" w:type="pct"/>
            <w:tcBorders>
              <w:top w:val="nil"/>
              <w:left w:val="nil"/>
              <w:bottom w:val="nil"/>
              <w:right w:val="nil"/>
            </w:tcBorders>
          </w:tcPr>
          <w:p w14:paraId="6CA993EF"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14</w:t>
            </w:r>
          </w:p>
        </w:tc>
        <w:tc>
          <w:tcPr>
            <w:tcW w:w="1129" w:type="pct"/>
            <w:tcBorders>
              <w:top w:val="nil"/>
              <w:left w:val="nil"/>
              <w:bottom w:val="nil"/>
              <w:right w:val="nil"/>
            </w:tcBorders>
          </w:tcPr>
          <w:p w14:paraId="409D3002"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11.2</w:t>
            </w:r>
          </w:p>
        </w:tc>
      </w:tr>
      <w:tr w:rsidR="00E9015E" w:rsidRPr="000673A6" w14:paraId="64F04A4A" w14:textId="77777777" w:rsidTr="00C14E25">
        <w:tc>
          <w:tcPr>
            <w:tcW w:w="366" w:type="pct"/>
            <w:tcBorders>
              <w:top w:val="nil"/>
              <w:left w:val="nil"/>
              <w:bottom w:val="nil"/>
              <w:right w:val="nil"/>
            </w:tcBorders>
          </w:tcPr>
          <w:p w14:paraId="7C6D7311" w14:textId="77777777" w:rsidR="00E9015E" w:rsidRPr="000673A6" w:rsidRDefault="00E9015E" w:rsidP="00C14E25">
            <w:pPr>
              <w:rPr>
                <w:rFonts w:ascii="Times New Roman" w:eastAsia="Malgun Gothic" w:hAnsi="Times New Roman" w:cs="Times New Roman"/>
                <w:color w:val="000000"/>
                <w:sz w:val="18"/>
              </w:rPr>
            </w:pPr>
          </w:p>
        </w:tc>
        <w:tc>
          <w:tcPr>
            <w:tcW w:w="2377" w:type="pct"/>
            <w:tcBorders>
              <w:top w:val="nil"/>
              <w:left w:val="nil"/>
              <w:bottom w:val="nil"/>
              <w:right w:val="nil"/>
            </w:tcBorders>
          </w:tcPr>
          <w:p w14:paraId="0DE4460B" w14:textId="77777777" w:rsidR="00E9015E" w:rsidRPr="000673A6" w:rsidRDefault="00E9015E" w:rsidP="00C14E25">
            <w:pPr>
              <w:rPr>
                <w:rFonts w:ascii="Times New Roman" w:eastAsia="Malgun Gothic" w:hAnsi="Times New Roman" w:cs="Times New Roman"/>
                <w:color w:val="000000"/>
                <w:sz w:val="18"/>
              </w:rPr>
            </w:pPr>
            <w:r w:rsidRPr="000673A6">
              <w:rPr>
                <w:rFonts w:ascii="Times New Roman" w:eastAsia="Malgun Gothic" w:hAnsi="Times New Roman" w:cs="Times New Roman"/>
                <w:color w:val="000000"/>
                <w:sz w:val="18"/>
              </w:rPr>
              <w:t>Machinery</w:t>
            </w:r>
          </w:p>
        </w:tc>
        <w:tc>
          <w:tcPr>
            <w:tcW w:w="1128" w:type="pct"/>
            <w:tcBorders>
              <w:top w:val="nil"/>
              <w:left w:val="nil"/>
              <w:bottom w:val="nil"/>
              <w:right w:val="nil"/>
            </w:tcBorders>
          </w:tcPr>
          <w:p w14:paraId="095FD902"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33</w:t>
            </w:r>
          </w:p>
        </w:tc>
        <w:tc>
          <w:tcPr>
            <w:tcW w:w="1129" w:type="pct"/>
            <w:tcBorders>
              <w:top w:val="nil"/>
              <w:left w:val="nil"/>
              <w:bottom w:val="nil"/>
              <w:right w:val="nil"/>
            </w:tcBorders>
          </w:tcPr>
          <w:p w14:paraId="3D14E05E"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26.4</w:t>
            </w:r>
          </w:p>
        </w:tc>
      </w:tr>
      <w:tr w:rsidR="00E9015E" w:rsidRPr="000673A6" w14:paraId="55745B3A" w14:textId="77777777" w:rsidTr="00C14E25">
        <w:tc>
          <w:tcPr>
            <w:tcW w:w="366" w:type="pct"/>
            <w:tcBorders>
              <w:top w:val="nil"/>
              <w:left w:val="nil"/>
              <w:bottom w:val="nil"/>
              <w:right w:val="nil"/>
            </w:tcBorders>
          </w:tcPr>
          <w:p w14:paraId="715EF868" w14:textId="77777777" w:rsidR="00E9015E" w:rsidRPr="000673A6" w:rsidRDefault="00E9015E" w:rsidP="00C14E25">
            <w:pPr>
              <w:rPr>
                <w:rFonts w:ascii="Times New Roman" w:eastAsia="Malgun Gothic" w:hAnsi="Times New Roman" w:cs="Times New Roman"/>
                <w:color w:val="000000"/>
                <w:sz w:val="18"/>
              </w:rPr>
            </w:pPr>
          </w:p>
        </w:tc>
        <w:tc>
          <w:tcPr>
            <w:tcW w:w="2377" w:type="pct"/>
            <w:tcBorders>
              <w:top w:val="nil"/>
              <w:left w:val="nil"/>
              <w:bottom w:val="nil"/>
              <w:right w:val="nil"/>
            </w:tcBorders>
          </w:tcPr>
          <w:p w14:paraId="636CB3D3" w14:textId="77777777" w:rsidR="00E9015E" w:rsidRPr="000673A6" w:rsidRDefault="00E9015E" w:rsidP="00C14E25">
            <w:pPr>
              <w:rPr>
                <w:rFonts w:ascii="Times New Roman" w:eastAsia="Malgun Gothic" w:hAnsi="Times New Roman" w:cs="Times New Roman"/>
                <w:color w:val="000000"/>
                <w:sz w:val="18"/>
              </w:rPr>
            </w:pPr>
            <w:r w:rsidRPr="000673A6">
              <w:rPr>
                <w:rFonts w:ascii="Times New Roman" w:eastAsia="Malgun Gothic" w:hAnsi="Times New Roman" w:cs="Times New Roman"/>
                <w:color w:val="000000"/>
                <w:sz w:val="18"/>
              </w:rPr>
              <w:t>Automotive &amp; Transportation</w:t>
            </w:r>
          </w:p>
        </w:tc>
        <w:tc>
          <w:tcPr>
            <w:tcW w:w="1128" w:type="pct"/>
            <w:tcBorders>
              <w:top w:val="nil"/>
              <w:left w:val="nil"/>
              <w:bottom w:val="nil"/>
              <w:right w:val="nil"/>
            </w:tcBorders>
          </w:tcPr>
          <w:p w14:paraId="5C3BA434"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22</w:t>
            </w:r>
          </w:p>
        </w:tc>
        <w:tc>
          <w:tcPr>
            <w:tcW w:w="1129" w:type="pct"/>
            <w:tcBorders>
              <w:top w:val="nil"/>
              <w:left w:val="nil"/>
              <w:bottom w:val="nil"/>
              <w:right w:val="nil"/>
            </w:tcBorders>
          </w:tcPr>
          <w:p w14:paraId="77175713"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17.6</w:t>
            </w:r>
          </w:p>
        </w:tc>
      </w:tr>
      <w:tr w:rsidR="00E9015E" w:rsidRPr="000673A6" w14:paraId="43582C36" w14:textId="77777777" w:rsidTr="00C14E25">
        <w:tc>
          <w:tcPr>
            <w:tcW w:w="366" w:type="pct"/>
            <w:tcBorders>
              <w:top w:val="nil"/>
              <w:left w:val="nil"/>
              <w:bottom w:val="nil"/>
              <w:right w:val="nil"/>
            </w:tcBorders>
          </w:tcPr>
          <w:p w14:paraId="6BDCAC7D" w14:textId="77777777" w:rsidR="00E9015E" w:rsidRPr="000673A6" w:rsidRDefault="00E9015E" w:rsidP="00C14E25">
            <w:pPr>
              <w:rPr>
                <w:rFonts w:ascii="Times New Roman" w:eastAsia="Malgun Gothic" w:hAnsi="Times New Roman" w:cs="Times New Roman"/>
                <w:color w:val="000000"/>
                <w:sz w:val="18"/>
              </w:rPr>
            </w:pPr>
          </w:p>
        </w:tc>
        <w:tc>
          <w:tcPr>
            <w:tcW w:w="2377" w:type="pct"/>
            <w:tcBorders>
              <w:top w:val="nil"/>
              <w:left w:val="nil"/>
              <w:bottom w:val="nil"/>
              <w:right w:val="nil"/>
            </w:tcBorders>
          </w:tcPr>
          <w:p w14:paraId="0BD2313F" w14:textId="77777777" w:rsidR="00E9015E" w:rsidRPr="000673A6" w:rsidRDefault="00E9015E" w:rsidP="00C14E25">
            <w:pPr>
              <w:rPr>
                <w:rFonts w:ascii="Times New Roman" w:eastAsia="Malgun Gothic" w:hAnsi="Times New Roman" w:cs="Times New Roman"/>
                <w:color w:val="000000"/>
                <w:sz w:val="18"/>
              </w:rPr>
            </w:pPr>
            <w:r w:rsidRPr="000673A6">
              <w:rPr>
                <w:rFonts w:ascii="Times New Roman" w:eastAsia="Malgun Gothic" w:hAnsi="Times New Roman" w:cs="Times New Roman"/>
                <w:color w:val="000000"/>
                <w:sz w:val="18"/>
              </w:rPr>
              <w:t>Utility &amp; Recycling</w:t>
            </w:r>
          </w:p>
        </w:tc>
        <w:tc>
          <w:tcPr>
            <w:tcW w:w="1128" w:type="pct"/>
            <w:tcBorders>
              <w:top w:val="nil"/>
              <w:left w:val="nil"/>
              <w:bottom w:val="nil"/>
              <w:right w:val="nil"/>
            </w:tcBorders>
          </w:tcPr>
          <w:p w14:paraId="19B7FEDA"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9</w:t>
            </w:r>
          </w:p>
        </w:tc>
        <w:tc>
          <w:tcPr>
            <w:tcW w:w="1129" w:type="pct"/>
            <w:tcBorders>
              <w:top w:val="nil"/>
              <w:left w:val="nil"/>
              <w:bottom w:val="nil"/>
              <w:right w:val="nil"/>
            </w:tcBorders>
          </w:tcPr>
          <w:p w14:paraId="42B8B72E"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7.2</w:t>
            </w:r>
          </w:p>
        </w:tc>
      </w:tr>
      <w:tr w:rsidR="00E9015E" w:rsidRPr="000673A6" w14:paraId="14084332" w14:textId="77777777" w:rsidTr="00C14E25">
        <w:tc>
          <w:tcPr>
            <w:tcW w:w="366" w:type="pct"/>
            <w:tcBorders>
              <w:top w:val="nil"/>
              <w:left w:val="nil"/>
              <w:bottom w:val="nil"/>
              <w:right w:val="nil"/>
            </w:tcBorders>
          </w:tcPr>
          <w:p w14:paraId="28A4FEEB" w14:textId="77777777" w:rsidR="00E9015E" w:rsidRPr="000673A6" w:rsidRDefault="00E9015E" w:rsidP="00C14E25">
            <w:pPr>
              <w:rPr>
                <w:rFonts w:ascii="Times New Roman" w:eastAsia="Malgun Gothic" w:hAnsi="Times New Roman" w:cs="Times New Roman"/>
                <w:color w:val="000000"/>
                <w:sz w:val="18"/>
              </w:rPr>
            </w:pPr>
          </w:p>
        </w:tc>
        <w:tc>
          <w:tcPr>
            <w:tcW w:w="2377" w:type="pct"/>
            <w:tcBorders>
              <w:top w:val="nil"/>
              <w:left w:val="nil"/>
              <w:bottom w:val="nil"/>
              <w:right w:val="nil"/>
            </w:tcBorders>
          </w:tcPr>
          <w:p w14:paraId="5CD4350B" w14:textId="77777777" w:rsidR="00E9015E" w:rsidRPr="000673A6" w:rsidRDefault="00E9015E" w:rsidP="00C14E25">
            <w:pPr>
              <w:rPr>
                <w:rFonts w:ascii="Times New Roman" w:eastAsia="Malgun Gothic" w:hAnsi="Times New Roman" w:cs="Times New Roman"/>
                <w:color w:val="000000"/>
                <w:sz w:val="18"/>
              </w:rPr>
            </w:pPr>
            <w:r w:rsidRPr="000673A6">
              <w:rPr>
                <w:rFonts w:ascii="Times New Roman" w:eastAsia="Malgun Gothic" w:hAnsi="Times New Roman" w:cs="Times New Roman"/>
                <w:color w:val="000000"/>
                <w:sz w:val="18"/>
              </w:rPr>
              <w:t>Construction</w:t>
            </w:r>
          </w:p>
        </w:tc>
        <w:tc>
          <w:tcPr>
            <w:tcW w:w="1128" w:type="pct"/>
            <w:tcBorders>
              <w:top w:val="nil"/>
              <w:left w:val="nil"/>
              <w:bottom w:val="nil"/>
              <w:right w:val="nil"/>
            </w:tcBorders>
          </w:tcPr>
          <w:p w14:paraId="5403BF43"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14</w:t>
            </w:r>
          </w:p>
        </w:tc>
        <w:tc>
          <w:tcPr>
            <w:tcW w:w="1129" w:type="pct"/>
            <w:tcBorders>
              <w:top w:val="nil"/>
              <w:left w:val="nil"/>
              <w:bottom w:val="nil"/>
              <w:right w:val="nil"/>
            </w:tcBorders>
          </w:tcPr>
          <w:p w14:paraId="2ECD4622"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11.2</w:t>
            </w:r>
          </w:p>
        </w:tc>
      </w:tr>
      <w:tr w:rsidR="00E9015E" w:rsidRPr="000673A6" w14:paraId="6F77D993" w14:textId="77777777" w:rsidTr="00C14E25">
        <w:tc>
          <w:tcPr>
            <w:tcW w:w="366" w:type="pct"/>
            <w:tcBorders>
              <w:top w:val="nil"/>
              <w:left w:val="nil"/>
              <w:bottom w:val="nil"/>
              <w:right w:val="nil"/>
            </w:tcBorders>
          </w:tcPr>
          <w:p w14:paraId="1C069B86" w14:textId="77777777" w:rsidR="00E9015E" w:rsidRPr="000673A6" w:rsidRDefault="00E9015E" w:rsidP="00C14E25">
            <w:pPr>
              <w:rPr>
                <w:rFonts w:ascii="Times New Roman" w:eastAsia="Malgun Gothic" w:hAnsi="Times New Roman" w:cs="Times New Roman"/>
                <w:color w:val="000000"/>
                <w:sz w:val="18"/>
              </w:rPr>
            </w:pPr>
          </w:p>
        </w:tc>
        <w:tc>
          <w:tcPr>
            <w:tcW w:w="2377" w:type="pct"/>
            <w:tcBorders>
              <w:top w:val="nil"/>
              <w:left w:val="nil"/>
              <w:bottom w:val="nil"/>
              <w:right w:val="nil"/>
            </w:tcBorders>
          </w:tcPr>
          <w:p w14:paraId="44892CA9" w14:textId="77777777" w:rsidR="00E9015E" w:rsidRPr="000673A6" w:rsidRDefault="00E9015E" w:rsidP="00C14E25">
            <w:pPr>
              <w:rPr>
                <w:rFonts w:ascii="Times New Roman" w:eastAsia="Malgun Gothic" w:hAnsi="Times New Roman" w:cs="Times New Roman"/>
                <w:color w:val="000000"/>
                <w:sz w:val="18"/>
              </w:rPr>
            </w:pPr>
            <w:r w:rsidRPr="000673A6">
              <w:rPr>
                <w:rFonts w:ascii="Times New Roman" w:eastAsia="Malgun Gothic" w:hAnsi="Times New Roman" w:cs="Times New Roman"/>
                <w:color w:val="000000"/>
                <w:sz w:val="18"/>
              </w:rPr>
              <w:t>Distribution &amp; Logistics</w:t>
            </w:r>
          </w:p>
        </w:tc>
        <w:tc>
          <w:tcPr>
            <w:tcW w:w="1128" w:type="pct"/>
            <w:tcBorders>
              <w:top w:val="nil"/>
              <w:left w:val="nil"/>
              <w:bottom w:val="nil"/>
              <w:right w:val="nil"/>
            </w:tcBorders>
          </w:tcPr>
          <w:p w14:paraId="5D832616"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7</w:t>
            </w:r>
          </w:p>
        </w:tc>
        <w:tc>
          <w:tcPr>
            <w:tcW w:w="1129" w:type="pct"/>
            <w:tcBorders>
              <w:top w:val="nil"/>
              <w:left w:val="nil"/>
              <w:bottom w:val="nil"/>
              <w:right w:val="nil"/>
            </w:tcBorders>
          </w:tcPr>
          <w:p w14:paraId="0B58F9E7"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5.6</w:t>
            </w:r>
          </w:p>
        </w:tc>
      </w:tr>
      <w:tr w:rsidR="00E9015E" w:rsidRPr="000673A6" w14:paraId="6F7254F6" w14:textId="77777777" w:rsidTr="00C14E25">
        <w:tc>
          <w:tcPr>
            <w:tcW w:w="366" w:type="pct"/>
            <w:tcBorders>
              <w:top w:val="nil"/>
              <w:left w:val="nil"/>
              <w:bottom w:val="nil"/>
              <w:right w:val="nil"/>
            </w:tcBorders>
          </w:tcPr>
          <w:p w14:paraId="63E2C141" w14:textId="77777777" w:rsidR="00E9015E" w:rsidRPr="000673A6" w:rsidRDefault="00E9015E" w:rsidP="00C14E25">
            <w:pPr>
              <w:rPr>
                <w:rFonts w:ascii="Times New Roman" w:eastAsia="Malgun Gothic" w:hAnsi="Times New Roman" w:cs="Times New Roman"/>
                <w:color w:val="000000"/>
                <w:sz w:val="18"/>
              </w:rPr>
            </w:pPr>
          </w:p>
        </w:tc>
        <w:tc>
          <w:tcPr>
            <w:tcW w:w="2377" w:type="pct"/>
            <w:tcBorders>
              <w:top w:val="nil"/>
              <w:left w:val="nil"/>
              <w:bottom w:val="nil"/>
              <w:right w:val="nil"/>
            </w:tcBorders>
          </w:tcPr>
          <w:p w14:paraId="0D1CC756" w14:textId="77777777" w:rsidR="00E9015E" w:rsidRPr="000673A6" w:rsidRDefault="00E9015E" w:rsidP="00C14E25">
            <w:pPr>
              <w:rPr>
                <w:rFonts w:ascii="Times New Roman" w:eastAsia="Malgun Gothic" w:hAnsi="Times New Roman" w:cs="Times New Roman"/>
                <w:color w:val="000000"/>
                <w:sz w:val="18"/>
              </w:rPr>
            </w:pPr>
            <w:r w:rsidRPr="000673A6">
              <w:rPr>
                <w:rFonts w:ascii="Times New Roman" w:eastAsia="Malgun Gothic" w:hAnsi="Times New Roman" w:cs="Times New Roman"/>
                <w:color w:val="000000"/>
                <w:sz w:val="18"/>
              </w:rPr>
              <w:t xml:space="preserve">Information &amp; Communication </w:t>
            </w:r>
            <w:proofErr w:type="gramStart"/>
            <w:r w:rsidRPr="000673A6">
              <w:rPr>
                <w:rFonts w:ascii="Times New Roman" w:eastAsia="Malgun Gothic" w:hAnsi="Times New Roman" w:cs="Times New Roman"/>
                <w:color w:val="000000"/>
                <w:sz w:val="18"/>
              </w:rPr>
              <w:t>Technology(</w:t>
            </w:r>
            <w:proofErr w:type="gramEnd"/>
            <w:r w:rsidRPr="000673A6">
              <w:rPr>
                <w:rFonts w:ascii="Times New Roman" w:eastAsia="Malgun Gothic" w:hAnsi="Times New Roman" w:cs="Times New Roman"/>
                <w:color w:val="000000"/>
                <w:sz w:val="18"/>
              </w:rPr>
              <w:t>ICT) Service</w:t>
            </w:r>
          </w:p>
        </w:tc>
        <w:tc>
          <w:tcPr>
            <w:tcW w:w="1128" w:type="pct"/>
            <w:tcBorders>
              <w:top w:val="nil"/>
              <w:left w:val="nil"/>
              <w:bottom w:val="nil"/>
              <w:right w:val="nil"/>
            </w:tcBorders>
          </w:tcPr>
          <w:p w14:paraId="2417F739"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6</w:t>
            </w:r>
          </w:p>
        </w:tc>
        <w:tc>
          <w:tcPr>
            <w:tcW w:w="1129" w:type="pct"/>
            <w:tcBorders>
              <w:top w:val="nil"/>
              <w:left w:val="nil"/>
              <w:bottom w:val="nil"/>
              <w:right w:val="nil"/>
            </w:tcBorders>
          </w:tcPr>
          <w:p w14:paraId="46741C66"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4.8</w:t>
            </w:r>
          </w:p>
        </w:tc>
      </w:tr>
      <w:tr w:rsidR="00E9015E" w:rsidRPr="000673A6" w14:paraId="2C726660" w14:textId="77777777" w:rsidTr="00C14E25">
        <w:tc>
          <w:tcPr>
            <w:tcW w:w="366" w:type="pct"/>
            <w:tcBorders>
              <w:top w:val="nil"/>
              <w:left w:val="nil"/>
              <w:bottom w:val="nil"/>
              <w:right w:val="nil"/>
            </w:tcBorders>
          </w:tcPr>
          <w:p w14:paraId="10324E64"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74F610E4" w14:textId="77777777" w:rsidR="00E9015E" w:rsidRPr="000673A6" w:rsidRDefault="00E9015E" w:rsidP="00C14E25">
            <w:pPr>
              <w:rPr>
                <w:rFonts w:ascii="Times New Roman" w:hAnsi="Times New Roman" w:cs="Times New Roman"/>
                <w:bCs/>
                <w:i/>
                <w:color w:val="000000" w:themeColor="text1"/>
                <w:sz w:val="18"/>
                <w:szCs w:val="18"/>
              </w:rPr>
            </w:pPr>
            <w:r w:rsidRPr="000673A6">
              <w:rPr>
                <w:rFonts w:ascii="Times New Roman" w:hAnsi="Times New Roman" w:cs="Times New Roman"/>
                <w:bCs/>
                <w:i/>
                <w:color w:val="000000" w:themeColor="text1"/>
                <w:sz w:val="18"/>
                <w:szCs w:val="18"/>
              </w:rPr>
              <w:t>Total</w:t>
            </w:r>
          </w:p>
        </w:tc>
        <w:tc>
          <w:tcPr>
            <w:tcW w:w="1128" w:type="pct"/>
            <w:tcBorders>
              <w:top w:val="nil"/>
              <w:left w:val="nil"/>
              <w:bottom w:val="nil"/>
              <w:right w:val="nil"/>
            </w:tcBorders>
          </w:tcPr>
          <w:p w14:paraId="1EF2EE5F"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125</w:t>
            </w:r>
          </w:p>
        </w:tc>
        <w:tc>
          <w:tcPr>
            <w:tcW w:w="1129" w:type="pct"/>
            <w:tcBorders>
              <w:top w:val="nil"/>
              <w:left w:val="nil"/>
              <w:bottom w:val="nil"/>
              <w:right w:val="nil"/>
            </w:tcBorders>
          </w:tcPr>
          <w:p w14:paraId="68AF6995"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100</w:t>
            </w:r>
          </w:p>
        </w:tc>
      </w:tr>
      <w:tr w:rsidR="00E9015E" w:rsidRPr="000673A6" w14:paraId="1429753D" w14:textId="77777777" w:rsidTr="00C14E25">
        <w:tc>
          <w:tcPr>
            <w:tcW w:w="366" w:type="pct"/>
            <w:tcBorders>
              <w:top w:val="nil"/>
              <w:left w:val="nil"/>
              <w:bottom w:val="nil"/>
              <w:right w:val="nil"/>
            </w:tcBorders>
          </w:tcPr>
          <w:p w14:paraId="3BCE4445"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731DEB46" w14:textId="77777777" w:rsidR="00E9015E" w:rsidRPr="000673A6" w:rsidRDefault="00E9015E" w:rsidP="00C14E25">
            <w:pPr>
              <w:rPr>
                <w:rFonts w:ascii="Times New Roman" w:hAnsi="Times New Roman" w:cs="Times New Roman"/>
                <w:bCs/>
                <w:color w:val="000000" w:themeColor="text1"/>
                <w:sz w:val="18"/>
                <w:szCs w:val="18"/>
              </w:rPr>
            </w:pPr>
          </w:p>
        </w:tc>
        <w:tc>
          <w:tcPr>
            <w:tcW w:w="1128" w:type="pct"/>
            <w:tcBorders>
              <w:top w:val="nil"/>
              <w:left w:val="nil"/>
              <w:bottom w:val="nil"/>
              <w:right w:val="nil"/>
            </w:tcBorders>
            <w:vAlign w:val="center"/>
          </w:tcPr>
          <w:p w14:paraId="5DD7BEF5" w14:textId="77777777" w:rsidR="00E9015E" w:rsidRPr="000673A6" w:rsidRDefault="00E9015E" w:rsidP="00C14E25">
            <w:pPr>
              <w:jc w:val="center"/>
              <w:rPr>
                <w:rFonts w:ascii="Times New Roman" w:hAnsi="Times New Roman" w:cs="Times New Roman"/>
                <w:sz w:val="18"/>
                <w:szCs w:val="18"/>
              </w:rPr>
            </w:pPr>
          </w:p>
        </w:tc>
        <w:tc>
          <w:tcPr>
            <w:tcW w:w="1129" w:type="pct"/>
            <w:tcBorders>
              <w:top w:val="nil"/>
              <w:left w:val="nil"/>
              <w:bottom w:val="nil"/>
              <w:right w:val="nil"/>
            </w:tcBorders>
            <w:vAlign w:val="center"/>
          </w:tcPr>
          <w:p w14:paraId="38C5B7D0" w14:textId="77777777" w:rsidR="00E9015E" w:rsidRPr="000673A6" w:rsidRDefault="00E9015E" w:rsidP="00C14E25">
            <w:pPr>
              <w:jc w:val="center"/>
              <w:rPr>
                <w:rFonts w:ascii="Times New Roman" w:eastAsia="Malgun Gothic" w:hAnsi="Times New Roman" w:cs="Times New Roman"/>
                <w:sz w:val="18"/>
                <w:szCs w:val="18"/>
              </w:rPr>
            </w:pPr>
          </w:p>
        </w:tc>
      </w:tr>
      <w:tr w:rsidR="00E9015E" w:rsidRPr="000673A6" w14:paraId="55A239E2" w14:textId="77777777" w:rsidTr="00C14E25">
        <w:tc>
          <w:tcPr>
            <w:tcW w:w="2743" w:type="pct"/>
            <w:gridSpan w:val="2"/>
            <w:tcBorders>
              <w:top w:val="nil"/>
              <w:left w:val="nil"/>
              <w:bottom w:val="nil"/>
              <w:right w:val="nil"/>
            </w:tcBorders>
          </w:tcPr>
          <w:p w14:paraId="1583745D" w14:textId="77777777" w:rsidR="00E9015E" w:rsidRPr="000673A6" w:rsidRDefault="00E9015E" w:rsidP="00C14E25">
            <w:pPr>
              <w:rPr>
                <w:rFonts w:ascii="Times New Roman" w:hAnsi="Times New Roman" w:cs="Times New Roman"/>
                <w:b/>
                <w:bCs/>
                <w:color w:val="000000" w:themeColor="text1"/>
                <w:sz w:val="18"/>
                <w:szCs w:val="18"/>
              </w:rPr>
            </w:pPr>
            <w:r w:rsidRPr="000673A6">
              <w:rPr>
                <w:rFonts w:ascii="Times New Roman" w:hAnsi="Times New Roman" w:cs="Times New Roman"/>
                <w:b/>
                <w:bCs/>
                <w:color w:val="000000" w:themeColor="text1"/>
                <w:sz w:val="18"/>
                <w:szCs w:val="18"/>
              </w:rPr>
              <w:t>Number of employees</w:t>
            </w:r>
          </w:p>
        </w:tc>
        <w:tc>
          <w:tcPr>
            <w:tcW w:w="1128" w:type="pct"/>
            <w:tcBorders>
              <w:top w:val="nil"/>
              <w:left w:val="nil"/>
              <w:bottom w:val="nil"/>
              <w:right w:val="nil"/>
            </w:tcBorders>
            <w:vAlign w:val="center"/>
          </w:tcPr>
          <w:p w14:paraId="6F13C709" w14:textId="77777777" w:rsidR="00E9015E" w:rsidRPr="000673A6" w:rsidRDefault="00E9015E" w:rsidP="00C14E25">
            <w:pPr>
              <w:jc w:val="center"/>
              <w:rPr>
                <w:rFonts w:ascii="Times New Roman" w:hAnsi="Times New Roman" w:cs="Times New Roman"/>
                <w:sz w:val="18"/>
                <w:szCs w:val="18"/>
              </w:rPr>
            </w:pPr>
          </w:p>
        </w:tc>
        <w:tc>
          <w:tcPr>
            <w:tcW w:w="1129" w:type="pct"/>
            <w:tcBorders>
              <w:top w:val="nil"/>
              <w:left w:val="nil"/>
              <w:bottom w:val="nil"/>
              <w:right w:val="nil"/>
            </w:tcBorders>
            <w:vAlign w:val="center"/>
          </w:tcPr>
          <w:p w14:paraId="64C78766" w14:textId="77777777" w:rsidR="00E9015E" w:rsidRPr="000673A6" w:rsidRDefault="00E9015E" w:rsidP="00C14E25">
            <w:pPr>
              <w:jc w:val="center"/>
              <w:rPr>
                <w:rFonts w:ascii="Times New Roman" w:hAnsi="Times New Roman" w:cs="Times New Roman"/>
                <w:sz w:val="18"/>
                <w:szCs w:val="18"/>
              </w:rPr>
            </w:pPr>
          </w:p>
        </w:tc>
      </w:tr>
      <w:tr w:rsidR="00E9015E" w:rsidRPr="000673A6" w14:paraId="54C46F0A" w14:textId="77777777" w:rsidTr="00C14E25">
        <w:tc>
          <w:tcPr>
            <w:tcW w:w="366" w:type="pct"/>
            <w:tcBorders>
              <w:top w:val="nil"/>
              <w:left w:val="nil"/>
              <w:bottom w:val="nil"/>
              <w:right w:val="nil"/>
            </w:tcBorders>
          </w:tcPr>
          <w:p w14:paraId="4B93672C"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70E9D52E" w14:textId="77777777" w:rsidR="00E9015E" w:rsidRPr="000673A6" w:rsidRDefault="00E9015E" w:rsidP="00C14E25">
            <w:pPr>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≤100</w:t>
            </w:r>
          </w:p>
        </w:tc>
        <w:tc>
          <w:tcPr>
            <w:tcW w:w="1128" w:type="pct"/>
            <w:tcBorders>
              <w:top w:val="nil"/>
              <w:left w:val="nil"/>
              <w:bottom w:val="nil"/>
              <w:right w:val="nil"/>
            </w:tcBorders>
          </w:tcPr>
          <w:p w14:paraId="55A42984"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73</w:t>
            </w:r>
          </w:p>
        </w:tc>
        <w:tc>
          <w:tcPr>
            <w:tcW w:w="1129" w:type="pct"/>
            <w:tcBorders>
              <w:top w:val="nil"/>
              <w:left w:val="nil"/>
              <w:bottom w:val="nil"/>
              <w:right w:val="nil"/>
            </w:tcBorders>
          </w:tcPr>
          <w:p w14:paraId="15D984B2"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58.4</w:t>
            </w:r>
          </w:p>
        </w:tc>
      </w:tr>
      <w:tr w:rsidR="00E9015E" w:rsidRPr="000673A6" w14:paraId="60CAFD9D" w14:textId="77777777" w:rsidTr="00C14E25">
        <w:tc>
          <w:tcPr>
            <w:tcW w:w="366" w:type="pct"/>
            <w:tcBorders>
              <w:top w:val="nil"/>
              <w:left w:val="nil"/>
              <w:bottom w:val="nil"/>
              <w:right w:val="nil"/>
            </w:tcBorders>
          </w:tcPr>
          <w:p w14:paraId="0EE4AC53"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75B3AFE2" w14:textId="77777777" w:rsidR="00E9015E" w:rsidRPr="000673A6" w:rsidRDefault="00E9015E" w:rsidP="00C14E25">
            <w:pPr>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101–300</w:t>
            </w:r>
          </w:p>
        </w:tc>
        <w:tc>
          <w:tcPr>
            <w:tcW w:w="1128" w:type="pct"/>
            <w:tcBorders>
              <w:top w:val="nil"/>
              <w:left w:val="nil"/>
              <w:bottom w:val="nil"/>
              <w:right w:val="nil"/>
            </w:tcBorders>
          </w:tcPr>
          <w:p w14:paraId="096F791A"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37</w:t>
            </w:r>
          </w:p>
        </w:tc>
        <w:tc>
          <w:tcPr>
            <w:tcW w:w="1129" w:type="pct"/>
            <w:tcBorders>
              <w:top w:val="nil"/>
              <w:left w:val="nil"/>
              <w:bottom w:val="nil"/>
              <w:right w:val="nil"/>
            </w:tcBorders>
          </w:tcPr>
          <w:p w14:paraId="148581A3"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29.6</w:t>
            </w:r>
          </w:p>
        </w:tc>
      </w:tr>
      <w:tr w:rsidR="00E9015E" w:rsidRPr="000673A6" w14:paraId="227E995A" w14:textId="77777777" w:rsidTr="00C14E25">
        <w:tc>
          <w:tcPr>
            <w:tcW w:w="366" w:type="pct"/>
            <w:tcBorders>
              <w:top w:val="nil"/>
              <w:left w:val="nil"/>
              <w:bottom w:val="nil"/>
              <w:right w:val="nil"/>
            </w:tcBorders>
          </w:tcPr>
          <w:p w14:paraId="6670611A"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0049FFF6" w14:textId="77777777" w:rsidR="00E9015E" w:rsidRPr="000673A6" w:rsidRDefault="00E9015E" w:rsidP="00C14E25">
            <w:pPr>
              <w:rPr>
                <w:rFonts w:ascii="Times New Roman" w:hAnsi="Times New Roman" w:cs="Times New Roman"/>
                <w:color w:val="000000" w:themeColor="text1"/>
                <w:sz w:val="18"/>
                <w:szCs w:val="18"/>
              </w:rPr>
            </w:pPr>
            <w:r w:rsidRPr="000673A6">
              <w:rPr>
                <w:rFonts w:ascii="Times New Roman" w:hAnsi="Times New Roman" w:cs="Times New Roman"/>
                <w:bCs/>
                <w:color w:val="000000" w:themeColor="text1"/>
                <w:sz w:val="18"/>
                <w:szCs w:val="18"/>
              </w:rPr>
              <w:t>301–500</w:t>
            </w:r>
          </w:p>
        </w:tc>
        <w:tc>
          <w:tcPr>
            <w:tcW w:w="1128" w:type="pct"/>
            <w:tcBorders>
              <w:top w:val="nil"/>
              <w:left w:val="nil"/>
              <w:bottom w:val="nil"/>
              <w:right w:val="nil"/>
            </w:tcBorders>
          </w:tcPr>
          <w:p w14:paraId="31ED27DB"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10</w:t>
            </w:r>
          </w:p>
        </w:tc>
        <w:tc>
          <w:tcPr>
            <w:tcW w:w="1129" w:type="pct"/>
            <w:tcBorders>
              <w:top w:val="nil"/>
              <w:left w:val="nil"/>
              <w:bottom w:val="nil"/>
              <w:right w:val="nil"/>
            </w:tcBorders>
          </w:tcPr>
          <w:p w14:paraId="721ECBD5"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8.0</w:t>
            </w:r>
          </w:p>
        </w:tc>
      </w:tr>
      <w:tr w:rsidR="00E9015E" w:rsidRPr="000673A6" w14:paraId="12EC07D6" w14:textId="77777777" w:rsidTr="00C14E25">
        <w:tc>
          <w:tcPr>
            <w:tcW w:w="366" w:type="pct"/>
            <w:tcBorders>
              <w:top w:val="nil"/>
              <w:left w:val="nil"/>
              <w:bottom w:val="nil"/>
              <w:right w:val="nil"/>
            </w:tcBorders>
          </w:tcPr>
          <w:p w14:paraId="6DCDC59E"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0A2339E2" w14:textId="77777777" w:rsidR="00E9015E" w:rsidRPr="000673A6" w:rsidRDefault="00E9015E" w:rsidP="00C14E25">
            <w:pPr>
              <w:rPr>
                <w:rFonts w:ascii="Times New Roman" w:hAnsi="Times New Roman" w:cs="Times New Roman"/>
                <w:color w:val="000000" w:themeColor="text1"/>
                <w:sz w:val="18"/>
                <w:szCs w:val="18"/>
              </w:rPr>
            </w:pPr>
            <w:r w:rsidRPr="000673A6">
              <w:rPr>
                <w:rFonts w:ascii="Times New Roman" w:hAnsi="Times New Roman" w:cs="Times New Roman"/>
                <w:bCs/>
                <w:color w:val="000000" w:themeColor="text1"/>
                <w:sz w:val="18"/>
                <w:szCs w:val="18"/>
              </w:rPr>
              <w:t>Over 501</w:t>
            </w:r>
          </w:p>
        </w:tc>
        <w:tc>
          <w:tcPr>
            <w:tcW w:w="1128" w:type="pct"/>
            <w:tcBorders>
              <w:top w:val="nil"/>
              <w:left w:val="nil"/>
              <w:bottom w:val="nil"/>
              <w:right w:val="nil"/>
            </w:tcBorders>
          </w:tcPr>
          <w:p w14:paraId="047053C5"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5</w:t>
            </w:r>
          </w:p>
        </w:tc>
        <w:tc>
          <w:tcPr>
            <w:tcW w:w="1129" w:type="pct"/>
            <w:tcBorders>
              <w:top w:val="nil"/>
              <w:left w:val="nil"/>
              <w:bottom w:val="nil"/>
              <w:right w:val="nil"/>
            </w:tcBorders>
          </w:tcPr>
          <w:p w14:paraId="644A56AD"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4.0</w:t>
            </w:r>
          </w:p>
        </w:tc>
      </w:tr>
      <w:tr w:rsidR="00E9015E" w:rsidRPr="000673A6" w14:paraId="75BA45C0" w14:textId="77777777" w:rsidTr="00C14E25">
        <w:tc>
          <w:tcPr>
            <w:tcW w:w="366" w:type="pct"/>
            <w:tcBorders>
              <w:top w:val="nil"/>
              <w:left w:val="nil"/>
              <w:bottom w:val="nil"/>
              <w:right w:val="nil"/>
            </w:tcBorders>
          </w:tcPr>
          <w:p w14:paraId="03F5602F" w14:textId="77777777" w:rsidR="00E9015E" w:rsidRPr="000673A6" w:rsidRDefault="00E9015E" w:rsidP="00C14E25">
            <w:pPr>
              <w:rPr>
                <w:rFonts w:ascii="Times New Roman" w:hAnsi="Times New Roman" w:cs="Times New Roman"/>
                <w:bCs/>
                <w:i/>
                <w:color w:val="000000" w:themeColor="text1"/>
                <w:sz w:val="18"/>
                <w:szCs w:val="18"/>
              </w:rPr>
            </w:pPr>
          </w:p>
        </w:tc>
        <w:tc>
          <w:tcPr>
            <w:tcW w:w="2377" w:type="pct"/>
            <w:tcBorders>
              <w:top w:val="nil"/>
              <w:left w:val="nil"/>
              <w:bottom w:val="nil"/>
              <w:right w:val="nil"/>
            </w:tcBorders>
          </w:tcPr>
          <w:p w14:paraId="77778A77" w14:textId="77777777" w:rsidR="00E9015E" w:rsidRPr="000673A6" w:rsidRDefault="00E9015E" w:rsidP="00C14E25">
            <w:pPr>
              <w:rPr>
                <w:rFonts w:ascii="Times New Roman" w:hAnsi="Times New Roman" w:cs="Times New Roman"/>
                <w:bCs/>
                <w:i/>
                <w:color w:val="000000" w:themeColor="text1"/>
                <w:sz w:val="18"/>
                <w:szCs w:val="18"/>
              </w:rPr>
            </w:pPr>
            <w:r w:rsidRPr="000673A6">
              <w:rPr>
                <w:rFonts w:ascii="Times New Roman" w:hAnsi="Times New Roman" w:cs="Times New Roman"/>
                <w:bCs/>
                <w:i/>
                <w:color w:val="000000" w:themeColor="text1"/>
                <w:sz w:val="18"/>
                <w:szCs w:val="18"/>
              </w:rPr>
              <w:t>Total</w:t>
            </w:r>
          </w:p>
        </w:tc>
        <w:tc>
          <w:tcPr>
            <w:tcW w:w="1128" w:type="pct"/>
            <w:tcBorders>
              <w:top w:val="nil"/>
              <w:left w:val="nil"/>
              <w:bottom w:val="nil"/>
              <w:right w:val="nil"/>
            </w:tcBorders>
          </w:tcPr>
          <w:p w14:paraId="4007FB8E"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125</w:t>
            </w:r>
          </w:p>
        </w:tc>
        <w:tc>
          <w:tcPr>
            <w:tcW w:w="1129" w:type="pct"/>
            <w:tcBorders>
              <w:top w:val="nil"/>
              <w:left w:val="nil"/>
              <w:bottom w:val="nil"/>
              <w:right w:val="nil"/>
            </w:tcBorders>
          </w:tcPr>
          <w:p w14:paraId="0D4A4809"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100</w:t>
            </w:r>
          </w:p>
        </w:tc>
      </w:tr>
      <w:tr w:rsidR="00E9015E" w:rsidRPr="000673A6" w14:paraId="2846B1DF" w14:textId="77777777" w:rsidTr="00C14E25">
        <w:tc>
          <w:tcPr>
            <w:tcW w:w="366" w:type="pct"/>
            <w:tcBorders>
              <w:top w:val="nil"/>
              <w:left w:val="nil"/>
              <w:bottom w:val="nil"/>
              <w:right w:val="nil"/>
            </w:tcBorders>
          </w:tcPr>
          <w:p w14:paraId="0612D7B5" w14:textId="77777777" w:rsidR="00E9015E" w:rsidRPr="000673A6" w:rsidRDefault="00E9015E" w:rsidP="00C14E25">
            <w:pPr>
              <w:ind w:leftChars="451" w:left="992"/>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1BE9DF19" w14:textId="77777777" w:rsidR="00E9015E" w:rsidRPr="000673A6" w:rsidRDefault="00E9015E" w:rsidP="00C14E25">
            <w:pPr>
              <w:ind w:leftChars="451" w:left="992"/>
              <w:rPr>
                <w:rFonts w:ascii="Times New Roman" w:hAnsi="Times New Roman" w:cs="Times New Roman"/>
                <w:bCs/>
                <w:color w:val="000000" w:themeColor="text1"/>
                <w:sz w:val="18"/>
                <w:szCs w:val="18"/>
              </w:rPr>
            </w:pPr>
          </w:p>
        </w:tc>
        <w:tc>
          <w:tcPr>
            <w:tcW w:w="1128" w:type="pct"/>
            <w:tcBorders>
              <w:top w:val="nil"/>
              <w:left w:val="nil"/>
              <w:bottom w:val="nil"/>
              <w:right w:val="nil"/>
            </w:tcBorders>
            <w:vAlign w:val="center"/>
          </w:tcPr>
          <w:p w14:paraId="7620793A" w14:textId="77777777" w:rsidR="00E9015E" w:rsidRPr="000673A6" w:rsidRDefault="00E9015E" w:rsidP="00C14E25">
            <w:pPr>
              <w:jc w:val="center"/>
              <w:rPr>
                <w:rFonts w:ascii="Times New Roman" w:hAnsi="Times New Roman" w:cs="Times New Roman"/>
                <w:sz w:val="18"/>
                <w:szCs w:val="18"/>
              </w:rPr>
            </w:pPr>
          </w:p>
        </w:tc>
        <w:tc>
          <w:tcPr>
            <w:tcW w:w="1129" w:type="pct"/>
            <w:tcBorders>
              <w:top w:val="nil"/>
              <w:left w:val="nil"/>
              <w:bottom w:val="nil"/>
              <w:right w:val="nil"/>
            </w:tcBorders>
            <w:vAlign w:val="center"/>
          </w:tcPr>
          <w:p w14:paraId="56D79A48" w14:textId="77777777" w:rsidR="00E9015E" w:rsidRPr="000673A6" w:rsidRDefault="00E9015E" w:rsidP="00C14E25">
            <w:pPr>
              <w:jc w:val="center"/>
              <w:rPr>
                <w:rFonts w:ascii="Times New Roman" w:hAnsi="Times New Roman" w:cs="Times New Roman"/>
                <w:sz w:val="18"/>
                <w:szCs w:val="18"/>
              </w:rPr>
            </w:pPr>
          </w:p>
        </w:tc>
      </w:tr>
      <w:tr w:rsidR="00E9015E" w:rsidRPr="000673A6" w14:paraId="31675226" w14:textId="77777777" w:rsidTr="00C14E25">
        <w:tc>
          <w:tcPr>
            <w:tcW w:w="2743" w:type="pct"/>
            <w:gridSpan w:val="2"/>
            <w:tcBorders>
              <w:top w:val="nil"/>
              <w:left w:val="nil"/>
              <w:bottom w:val="nil"/>
              <w:right w:val="nil"/>
            </w:tcBorders>
          </w:tcPr>
          <w:p w14:paraId="3B227933" w14:textId="77777777" w:rsidR="00E9015E" w:rsidRPr="000673A6" w:rsidRDefault="00E9015E" w:rsidP="00C14E25">
            <w:pPr>
              <w:rPr>
                <w:rFonts w:ascii="Times New Roman" w:hAnsi="Times New Roman" w:cs="Times New Roman"/>
                <w:b/>
                <w:bCs/>
                <w:color w:val="000000" w:themeColor="text1"/>
                <w:sz w:val="18"/>
                <w:szCs w:val="18"/>
              </w:rPr>
            </w:pPr>
            <w:r w:rsidRPr="000673A6">
              <w:rPr>
                <w:rFonts w:ascii="Times New Roman" w:hAnsi="Times New Roman" w:cs="Times New Roman"/>
                <w:b/>
                <w:bCs/>
                <w:color w:val="000000" w:themeColor="text1"/>
                <w:sz w:val="18"/>
                <w:szCs w:val="18"/>
              </w:rPr>
              <w:t xml:space="preserve">Firm sales </w:t>
            </w:r>
            <w:proofErr w:type="gramStart"/>
            <w:r w:rsidRPr="000673A6">
              <w:rPr>
                <w:rFonts w:ascii="Times New Roman" w:hAnsi="Times New Roman" w:cs="Times New Roman"/>
                <w:b/>
                <w:bCs/>
                <w:color w:val="000000" w:themeColor="text1"/>
                <w:sz w:val="18"/>
                <w:szCs w:val="18"/>
              </w:rPr>
              <w:t>( Million</w:t>
            </w:r>
            <w:proofErr w:type="gramEnd"/>
            <w:r w:rsidRPr="000673A6">
              <w:rPr>
                <w:rFonts w:ascii="Times New Roman" w:hAnsi="Times New Roman" w:cs="Times New Roman"/>
                <w:b/>
                <w:bCs/>
                <w:color w:val="000000" w:themeColor="text1"/>
                <w:sz w:val="18"/>
                <w:szCs w:val="18"/>
              </w:rPr>
              <w:t xml:space="preserve"> USD)</w:t>
            </w:r>
          </w:p>
        </w:tc>
        <w:tc>
          <w:tcPr>
            <w:tcW w:w="1128" w:type="pct"/>
            <w:tcBorders>
              <w:top w:val="nil"/>
              <w:left w:val="nil"/>
              <w:bottom w:val="nil"/>
              <w:right w:val="nil"/>
            </w:tcBorders>
            <w:vAlign w:val="center"/>
          </w:tcPr>
          <w:p w14:paraId="3490746B" w14:textId="77777777" w:rsidR="00E9015E" w:rsidRPr="000673A6" w:rsidRDefault="00E9015E" w:rsidP="00C14E25">
            <w:pPr>
              <w:jc w:val="center"/>
              <w:rPr>
                <w:rFonts w:ascii="Times New Roman" w:hAnsi="Times New Roman" w:cs="Times New Roman"/>
                <w:sz w:val="18"/>
                <w:szCs w:val="18"/>
              </w:rPr>
            </w:pPr>
          </w:p>
        </w:tc>
        <w:tc>
          <w:tcPr>
            <w:tcW w:w="1129" w:type="pct"/>
            <w:tcBorders>
              <w:top w:val="nil"/>
              <w:left w:val="nil"/>
              <w:bottom w:val="nil"/>
              <w:right w:val="nil"/>
            </w:tcBorders>
            <w:vAlign w:val="center"/>
          </w:tcPr>
          <w:p w14:paraId="24CEED03" w14:textId="77777777" w:rsidR="00E9015E" w:rsidRPr="000673A6" w:rsidRDefault="00E9015E" w:rsidP="00C14E25">
            <w:pPr>
              <w:jc w:val="center"/>
              <w:rPr>
                <w:rFonts w:ascii="Times New Roman" w:hAnsi="Times New Roman" w:cs="Times New Roman"/>
                <w:sz w:val="18"/>
                <w:szCs w:val="18"/>
              </w:rPr>
            </w:pPr>
          </w:p>
        </w:tc>
      </w:tr>
      <w:tr w:rsidR="00E9015E" w:rsidRPr="000673A6" w14:paraId="153F1B0B" w14:textId="77777777" w:rsidTr="00C14E25">
        <w:tc>
          <w:tcPr>
            <w:tcW w:w="366" w:type="pct"/>
            <w:tcBorders>
              <w:top w:val="nil"/>
              <w:left w:val="nil"/>
              <w:bottom w:val="nil"/>
              <w:right w:val="nil"/>
            </w:tcBorders>
          </w:tcPr>
          <w:p w14:paraId="63C74F46" w14:textId="77777777" w:rsidR="00E9015E" w:rsidRPr="000673A6" w:rsidRDefault="00E9015E" w:rsidP="00C14E25">
            <w:pPr>
              <w:ind w:leftChars="451" w:left="992"/>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7039179A" w14:textId="77777777" w:rsidR="00E9015E" w:rsidRPr="000673A6" w:rsidRDefault="00E9015E" w:rsidP="00C14E25">
            <w:pPr>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≤10</w:t>
            </w:r>
          </w:p>
        </w:tc>
        <w:tc>
          <w:tcPr>
            <w:tcW w:w="1128" w:type="pct"/>
            <w:tcBorders>
              <w:top w:val="nil"/>
              <w:left w:val="nil"/>
              <w:bottom w:val="nil"/>
              <w:right w:val="nil"/>
            </w:tcBorders>
          </w:tcPr>
          <w:p w14:paraId="594B73B8"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16</w:t>
            </w:r>
          </w:p>
        </w:tc>
        <w:tc>
          <w:tcPr>
            <w:tcW w:w="1129" w:type="pct"/>
            <w:tcBorders>
              <w:top w:val="nil"/>
              <w:left w:val="nil"/>
              <w:bottom w:val="nil"/>
              <w:right w:val="nil"/>
            </w:tcBorders>
          </w:tcPr>
          <w:p w14:paraId="3EA32E97"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12.8</w:t>
            </w:r>
          </w:p>
        </w:tc>
      </w:tr>
      <w:tr w:rsidR="00E9015E" w:rsidRPr="000673A6" w14:paraId="002C19B5" w14:textId="77777777" w:rsidTr="00C14E25">
        <w:tc>
          <w:tcPr>
            <w:tcW w:w="366" w:type="pct"/>
            <w:tcBorders>
              <w:top w:val="nil"/>
              <w:left w:val="nil"/>
              <w:bottom w:val="nil"/>
              <w:right w:val="nil"/>
            </w:tcBorders>
          </w:tcPr>
          <w:p w14:paraId="30FD33B6" w14:textId="77777777" w:rsidR="00E9015E" w:rsidRPr="000673A6" w:rsidRDefault="00E9015E" w:rsidP="00C14E25">
            <w:pPr>
              <w:ind w:leftChars="451" w:left="992"/>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7CB5A83A" w14:textId="77777777" w:rsidR="00E9015E" w:rsidRPr="000673A6" w:rsidRDefault="00E9015E" w:rsidP="00C14E25">
            <w:pPr>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10 - 30</w:t>
            </w:r>
          </w:p>
        </w:tc>
        <w:tc>
          <w:tcPr>
            <w:tcW w:w="1128" w:type="pct"/>
            <w:tcBorders>
              <w:top w:val="nil"/>
              <w:left w:val="nil"/>
              <w:bottom w:val="nil"/>
              <w:right w:val="nil"/>
            </w:tcBorders>
          </w:tcPr>
          <w:p w14:paraId="6003B47A"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47</w:t>
            </w:r>
          </w:p>
        </w:tc>
        <w:tc>
          <w:tcPr>
            <w:tcW w:w="1129" w:type="pct"/>
            <w:tcBorders>
              <w:top w:val="nil"/>
              <w:left w:val="nil"/>
              <w:bottom w:val="nil"/>
              <w:right w:val="nil"/>
            </w:tcBorders>
          </w:tcPr>
          <w:p w14:paraId="092F8C75"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37.6</w:t>
            </w:r>
          </w:p>
        </w:tc>
      </w:tr>
      <w:tr w:rsidR="00E9015E" w:rsidRPr="000673A6" w14:paraId="2563EA3C" w14:textId="77777777" w:rsidTr="00C14E25">
        <w:tc>
          <w:tcPr>
            <w:tcW w:w="366" w:type="pct"/>
            <w:tcBorders>
              <w:top w:val="nil"/>
              <w:left w:val="nil"/>
              <w:bottom w:val="nil"/>
              <w:right w:val="nil"/>
            </w:tcBorders>
          </w:tcPr>
          <w:p w14:paraId="36E2E6E2" w14:textId="77777777" w:rsidR="00E9015E" w:rsidRPr="000673A6" w:rsidRDefault="00E9015E" w:rsidP="00C14E25">
            <w:pPr>
              <w:ind w:leftChars="451" w:left="992"/>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39C0336F" w14:textId="77777777" w:rsidR="00E9015E" w:rsidRPr="000673A6" w:rsidRDefault="00E9015E" w:rsidP="00C14E25">
            <w:pPr>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 xml:space="preserve">31 - 50 </w:t>
            </w:r>
          </w:p>
        </w:tc>
        <w:tc>
          <w:tcPr>
            <w:tcW w:w="1128" w:type="pct"/>
            <w:tcBorders>
              <w:top w:val="nil"/>
              <w:left w:val="nil"/>
              <w:bottom w:val="nil"/>
              <w:right w:val="nil"/>
            </w:tcBorders>
          </w:tcPr>
          <w:p w14:paraId="1D820E8E"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19</w:t>
            </w:r>
          </w:p>
        </w:tc>
        <w:tc>
          <w:tcPr>
            <w:tcW w:w="1129" w:type="pct"/>
            <w:tcBorders>
              <w:top w:val="nil"/>
              <w:left w:val="nil"/>
              <w:bottom w:val="nil"/>
              <w:right w:val="nil"/>
            </w:tcBorders>
          </w:tcPr>
          <w:p w14:paraId="21752046"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15.2</w:t>
            </w:r>
          </w:p>
        </w:tc>
      </w:tr>
      <w:tr w:rsidR="00E9015E" w:rsidRPr="000673A6" w14:paraId="44E3123D" w14:textId="77777777" w:rsidTr="00C14E25">
        <w:tc>
          <w:tcPr>
            <w:tcW w:w="366" w:type="pct"/>
            <w:tcBorders>
              <w:top w:val="nil"/>
              <w:left w:val="nil"/>
              <w:bottom w:val="nil"/>
              <w:right w:val="nil"/>
            </w:tcBorders>
          </w:tcPr>
          <w:p w14:paraId="051DBA3F" w14:textId="77777777" w:rsidR="00E9015E" w:rsidRPr="000673A6" w:rsidRDefault="00E9015E" w:rsidP="00C14E25">
            <w:pPr>
              <w:ind w:leftChars="451" w:left="992"/>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607EAA13" w14:textId="77777777" w:rsidR="00E9015E" w:rsidRPr="000673A6" w:rsidRDefault="00E9015E" w:rsidP="00C14E25">
            <w:pPr>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51 - 100</w:t>
            </w:r>
          </w:p>
        </w:tc>
        <w:tc>
          <w:tcPr>
            <w:tcW w:w="1128" w:type="pct"/>
            <w:tcBorders>
              <w:top w:val="nil"/>
              <w:left w:val="nil"/>
              <w:bottom w:val="nil"/>
              <w:right w:val="nil"/>
            </w:tcBorders>
          </w:tcPr>
          <w:p w14:paraId="764F74AA"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20</w:t>
            </w:r>
          </w:p>
        </w:tc>
        <w:tc>
          <w:tcPr>
            <w:tcW w:w="1129" w:type="pct"/>
            <w:tcBorders>
              <w:top w:val="nil"/>
              <w:left w:val="nil"/>
              <w:bottom w:val="nil"/>
              <w:right w:val="nil"/>
            </w:tcBorders>
          </w:tcPr>
          <w:p w14:paraId="613B8ED3"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16.0</w:t>
            </w:r>
          </w:p>
        </w:tc>
      </w:tr>
      <w:tr w:rsidR="00E9015E" w:rsidRPr="000673A6" w14:paraId="5DD1F8F9" w14:textId="77777777" w:rsidTr="00C14E25">
        <w:tc>
          <w:tcPr>
            <w:tcW w:w="366" w:type="pct"/>
            <w:tcBorders>
              <w:top w:val="nil"/>
              <w:left w:val="nil"/>
              <w:bottom w:val="nil"/>
              <w:right w:val="nil"/>
            </w:tcBorders>
          </w:tcPr>
          <w:p w14:paraId="563F82FA" w14:textId="77777777" w:rsidR="00E9015E" w:rsidRPr="000673A6" w:rsidRDefault="00E9015E" w:rsidP="00C14E25">
            <w:pPr>
              <w:ind w:leftChars="451" w:left="992"/>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5D90A256" w14:textId="77777777" w:rsidR="00E9015E" w:rsidRPr="000673A6" w:rsidRDefault="00E9015E" w:rsidP="00C14E25">
            <w:pPr>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Over 101</w:t>
            </w:r>
          </w:p>
        </w:tc>
        <w:tc>
          <w:tcPr>
            <w:tcW w:w="1128" w:type="pct"/>
            <w:tcBorders>
              <w:top w:val="nil"/>
              <w:left w:val="nil"/>
              <w:bottom w:val="nil"/>
              <w:right w:val="nil"/>
            </w:tcBorders>
          </w:tcPr>
          <w:p w14:paraId="10B09E34"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23</w:t>
            </w:r>
          </w:p>
        </w:tc>
        <w:tc>
          <w:tcPr>
            <w:tcW w:w="1129" w:type="pct"/>
            <w:tcBorders>
              <w:top w:val="nil"/>
              <w:left w:val="nil"/>
              <w:bottom w:val="nil"/>
              <w:right w:val="nil"/>
            </w:tcBorders>
          </w:tcPr>
          <w:p w14:paraId="62B1E603"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18.4</w:t>
            </w:r>
          </w:p>
        </w:tc>
      </w:tr>
      <w:tr w:rsidR="00E9015E" w:rsidRPr="000673A6" w14:paraId="795D38D2" w14:textId="77777777" w:rsidTr="00C14E25">
        <w:tc>
          <w:tcPr>
            <w:tcW w:w="366" w:type="pct"/>
            <w:tcBorders>
              <w:top w:val="nil"/>
              <w:left w:val="nil"/>
              <w:bottom w:val="nil"/>
              <w:right w:val="nil"/>
            </w:tcBorders>
          </w:tcPr>
          <w:p w14:paraId="5B495A46" w14:textId="77777777" w:rsidR="00E9015E" w:rsidRPr="000673A6" w:rsidRDefault="00E9015E" w:rsidP="00C14E25">
            <w:pPr>
              <w:ind w:leftChars="451" w:left="992"/>
              <w:rPr>
                <w:rFonts w:ascii="Times New Roman" w:hAnsi="Times New Roman" w:cs="Times New Roman"/>
                <w:bCs/>
                <w:i/>
                <w:color w:val="000000" w:themeColor="text1"/>
                <w:sz w:val="18"/>
                <w:szCs w:val="18"/>
              </w:rPr>
            </w:pPr>
          </w:p>
        </w:tc>
        <w:tc>
          <w:tcPr>
            <w:tcW w:w="2377" w:type="pct"/>
            <w:tcBorders>
              <w:top w:val="nil"/>
              <w:left w:val="nil"/>
              <w:bottom w:val="nil"/>
              <w:right w:val="nil"/>
            </w:tcBorders>
          </w:tcPr>
          <w:p w14:paraId="281905E6" w14:textId="77777777" w:rsidR="00E9015E" w:rsidRPr="000673A6" w:rsidRDefault="00E9015E" w:rsidP="00C14E25">
            <w:pPr>
              <w:rPr>
                <w:rFonts w:ascii="Times New Roman" w:hAnsi="Times New Roman" w:cs="Times New Roman"/>
                <w:bCs/>
                <w:i/>
                <w:color w:val="000000" w:themeColor="text1"/>
                <w:sz w:val="18"/>
                <w:szCs w:val="18"/>
              </w:rPr>
            </w:pPr>
            <w:r w:rsidRPr="000673A6">
              <w:rPr>
                <w:rFonts w:ascii="Times New Roman" w:hAnsi="Times New Roman" w:cs="Times New Roman"/>
                <w:bCs/>
                <w:i/>
                <w:color w:val="000000" w:themeColor="text1"/>
                <w:sz w:val="18"/>
                <w:szCs w:val="18"/>
              </w:rPr>
              <w:t>Total</w:t>
            </w:r>
          </w:p>
        </w:tc>
        <w:tc>
          <w:tcPr>
            <w:tcW w:w="1128" w:type="pct"/>
            <w:tcBorders>
              <w:top w:val="nil"/>
              <w:left w:val="nil"/>
              <w:bottom w:val="nil"/>
              <w:right w:val="nil"/>
            </w:tcBorders>
          </w:tcPr>
          <w:p w14:paraId="6304138E"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125</w:t>
            </w:r>
          </w:p>
        </w:tc>
        <w:tc>
          <w:tcPr>
            <w:tcW w:w="1129" w:type="pct"/>
            <w:tcBorders>
              <w:top w:val="nil"/>
              <w:left w:val="nil"/>
              <w:bottom w:val="nil"/>
              <w:right w:val="nil"/>
            </w:tcBorders>
          </w:tcPr>
          <w:p w14:paraId="2E6F27F9"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100</w:t>
            </w:r>
          </w:p>
        </w:tc>
      </w:tr>
      <w:tr w:rsidR="00E9015E" w:rsidRPr="000673A6" w14:paraId="17E2CC11" w14:textId="77777777" w:rsidTr="00C14E25">
        <w:tc>
          <w:tcPr>
            <w:tcW w:w="366" w:type="pct"/>
            <w:tcBorders>
              <w:top w:val="nil"/>
              <w:left w:val="nil"/>
              <w:bottom w:val="nil"/>
              <w:right w:val="nil"/>
            </w:tcBorders>
          </w:tcPr>
          <w:p w14:paraId="0859C76E" w14:textId="77777777" w:rsidR="00E9015E" w:rsidRPr="000673A6" w:rsidRDefault="00E9015E" w:rsidP="00C14E25">
            <w:pPr>
              <w:ind w:leftChars="451" w:left="992"/>
              <w:rPr>
                <w:rFonts w:ascii="Times New Roman" w:hAnsi="Times New Roman" w:cs="Times New Roman"/>
                <w:bCs/>
                <w:i/>
                <w:color w:val="000000" w:themeColor="text1"/>
                <w:sz w:val="18"/>
                <w:szCs w:val="18"/>
              </w:rPr>
            </w:pPr>
          </w:p>
        </w:tc>
        <w:tc>
          <w:tcPr>
            <w:tcW w:w="2377" w:type="pct"/>
            <w:tcBorders>
              <w:top w:val="nil"/>
              <w:left w:val="nil"/>
              <w:bottom w:val="nil"/>
              <w:right w:val="nil"/>
            </w:tcBorders>
          </w:tcPr>
          <w:p w14:paraId="7744733E" w14:textId="77777777" w:rsidR="00E9015E" w:rsidRPr="000673A6" w:rsidRDefault="00E9015E" w:rsidP="00C14E25">
            <w:pPr>
              <w:ind w:leftChars="451" w:left="992"/>
              <w:rPr>
                <w:rFonts w:ascii="Times New Roman" w:hAnsi="Times New Roman" w:cs="Times New Roman"/>
                <w:bCs/>
                <w:i/>
                <w:color w:val="000000" w:themeColor="text1"/>
                <w:sz w:val="18"/>
                <w:szCs w:val="18"/>
              </w:rPr>
            </w:pPr>
          </w:p>
        </w:tc>
        <w:tc>
          <w:tcPr>
            <w:tcW w:w="1128" w:type="pct"/>
            <w:tcBorders>
              <w:top w:val="nil"/>
              <w:left w:val="nil"/>
              <w:bottom w:val="nil"/>
              <w:right w:val="nil"/>
            </w:tcBorders>
            <w:vAlign w:val="center"/>
          </w:tcPr>
          <w:p w14:paraId="1805F8C7" w14:textId="77777777" w:rsidR="00E9015E" w:rsidRPr="000673A6" w:rsidRDefault="00E9015E" w:rsidP="00C14E25">
            <w:pPr>
              <w:jc w:val="center"/>
              <w:rPr>
                <w:rFonts w:ascii="Times New Roman" w:hAnsi="Times New Roman" w:cs="Times New Roman"/>
                <w:i/>
                <w:sz w:val="18"/>
                <w:szCs w:val="18"/>
              </w:rPr>
            </w:pPr>
          </w:p>
        </w:tc>
        <w:tc>
          <w:tcPr>
            <w:tcW w:w="1129" w:type="pct"/>
            <w:tcBorders>
              <w:top w:val="nil"/>
              <w:left w:val="nil"/>
              <w:bottom w:val="nil"/>
              <w:right w:val="nil"/>
            </w:tcBorders>
            <w:vAlign w:val="center"/>
          </w:tcPr>
          <w:p w14:paraId="3825A975" w14:textId="77777777" w:rsidR="00E9015E" w:rsidRPr="000673A6" w:rsidRDefault="00E9015E" w:rsidP="00C14E25">
            <w:pPr>
              <w:jc w:val="center"/>
              <w:rPr>
                <w:rFonts w:ascii="Times New Roman" w:eastAsia="Malgun Gothic" w:hAnsi="Times New Roman" w:cs="Times New Roman"/>
                <w:i/>
                <w:sz w:val="18"/>
                <w:szCs w:val="18"/>
              </w:rPr>
            </w:pPr>
          </w:p>
        </w:tc>
      </w:tr>
      <w:tr w:rsidR="00E9015E" w:rsidRPr="000673A6" w14:paraId="574275CA" w14:textId="77777777" w:rsidTr="00C14E25">
        <w:tc>
          <w:tcPr>
            <w:tcW w:w="2743" w:type="pct"/>
            <w:gridSpan w:val="2"/>
            <w:tcBorders>
              <w:top w:val="nil"/>
              <w:left w:val="nil"/>
              <w:bottom w:val="nil"/>
              <w:right w:val="nil"/>
            </w:tcBorders>
          </w:tcPr>
          <w:p w14:paraId="72BB647E" w14:textId="77777777" w:rsidR="00E9015E" w:rsidRPr="000673A6" w:rsidRDefault="00E9015E" w:rsidP="00C14E25">
            <w:pPr>
              <w:rPr>
                <w:rFonts w:ascii="Times New Roman" w:hAnsi="Times New Roman" w:cs="Times New Roman"/>
                <w:b/>
                <w:bCs/>
                <w:color w:val="000000" w:themeColor="text1"/>
                <w:sz w:val="18"/>
                <w:szCs w:val="18"/>
              </w:rPr>
            </w:pPr>
            <w:r w:rsidRPr="000673A6">
              <w:rPr>
                <w:rFonts w:ascii="Times New Roman" w:hAnsi="Times New Roman" w:cs="Times New Roman"/>
                <w:b/>
                <w:bCs/>
                <w:color w:val="000000" w:themeColor="text1"/>
                <w:sz w:val="18"/>
                <w:szCs w:val="18"/>
              </w:rPr>
              <w:t>Supplier-buyer relationship duration</w:t>
            </w:r>
          </w:p>
        </w:tc>
        <w:tc>
          <w:tcPr>
            <w:tcW w:w="1128" w:type="pct"/>
            <w:tcBorders>
              <w:top w:val="nil"/>
              <w:left w:val="nil"/>
              <w:bottom w:val="nil"/>
              <w:right w:val="nil"/>
            </w:tcBorders>
            <w:vAlign w:val="center"/>
          </w:tcPr>
          <w:p w14:paraId="1A0B1815" w14:textId="77777777" w:rsidR="00E9015E" w:rsidRPr="000673A6" w:rsidRDefault="00E9015E" w:rsidP="00C14E25">
            <w:pPr>
              <w:jc w:val="center"/>
              <w:rPr>
                <w:rFonts w:ascii="Times New Roman" w:hAnsi="Times New Roman" w:cs="Times New Roman"/>
                <w:sz w:val="18"/>
                <w:szCs w:val="18"/>
              </w:rPr>
            </w:pPr>
          </w:p>
        </w:tc>
        <w:tc>
          <w:tcPr>
            <w:tcW w:w="1129" w:type="pct"/>
            <w:tcBorders>
              <w:top w:val="nil"/>
              <w:left w:val="nil"/>
              <w:bottom w:val="nil"/>
              <w:right w:val="nil"/>
            </w:tcBorders>
            <w:vAlign w:val="center"/>
          </w:tcPr>
          <w:p w14:paraId="36A79D18" w14:textId="77777777" w:rsidR="00E9015E" w:rsidRPr="000673A6" w:rsidRDefault="00E9015E" w:rsidP="00C14E25">
            <w:pPr>
              <w:jc w:val="center"/>
              <w:rPr>
                <w:rFonts w:ascii="Times New Roman" w:hAnsi="Times New Roman" w:cs="Times New Roman"/>
                <w:sz w:val="18"/>
                <w:szCs w:val="18"/>
              </w:rPr>
            </w:pPr>
          </w:p>
        </w:tc>
      </w:tr>
      <w:tr w:rsidR="00E9015E" w:rsidRPr="000673A6" w14:paraId="7C153C98" w14:textId="77777777" w:rsidTr="00C14E25">
        <w:tc>
          <w:tcPr>
            <w:tcW w:w="366" w:type="pct"/>
            <w:tcBorders>
              <w:top w:val="nil"/>
              <w:left w:val="nil"/>
              <w:bottom w:val="nil"/>
              <w:right w:val="nil"/>
            </w:tcBorders>
          </w:tcPr>
          <w:p w14:paraId="2BAD9895"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3DC34992" w14:textId="77777777" w:rsidR="00E9015E" w:rsidRPr="000673A6" w:rsidRDefault="00E9015E" w:rsidP="00C14E25">
            <w:pPr>
              <w:jc w:val="left"/>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≤10 years</w:t>
            </w:r>
          </w:p>
        </w:tc>
        <w:tc>
          <w:tcPr>
            <w:tcW w:w="1128" w:type="pct"/>
            <w:tcBorders>
              <w:top w:val="nil"/>
              <w:left w:val="nil"/>
              <w:bottom w:val="nil"/>
              <w:right w:val="nil"/>
            </w:tcBorders>
          </w:tcPr>
          <w:p w14:paraId="07EA3DC9"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33</w:t>
            </w:r>
          </w:p>
        </w:tc>
        <w:tc>
          <w:tcPr>
            <w:tcW w:w="1129" w:type="pct"/>
            <w:tcBorders>
              <w:top w:val="nil"/>
              <w:left w:val="nil"/>
              <w:bottom w:val="nil"/>
              <w:right w:val="nil"/>
            </w:tcBorders>
          </w:tcPr>
          <w:p w14:paraId="4050F008"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26.4</w:t>
            </w:r>
          </w:p>
        </w:tc>
      </w:tr>
      <w:tr w:rsidR="00E9015E" w:rsidRPr="000673A6" w14:paraId="0DA6F005" w14:textId="77777777" w:rsidTr="00C14E25">
        <w:tc>
          <w:tcPr>
            <w:tcW w:w="366" w:type="pct"/>
            <w:tcBorders>
              <w:top w:val="nil"/>
              <w:left w:val="nil"/>
              <w:bottom w:val="nil"/>
              <w:right w:val="nil"/>
            </w:tcBorders>
          </w:tcPr>
          <w:p w14:paraId="55C27D51"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214E6E0F" w14:textId="77777777" w:rsidR="00E9015E" w:rsidRPr="000673A6" w:rsidRDefault="00E9015E" w:rsidP="00C14E25">
            <w:pPr>
              <w:jc w:val="left"/>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11–20 years</w:t>
            </w:r>
          </w:p>
        </w:tc>
        <w:tc>
          <w:tcPr>
            <w:tcW w:w="1128" w:type="pct"/>
            <w:tcBorders>
              <w:top w:val="nil"/>
              <w:left w:val="nil"/>
              <w:bottom w:val="nil"/>
              <w:right w:val="nil"/>
            </w:tcBorders>
          </w:tcPr>
          <w:p w14:paraId="58E102ED"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47</w:t>
            </w:r>
          </w:p>
        </w:tc>
        <w:tc>
          <w:tcPr>
            <w:tcW w:w="1129" w:type="pct"/>
            <w:tcBorders>
              <w:top w:val="nil"/>
              <w:left w:val="nil"/>
              <w:bottom w:val="nil"/>
              <w:right w:val="nil"/>
            </w:tcBorders>
          </w:tcPr>
          <w:p w14:paraId="4B3A10E5"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37.6</w:t>
            </w:r>
          </w:p>
        </w:tc>
      </w:tr>
      <w:tr w:rsidR="00E9015E" w:rsidRPr="000673A6" w14:paraId="3606B01C" w14:textId="77777777" w:rsidTr="00C14E25">
        <w:tc>
          <w:tcPr>
            <w:tcW w:w="366" w:type="pct"/>
            <w:tcBorders>
              <w:top w:val="nil"/>
              <w:left w:val="nil"/>
              <w:bottom w:val="nil"/>
              <w:right w:val="nil"/>
            </w:tcBorders>
          </w:tcPr>
          <w:p w14:paraId="5852A696"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75CDC03A" w14:textId="77777777" w:rsidR="00E9015E" w:rsidRPr="000673A6" w:rsidRDefault="00E9015E" w:rsidP="00C14E25">
            <w:pPr>
              <w:jc w:val="left"/>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21–30 years</w:t>
            </w:r>
          </w:p>
        </w:tc>
        <w:tc>
          <w:tcPr>
            <w:tcW w:w="1128" w:type="pct"/>
            <w:tcBorders>
              <w:top w:val="nil"/>
              <w:left w:val="nil"/>
              <w:bottom w:val="nil"/>
              <w:right w:val="nil"/>
            </w:tcBorders>
          </w:tcPr>
          <w:p w14:paraId="715454F2"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27</w:t>
            </w:r>
          </w:p>
        </w:tc>
        <w:tc>
          <w:tcPr>
            <w:tcW w:w="1129" w:type="pct"/>
            <w:tcBorders>
              <w:top w:val="nil"/>
              <w:left w:val="nil"/>
              <w:bottom w:val="nil"/>
              <w:right w:val="nil"/>
            </w:tcBorders>
          </w:tcPr>
          <w:p w14:paraId="4B4BCD10"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21.6</w:t>
            </w:r>
          </w:p>
        </w:tc>
      </w:tr>
      <w:tr w:rsidR="00E9015E" w:rsidRPr="000673A6" w14:paraId="7C27C046" w14:textId="77777777" w:rsidTr="00C14E25">
        <w:tc>
          <w:tcPr>
            <w:tcW w:w="366" w:type="pct"/>
            <w:tcBorders>
              <w:top w:val="nil"/>
              <w:left w:val="nil"/>
              <w:bottom w:val="nil"/>
              <w:right w:val="nil"/>
            </w:tcBorders>
          </w:tcPr>
          <w:p w14:paraId="399EFF15"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23ACAB76" w14:textId="77777777" w:rsidR="00E9015E" w:rsidRPr="000673A6" w:rsidRDefault="00E9015E" w:rsidP="00C14E25">
            <w:pPr>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Over 31 years</w:t>
            </w:r>
          </w:p>
        </w:tc>
        <w:tc>
          <w:tcPr>
            <w:tcW w:w="1128" w:type="pct"/>
            <w:tcBorders>
              <w:top w:val="nil"/>
              <w:left w:val="nil"/>
              <w:bottom w:val="nil"/>
              <w:right w:val="nil"/>
            </w:tcBorders>
          </w:tcPr>
          <w:p w14:paraId="323A97BF"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18</w:t>
            </w:r>
          </w:p>
        </w:tc>
        <w:tc>
          <w:tcPr>
            <w:tcW w:w="1129" w:type="pct"/>
            <w:tcBorders>
              <w:top w:val="nil"/>
              <w:left w:val="nil"/>
              <w:bottom w:val="nil"/>
              <w:right w:val="nil"/>
            </w:tcBorders>
          </w:tcPr>
          <w:p w14:paraId="0CDC57FA"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14.4</w:t>
            </w:r>
          </w:p>
        </w:tc>
      </w:tr>
      <w:tr w:rsidR="00E9015E" w:rsidRPr="000673A6" w14:paraId="79424555" w14:textId="77777777" w:rsidTr="00C14E25">
        <w:tc>
          <w:tcPr>
            <w:tcW w:w="366" w:type="pct"/>
            <w:tcBorders>
              <w:top w:val="nil"/>
              <w:left w:val="nil"/>
              <w:bottom w:val="nil"/>
              <w:right w:val="nil"/>
            </w:tcBorders>
          </w:tcPr>
          <w:p w14:paraId="1C082EF3"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00FDDAF3" w14:textId="77777777" w:rsidR="00E9015E" w:rsidRPr="000673A6" w:rsidRDefault="00E9015E" w:rsidP="00C14E25">
            <w:pPr>
              <w:rPr>
                <w:rFonts w:ascii="Times New Roman" w:hAnsi="Times New Roman" w:cs="Times New Roman"/>
                <w:bCs/>
                <w:i/>
                <w:color w:val="000000" w:themeColor="text1"/>
                <w:sz w:val="18"/>
                <w:szCs w:val="18"/>
              </w:rPr>
            </w:pPr>
            <w:r w:rsidRPr="000673A6">
              <w:rPr>
                <w:rFonts w:ascii="Times New Roman" w:hAnsi="Times New Roman" w:cs="Times New Roman"/>
                <w:bCs/>
                <w:i/>
                <w:color w:val="000000" w:themeColor="text1"/>
                <w:sz w:val="18"/>
                <w:szCs w:val="18"/>
              </w:rPr>
              <w:t>Total</w:t>
            </w:r>
          </w:p>
        </w:tc>
        <w:tc>
          <w:tcPr>
            <w:tcW w:w="1128" w:type="pct"/>
            <w:tcBorders>
              <w:top w:val="nil"/>
              <w:left w:val="nil"/>
              <w:bottom w:val="nil"/>
              <w:right w:val="nil"/>
            </w:tcBorders>
          </w:tcPr>
          <w:p w14:paraId="25C5585F"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125</w:t>
            </w:r>
          </w:p>
        </w:tc>
        <w:tc>
          <w:tcPr>
            <w:tcW w:w="1129" w:type="pct"/>
            <w:tcBorders>
              <w:top w:val="nil"/>
              <w:left w:val="nil"/>
              <w:bottom w:val="nil"/>
              <w:right w:val="nil"/>
            </w:tcBorders>
          </w:tcPr>
          <w:p w14:paraId="1EDC01EB"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100</w:t>
            </w:r>
          </w:p>
        </w:tc>
      </w:tr>
      <w:tr w:rsidR="00E9015E" w:rsidRPr="000673A6" w14:paraId="74D0F5BA" w14:textId="77777777" w:rsidTr="00C14E25">
        <w:tc>
          <w:tcPr>
            <w:tcW w:w="366" w:type="pct"/>
            <w:tcBorders>
              <w:top w:val="nil"/>
              <w:left w:val="nil"/>
              <w:bottom w:val="nil"/>
              <w:right w:val="nil"/>
            </w:tcBorders>
          </w:tcPr>
          <w:p w14:paraId="7E6AD5D5"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639A5007" w14:textId="77777777" w:rsidR="00E9015E" w:rsidRPr="000673A6" w:rsidRDefault="00E9015E" w:rsidP="00C14E25">
            <w:pPr>
              <w:rPr>
                <w:rFonts w:ascii="Times New Roman" w:hAnsi="Times New Roman" w:cs="Times New Roman"/>
                <w:bCs/>
                <w:color w:val="000000" w:themeColor="text1"/>
                <w:sz w:val="18"/>
                <w:szCs w:val="18"/>
              </w:rPr>
            </w:pPr>
          </w:p>
        </w:tc>
        <w:tc>
          <w:tcPr>
            <w:tcW w:w="1128" w:type="pct"/>
            <w:tcBorders>
              <w:top w:val="nil"/>
              <w:left w:val="nil"/>
              <w:bottom w:val="nil"/>
              <w:right w:val="nil"/>
            </w:tcBorders>
            <w:vAlign w:val="center"/>
          </w:tcPr>
          <w:p w14:paraId="31FCFBEE" w14:textId="77777777" w:rsidR="00E9015E" w:rsidRPr="000673A6" w:rsidRDefault="00E9015E" w:rsidP="00C14E25">
            <w:pPr>
              <w:jc w:val="center"/>
              <w:rPr>
                <w:rFonts w:ascii="Times New Roman" w:hAnsi="Times New Roman" w:cs="Times New Roman"/>
                <w:sz w:val="18"/>
                <w:szCs w:val="18"/>
              </w:rPr>
            </w:pPr>
          </w:p>
        </w:tc>
        <w:tc>
          <w:tcPr>
            <w:tcW w:w="1129" w:type="pct"/>
            <w:tcBorders>
              <w:top w:val="nil"/>
              <w:left w:val="nil"/>
              <w:bottom w:val="nil"/>
              <w:right w:val="nil"/>
            </w:tcBorders>
            <w:vAlign w:val="center"/>
          </w:tcPr>
          <w:p w14:paraId="515995B4" w14:textId="77777777" w:rsidR="00E9015E" w:rsidRPr="000673A6" w:rsidRDefault="00E9015E" w:rsidP="00C14E25">
            <w:pPr>
              <w:jc w:val="center"/>
              <w:rPr>
                <w:rFonts w:ascii="Times New Roman" w:eastAsia="Malgun Gothic" w:hAnsi="Times New Roman" w:cs="Times New Roman"/>
                <w:i/>
                <w:sz w:val="18"/>
                <w:szCs w:val="18"/>
              </w:rPr>
            </w:pPr>
          </w:p>
        </w:tc>
      </w:tr>
      <w:tr w:rsidR="00E9015E" w:rsidRPr="000673A6" w14:paraId="1F2D1708" w14:textId="77777777" w:rsidTr="00C14E25">
        <w:tc>
          <w:tcPr>
            <w:tcW w:w="2743" w:type="pct"/>
            <w:gridSpan w:val="2"/>
            <w:tcBorders>
              <w:top w:val="nil"/>
              <w:left w:val="nil"/>
              <w:bottom w:val="nil"/>
              <w:right w:val="nil"/>
            </w:tcBorders>
          </w:tcPr>
          <w:p w14:paraId="0F6FCA86" w14:textId="77777777" w:rsidR="00E9015E" w:rsidRPr="000673A6" w:rsidRDefault="00E9015E" w:rsidP="00C14E25">
            <w:pPr>
              <w:rPr>
                <w:rFonts w:ascii="Times New Roman" w:hAnsi="Times New Roman" w:cs="Times New Roman"/>
                <w:b/>
                <w:bCs/>
                <w:color w:val="000000" w:themeColor="text1"/>
                <w:sz w:val="18"/>
                <w:szCs w:val="18"/>
              </w:rPr>
            </w:pPr>
            <w:r w:rsidRPr="000673A6">
              <w:rPr>
                <w:rFonts w:ascii="Times New Roman" w:hAnsi="Times New Roman" w:cs="Times New Roman"/>
                <w:b/>
                <w:bCs/>
                <w:color w:val="000000" w:themeColor="text1"/>
                <w:sz w:val="18"/>
                <w:szCs w:val="18"/>
              </w:rPr>
              <w:t>Supplier dependence (key customer’s sales share)</w:t>
            </w:r>
          </w:p>
        </w:tc>
        <w:tc>
          <w:tcPr>
            <w:tcW w:w="1128" w:type="pct"/>
            <w:tcBorders>
              <w:top w:val="nil"/>
              <w:left w:val="nil"/>
              <w:bottom w:val="nil"/>
              <w:right w:val="nil"/>
            </w:tcBorders>
            <w:vAlign w:val="center"/>
          </w:tcPr>
          <w:p w14:paraId="4EB92429" w14:textId="77777777" w:rsidR="00E9015E" w:rsidRPr="000673A6" w:rsidRDefault="00E9015E" w:rsidP="00C14E25">
            <w:pPr>
              <w:jc w:val="center"/>
              <w:rPr>
                <w:rFonts w:ascii="Times New Roman" w:hAnsi="Times New Roman" w:cs="Times New Roman"/>
                <w:sz w:val="18"/>
                <w:szCs w:val="18"/>
              </w:rPr>
            </w:pPr>
          </w:p>
        </w:tc>
        <w:tc>
          <w:tcPr>
            <w:tcW w:w="1129" w:type="pct"/>
            <w:tcBorders>
              <w:top w:val="nil"/>
              <w:left w:val="nil"/>
              <w:bottom w:val="nil"/>
              <w:right w:val="nil"/>
            </w:tcBorders>
            <w:vAlign w:val="center"/>
          </w:tcPr>
          <w:p w14:paraId="2FAD1C8D" w14:textId="77777777" w:rsidR="00E9015E" w:rsidRPr="000673A6" w:rsidRDefault="00E9015E" w:rsidP="00C14E25">
            <w:pPr>
              <w:jc w:val="center"/>
              <w:rPr>
                <w:rFonts w:ascii="Times New Roman" w:hAnsi="Times New Roman" w:cs="Times New Roman"/>
                <w:sz w:val="18"/>
                <w:szCs w:val="18"/>
              </w:rPr>
            </w:pPr>
          </w:p>
        </w:tc>
      </w:tr>
      <w:tr w:rsidR="00E9015E" w:rsidRPr="000673A6" w14:paraId="7A42B094" w14:textId="77777777" w:rsidTr="00C14E25">
        <w:tc>
          <w:tcPr>
            <w:tcW w:w="366" w:type="pct"/>
            <w:tcBorders>
              <w:top w:val="nil"/>
              <w:left w:val="nil"/>
              <w:bottom w:val="nil"/>
              <w:right w:val="nil"/>
            </w:tcBorders>
          </w:tcPr>
          <w:p w14:paraId="1FD93E2A"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6C3283D5" w14:textId="77777777" w:rsidR="00E9015E" w:rsidRPr="000673A6" w:rsidRDefault="00E9015E" w:rsidP="00C14E25">
            <w:pPr>
              <w:jc w:val="left"/>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≤20%</w:t>
            </w:r>
          </w:p>
        </w:tc>
        <w:tc>
          <w:tcPr>
            <w:tcW w:w="1128" w:type="pct"/>
            <w:tcBorders>
              <w:top w:val="nil"/>
              <w:left w:val="nil"/>
              <w:bottom w:val="nil"/>
              <w:right w:val="nil"/>
            </w:tcBorders>
          </w:tcPr>
          <w:p w14:paraId="68F87385"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22</w:t>
            </w:r>
          </w:p>
        </w:tc>
        <w:tc>
          <w:tcPr>
            <w:tcW w:w="1129" w:type="pct"/>
            <w:tcBorders>
              <w:top w:val="nil"/>
              <w:left w:val="nil"/>
              <w:bottom w:val="nil"/>
              <w:right w:val="nil"/>
            </w:tcBorders>
          </w:tcPr>
          <w:p w14:paraId="1E7499F3"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17.6</w:t>
            </w:r>
          </w:p>
        </w:tc>
      </w:tr>
      <w:tr w:rsidR="00E9015E" w:rsidRPr="000673A6" w14:paraId="468C537D" w14:textId="77777777" w:rsidTr="00C14E25">
        <w:tc>
          <w:tcPr>
            <w:tcW w:w="366" w:type="pct"/>
            <w:tcBorders>
              <w:top w:val="nil"/>
              <w:left w:val="nil"/>
              <w:bottom w:val="nil"/>
              <w:right w:val="nil"/>
            </w:tcBorders>
          </w:tcPr>
          <w:p w14:paraId="6B7D0B89"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373064A8" w14:textId="77777777" w:rsidR="00E9015E" w:rsidRPr="000673A6" w:rsidRDefault="00E9015E" w:rsidP="00C14E25">
            <w:pPr>
              <w:jc w:val="left"/>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21%–40%</w:t>
            </w:r>
          </w:p>
        </w:tc>
        <w:tc>
          <w:tcPr>
            <w:tcW w:w="1128" w:type="pct"/>
            <w:tcBorders>
              <w:top w:val="nil"/>
              <w:left w:val="nil"/>
              <w:bottom w:val="nil"/>
              <w:right w:val="nil"/>
            </w:tcBorders>
          </w:tcPr>
          <w:p w14:paraId="56924B6F"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18</w:t>
            </w:r>
          </w:p>
        </w:tc>
        <w:tc>
          <w:tcPr>
            <w:tcW w:w="1129" w:type="pct"/>
            <w:tcBorders>
              <w:top w:val="nil"/>
              <w:left w:val="nil"/>
              <w:bottom w:val="nil"/>
              <w:right w:val="nil"/>
            </w:tcBorders>
          </w:tcPr>
          <w:p w14:paraId="4564C953"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14.4</w:t>
            </w:r>
          </w:p>
        </w:tc>
      </w:tr>
      <w:tr w:rsidR="00E9015E" w:rsidRPr="000673A6" w14:paraId="5DDF4C8A" w14:textId="77777777" w:rsidTr="00C14E25">
        <w:tc>
          <w:tcPr>
            <w:tcW w:w="366" w:type="pct"/>
            <w:tcBorders>
              <w:top w:val="nil"/>
              <w:left w:val="nil"/>
              <w:bottom w:val="nil"/>
              <w:right w:val="nil"/>
            </w:tcBorders>
          </w:tcPr>
          <w:p w14:paraId="106BB030"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0E52E9BF" w14:textId="77777777" w:rsidR="00E9015E" w:rsidRPr="000673A6" w:rsidRDefault="00E9015E" w:rsidP="00C14E25">
            <w:pPr>
              <w:jc w:val="left"/>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41%–60%</w:t>
            </w:r>
          </w:p>
        </w:tc>
        <w:tc>
          <w:tcPr>
            <w:tcW w:w="1128" w:type="pct"/>
            <w:tcBorders>
              <w:top w:val="nil"/>
              <w:left w:val="nil"/>
              <w:bottom w:val="nil"/>
              <w:right w:val="nil"/>
            </w:tcBorders>
          </w:tcPr>
          <w:p w14:paraId="1DDE02BB"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20</w:t>
            </w:r>
          </w:p>
        </w:tc>
        <w:tc>
          <w:tcPr>
            <w:tcW w:w="1129" w:type="pct"/>
            <w:tcBorders>
              <w:top w:val="nil"/>
              <w:left w:val="nil"/>
              <w:bottom w:val="nil"/>
              <w:right w:val="nil"/>
            </w:tcBorders>
          </w:tcPr>
          <w:p w14:paraId="691B7834"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16.0</w:t>
            </w:r>
          </w:p>
        </w:tc>
      </w:tr>
      <w:tr w:rsidR="00E9015E" w:rsidRPr="000673A6" w14:paraId="2403A763" w14:textId="77777777" w:rsidTr="00C14E25">
        <w:tc>
          <w:tcPr>
            <w:tcW w:w="366" w:type="pct"/>
            <w:tcBorders>
              <w:top w:val="nil"/>
              <w:left w:val="nil"/>
              <w:bottom w:val="nil"/>
              <w:right w:val="nil"/>
            </w:tcBorders>
          </w:tcPr>
          <w:p w14:paraId="5A882851"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347F91A1" w14:textId="77777777" w:rsidR="00E9015E" w:rsidRPr="000673A6" w:rsidRDefault="00E9015E" w:rsidP="00C14E25">
            <w:pPr>
              <w:jc w:val="left"/>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61%–80%</w:t>
            </w:r>
          </w:p>
        </w:tc>
        <w:tc>
          <w:tcPr>
            <w:tcW w:w="1128" w:type="pct"/>
            <w:tcBorders>
              <w:top w:val="nil"/>
              <w:left w:val="nil"/>
              <w:bottom w:val="nil"/>
              <w:right w:val="nil"/>
            </w:tcBorders>
          </w:tcPr>
          <w:p w14:paraId="1D029E0A"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35</w:t>
            </w:r>
          </w:p>
        </w:tc>
        <w:tc>
          <w:tcPr>
            <w:tcW w:w="1129" w:type="pct"/>
            <w:tcBorders>
              <w:top w:val="nil"/>
              <w:left w:val="nil"/>
              <w:bottom w:val="nil"/>
              <w:right w:val="nil"/>
            </w:tcBorders>
          </w:tcPr>
          <w:p w14:paraId="0875A33A"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28.0</w:t>
            </w:r>
          </w:p>
        </w:tc>
      </w:tr>
      <w:tr w:rsidR="00E9015E" w:rsidRPr="000673A6" w14:paraId="4F3310D5" w14:textId="77777777" w:rsidTr="00C14E25">
        <w:tc>
          <w:tcPr>
            <w:tcW w:w="366" w:type="pct"/>
            <w:tcBorders>
              <w:top w:val="nil"/>
              <w:left w:val="nil"/>
              <w:bottom w:val="nil"/>
              <w:right w:val="nil"/>
            </w:tcBorders>
          </w:tcPr>
          <w:p w14:paraId="3B394719"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1F696486" w14:textId="77777777" w:rsidR="00E9015E" w:rsidRPr="000673A6" w:rsidRDefault="00E9015E" w:rsidP="00C14E25">
            <w:pPr>
              <w:rPr>
                <w:rFonts w:ascii="Times New Roman" w:hAnsi="Times New Roman" w:cs="Times New Roman"/>
                <w:bCs/>
                <w:color w:val="000000" w:themeColor="text1"/>
                <w:sz w:val="18"/>
                <w:szCs w:val="18"/>
              </w:rPr>
            </w:pPr>
            <w:r w:rsidRPr="000673A6">
              <w:rPr>
                <w:rFonts w:ascii="Times New Roman" w:hAnsi="Times New Roman" w:cs="Times New Roman"/>
                <w:bCs/>
                <w:color w:val="000000" w:themeColor="text1"/>
                <w:sz w:val="18"/>
                <w:szCs w:val="18"/>
              </w:rPr>
              <w:t>81%–100%</w:t>
            </w:r>
          </w:p>
        </w:tc>
        <w:tc>
          <w:tcPr>
            <w:tcW w:w="1128" w:type="pct"/>
            <w:tcBorders>
              <w:top w:val="nil"/>
              <w:left w:val="nil"/>
              <w:bottom w:val="nil"/>
              <w:right w:val="nil"/>
            </w:tcBorders>
          </w:tcPr>
          <w:p w14:paraId="29422560"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30</w:t>
            </w:r>
          </w:p>
        </w:tc>
        <w:tc>
          <w:tcPr>
            <w:tcW w:w="1129" w:type="pct"/>
            <w:tcBorders>
              <w:top w:val="nil"/>
              <w:left w:val="nil"/>
              <w:bottom w:val="nil"/>
              <w:right w:val="nil"/>
            </w:tcBorders>
          </w:tcPr>
          <w:p w14:paraId="69A08C4B"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24.0</w:t>
            </w:r>
          </w:p>
        </w:tc>
      </w:tr>
      <w:tr w:rsidR="00E9015E" w:rsidRPr="000673A6" w14:paraId="0C249DE2" w14:textId="77777777" w:rsidTr="00C14E25">
        <w:tc>
          <w:tcPr>
            <w:tcW w:w="366" w:type="pct"/>
            <w:tcBorders>
              <w:top w:val="nil"/>
              <w:left w:val="nil"/>
              <w:bottom w:val="nil"/>
              <w:right w:val="nil"/>
            </w:tcBorders>
          </w:tcPr>
          <w:p w14:paraId="75199152"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nil"/>
              <w:right w:val="nil"/>
            </w:tcBorders>
          </w:tcPr>
          <w:p w14:paraId="70E8DDBD" w14:textId="77777777" w:rsidR="00E9015E" w:rsidRPr="000673A6" w:rsidRDefault="00E9015E" w:rsidP="00C14E25">
            <w:pPr>
              <w:rPr>
                <w:rFonts w:ascii="Times New Roman" w:hAnsi="Times New Roman" w:cs="Times New Roman"/>
                <w:bCs/>
                <w:i/>
                <w:color w:val="000000" w:themeColor="text1"/>
                <w:sz w:val="18"/>
                <w:szCs w:val="18"/>
              </w:rPr>
            </w:pPr>
            <w:r w:rsidRPr="000673A6">
              <w:rPr>
                <w:rFonts w:ascii="Times New Roman" w:hAnsi="Times New Roman" w:cs="Times New Roman"/>
                <w:bCs/>
                <w:i/>
                <w:color w:val="000000" w:themeColor="text1"/>
                <w:sz w:val="18"/>
                <w:szCs w:val="18"/>
              </w:rPr>
              <w:t>Total</w:t>
            </w:r>
          </w:p>
        </w:tc>
        <w:tc>
          <w:tcPr>
            <w:tcW w:w="1128" w:type="pct"/>
            <w:tcBorders>
              <w:top w:val="nil"/>
              <w:left w:val="nil"/>
              <w:bottom w:val="nil"/>
              <w:right w:val="nil"/>
            </w:tcBorders>
          </w:tcPr>
          <w:p w14:paraId="308F8BAE"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125</w:t>
            </w:r>
          </w:p>
        </w:tc>
        <w:tc>
          <w:tcPr>
            <w:tcW w:w="1129" w:type="pct"/>
            <w:tcBorders>
              <w:top w:val="nil"/>
              <w:left w:val="nil"/>
              <w:bottom w:val="nil"/>
              <w:right w:val="nil"/>
            </w:tcBorders>
          </w:tcPr>
          <w:p w14:paraId="0DEE5AF8" w14:textId="77777777" w:rsidR="00E9015E" w:rsidRPr="000673A6" w:rsidRDefault="00E9015E" w:rsidP="00C14E25">
            <w:pPr>
              <w:jc w:val="center"/>
              <w:rPr>
                <w:rFonts w:ascii="Times New Roman" w:hAnsi="Times New Roman" w:cs="Times New Roman"/>
                <w:sz w:val="18"/>
                <w:szCs w:val="18"/>
              </w:rPr>
            </w:pPr>
            <w:r w:rsidRPr="000673A6">
              <w:rPr>
                <w:rFonts w:ascii="Times New Roman" w:hAnsi="Times New Roman" w:cs="Times New Roman"/>
                <w:sz w:val="18"/>
                <w:szCs w:val="18"/>
              </w:rPr>
              <w:t>100</w:t>
            </w:r>
          </w:p>
        </w:tc>
      </w:tr>
      <w:tr w:rsidR="00E9015E" w:rsidRPr="000673A6" w14:paraId="202C024D" w14:textId="77777777" w:rsidTr="00C14E25">
        <w:tc>
          <w:tcPr>
            <w:tcW w:w="366" w:type="pct"/>
            <w:tcBorders>
              <w:top w:val="nil"/>
              <w:left w:val="nil"/>
              <w:bottom w:val="single" w:sz="12" w:space="0" w:color="auto"/>
              <w:right w:val="nil"/>
            </w:tcBorders>
          </w:tcPr>
          <w:p w14:paraId="73C9AD02" w14:textId="77777777" w:rsidR="00E9015E" w:rsidRPr="000673A6" w:rsidRDefault="00E9015E" w:rsidP="00C14E25">
            <w:pPr>
              <w:rPr>
                <w:rFonts w:ascii="Times New Roman" w:hAnsi="Times New Roman" w:cs="Times New Roman"/>
                <w:bCs/>
                <w:color w:val="000000" w:themeColor="text1"/>
                <w:sz w:val="18"/>
                <w:szCs w:val="18"/>
              </w:rPr>
            </w:pPr>
          </w:p>
        </w:tc>
        <w:tc>
          <w:tcPr>
            <w:tcW w:w="2377" w:type="pct"/>
            <w:tcBorders>
              <w:top w:val="nil"/>
              <w:left w:val="nil"/>
              <w:bottom w:val="single" w:sz="12" w:space="0" w:color="auto"/>
              <w:right w:val="nil"/>
            </w:tcBorders>
          </w:tcPr>
          <w:p w14:paraId="1AFF11A0" w14:textId="77777777" w:rsidR="00E9015E" w:rsidRPr="000673A6" w:rsidRDefault="00E9015E" w:rsidP="00C14E25">
            <w:pPr>
              <w:rPr>
                <w:rFonts w:ascii="Times New Roman" w:hAnsi="Times New Roman" w:cs="Times New Roman"/>
                <w:bCs/>
                <w:color w:val="000000" w:themeColor="text1"/>
                <w:sz w:val="18"/>
                <w:szCs w:val="18"/>
              </w:rPr>
            </w:pPr>
          </w:p>
        </w:tc>
        <w:tc>
          <w:tcPr>
            <w:tcW w:w="1128" w:type="pct"/>
            <w:tcBorders>
              <w:top w:val="nil"/>
              <w:left w:val="nil"/>
              <w:bottom w:val="single" w:sz="12" w:space="0" w:color="auto"/>
              <w:right w:val="nil"/>
            </w:tcBorders>
            <w:vAlign w:val="center"/>
          </w:tcPr>
          <w:p w14:paraId="4653F02E" w14:textId="77777777" w:rsidR="00E9015E" w:rsidRPr="000673A6" w:rsidRDefault="00E9015E" w:rsidP="00C14E25">
            <w:pPr>
              <w:jc w:val="center"/>
              <w:rPr>
                <w:rFonts w:ascii="Times New Roman" w:hAnsi="Times New Roman" w:cs="Times New Roman"/>
                <w:sz w:val="18"/>
                <w:szCs w:val="18"/>
              </w:rPr>
            </w:pPr>
          </w:p>
        </w:tc>
        <w:tc>
          <w:tcPr>
            <w:tcW w:w="1129" w:type="pct"/>
            <w:tcBorders>
              <w:top w:val="nil"/>
              <w:left w:val="nil"/>
              <w:bottom w:val="single" w:sz="12" w:space="0" w:color="auto"/>
              <w:right w:val="nil"/>
            </w:tcBorders>
            <w:vAlign w:val="center"/>
          </w:tcPr>
          <w:p w14:paraId="1D31F260" w14:textId="77777777" w:rsidR="00E9015E" w:rsidRPr="000673A6" w:rsidRDefault="00E9015E" w:rsidP="00C14E25">
            <w:pPr>
              <w:jc w:val="center"/>
              <w:rPr>
                <w:rFonts w:ascii="Times New Roman" w:eastAsia="Malgun Gothic" w:hAnsi="Times New Roman" w:cs="Times New Roman"/>
                <w:i/>
                <w:sz w:val="18"/>
                <w:szCs w:val="20"/>
              </w:rPr>
            </w:pPr>
          </w:p>
        </w:tc>
      </w:tr>
    </w:tbl>
    <w:p w14:paraId="53610B01" w14:textId="77777777" w:rsidR="00E9015E" w:rsidRDefault="00E9015E" w:rsidP="00E9015E">
      <w:pPr>
        <w:rPr>
          <w:sz w:val="14"/>
          <w:szCs w:val="14"/>
        </w:rPr>
      </w:pPr>
    </w:p>
    <w:p w14:paraId="4CF006B2" w14:textId="77777777" w:rsidR="00E9015E" w:rsidRDefault="00E9015E" w:rsidP="00E9015E">
      <w:pPr>
        <w:rPr>
          <w:sz w:val="14"/>
          <w:szCs w:val="14"/>
        </w:rPr>
      </w:pPr>
    </w:p>
    <w:p w14:paraId="2F3DB2A2" w14:textId="77777777" w:rsidR="00E9015E" w:rsidRDefault="00E9015E" w:rsidP="00E9015E">
      <w:pPr>
        <w:rPr>
          <w:sz w:val="14"/>
          <w:szCs w:val="14"/>
        </w:rPr>
      </w:pPr>
    </w:p>
    <w:p w14:paraId="6CFAADC4" w14:textId="77777777" w:rsidR="00E9015E" w:rsidRDefault="00E9015E" w:rsidP="00E9015E">
      <w:pPr>
        <w:rPr>
          <w:sz w:val="14"/>
          <w:szCs w:val="14"/>
        </w:rPr>
      </w:pPr>
    </w:p>
    <w:p w14:paraId="67E92BE4" w14:textId="77777777" w:rsidR="00E9015E" w:rsidRDefault="00E9015E" w:rsidP="00E9015E">
      <w:pPr>
        <w:rPr>
          <w:sz w:val="14"/>
          <w:szCs w:val="14"/>
        </w:rPr>
      </w:pPr>
    </w:p>
    <w:p w14:paraId="7745B50C" w14:textId="77777777" w:rsidR="00E9015E" w:rsidRDefault="00E9015E" w:rsidP="00E9015E">
      <w:pPr>
        <w:rPr>
          <w:sz w:val="14"/>
          <w:szCs w:val="14"/>
        </w:rPr>
      </w:pPr>
    </w:p>
    <w:p w14:paraId="483F8ACA" w14:textId="77777777" w:rsidR="00E9015E" w:rsidRDefault="00E9015E" w:rsidP="00E9015E">
      <w:pPr>
        <w:rPr>
          <w:sz w:val="14"/>
          <w:szCs w:val="14"/>
        </w:rPr>
      </w:pPr>
    </w:p>
    <w:p w14:paraId="48BC43EB" w14:textId="77777777" w:rsidR="00E9015E" w:rsidRDefault="00E9015E" w:rsidP="00E9015E">
      <w:pPr>
        <w:rPr>
          <w:sz w:val="14"/>
          <w:szCs w:val="14"/>
        </w:rPr>
        <w:sectPr w:rsidR="00E9015E" w:rsidSect="007B1836">
          <w:pgSz w:w="11906" w:h="16838"/>
          <w:pgMar w:top="1440" w:right="1440" w:bottom="1701" w:left="1440" w:header="851" w:footer="992" w:gutter="0"/>
          <w:cols w:space="425"/>
          <w:docGrid w:linePitch="360"/>
        </w:sectPr>
      </w:pPr>
    </w:p>
    <w:tbl>
      <w:tblPr>
        <w:tblStyle w:val="TableGrid1"/>
        <w:tblW w:w="14145" w:type="dxa"/>
        <w:tblLayout w:type="fixed"/>
        <w:tblLook w:val="04A0" w:firstRow="1" w:lastRow="0" w:firstColumn="1" w:lastColumn="0" w:noHBand="0" w:noVBand="1"/>
      </w:tblPr>
      <w:tblGrid>
        <w:gridCol w:w="1526"/>
        <w:gridCol w:w="709"/>
        <w:gridCol w:w="6945"/>
        <w:gridCol w:w="709"/>
        <w:gridCol w:w="709"/>
        <w:gridCol w:w="850"/>
        <w:gridCol w:w="709"/>
        <w:gridCol w:w="992"/>
        <w:gridCol w:w="996"/>
      </w:tblGrid>
      <w:tr w:rsidR="00E9015E" w:rsidRPr="000673A6" w14:paraId="39855117" w14:textId="77777777" w:rsidTr="00C14E25">
        <w:tc>
          <w:tcPr>
            <w:tcW w:w="14145" w:type="dxa"/>
            <w:gridSpan w:val="9"/>
            <w:tcBorders>
              <w:top w:val="nil"/>
              <w:left w:val="nil"/>
              <w:bottom w:val="single" w:sz="12" w:space="0" w:color="auto"/>
              <w:right w:val="nil"/>
            </w:tcBorders>
            <w:shd w:val="clear" w:color="auto" w:fill="auto"/>
          </w:tcPr>
          <w:p w14:paraId="798674B8" w14:textId="77777777" w:rsidR="00E9015E" w:rsidRPr="000673A6" w:rsidRDefault="00E9015E" w:rsidP="00C14E25">
            <w:pPr>
              <w:tabs>
                <w:tab w:val="left" w:pos="6480"/>
                <w:tab w:val="center" w:pos="7001"/>
              </w:tabs>
              <w:spacing w:line="276" w:lineRule="auto"/>
              <w:jc w:val="center"/>
              <w:rPr>
                <w:rFonts w:ascii="Times New Roman" w:hAnsi="Times New Roman" w:cs="Times New Roman"/>
                <w:b/>
                <w:caps/>
                <w:szCs w:val="18"/>
              </w:rPr>
            </w:pPr>
            <w:r>
              <w:rPr>
                <w:rFonts w:ascii="Times New Roman" w:hAnsi="Times New Roman" w:cs="Times New Roman" w:hint="eastAsia"/>
                <w:b/>
                <w:caps/>
                <w:szCs w:val="18"/>
              </w:rPr>
              <w:lastRenderedPageBreak/>
              <w:t xml:space="preserve">Appendix </w:t>
            </w:r>
            <w:r w:rsidRPr="007B1836">
              <w:rPr>
                <w:rFonts w:ascii="Batang" w:eastAsia="Batang" w:hAnsi="Batang" w:cs="Batang" w:hint="eastAsia"/>
                <w:b/>
                <w:caps/>
              </w:rPr>
              <w:t>Ⅱ</w:t>
            </w:r>
          </w:p>
          <w:p w14:paraId="3638BBB1" w14:textId="77777777" w:rsidR="00E9015E" w:rsidRPr="000673A6" w:rsidRDefault="00E9015E" w:rsidP="00C14E25">
            <w:pPr>
              <w:spacing w:line="276" w:lineRule="auto"/>
              <w:jc w:val="center"/>
              <w:rPr>
                <w:rFonts w:ascii="Times New Roman" w:hAnsi="Times New Roman" w:cs="Times New Roman"/>
                <w:b/>
                <w:szCs w:val="18"/>
              </w:rPr>
            </w:pPr>
            <w:r w:rsidRPr="000673A6">
              <w:rPr>
                <w:rFonts w:ascii="Times New Roman" w:hAnsi="Times New Roman" w:cs="Times New Roman"/>
                <w:b/>
                <w:szCs w:val="18"/>
              </w:rPr>
              <w:t>Constructs and Indicators</w:t>
            </w:r>
          </w:p>
        </w:tc>
      </w:tr>
      <w:tr w:rsidR="00E9015E" w:rsidRPr="000673A6" w14:paraId="55121D9D" w14:textId="77777777" w:rsidTr="00C14E25">
        <w:tc>
          <w:tcPr>
            <w:tcW w:w="1526" w:type="dxa"/>
            <w:tcBorders>
              <w:top w:val="single" w:sz="12" w:space="0" w:color="auto"/>
              <w:left w:val="nil"/>
              <w:bottom w:val="single" w:sz="12" w:space="0" w:color="auto"/>
              <w:right w:val="nil"/>
            </w:tcBorders>
            <w:shd w:val="clear" w:color="auto" w:fill="auto"/>
            <w:vAlign w:val="center"/>
          </w:tcPr>
          <w:p w14:paraId="4A84A663" w14:textId="77777777" w:rsidR="00E9015E" w:rsidRPr="000673A6" w:rsidRDefault="00E9015E" w:rsidP="00C14E25">
            <w:pPr>
              <w:spacing w:line="276" w:lineRule="auto"/>
              <w:jc w:val="center"/>
              <w:rPr>
                <w:rFonts w:ascii="Times New Roman" w:hAnsi="Times New Roman" w:cs="Times New Roman"/>
                <w:sz w:val="16"/>
                <w:szCs w:val="16"/>
              </w:rPr>
            </w:pPr>
            <w:r w:rsidRPr="000673A6">
              <w:rPr>
                <w:rFonts w:ascii="Times New Roman" w:hAnsi="Times New Roman" w:cs="Times New Roman"/>
                <w:b/>
                <w:bCs/>
                <w:sz w:val="16"/>
                <w:szCs w:val="16"/>
              </w:rPr>
              <w:t>Construct</w:t>
            </w:r>
          </w:p>
        </w:tc>
        <w:tc>
          <w:tcPr>
            <w:tcW w:w="7654" w:type="dxa"/>
            <w:gridSpan w:val="2"/>
            <w:tcBorders>
              <w:top w:val="single" w:sz="12" w:space="0" w:color="auto"/>
              <w:left w:val="nil"/>
              <w:bottom w:val="single" w:sz="12" w:space="0" w:color="auto"/>
              <w:right w:val="nil"/>
            </w:tcBorders>
            <w:shd w:val="clear" w:color="auto" w:fill="auto"/>
            <w:vAlign w:val="center"/>
          </w:tcPr>
          <w:p w14:paraId="5DF0054C" w14:textId="77777777" w:rsidR="00E9015E" w:rsidRPr="000673A6" w:rsidRDefault="00E9015E" w:rsidP="00C14E25">
            <w:pPr>
              <w:spacing w:line="276" w:lineRule="auto"/>
              <w:jc w:val="center"/>
              <w:rPr>
                <w:rFonts w:ascii="Times New Roman" w:hAnsi="Times New Roman" w:cs="Times New Roman"/>
                <w:sz w:val="16"/>
                <w:szCs w:val="16"/>
              </w:rPr>
            </w:pPr>
            <w:r w:rsidRPr="000673A6">
              <w:rPr>
                <w:rFonts w:ascii="Times New Roman" w:hAnsi="Times New Roman" w:cs="Times New Roman"/>
                <w:b/>
                <w:bCs/>
                <w:sz w:val="16"/>
                <w:szCs w:val="16"/>
              </w:rPr>
              <w:t>Measurement variables</w:t>
            </w:r>
          </w:p>
        </w:tc>
        <w:tc>
          <w:tcPr>
            <w:tcW w:w="709" w:type="dxa"/>
            <w:tcBorders>
              <w:top w:val="single" w:sz="12" w:space="0" w:color="auto"/>
              <w:left w:val="nil"/>
              <w:bottom w:val="single" w:sz="12" w:space="0" w:color="auto"/>
              <w:right w:val="nil"/>
            </w:tcBorders>
            <w:shd w:val="clear" w:color="auto" w:fill="auto"/>
            <w:vAlign w:val="center"/>
          </w:tcPr>
          <w:p w14:paraId="5C080C93" w14:textId="77777777" w:rsidR="00E9015E" w:rsidRPr="000673A6" w:rsidRDefault="00E9015E" w:rsidP="00C14E25">
            <w:pPr>
              <w:spacing w:line="276" w:lineRule="auto"/>
              <w:jc w:val="center"/>
              <w:rPr>
                <w:rFonts w:ascii="Times New Roman" w:hAnsi="Times New Roman" w:cs="Times New Roman"/>
                <w:b/>
                <w:bCs/>
                <w:sz w:val="16"/>
                <w:szCs w:val="16"/>
              </w:rPr>
            </w:pPr>
            <w:r w:rsidRPr="000673A6">
              <w:rPr>
                <w:rFonts w:ascii="Times New Roman" w:hAnsi="Times New Roman" w:cs="Times New Roman"/>
                <w:b/>
                <w:bCs/>
                <w:sz w:val="16"/>
                <w:szCs w:val="16"/>
              </w:rPr>
              <w:t>Mean</w:t>
            </w:r>
          </w:p>
        </w:tc>
        <w:tc>
          <w:tcPr>
            <w:tcW w:w="709" w:type="dxa"/>
            <w:tcBorders>
              <w:top w:val="single" w:sz="12" w:space="0" w:color="auto"/>
              <w:left w:val="nil"/>
              <w:bottom w:val="single" w:sz="12" w:space="0" w:color="auto"/>
              <w:right w:val="nil"/>
            </w:tcBorders>
            <w:shd w:val="clear" w:color="auto" w:fill="auto"/>
            <w:vAlign w:val="center"/>
          </w:tcPr>
          <w:p w14:paraId="3BD746AF" w14:textId="77777777" w:rsidR="00E9015E" w:rsidRPr="000673A6" w:rsidRDefault="00E9015E" w:rsidP="00C14E25">
            <w:pPr>
              <w:spacing w:line="276" w:lineRule="auto"/>
              <w:jc w:val="center"/>
              <w:rPr>
                <w:rFonts w:ascii="Times New Roman" w:hAnsi="Times New Roman" w:cs="Times New Roman"/>
                <w:b/>
                <w:bCs/>
                <w:sz w:val="16"/>
                <w:szCs w:val="16"/>
              </w:rPr>
            </w:pPr>
            <w:r w:rsidRPr="000673A6">
              <w:rPr>
                <w:rFonts w:ascii="Times New Roman" w:hAnsi="Times New Roman" w:cs="Times New Roman"/>
                <w:b/>
                <w:bCs/>
                <w:sz w:val="16"/>
                <w:szCs w:val="16"/>
              </w:rPr>
              <w:t>SD</w:t>
            </w:r>
          </w:p>
        </w:tc>
        <w:tc>
          <w:tcPr>
            <w:tcW w:w="850" w:type="dxa"/>
            <w:tcBorders>
              <w:top w:val="single" w:sz="12" w:space="0" w:color="auto"/>
              <w:left w:val="nil"/>
              <w:bottom w:val="single" w:sz="12" w:space="0" w:color="auto"/>
              <w:right w:val="nil"/>
            </w:tcBorders>
            <w:shd w:val="clear" w:color="auto" w:fill="auto"/>
            <w:vAlign w:val="center"/>
          </w:tcPr>
          <w:p w14:paraId="4CBF74E6" w14:textId="77777777" w:rsidR="00E9015E" w:rsidRPr="000673A6" w:rsidRDefault="00E9015E" w:rsidP="00C14E25">
            <w:pPr>
              <w:spacing w:line="276" w:lineRule="auto"/>
              <w:jc w:val="center"/>
              <w:rPr>
                <w:rFonts w:ascii="Times New Roman" w:hAnsi="Times New Roman" w:cs="Times New Roman"/>
                <w:sz w:val="16"/>
                <w:szCs w:val="16"/>
              </w:rPr>
            </w:pPr>
            <w:proofErr w:type="spellStart"/>
            <w:r w:rsidRPr="000673A6">
              <w:rPr>
                <w:rFonts w:ascii="Times New Roman" w:hAnsi="Times New Roman" w:cs="Times New Roman"/>
                <w:b/>
                <w:bCs/>
                <w:sz w:val="16"/>
                <w:szCs w:val="16"/>
              </w:rPr>
              <w:t>Loading</w:t>
            </w:r>
            <w:r w:rsidRPr="000673A6">
              <w:rPr>
                <w:rFonts w:ascii="Times New Roman" w:hAnsi="Times New Roman" w:cs="Times New Roman"/>
                <w:b/>
                <w:bCs/>
                <w:sz w:val="16"/>
                <w:szCs w:val="16"/>
                <w:vertAlign w:val="superscript"/>
              </w:rPr>
              <w:t>a</w:t>
            </w:r>
            <w:proofErr w:type="spellEnd"/>
          </w:p>
        </w:tc>
        <w:tc>
          <w:tcPr>
            <w:tcW w:w="709" w:type="dxa"/>
            <w:tcBorders>
              <w:top w:val="single" w:sz="12" w:space="0" w:color="auto"/>
              <w:left w:val="nil"/>
              <w:bottom w:val="single" w:sz="12" w:space="0" w:color="auto"/>
              <w:right w:val="nil"/>
            </w:tcBorders>
            <w:shd w:val="clear" w:color="auto" w:fill="auto"/>
            <w:vAlign w:val="center"/>
          </w:tcPr>
          <w:p w14:paraId="67F486C6" w14:textId="77777777" w:rsidR="00E9015E" w:rsidRPr="000673A6" w:rsidRDefault="00E9015E" w:rsidP="00C14E25">
            <w:pPr>
              <w:spacing w:line="276" w:lineRule="auto"/>
              <w:jc w:val="center"/>
              <w:rPr>
                <w:rFonts w:ascii="Times New Roman" w:hAnsi="Times New Roman" w:cs="Times New Roman"/>
                <w:b/>
                <w:bCs/>
                <w:sz w:val="16"/>
                <w:szCs w:val="16"/>
              </w:rPr>
            </w:pPr>
            <w:r w:rsidRPr="000673A6">
              <w:rPr>
                <w:rFonts w:ascii="Times New Roman" w:hAnsi="Times New Roman" w:cs="Times New Roman"/>
                <w:b/>
                <w:bCs/>
                <w:sz w:val="16"/>
                <w:szCs w:val="16"/>
              </w:rPr>
              <w:t>t-value</w:t>
            </w:r>
          </w:p>
        </w:tc>
        <w:tc>
          <w:tcPr>
            <w:tcW w:w="992" w:type="dxa"/>
            <w:tcBorders>
              <w:top w:val="single" w:sz="12" w:space="0" w:color="auto"/>
              <w:left w:val="nil"/>
              <w:bottom w:val="single" w:sz="12" w:space="0" w:color="auto"/>
              <w:right w:val="nil"/>
            </w:tcBorders>
            <w:shd w:val="clear" w:color="auto" w:fill="auto"/>
            <w:vAlign w:val="center"/>
          </w:tcPr>
          <w:p w14:paraId="2AE3575C" w14:textId="77777777" w:rsidR="00E9015E" w:rsidRPr="000673A6" w:rsidRDefault="00E9015E" w:rsidP="00C14E25">
            <w:pPr>
              <w:spacing w:line="276" w:lineRule="auto"/>
              <w:jc w:val="center"/>
              <w:rPr>
                <w:rFonts w:ascii="Times New Roman" w:hAnsi="Times New Roman" w:cs="Times New Roman"/>
                <w:sz w:val="16"/>
                <w:szCs w:val="16"/>
              </w:rPr>
            </w:pPr>
            <w:r w:rsidRPr="000673A6">
              <w:rPr>
                <w:rFonts w:ascii="Times New Roman" w:hAnsi="Times New Roman" w:cs="Times New Roman"/>
                <w:b/>
                <w:bCs/>
                <w:sz w:val="16"/>
                <w:szCs w:val="16"/>
              </w:rPr>
              <w:t>Cronbach α</w:t>
            </w:r>
          </w:p>
        </w:tc>
        <w:tc>
          <w:tcPr>
            <w:tcW w:w="996" w:type="dxa"/>
            <w:tcBorders>
              <w:top w:val="single" w:sz="12" w:space="0" w:color="auto"/>
              <w:left w:val="nil"/>
              <w:bottom w:val="single" w:sz="12" w:space="0" w:color="auto"/>
              <w:right w:val="nil"/>
            </w:tcBorders>
            <w:shd w:val="clear" w:color="auto" w:fill="auto"/>
            <w:vAlign w:val="center"/>
          </w:tcPr>
          <w:p w14:paraId="6E9B40CE" w14:textId="77777777" w:rsidR="00E9015E" w:rsidRPr="000673A6" w:rsidRDefault="00E9015E" w:rsidP="00C14E25">
            <w:pPr>
              <w:spacing w:line="276" w:lineRule="auto"/>
              <w:jc w:val="center"/>
              <w:rPr>
                <w:rFonts w:ascii="Times New Roman" w:hAnsi="Times New Roman" w:cs="Times New Roman"/>
                <w:sz w:val="16"/>
                <w:szCs w:val="16"/>
              </w:rPr>
            </w:pPr>
            <w:r w:rsidRPr="000673A6">
              <w:rPr>
                <w:rFonts w:ascii="Times New Roman" w:hAnsi="Times New Roman" w:cs="Times New Roman"/>
                <w:b/>
                <w:bCs/>
                <w:sz w:val="16"/>
                <w:szCs w:val="16"/>
              </w:rPr>
              <w:t>Composite Reliability</w:t>
            </w:r>
          </w:p>
        </w:tc>
      </w:tr>
      <w:tr w:rsidR="00E9015E" w:rsidRPr="000673A6" w14:paraId="2DF8A4C5" w14:textId="77777777" w:rsidTr="00C14E25">
        <w:trPr>
          <w:trHeight w:val="20"/>
        </w:trPr>
        <w:tc>
          <w:tcPr>
            <w:tcW w:w="1526" w:type="dxa"/>
            <w:vMerge w:val="restart"/>
            <w:tcBorders>
              <w:top w:val="single" w:sz="4" w:space="0" w:color="auto"/>
              <w:left w:val="nil"/>
              <w:right w:val="nil"/>
            </w:tcBorders>
            <w:shd w:val="clear" w:color="auto" w:fill="auto"/>
            <w:vAlign w:val="center"/>
          </w:tcPr>
          <w:p w14:paraId="3306F6C3" w14:textId="77777777" w:rsidR="00E9015E" w:rsidRPr="00F53C7A" w:rsidRDefault="00E9015E" w:rsidP="00C14E25">
            <w:pPr>
              <w:jc w:val="center"/>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Digital Capability</w:t>
            </w:r>
            <w:r>
              <w:rPr>
                <w:rFonts w:ascii="Times New Roman" w:hAnsi="Times New Roman" w:cs="Times New Roman"/>
                <w:color w:val="000000" w:themeColor="text1"/>
                <w:sz w:val="14"/>
                <w:szCs w:val="14"/>
              </w:rPr>
              <w:t xml:space="preserve"> Asymmetry</w:t>
            </w:r>
          </w:p>
          <w:p w14:paraId="2D3571CE" w14:textId="77777777" w:rsidR="00E9015E" w:rsidRPr="00F53C7A" w:rsidRDefault="00E9015E" w:rsidP="00C14E25">
            <w:pPr>
              <w:jc w:val="center"/>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(DC</w:t>
            </w:r>
            <w:r>
              <w:rPr>
                <w:rFonts w:ascii="Times New Roman" w:hAnsi="Times New Roman" w:cs="Times New Roman"/>
                <w:color w:val="000000" w:themeColor="text1"/>
                <w:sz w:val="14"/>
                <w:szCs w:val="14"/>
              </w:rPr>
              <w:t>A</w:t>
            </w:r>
            <w:r w:rsidRPr="00F53C7A">
              <w:rPr>
                <w:rFonts w:ascii="Times New Roman" w:hAnsi="Times New Roman" w:cs="Times New Roman"/>
                <w:color w:val="000000" w:themeColor="text1"/>
                <w:sz w:val="14"/>
                <w:szCs w:val="14"/>
              </w:rPr>
              <w:t>)</w:t>
            </w:r>
          </w:p>
        </w:tc>
        <w:tc>
          <w:tcPr>
            <w:tcW w:w="709" w:type="dxa"/>
            <w:tcBorders>
              <w:top w:val="single" w:sz="4" w:space="0" w:color="auto"/>
              <w:left w:val="nil"/>
              <w:bottom w:val="nil"/>
              <w:right w:val="nil"/>
            </w:tcBorders>
            <w:shd w:val="clear" w:color="auto" w:fill="auto"/>
            <w:vAlign w:val="center"/>
          </w:tcPr>
          <w:p w14:paraId="765BB2F1" w14:textId="77777777" w:rsidR="00E9015E" w:rsidRPr="00F53C7A" w:rsidRDefault="00E9015E" w:rsidP="00C14E25">
            <w:pPr>
              <w:spacing w:line="276" w:lineRule="auto"/>
              <w:ind w:left="70" w:hangingChars="50" w:hanging="70"/>
              <w:jc w:val="center"/>
              <w:rPr>
                <w:rFonts w:ascii="Times New Roman" w:hAnsi="Times New Roman" w:cs="Times New Roman"/>
                <w:color w:val="000000" w:themeColor="text1"/>
                <w:sz w:val="14"/>
                <w:szCs w:val="14"/>
              </w:rPr>
            </w:pPr>
          </w:p>
        </w:tc>
        <w:tc>
          <w:tcPr>
            <w:tcW w:w="6945" w:type="dxa"/>
            <w:tcBorders>
              <w:top w:val="single" w:sz="4" w:space="0" w:color="auto"/>
              <w:left w:val="nil"/>
              <w:bottom w:val="nil"/>
              <w:right w:val="nil"/>
            </w:tcBorders>
            <w:shd w:val="clear" w:color="auto" w:fill="auto"/>
          </w:tcPr>
          <w:p w14:paraId="36ECAFDA" w14:textId="77777777" w:rsidR="00E9015E" w:rsidRPr="00F53C7A" w:rsidRDefault="00E9015E" w:rsidP="00C14E25">
            <w:pPr>
              <w:spacing w:line="276" w:lineRule="auto"/>
              <w:rPr>
                <w:rFonts w:ascii="Times New Roman" w:hAnsi="Times New Roman" w:cs="Times New Roman"/>
                <w:i/>
                <w:color w:val="000000" w:themeColor="text1"/>
                <w:sz w:val="14"/>
                <w:szCs w:val="14"/>
              </w:rPr>
            </w:pPr>
            <w:r w:rsidRPr="00F53C7A">
              <w:rPr>
                <w:rFonts w:ascii="Times New Roman" w:hAnsi="Times New Roman" w:cs="Times New Roman"/>
                <w:i/>
                <w:iCs/>
                <w:color w:val="000000" w:themeColor="text1"/>
                <w:sz w:val="14"/>
                <w:szCs w:val="14"/>
              </w:rPr>
              <w:t>Relative to your major buyer firm, please indicate your company’s capability in acquiring and utilizing digital technologies. (1=very much ahead, 5= very much behind):</w:t>
            </w:r>
          </w:p>
        </w:tc>
        <w:tc>
          <w:tcPr>
            <w:tcW w:w="709" w:type="dxa"/>
            <w:tcBorders>
              <w:top w:val="single" w:sz="4" w:space="0" w:color="auto"/>
              <w:left w:val="nil"/>
              <w:bottom w:val="nil"/>
              <w:right w:val="nil"/>
            </w:tcBorders>
            <w:shd w:val="clear" w:color="auto" w:fill="auto"/>
            <w:vAlign w:val="center"/>
          </w:tcPr>
          <w:p w14:paraId="3123120B" w14:textId="77777777" w:rsidR="00E9015E" w:rsidRPr="00F53C7A" w:rsidRDefault="00E9015E" w:rsidP="00C14E25">
            <w:pPr>
              <w:spacing w:line="276" w:lineRule="auto"/>
              <w:jc w:val="center"/>
              <w:rPr>
                <w:rFonts w:ascii="Times New Roman" w:hAnsi="Times New Roman" w:cs="Times New Roman"/>
                <w:sz w:val="14"/>
                <w:szCs w:val="14"/>
              </w:rPr>
            </w:pPr>
          </w:p>
        </w:tc>
        <w:tc>
          <w:tcPr>
            <w:tcW w:w="709" w:type="dxa"/>
            <w:tcBorders>
              <w:top w:val="single" w:sz="4" w:space="0" w:color="auto"/>
              <w:left w:val="nil"/>
              <w:bottom w:val="nil"/>
              <w:right w:val="nil"/>
            </w:tcBorders>
            <w:shd w:val="clear" w:color="auto" w:fill="auto"/>
            <w:vAlign w:val="center"/>
          </w:tcPr>
          <w:p w14:paraId="2977ED4A" w14:textId="77777777" w:rsidR="00E9015E" w:rsidRPr="00F53C7A" w:rsidRDefault="00E9015E" w:rsidP="00C14E25">
            <w:pPr>
              <w:spacing w:line="276" w:lineRule="auto"/>
              <w:jc w:val="center"/>
              <w:rPr>
                <w:rFonts w:ascii="Times New Roman" w:eastAsia="Gulim" w:hAnsi="Times New Roman" w:cs="Times New Roman"/>
                <w:sz w:val="14"/>
                <w:szCs w:val="14"/>
              </w:rPr>
            </w:pPr>
          </w:p>
        </w:tc>
        <w:tc>
          <w:tcPr>
            <w:tcW w:w="850" w:type="dxa"/>
            <w:tcBorders>
              <w:top w:val="single" w:sz="4" w:space="0" w:color="auto"/>
              <w:left w:val="nil"/>
              <w:bottom w:val="nil"/>
              <w:right w:val="nil"/>
            </w:tcBorders>
            <w:shd w:val="clear" w:color="auto" w:fill="auto"/>
            <w:vAlign w:val="center"/>
          </w:tcPr>
          <w:p w14:paraId="78D6F9AF" w14:textId="77777777" w:rsidR="00E9015E" w:rsidRPr="00F53C7A" w:rsidRDefault="00E9015E" w:rsidP="00C14E25">
            <w:pPr>
              <w:spacing w:line="276" w:lineRule="auto"/>
              <w:jc w:val="center"/>
              <w:rPr>
                <w:rFonts w:ascii="Times New Roman" w:eastAsia="Malgun Gothic" w:hAnsi="Times New Roman" w:cs="Times New Roman"/>
                <w:sz w:val="14"/>
                <w:szCs w:val="14"/>
              </w:rPr>
            </w:pPr>
          </w:p>
        </w:tc>
        <w:tc>
          <w:tcPr>
            <w:tcW w:w="709" w:type="dxa"/>
            <w:tcBorders>
              <w:top w:val="single" w:sz="4" w:space="0" w:color="auto"/>
              <w:left w:val="nil"/>
              <w:bottom w:val="nil"/>
              <w:right w:val="nil"/>
            </w:tcBorders>
            <w:shd w:val="clear" w:color="auto" w:fill="auto"/>
            <w:vAlign w:val="center"/>
          </w:tcPr>
          <w:p w14:paraId="6A35AB8D" w14:textId="77777777" w:rsidR="00E9015E" w:rsidRPr="00F53C7A" w:rsidRDefault="00E9015E" w:rsidP="00C14E25">
            <w:pPr>
              <w:spacing w:line="276" w:lineRule="auto"/>
              <w:jc w:val="center"/>
              <w:rPr>
                <w:rFonts w:ascii="Times New Roman" w:eastAsia="Malgun Gothic" w:hAnsi="Times New Roman" w:cs="Times New Roman"/>
                <w:sz w:val="14"/>
                <w:szCs w:val="14"/>
              </w:rPr>
            </w:pPr>
          </w:p>
        </w:tc>
        <w:tc>
          <w:tcPr>
            <w:tcW w:w="992" w:type="dxa"/>
            <w:tcBorders>
              <w:top w:val="single" w:sz="4" w:space="0" w:color="auto"/>
              <w:left w:val="nil"/>
              <w:bottom w:val="nil"/>
              <w:right w:val="nil"/>
            </w:tcBorders>
            <w:shd w:val="clear" w:color="auto" w:fill="auto"/>
          </w:tcPr>
          <w:p w14:paraId="28033F87" w14:textId="77777777" w:rsidR="00E9015E" w:rsidRPr="00F53C7A" w:rsidRDefault="00E9015E" w:rsidP="00C14E25">
            <w:pPr>
              <w:spacing w:line="276" w:lineRule="auto"/>
              <w:jc w:val="center"/>
              <w:rPr>
                <w:rFonts w:ascii="Times New Roman" w:hAnsi="Times New Roman" w:cs="Times New Roman"/>
                <w:sz w:val="14"/>
                <w:szCs w:val="14"/>
              </w:rPr>
            </w:pPr>
          </w:p>
        </w:tc>
        <w:tc>
          <w:tcPr>
            <w:tcW w:w="996" w:type="dxa"/>
            <w:tcBorders>
              <w:top w:val="single" w:sz="4" w:space="0" w:color="auto"/>
              <w:left w:val="nil"/>
              <w:bottom w:val="nil"/>
              <w:right w:val="nil"/>
            </w:tcBorders>
            <w:shd w:val="clear" w:color="auto" w:fill="auto"/>
          </w:tcPr>
          <w:p w14:paraId="1FA8E8D3" w14:textId="77777777" w:rsidR="00E9015E" w:rsidRPr="00F53C7A" w:rsidRDefault="00E9015E" w:rsidP="00C14E25">
            <w:pPr>
              <w:spacing w:line="276" w:lineRule="auto"/>
              <w:jc w:val="center"/>
              <w:rPr>
                <w:rFonts w:ascii="Times New Roman" w:hAnsi="Times New Roman" w:cs="Times New Roman"/>
                <w:sz w:val="14"/>
                <w:szCs w:val="14"/>
              </w:rPr>
            </w:pPr>
          </w:p>
        </w:tc>
      </w:tr>
      <w:tr w:rsidR="00E9015E" w:rsidRPr="000673A6" w14:paraId="0AFB343F" w14:textId="77777777" w:rsidTr="00C14E25">
        <w:trPr>
          <w:trHeight w:val="20"/>
        </w:trPr>
        <w:tc>
          <w:tcPr>
            <w:tcW w:w="1526" w:type="dxa"/>
            <w:vMerge/>
            <w:tcBorders>
              <w:left w:val="nil"/>
              <w:right w:val="nil"/>
            </w:tcBorders>
            <w:shd w:val="clear" w:color="auto" w:fill="auto"/>
            <w:vAlign w:val="center"/>
          </w:tcPr>
          <w:p w14:paraId="36D5E34C" w14:textId="77777777" w:rsidR="00E9015E" w:rsidRPr="00F53C7A" w:rsidRDefault="00E9015E" w:rsidP="00C14E25">
            <w:pPr>
              <w:spacing w:line="276" w:lineRule="auto"/>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467DAA42" w14:textId="77777777" w:rsidR="00E9015E" w:rsidRPr="00F53C7A" w:rsidRDefault="00E9015E" w:rsidP="00C14E25">
            <w:pPr>
              <w:spacing w:line="276" w:lineRule="auto"/>
              <w:jc w:val="center"/>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DC</w:t>
            </w:r>
            <w:r>
              <w:rPr>
                <w:rFonts w:ascii="Times New Roman" w:hAnsi="Times New Roman" w:cs="Times New Roman"/>
                <w:color w:val="000000" w:themeColor="text1"/>
                <w:sz w:val="14"/>
                <w:szCs w:val="14"/>
              </w:rPr>
              <w:t>A</w:t>
            </w:r>
            <w:r w:rsidRPr="00F53C7A">
              <w:rPr>
                <w:rFonts w:ascii="Times New Roman" w:hAnsi="Times New Roman" w:cs="Times New Roman"/>
                <w:color w:val="000000" w:themeColor="text1"/>
                <w:sz w:val="14"/>
                <w:szCs w:val="14"/>
              </w:rPr>
              <w:t>1</w:t>
            </w:r>
          </w:p>
        </w:tc>
        <w:tc>
          <w:tcPr>
            <w:tcW w:w="6945" w:type="dxa"/>
            <w:tcBorders>
              <w:top w:val="nil"/>
              <w:left w:val="nil"/>
              <w:bottom w:val="nil"/>
              <w:right w:val="nil"/>
            </w:tcBorders>
            <w:shd w:val="clear" w:color="auto" w:fill="auto"/>
          </w:tcPr>
          <w:p w14:paraId="5DF98309" w14:textId="77777777" w:rsidR="00E9015E" w:rsidRPr="00F53C7A" w:rsidRDefault="00E9015E" w:rsidP="00C14E25">
            <w:pPr>
              <w:spacing w:line="276" w:lineRule="auto"/>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We have the capability to monitor business operations and resources in real time</w:t>
            </w:r>
          </w:p>
        </w:tc>
        <w:tc>
          <w:tcPr>
            <w:tcW w:w="709" w:type="dxa"/>
            <w:tcBorders>
              <w:top w:val="nil"/>
              <w:left w:val="nil"/>
              <w:bottom w:val="nil"/>
              <w:right w:val="nil"/>
            </w:tcBorders>
            <w:shd w:val="clear" w:color="auto" w:fill="auto"/>
            <w:vAlign w:val="center"/>
          </w:tcPr>
          <w:p w14:paraId="4824E109"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2.02</w:t>
            </w:r>
          </w:p>
        </w:tc>
        <w:tc>
          <w:tcPr>
            <w:tcW w:w="709" w:type="dxa"/>
            <w:tcBorders>
              <w:top w:val="nil"/>
              <w:left w:val="nil"/>
              <w:bottom w:val="nil"/>
              <w:right w:val="nil"/>
            </w:tcBorders>
            <w:shd w:val="clear" w:color="auto" w:fill="auto"/>
            <w:vAlign w:val="center"/>
          </w:tcPr>
          <w:p w14:paraId="49D9FE45"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.95</w:t>
            </w:r>
          </w:p>
        </w:tc>
        <w:tc>
          <w:tcPr>
            <w:tcW w:w="850" w:type="dxa"/>
            <w:tcBorders>
              <w:top w:val="nil"/>
              <w:left w:val="nil"/>
              <w:bottom w:val="nil"/>
              <w:right w:val="nil"/>
            </w:tcBorders>
            <w:shd w:val="clear" w:color="auto" w:fill="auto"/>
            <w:vAlign w:val="center"/>
          </w:tcPr>
          <w:p w14:paraId="4AFC7B67"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.838</w:t>
            </w:r>
          </w:p>
        </w:tc>
        <w:tc>
          <w:tcPr>
            <w:tcW w:w="709" w:type="dxa"/>
            <w:tcBorders>
              <w:top w:val="nil"/>
              <w:left w:val="nil"/>
              <w:bottom w:val="nil"/>
              <w:right w:val="nil"/>
            </w:tcBorders>
            <w:shd w:val="clear" w:color="auto" w:fill="auto"/>
            <w:vAlign w:val="center"/>
          </w:tcPr>
          <w:p w14:paraId="5316EC31"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w:t>
            </w:r>
          </w:p>
        </w:tc>
        <w:tc>
          <w:tcPr>
            <w:tcW w:w="992" w:type="dxa"/>
            <w:tcBorders>
              <w:top w:val="nil"/>
              <w:left w:val="nil"/>
              <w:bottom w:val="nil"/>
              <w:right w:val="nil"/>
            </w:tcBorders>
            <w:shd w:val="clear" w:color="auto" w:fill="auto"/>
          </w:tcPr>
          <w:p w14:paraId="31700279" w14:textId="77777777" w:rsidR="00E9015E" w:rsidRPr="00F53C7A" w:rsidRDefault="00E9015E" w:rsidP="00C14E25">
            <w:pPr>
              <w:spacing w:line="276" w:lineRule="auto"/>
              <w:jc w:val="center"/>
              <w:rPr>
                <w:rFonts w:ascii="Times New Roman" w:hAnsi="Times New Roman" w:cs="Times New Roman"/>
                <w:sz w:val="14"/>
                <w:szCs w:val="14"/>
              </w:rPr>
            </w:pPr>
          </w:p>
        </w:tc>
        <w:tc>
          <w:tcPr>
            <w:tcW w:w="996" w:type="dxa"/>
            <w:tcBorders>
              <w:top w:val="nil"/>
              <w:left w:val="nil"/>
              <w:bottom w:val="nil"/>
              <w:right w:val="nil"/>
            </w:tcBorders>
            <w:shd w:val="clear" w:color="auto" w:fill="auto"/>
          </w:tcPr>
          <w:p w14:paraId="311B9A4C" w14:textId="77777777" w:rsidR="00E9015E" w:rsidRPr="00F53C7A" w:rsidRDefault="00E9015E" w:rsidP="00C14E25">
            <w:pPr>
              <w:spacing w:line="276" w:lineRule="auto"/>
              <w:jc w:val="center"/>
              <w:rPr>
                <w:rFonts w:ascii="Times New Roman" w:hAnsi="Times New Roman" w:cs="Times New Roman"/>
                <w:sz w:val="14"/>
                <w:szCs w:val="14"/>
              </w:rPr>
            </w:pPr>
          </w:p>
        </w:tc>
      </w:tr>
      <w:tr w:rsidR="00E9015E" w:rsidRPr="000673A6" w14:paraId="79D22A65" w14:textId="77777777" w:rsidTr="00C14E25">
        <w:trPr>
          <w:trHeight w:val="20"/>
        </w:trPr>
        <w:tc>
          <w:tcPr>
            <w:tcW w:w="1526" w:type="dxa"/>
            <w:vMerge/>
            <w:tcBorders>
              <w:left w:val="nil"/>
              <w:right w:val="nil"/>
            </w:tcBorders>
            <w:shd w:val="clear" w:color="auto" w:fill="auto"/>
            <w:vAlign w:val="center"/>
          </w:tcPr>
          <w:p w14:paraId="6210182C" w14:textId="77777777" w:rsidR="00E9015E" w:rsidRPr="00F53C7A" w:rsidRDefault="00E9015E" w:rsidP="00C14E25">
            <w:pPr>
              <w:spacing w:line="276" w:lineRule="auto"/>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1E7C2E2C" w14:textId="77777777" w:rsidR="00E9015E" w:rsidRPr="00F53C7A" w:rsidRDefault="00E9015E" w:rsidP="00C14E25">
            <w:pPr>
              <w:spacing w:line="276" w:lineRule="auto"/>
              <w:jc w:val="center"/>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DC</w:t>
            </w:r>
            <w:r>
              <w:rPr>
                <w:rFonts w:ascii="Times New Roman" w:hAnsi="Times New Roman" w:cs="Times New Roman"/>
                <w:color w:val="000000" w:themeColor="text1"/>
                <w:sz w:val="14"/>
                <w:szCs w:val="14"/>
              </w:rPr>
              <w:t>A</w:t>
            </w:r>
            <w:r w:rsidRPr="00F53C7A">
              <w:rPr>
                <w:rFonts w:ascii="Times New Roman" w:hAnsi="Times New Roman" w:cs="Times New Roman"/>
                <w:color w:val="000000" w:themeColor="text1"/>
                <w:sz w:val="14"/>
                <w:szCs w:val="14"/>
              </w:rPr>
              <w:t>2</w:t>
            </w:r>
          </w:p>
        </w:tc>
        <w:tc>
          <w:tcPr>
            <w:tcW w:w="6945" w:type="dxa"/>
            <w:tcBorders>
              <w:top w:val="nil"/>
              <w:left w:val="nil"/>
              <w:bottom w:val="nil"/>
              <w:right w:val="nil"/>
            </w:tcBorders>
            <w:shd w:val="clear" w:color="auto" w:fill="auto"/>
          </w:tcPr>
          <w:p w14:paraId="1D040DD3" w14:textId="77777777" w:rsidR="00E9015E" w:rsidRPr="00F53C7A" w:rsidRDefault="00E9015E" w:rsidP="00C14E25">
            <w:pPr>
              <w:spacing w:line="276" w:lineRule="auto"/>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We have the capability to analyze big data with AI for process improvement and new business generation (e.g., intelligent defect detection, preventive machine maintenance, machine failure prevention)</w:t>
            </w:r>
          </w:p>
        </w:tc>
        <w:tc>
          <w:tcPr>
            <w:tcW w:w="709" w:type="dxa"/>
            <w:tcBorders>
              <w:top w:val="nil"/>
              <w:left w:val="nil"/>
              <w:bottom w:val="nil"/>
              <w:right w:val="nil"/>
            </w:tcBorders>
            <w:shd w:val="clear" w:color="auto" w:fill="auto"/>
            <w:vAlign w:val="center"/>
          </w:tcPr>
          <w:p w14:paraId="3F932833"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2.42</w:t>
            </w:r>
          </w:p>
        </w:tc>
        <w:tc>
          <w:tcPr>
            <w:tcW w:w="709" w:type="dxa"/>
            <w:tcBorders>
              <w:top w:val="nil"/>
              <w:left w:val="nil"/>
              <w:bottom w:val="nil"/>
              <w:right w:val="nil"/>
            </w:tcBorders>
            <w:shd w:val="clear" w:color="auto" w:fill="auto"/>
            <w:vAlign w:val="center"/>
          </w:tcPr>
          <w:p w14:paraId="0B7A107C"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.84</w:t>
            </w:r>
          </w:p>
        </w:tc>
        <w:tc>
          <w:tcPr>
            <w:tcW w:w="850" w:type="dxa"/>
            <w:tcBorders>
              <w:top w:val="nil"/>
              <w:left w:val="nil"/>
              <w:bottom w:val="nil"/>
              <w:right w:val="nil"/>
            </w:tcBorders>
            <w:shd w:val="clear" w:color="auto" w:fill="auto"/>
            <w:vAlign w:val="center"/>
          </w:tcPr>
          <w:p w14:paraId="64D7245C"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.632</w:t>
            </w:r>
          </w:p>
        </w:tc>
        <w:tc>
          <w:tcPr>
            <w:tcW w:w="709" w:type="dxa"/>
            <w:tcBorders>
              <w:top w:val="nil"/>
              <w:left w:val="nil"/>
              <w:bottom w:val="nil"/>
              <w:right w:val="nil"/>
            </w:tcBorders>
            <w:shd w:val="clear" w:color="auto" w:fill="auto"/>
            <w:vAlign w:val="center"/>
          </w:tcPr>
          <w:p w14:paraId="2C9AC9EB"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5.939</w:t>
            </w:r>
          </w:p>
        </w:tc>
        <w:tc>
          <w:tcPr>
            <w:tcW w:w="992" w:type="dxa"/>
            <w:vMerge w:val="restart"/>
            <w:tcBorders>
              <w:top w:val="nil"/>
              <w:left w:val="nil"/>
              <w:right w:val="nil"/>
            </w:tcBorders>
            <w:shd w:val="clear" w:color="auto" w:fill="auto"/>
            <w:vAlign w:val="center"/>
          </w:tcPr>
          <w:p w14:paraId="494116CF"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.845</w:t>
            </w:r>
          </w:p>
        </w:tc>
        <w:tc>
          <w:tcPr>
            <w:tcW w:w="996" w:type="dxa"/>
            <w:vMerge w:val="restart"/>
            <w:tcBorders>
              <w:top w:val="nil"/>
              <w:left w:val="nil"/>
              <w:right w:val="nil"/>
            </w:tcBorders>
            <w:shd w:val="clear" w:color="auto" w:fill="auto"/>
            <w:vAlign w:val="center"/>
          </w:tcPr>
          <w:p w14:paraId="6114E641"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.820</w:t>
            </w:r>
          </w:p>
        </w:tc>
      </w:tr>
      <w:tr w:rsidR="00E9015E" w:rsidRPr="000673A6" w14:paraId="6E0B8999" w14:textId="77777777" w:rsidTr="00C14E25">
        <w:trPr>
          <w:trHeight w:val="20"/>
        </w:trPr>
        <w:tc>
          <w:tcPr>
            <w:tcW w:w="1526" w:type="dxa"/>
            <w:vMerge/>
            <w:tcBorders>
              <w:left w:val="nil"/>
              <w:right w:val="nil"/>
            </w:tcBorders>
            <w:shd w:val="clear" w:color="auto" w:fill="auto"/>
            <w:vAlign w:val="center"/>
          </w:tcPr>
          <w:p w14:paraId="0EB15C48" w14:textId="77777777" w:rsidR="00E9015E" w:rsidRPr="00F53C7A" w:rsidRDefault="00E9015E" w:rsidP="00C14E25">
            <w:pPr>
              <w:spacing w:line="276" w:lineRule="auto"/>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452DE5BC" w14:textId="77777777" w:rsidR="00E9015E" w:rsidRPr="00F53C7A" w:rsidRDefault="00E9015E" w:rsidP="00C14E25">
            <w:pPr>
              <w:spacing w:line="276" w:lineRule="auto"/>
              <w:jc w:val="center"/>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DC</w:t>
            </w:r>
            <w:r>
              <w:rPr>
                <w:rFonts w:ascii="Times New Roman" w:hAnsi="Times New Roman" w:cs="Times New Roman"/>
                <w:color w:val="000000" w:themeColor="text1"/>
                <w:sz w:val="14"/>
                <w:szCs w:val="14"/>
              </w:rPr>
              <w:t>A</w:t>
            </w:r>
            <w:r w:rsidRPr="00F53C7A">
              <w:rPr>
                <w:rFonts w:ascii="Times New Roman" w:hAnsi="Times New Roman" w:cs="Times New Roman"/>
                <w:color w:val="000000" w:themeColor="text1"/>
                <w:sz w:val="14"/>
                <w:szCs w:val="14"/>
              </w:rPr>
              <w:t>3</w:t>
            </w:r>
          </w:p>
        </w:tc>
        <w:tc>
          <w:tcPr>
            <w:tcW w:w="6945" w:type="dxa"/>
            <w:tcBorders>
              <w:top w:val="nil"/>
              <w:left w:val="nil"/>
              <w:bottom w:val="nil"/>
              <w:right w:val="nil"/>
            </w:tcBorders>
            <w:shd w:val="clear" w:color="auto" w:fill="auto"/>
          </w:tcPr>
          <w:p w14:paraId="0CD34440" w14:textId="77777777" w:rsidR="00E9015E" w:rsidRPr="00F53C7A" w:rsidRDefault="00E9015E" w:rsidP="00C14E25">
            <w:pPr>
              <w:spacing w:line="276" w:lineRule="auto"/>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We have the capability to exchange digitalized data with supply chain partner in real time for effective sales and operations, inventory planning</w:t>
            </w:r>
          </w:p>
        </w:tc>
        <w:tc>
          <w:tcPr>
            <w:tcW w:w="709" w:type="dxa"/>
            <w:tcBorders>
              <w:top w:val="nil"/>
              <w:left w:val="nil"/>
              <w:bottom w:val="nil"/>
              <w:right w:val="nil"/>
            </w:tcBorders>
            <w:shd w:val="clear" w:color="auto" w:fill="auto"/>
            <w:vAlign w:val="center"/>
          </w:tcPr>
          <w:p w14:paraId="1FEE14C2"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2.44</w:t>
            </w:r>
          </w:p>
        </w:tc>
        <w:tc>
          <w:tcPr>
            <w:tcW w:w="709" w:type="dxa"/>
            <w:tcBorders>
              <w:top w:val="nil"/>
              <w:left w:val="nil"/>
              <w:bottom w:val="nil"/>
              <w:right w:val="nil"/>
            </w:tcBorders>
            <w:shd w:val="clear" w:color="auto" w:fill="auto"/>
            <w:vAlign w:val="center"/>
          </w:tcPr>
          <w:p w14:paraId="0B9F1139"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.88</w:t>
            </w:r>
          </w:p>
        </w:tc>
        <w:tc>
          <w:tcPr>
            <w:tcW w:w="850" w:type="dxa"/>
            <w:tcBorders>
              <w:top w:val="nil"/>
              <w:left w:val="nil"/>
              <w:bottom w:val="nil"/>
              <w:right w:val="nil"/>
            </w:tcBorders>
            <w:shd w:val="clear" w:color="auto" w:fill="auto"/>
            <w:vAlign w:val="center"/>
          </w:tcPr>
          <w:p w14:paraId="70647AC4"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.688</w:t>
            </w:r>
          </w:p>
        </w:tc>
        <w:tc>
          <w:tcPr>
            <w:tcW w:w="709" w:type="dxa"/>
            <w:tcBorders>
              <w:top w:val="nil"/>
              <w:left w:val="nil"/>
              <w:bottom w:val="nil"/>
              <w:right w:val="nil"/>
            </w:tcBorders>
            <w:shd w:val="clear" w:color="auto" w:fill="auto"/>
            <w:vAlign w:val="center"/>
          </w:tcPr>
          <w:p w14:paraId="59C6A0D8"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6.326</w:t>
            </w:r>
          </w:p>
        </w:tc>
        <w:tc>
          <w:tcPr>
            <w:tcW w:w="992" w:type="dxa"/>
            <w:vMerge/>
            <w:tcBorders>
              <w:top w:val="dotted" w:sz="4" w:space="0" w:color="auto"/>
              <w:left w:val="nil"/>
              <w:right w:val="nil"/>
            </w:tcBorders>
            <w:shd w:val="clear" w:color="auto" w:fill="auto"/>
          </w:tcPr>
          <w:p w14:paraId="3415712F" w14:textId="77777777" w:rsidR="00E9015E" w:rsidRPr="00F53C7A" w:rsidRDefault="00E9015E" w:rsidP="00C14E25">
            <w:pPr>
              <w:spacing w:line="276" w:lineRule="auto"/>
              <w:jc w:val="center"/>
              <w:rPr>
                <w:rFonts w:ascii="Times New Roman" w:hAnsi="Times New Roman" w:cs="Times New Roman"/>
                <w:sz w:val="14"/>
                <w:szCs w:val="14"/>
              </w:rPr>
            </w:pPr>
          </w:p>
        </w:tc>
        <w:tc>
          <w:tcPr>
            <w:tcW w:w="996" w:type="dxa"/>
            <w:vMerge/>
            <w:tcBorders>
              <w:top w:val="dotted" w:sz="4" w:space="0" w:color="auto"/>
              <w:left w:val="nil"/>
              <w:right w:val="nil"/>
            </w:tcBorders>
            <w:shd w:val="clear" w:color="auto" w:fill="auto"/>
          </w:tcPr>
          <w:p w14:paraId="35A3F570" w14:textId="77777777" w:rsidR="00E9015E" w:rsidRPr="00F53C7A" w:rsidRDefault="00E9015E" w:rsidP="00C14E25">
            <w:pPr>
              <w:spacing w:line="276" w:lineRule="auto"/>
              <w:jc w:val="center"/>
              <w:rPr>
                <w:rFonts w:ascii="Times New Roman" w:hAnsi="Times New Roman" w:cs="Times New Roman"/>
                <w:sz w:val="14"/>
                <w:szCs w:val="14"/>
              </w:rPr>
            </w:pPr>
          </w:p>
        </w:tc>
      </w:tr>
      <w:tr w:rsidR="00E9015E" w:rsidRPr="000673A6" w14:paraId="1F909644" w14:textId="77777777" w:rsidTr="00C14E25">
        <w:trPr>
          <w:trHeight w:val="20"/>
        </w:trPr>
        <w:tc>
          <w:tcPr>
            <w:tcW w:w="1526" w:type="dxa"/>
            <w:vMerge/>
            <w:tcBorders>
              <w:left w:val="nil"/>
              <w:right w:val="nil"/>
            </w:tcBorders>
            <w:shd w:val="clear" w:color="auto" w:fill="auto"/>
            <w:vAlign w:val="center"/>
          </w:tcPr>
          <w:p w14:paraId="4BAAB076" w14:textId="77777777" w:rsidR="00E9015E" w:rsidRPr="00F53C7A" w:rsidRDefault="00E9015E" w:rsidP="00C14E25">
            <w:pPr>
              <w:spacing w:line="276" w:lineRule="auto"/>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6E407EB3" w14:textId="77777777" w:rsidR="00E9015E" w:rsidRPr="00F53C7A" w:rsidRDefault="00E9015E" w:rsidP="00C14E25">
            <w:pPr>
              <w:spacing w:line="276" w:lineRule="auto"/>
              <w:jc w:val="center"/>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DC</w:t>
            </w:r>
            <w:r>
              <w:rPr>
                <w:rFonts w:ascii="Times New Roman" w:hAnsi="Times New Roman" w:cs="Times New Roman"/>
                <w:color w:val="000000" w:themeColor="text1"/>
                <w:sz w:val="14"/>
                <w:szCs w:val="14"/>
              </w:rPr>
              <w:t>A</w:t>
            </w:r>
            <w:r w:rsidRPr="00F53C7A">
              <w:rPr>
                <w:rFonts w:ascii="Times New Roman" w:hAnsi="Times New Roman" w:cs="Times New Roman"/>
                <w:color w:val="000000" w:themeColor="text1"/>
                <w:sz w:val="14"/>
                <w:szCs w:val="14"/>
              </w:rPr>
              <w:t>4</w:t>
            </w:r>
          </w:p>
        </w:tc>
        <w:tc>
          <w:tcPr>
            <w:tcW w:w="6945" w:type="dxa"/>
            <w:tcBorders>
              <w:top w:val="nil"/>
              <w:left w:val="nil"/>
              <w:bottom w:val="nil"/>
              <w:right w:val="nil"/>
            </w:tcBorders>
            <w:shd w:val="clear" w:color="auto" w:fill="auto"/>
          </w:tcPr>
          <w:p w14:paraId="3B497F15" w14:textId="77777777" w:rsidR="00E9015E" w:rsidRPr="00F53C7A" w:rsidRDefault="00E9015E" w:rsidP="00C14E25">
            <w:pPr>
              <w:spacing w:line="276" w:lineRule="auto"/>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We constantly keep current with new digitalization technologies and innovative use cases</w:t>
            </w:r>
          </w:p>
        </w:tc>
        <w:tc>
          <w:tcPr>
            <w:tcW w:w="709" w:type="dxa"/>
            <w:tcBorders>
              <w:top w:val="nil"/>
              <w:left w:val="nil"/>
              <w:bottom w:val="nil"/>
              <w:right w:val="nil"/>
            </w:tcBorders>
            <w:shd w:val="clear" w:color="auto" w:fill="auto"/>
            <w:vAlign w:val="center"/>
          </w:tcPr>
          <w:p w14:paraId="0D9D0B65"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2.64</w:t>
            </w:r>
          </w:p>
        </w:tc>
        <w:tc>
          <w:tcPr>
            <w:tcW w:w="709" w:type="dxa"/>
            <w:tcBorders>
              <w:top w:val="nil"/>
              <w:left w:val="nil"/>
              <w:bottom w:val="nil"/>
              <w:right w:val="nil"/>
            </w:tcBorders>
            <w:shd w:val="clear" w:color="auto" w:fill="auto"/>
            <w:vAlign w:val="center"/>
          </w:tcPr>
          <w:p w14:paraId="5CCACF19"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1.02</w:t>
            </w:r>
          </w:p>
        </w:tc>
        <w:tc>
          <w:tcPr>
            <w:tcW w:w="850" w:type="dxa"/>
            <w:tcBorders>
              <w:top w:val="nil"/>
              <w:left w:val="nil"/>
              <w:bottom w:val="nil"/>
              <w:right w:val="nil"/>
            </w:tcBorders>
            <w:shd w:val="clear" w:color="auto" w:fill="auto"/>
            <w:vAlign w:val="center"/>
          </w:tcPr>
          <w:p w14:paraId="6B77CEC4"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.671</w:t>
            </w:r>
          </w:p>
        </w:tc>
        <w:tc>
          <w:tcPr>
            <w:tcW w:w="709" w:type="dxa"/>
            <w:tcBorders>
              <w:top w:val="nil"/>
              <w:left w:val="nil"/>
              <w:bottom w:val="nil"/>
              <w:right w:val="nil"/>
            </w:tcBorders>
            <w:shd w:val="clear" w:color="auto" w:fill="auto"/>
            <w:vAlign w:val="center"/>
          </w:tcPr>
          <w:p w14:paraId="6E44297D"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6.151</w:t>
            </w:r>
          </w:p>
        </w:tc>
        <w:tc>
          <w:tcPr>
            <w:tcW w:w="992" w:type="dxa"/>
            <w:vMerge/>
            <w:tcBorders>
              <w:top w:val="dotted" w:sz="4" w:space="0" w:color="auto"/>
              <w:left w:val="nil"/>
              <w:right w:val="nil"/>
            </w:tcBorders>
            <w:shd w:val="clear" w:color="auto" w:fill="auto"/>
          </w:tcPr>
          <w:p w14:paraId="47F89D04" w14:textId="77777777" w:rsidR="00E9015E" w:rsidRPr="00F53C7A" w:rsidRDefault="00E9015E" w:rsidP="00C14E25">
            <w:pPr>
              <w:spacing w:line="276" w:lineRule="auto"/>
              <w:jc w:val="center"/>
              <w:rPr>
                <w:rFonts w:ascii="Times New Roman" w:hAnsi="Times New Roman" w:cs="Times New Roman"/>
                <w:sz w:val="14"/>
                <w:szCs w:val="14"/>
              </w:rPr>
            </w:pPr>
          </w:p>
        </w:tc>
        <w:tc>
          <w:tcPr>
            <w:tcW w:w="996" w:type="dxa"/>
            <w:vMerge/>
            <w:tcBorders>
              <w:top w:val="dotted" w:sz="4" w:space="0" w:color="auto"/>
              <w:left w:val="nil"/>
              <w:right w:val="nil"/>
            </w:tcBorders>
            <w:shd w:val="clear" w:color="auto" w:fill="auto"/>
          </w:tcPr>
          <w:p w14:paraId="27AC7EFE" w14:textId="77777777" w:rsidR="00E9015E" w:rsidRPr="00F53C7A" w:rsidRDefault="00E9015E" w:rsidP="00C14E25">
            <w:pPr>
              <w:spacing w:line="276" w:lineRule="auto"/>
              <w:jc w:val="center"/>
              <w:rPr>
                <w:rFonts w:ascii="Times New Roman" w:hAnsi="Times New Roman" w:cs="Times New Roman"/>
                <w:sz w:val="14"/>
                <w:szCs w:val="14"/>
              </w:rPr>
            </w:pPr>
          </w:p>
        </w:tc>
      </w:tr>
      <w:tr w:rsidR="00E9015E" w:rsidRPr="000673A6" w14:paraId="24CCF1FC" w14:textId="77777777" w:rsidTr="00C14E25">
        <w:trPr>
          <w:trHeight w:val="20"/>
        </w:trPr>
        <w:tc>
          <w:tcPr>
            <w:tcW w:w="1526" w:type="dxa"/>
            <w:vMerge/>
            <w:tcBorders>
              <w:left w:val="nil"/>
              <w:right w:val="nil"/>
            </w:tcBorders>
            <w:shd w:val="clear" w:color="auto" w:fill="auto"/>
            <w:vAlign w:val="center"/>
          </w:tcPr>
          <w:p w14:paraId="08E166D4" w14:textId="77777777" w:rsidR="00E9015E" w:rsidRPr="00F53C7A" w:rsidRDefault="00E9015E" w:rsidP="00C14E25">
            <w:pPr>
              <w:spacing w:line="276" w:lineRule="auto"/>
              <w:jc w:val="center"/>
              <w:rPr>
                <w:rFonts w:ascii="Times New Roman" w:hAnsi="Times New Roman" w:cs="Times New Roman"/>
                <w:color w:val="000000" w:themeColor="text1"/>
                <w:sz w:val="14"/>
                <w:szCs w:val="14"/>
              </w:rPr>
            </w:pPr>
          </w:p>
        </w:tc>
        <w:tc>
          <w:tcPr>
            <w:tcW w:w="709" w:type="dxa"/>
            <w:tcBorders>
              <w:top w:val="nil"/>
              <w:left w:val="nil"/>
              <w:bottom w:val="single" w:sz="4" w:space="0" w:color="auto"/>
              <w:right w:val="nil"/>
            </w:tcBorders>
            <w:shd w:val="clear" w:color="auto" w:fill="auto"/>
            <w:vAlign w:val="center"/>
          </w:tcPr>
          <w:p w14:paraId="4A32885D" w14:textId="77777777" w:rsidR="00E9015E" w:rsidRPr="00F53C7A" w:rsidRDefault="00E9015E" w:rsidP="00C14E25">
            <w:pPr>
              <w:spacing w:line="276" w:lineRule="auto"/>
              <w:jc w:val="center"/>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DC</w:t>
            </w:r>
            <w:r>
              <w:rPr>
                <w:rFonts w:ascii="Times New Roman" w:hAnsi="Times New Roman" w:cs="Times New Roman"/>
                <w:color w:val="000000" w:themeColor="text1"/>
                <w:sz w:val="14"/>
                <w:szCs w:val="14"/>
              </w:rPr>
              <w:t>A</w:t>
            </w:r>
            <w:r w:rsidRPr="00F53C7A">
              <w:rPr>
                <w:rFonts w:ascii="Times New Roman" w:hAnsi="Times New Roman" w:cs="Times New Roman"/>
                <w:color w:val="000000" w:themeColor="text1"/>
                <w:sz w:val="14"/>
                <w:szCs w:val="14"/>
              </w:rPr>
              <w:t>5</w:t>
            </w:r>
          </w:p>
        </w:tc>
        <w:tc>
          <w:tcPr>
            <w:tcW w:w="6945" w:type="dxa"/>
            <w:tcBorders>
              <w:top w:val="nil"/>
              <w:left w:val="nil"/>
              <w:bottom w:val="single" w:sz="4" w:space="0" w:color="auto"/>
              <w:right w:val="nil"/>
            </w:tcBorders>
            <w:shd w:val="clear" w:color="auto" w:fill="auto"/>
          </w:tcPr>
          <w:p w14:paraId="0FA63E37" w14:textId="77777777" w:rsidR="00E9015E" w:rsidRPr="00F53C7A" w:rsidRDefault="00E9015E" w:rsidP="00C14E25">
            <w:pPr>
              <w:spacing w:line="276" w:lineRule="auto"/>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We have a climate that is supportive of trying out new ways of using digitalization technologies</w:t>
            </w:r>
          </w:p>
        </w:tc>
        <w:tc>
          <w:tcPr>
            <w:tcW w:w="709" w:type="dxa"/>
            <w:tcBorders>
              <w:top w:val="nil"/>
              <w:left w:val="nil"/>
              <w:bottom w:val="single" w:sz="4" w:space="0" w:color="auto"/>
              <w:right w:val="nil"/>
            </w:tcBorders>
            <w:shd w:val="clear" w:color="auto" w:fill="auto"/>
            <w:vAlign w:val="center"/>
          </w:tcPr>
          <w:p w14:paraId="77AD8311"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2.80</w:t>
            </w:r>
          </w:p>
        </w:tc>
        <w:tc>
          <w:tcPr>
            <w:tcW w:w="709" w:type="dxa"/>
            <w:tcBorders>
              <w:top w:val="nil"/>
              <w:left w:val="nil"/>
              <w:bottom w:val="single" w:sz="4" w:space="0" w:color="auto"/>
              <w:right w:val="nil"/>
            </w:tcBorders>
            <w:shd w:val="clear" w:color="auto" w:fill="auto"/>
            <w:vAlign w:val="center"/>
          </w:tcPr>
          <w:p w14:paraId="568A2121"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1.05</w:t>
            </w:r>
          </w:p>
        </w:tc>
        <w:tc>
          <w:tcPr>
            <w:tcW w:w="850" w:type="dxa"/>
            <w:tcBorders>
              <w:top w:val="nil"/>
              <w:left w:val="nil"/>
              <w:bottom w:val="single" w:sz="4" w:space="0" w:color="auto"/>
              <w:right w:val="nil"/>
            </w:tcBorders>
            <w:shd w:val="clear" w:color="auto" w:fill="auto"/>
            <w:vAlign w:val="center"/>
          </w:tcPr>
          <w:p w14:paraId="0C25D5DE"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.614</w:t>
            </w:r>
          </w:p>
        </w:tc>
        <w:tc>
          <w:tcPr>
            <w:tcW w:w="709" w:type="dxa"/>
            <w:tcBorders>
              <w:top w:val="nil"/>
              <w:left w:val="nil"/>
              <w:bottom w:val="single" w:sz="4" w:space="0" w:color="auto"/>
              <w:right w:val="nil"/>
            </w:tcBorders>
            <w:shd w:val="clear" w:color="auto" w:fill="auto"/>
            <w:vAlign w:val="center"/>
          </w:tcPr>
          <w:p w14:paraId="228A6830"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5.825</w:t>
            </w:r>
          </w:p>
        </w:tc>
        <w:tc>
          <w:tcPr>
            <w:tcW w:w="992" w:type="dxa"/>
            <w:vMerge/>
            <w:tcBorders>
              <w:top w:val="dotted" w:sz="4" w:space="0" w:color="auto"/>
              <w:left w:val="nil"/>
              <w:bottom w:val="single" w:sz="4" w:space="0" w:color="auto"/>
              <w:right w:val="nil"/>
            </w:tcBorders>
            <w:shd w:val="clear" w:color="auto" w:fill="auto"/>
          </w:tcPr>
          <w:p w14:paraId="32CBB84E" w14:textId="77777777" w:rsidR="00E9015E" w:rsidRPr="00F53C7A" w:rsidRDefault="00E9015E" w:rsidP="00C14E25">
            <w:pPr>
              <w:spacing w:line="276" w:lineRule="auto"/>
              <w:jc w:val="center"/>
              <w:rPr>
                <w:rFonts w:ascii="Times New Roman" w:hAnsi="Times New Roman" w:cs="Times New Roman"/>
                <w:sz w:val="14"/>
                <w:szCs w:val="14"/>
              </w:rPr>
            </w:pPr>
          </w:p>
        </w:tc>
        <w:tc>
          <w:tcPr>
            <w:tcW w:w="996" w:type="dxa"/>
            <w:vMerge/>
            <w:tcBorders>
              <w:top w:val="dotted" w:sz="4" w:space="0" w:color="auto"/>
              <w:left w:val="nil"/>
              <w:bottom w:val="single" w:sz="4" w:space="0" w:color="auto"/>
              <w:right w:val="nil"/>
            </w:tcBorders>
            <w:shd w:val="clear" w:color="auto" w:fill="auto"/>
          </w:tcPr>
          <w:p w14:paraId="4C6A4B06" w14:textId="77777777" w:rsidR="00E9015E" w:rsidRPr="00F53C7A" w:rsidRDefault="00E9015E" w:rsidP="00C14E25">
            <w:pPr>
              <w:spacing w:line="276" w:lineRule="auto"/>
              <w:jc w:val="center"/>
              <w:rPr>
                <w:rFonts w:ascii="Times New Roman" w:hAnsi="Times New Roman" w:cs="Times New Roman"/>
                <w:sz w:val="14"/>
                <w:szCs w:val="14"/>
              </w:rPr>
            </w:pPr>
          </w:p>
        </w:tc>
      </w:tr>
      <w:tr w:rsidR="00E9015E" w:rsidRPr="000673A6" w14:paraId="7A148CEC" w14:textId="77777777" w:rsidTr="00C14E25">
        <w:trPr>
          <w:trHeight w:val="20"/>
        </w:trPr>
        <w:tc>
          <w:tcPr>
            <w:tcW w:w="1526" w:type="dxa"/>
            <w:vMerge w:val="restart"/>
            <w:tcBorders>
              <w:left w:val="nil"/>
              <w:right w:val="nil"/>
            </w:tcBorders>
            <w:shd w:val="clear" w:color="auto" w:fill="auto"/>
            <w:vAlign w:val="center"/>
          </w:tcPr>
          <w:p w14:paraId="656C0AFD"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 xml:space="preserve">Supplier’s Dependence on the Buyer </w:t>
            </w:r>
          </w:p>
          <w:p w14:paraId="7CEE7FD2" w14:textId="77777777" w:rsidR="00E9015E" w:rsidRPr="00F53C7A" w:rsidRDefault="00E9015E" w:rsidP="00C14E25">
            <w:pPr>
              <w:jc w:val="center"/>
              <w:rPr>
                <w:rFonts w:ascii="Times New Roman" w:hAnsi="Times New Roman" w:cs="Times New Roman"/>
                <w:color w:val="000000" w:themeColor="text1"/>
                <w:sz w:val="14"/>
                <w:szCs w:val="14"/>
              </w:rPr>
            </w:pPr>
            <w:r w:rsidRPr="00F53C7A">
              <w:rPr>
                <w:rFonts w:ascii="Times New Roman" w:hAnsi="Times New Roman" w:cs="Times New Roman"/>
                <w:sz w:val="14"/>
                <w:szCs w:val="14"/>
              </w:rPr>
              <w:t>(SDP)</w:t>
            </w:r>
          </w:p>
        </w:tc>
        <w:tc>
          <w:tcPr>
            <w:tcW w:w="709" w:type="dxa"/>
            <w:tcBorders>
              <w:top w:val="single" w:sz="4" w:space="0" w:color="auto"/>
              <w:left w:val="nil"/>
              <w:bottom w:val="nil"/>
              <w:right w:val="nil"/>
            </w:tcBorders>
            <w:shd w:val="clear" w:color="auto" w:fill="auto"/>
            <w:vAlign w:val="center"/>
          </w:tcPr>
          <w:p w14:paraId="64AA9B6A" w14:textId="77777777" w:rsidR="00E9015E" w:rsidRPr="00F53C7A" w:rsidRDefault="00E9015E" w:rsidP="00C14E25">
            <w:pPr>
              <w:spacing w:line="276" w:lineRule="auto"/>
              <w:jc w:val="center"/>
              <w:rPr>
                <w:rFonts w:ascii="Times New Roman" w:hAnsi="Times New Roman" w:cs="Times New Roman"/>
                <w:sz w:val="14"/>
                <w:szCs w:val="14"/>
              </w:rPr>
            </w:pPr>
          </w:p>
        </w:tc>
        <w:tc>
          <w:tcPr>
            <w:tcW w:w="6945" w:type="dxa"/>
            <w:tcBorders>
              <w:top w:val="single" w:sz="4" w:space="0" w:color="auto"/>
              <w:left w:val="nil"/>
              <w:bottom w:val="nil"/>
              <w:right w:val="nil"/>
            </w:tcBorders>
            <w:shd w:val="clear" w:color="auto" w:fill="auto"/>
          </w:tcPr>
          <w:p w14:paraId="001922BB" w14:textId="77777777" w:rsidR="00E9015E" w:rsidRPr="00F53C7A" w:rsidRDefault="00E9015E" w:rsidP="00C14E25">
            <w:pPr>
              <w:spacing w:line="276" w:lineRule="auto"/>
              <w:rPr>
                <w:rFonts w:ascii="Times New Roman" w:hAnsi="Times New Roman" w:cs="Times New Roman"/>
                <w:i/>
                <w:sz w:val="14"/>
                <w:szCs w:val="14"/>
              </w:rPr>
            </w:pPr>
            <w:r w:rsidRPr="00F53C7A">
              <w:rPr>
                <w:rFonts w:ascii="Times New Roman" w:hAnsi="Times New Roman" w:cs="Times New Roman"/>
                <w:i/>
                <w:iCs/>
                <w:sz w:val="14"/>
                <w:szCs w:val="14"/>
              </w:rPr>
              <w:t xml:space="preserve">Please indicate the degree to which you agree to the following statements concerning your company’s relationship with </w:t>
            </w:r>
            <w:r w:rsidRPr="00F53C7A">
              <w:rPr>
                <w:rFonts w:ascii="Times New Roman" w:hAnsi="Times New Roman" w:cs="Times New Roman"/>
                <w:i/>
                <w:iCs/>
                <w:color w:val="000000" w:themeColor="text1"/>
                <w:sz w:val="14"/>
                <w:szCs w:val="14"/>
              </w:rPr>
              <w:t>this major</w:t>
            </w:r>
            <w:r w:rsidRPr="00F53C7A">
              <w:rPr>
                <w:rFonts w:ascii="Times New Roman" w:hAnsi="Times New Roman" w:cs="Times New Roman"/>
                <w:i/>
                <w:iCs/>
                <w:sz w:val="14"/>
                <w:szCs w:val="14"/>
              </w:rPr>
              <w:t xml:space="preserve"> buyer firm (1=strongly disagree, 5= strongly agree): </w:t>
            </w:r>
          </w:p>
        </w:tc>
        <w:tc>
          <w:tcPr>
            <w:tcW w:w="709" w:type="dxa"/>
            <w:tcBorders>
              <w:top w:val="single" w:sz="4" w:space="0" w:color="auto"/>
              <w:left w:val="nil"/>
              <w:bottom w:val="nil"/>
              <w:right w:val="nil"/>
            </w:tcBorders>
            <w:shd w:val="clear" w:color="auto" w:fill="auto"/>
            <w:vAlign w:val="center"/>
          </w:tcPr>
          <w:p w14:paraId="5F55FEA7" w14:textId="77777777" w:rsidR="00E9015E" w:rsidRPr="00F53C7A" w:rsidRDefault="00E9015E" w:rsidP="00C14E25">
            <w:pPr>
              <w:spacing w:line="276" w:lineRule="auto"/>
              <w:jc w:val="center"/>
              <w:rPr>
                <w:rFonts w:ascii="Times New Roman" w:hAnsi="Times New Roman" w:cs="Times New Roman"/>
                <w:sz w:val="14"/>
                <w:szCs w:val="14"/>
              </w:rPr>
            </w:pPr>
          </w:p>
        </w:tc>
        <w:tc>
          <w:tcPr>
            <w:tcW w:w="709" w:type="dxa"/>
            <w:tcBorders>
              <w:top w:val="single" w:sz="4" w:space="0" w:color="auto"/>
              <w:left w:val="nil"/>
              <w:bottom w:val="nil"/>
              <w:right w:val="nil"/>
            </w:tcBorders>
            <w:shd w:val="clear" w:color="auto" w:fill="auto"/>
            <w:vAlign w:val="center"/>
          </w:tcPr>
          <w:p w14:paraId="011738A5" w14:textId="77777777" w:rsidR="00E9015E" w:rsidRPr="00F53C7A" w:rsidRDefault="00E9015E" w:rsidP="00C14E25">
            <w:pPr>
              <w:spacing w:line="276" w:lineRule="auto"/>
              <w:jc w:val="center"/>
              <w:rPr>
                <w:rFonts w:ascii="Times New Roman" w:hAnsi="Times New Roman" w:cs="Times New Roman"/>
                <w:sz w:val="14"/>
                <w:szCs w:val="14"/>
              </w:rPr>
            </w:pPr>
          </w:p>
        </w:tc>
        <w:tc>
          <w:tcPr>
            <w:tcW w:w="850" w:type="dxa"/>
            <w:tcBorders>
              <w:top w:val="single" w:sz="4" w:space="0" w:color="auto"/>
              <w:left w:val="nil"/>
              <w:bottom w:val="nil"/>
              <w:right w:val="nil"/>
            </w:tcBorders>
            <w:shd w:val="clear" w:color="auto" w:fill="auto"/>
            <w:vAlign w:val="center"/>
          </w:tcPr>
          <w:p w14:paraId="72E4C93C" w14:textId="77777777" w:rsidR="00E9015E" w:rsidRPr="00F53C7A" w:rsidRDefault="00E9015E" w:rsidP="00C14E25">
            <w:pPr>
              <w:spacing w:line="276" w:lineRule="auto"/>
              <w:jc w:val="center"/>
              <w:rPr>
                <w:rFonts w:ascii="Times New Roman" w:hAnsi="Times New Roman" w:cs="Times New Roman"/>
                <w:sz w:val="14"/>
                <w:szCs w:val="14"/>
              </w:rPr>
            </w:pPr>
          </w:p>
        </w:tc>
        <w:tc>
          <w:tcPr>
            <w:tcW w:w="709" w:type="dxa"/>
            <w:tcBorders>
              <w:top w:val="single" w:sz="4" w:space="0" w:color="auto"/>
              <w:left w:val="nil"/>
              <w:bottom w:val="nil"/>
              <w:right w:val="nil"/>
            </w:tcBorders>
            <w:shd w:val="clear" w:color="auto" w:fill="auto"/>
            <w:vAlign w:val="center"/>
          </w:tcPr>
          <w:p w14:paraId="4E0904F3" w14:textId="77777777" w:rsidR="00E9015E" w:rsidRPr="00F53C7A" w:rsidRDefault="00E9015E" w:rsidP="00C14E25">
            <w:pPr>
              <w:spacing w:line="276" w:lineRule="auto"/>
              <w:jc w:val="center"/>
              <w:rPr>
                <w:rFonts w:ascii="Times New Roman" w:hAnsi="Times New Roman" w:cs="Times New Roman"/>
                <w:sz w:val="14"/>
                <w:szCs w:val="14"/>
              </w:rPr>
            </w:pPr>
          </w:p>
        </w:tc>
        <w:tc>
          <w:tcPr>
            <w:tcW w:w="992" w:type="dxa"/>
            <w:tcBorders>
              <w:top w:val="single" w:sz="4" w:space="0" w:color="auto"/>
              <w:left w:val="nil"/>
              <w:bottom w:val="nil"/>
              <w:right w:val="nil"/>
            </w:tcBorders>
            <w:shd w:val="clear" w:color="auto" w:fill="auto"/>
          </w:tcPr>
          <w:p w14:paraId="4B0FB0EC" w14:textId="77777777" w:rsidR="00E9015E" w:rsidRPr="00F53C7A" w:rsidRDefault="00E9015E" w:rsidP="00C14E25">
            <w:pPr>
              <w:jc w:val="center"/>
              <w:rPr>
                <w:rFonts w:ascii="Times New Roman" w:hAnsi="Times New Roman" w:cs="Times New Roman"/>
                <w:sz w:val="14"/>
                <w:szCs w:val="14"/>
              </w:rPr>
            </w:pPr>
          </w:p>
        </w:tc>
        <w:tc>
          <w:tcPr>
            <w:tcW w:w="996" w:type="dxa"/>
            <w:tcBorders>
              <w:top w:val="single" w:sz="4" w:space="0" w:color="auto"/>
              <w:left w:val="nil"/>
              <w:bottom w:val="nil"/>
              <w:right w:val="nil"/>
            </w:tcBorders>
            <w:shd w:val="clear" w:color="auto" w:fill="auto"/>
          </w:tcPr>
          <w:p w14:paraId="340334FD" w14:textId="77777777" w:rsidR="00E9015E" w:rsidRPr="00F53C7A" w:rsidRDefault="00E9015E" w:rsidP="00C14E25">
            <w:pPr>
              <w:jc w:val="center"/>
              <w:rPr>
                <w:rFonts w:ascii="Times New Roman" w:hAnsi="Times New Roman" w:cs="Times New Roman"/>
                <w:sz w:val="14"/>
                <w:szCs w:val="14"/>
              </w:rPr>
            </w:pPr>
          </w:p>
        </w:tc>
      </w:tr>
      <w:tr w:rsidR="00E9015E" w:rsidRPr="000673A6" w14:paraId="525C5E6A" w14:textId="77777777" w:rsidTr="00C14E25">
        <w:trPr>
          <w:trHeight w:val="20"/>
        </w:trPr>
        <w:tc>
          <w:tcPr>
            <w:tcW w:w="1526" w:type="dxa"/>
            <w:vMerge/>
            <w:tcBorders>
              <w:left w:val="nil"/>
              <w:right w:val="nil"/>
            </w:tcBorders>
            <w:shd w:val="clear" w:color="auto" w:fill="auto"/>
            <w:vAlign w:val="center"/>
          </w:tcPr>
          <w:p w14:paraId="016F30BA"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21ACEDC5"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SDP1</w:t>
            </w:r>
          </w:p>
        </w:tc>
        <w:tc>
          <w:tcPr>
            <w:tcW w:w="6945" w:type="dxa"/>
            <w:tcBorders>
              <w:top w:val="nil"/>
              <w:left w:val="nil"/>
              <w:bottom w:val="nil"/>
              <w:right w:val="nil"/>
            </w:tcBorders>
            <w:shd w:val="clear" w:color="auto" w:fill="auto"/>
          </w:tcPr>
          <w:p w14:paraId="022A59C4" w14:textId="77777777" w:rsidR="00E9015E" w:rsidRPr="00F53C7A" w:rsidRDefault="00E9015E" w:rsidP="00C14E25">
            <w:pPr>
              <w:spacing w:line="276" w:lineRule="auto"/>
              <w:rPr>
                <w:rFonts w:ascii="Times New Roman" w:hAnsi="Times New Roman" w:cs="Times New Roman"/>
                <w:sz w:val="14"/>
                <w:szCs w:val="14"/>
              </w:rPr>
            </w:pPr>
            <w:r w:rsidRPr="00F53C7A">
              <w:rPr>
                <w:rFonts w:ascii="Times New Roman" w:hAnsi="Times New Roman" w:cs="Times New Roman"/>
                <w:sz w:val="14"/>
                <w:szCs w:val="14"/>
              </w:rPr>
              <w:t>We depend upon this major buyer firm’s capability for demand information of our products</w:t>
            </w:r>
          </w:p>
        </w:tc>
        <w:tc>
          <w:tcPr>
            <w:tcW w:w="709" w:type="dxa"/>
            <w:tcBorders>
              <w:top w:val="nil"/>
              <w:left w:val="nil"/>
              <w:bottom w:val="nil"/>
              <w:right w:val="nil"/>
            </w:tcBorders>
            <w:shd w:val="clear" w:color="auto" w:fill="auto"/>
            <w:vAlign w:val="center"/>
          </w:tcPr>
          <w:p w14:paraId="2DC25FDA"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3.37</w:t>
            </w:r>
          </w:p>
        </w:tc>
        <w:tc>
          <w:tcPr>
            <w:tcW w:w="709" w:type="dxa"/>
            <w:tcBorders>
              <w:top w:val="nil"/>
              <w:left w:val="nil"/>
              <w:bottom w:val="nil"/>
              <w:right w:val="nil"/>
            </w:tcBorders>
            <w:shd w:val="clear" w:color="auto" w:fill="auto"/>
            <w:vAlign w:val="center"/>
          </w:tcPr>
          <w:p w14:paraId="14E3ED67"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1.11</w:t>
            </w:r>
          </w:p>
        </w:tc>
        <w:tc>
          <w:tcPr>
            <w:tcW w:w="850" w:type="dxa"/>
            <w:tcBorders>
              <w:top w:val="nil"/>
              <w:left w:val="nil"/>
              <w:bottom w:val="nil"/>
              <w:right w:val="nil"/>
            </w:tcBorders>
            <w:shd w:val="clear" w:color="auto" w:fill="auto"/>
            <w:vAlign w:val="center"/>
          </w:tcPr>
          <w:p w14:paraId="071747EC"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.951</w:t>
            </w:r>
          </w:p>
        </w:tc>
        <w:tc>
          <w:tcPr>
            <w:tcW w:w="709" w:type="dxa"/>
            <w:tcBorders>
              <w:top w:val="nil"/>
              <w:left w:val="nil"/>
              <w:bottom w:val="nil"/>
              <w:right w:val="nil"/>
            </w:tcBorders>
            <w:shd w:val="clear" w:color="auto" w:fill="auto"/>
            <w:vAlign w:val="center"/>
          </w:tcPr>
          <w:p w14:paraId="232EED1C"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w:t>
            </w:r>
          </w:p>
        </w:tc>
        <w:tc>
          <w:tcPr>
            <w:tcW w:w="992" w:type="dxa"/>
            <w:vMerge w:val="restart"/>
            <w:tcBorders>
              <w:top w:val="nil"/>
              <w:left w:val="nil"/>
              <w:right w:val="nil"/>
            </w:tcBorders>
            <w:shd w:val="clear" w:color="auto" w:fill="auto"/>
            <w:vAlign w:val="center"/>
          </w:tcPr>
          <w:p w14:paraId="5A4B0820"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.792</w:t>
            </w:r>
          </w:p>
        </w:tc>
        <w:tc>
          <w:tcPr>
            <w:tcW w:w="996" w:type="dxa"/>
            <w:vMerge w:val="restart"/>
            <w:tcBorders>
              <w:top w:val="nil"/>
              <w:left w:val="nil"/>
              <w:right w:val="nil"/>
            </w:tcBorders>
            <w:shd w:val="clear" w:color="auto" w:fill="auto"/>
            <w:vAlign w:val="center"/>
          </w:tcPr>
          <w:p w14:paraId="0B83979F"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.799</w:t>
            </w:r>
          </w:p>
        </w:tc>
      </w:tr>
      <w:tr w:rsidR="00E9015E" w:rsidRPr="000673A6" w14:paraId="75C4C18A" w14:textId="77777777" w:rsidTr="00C14E25">
        <w:trPr>
          <w:trHeight w:val="20"/>
        </w:trPr>
        <w:tc>
          <w:tcPr>
            <w:tcW w:w="1526" w:type="dxa"/>
            <w:vMerge/>
            <w:tcBorders>
              <w:left w:val="nil"/>
              <w:right w:val="nil"/>
            </w:tcBorders>
            <w:shd w:val="clear" w:color="auto" w:fill="auto"/>
            <w:vAlign w:val="center"/>
          </w:tcPr>
          <w:p w14:paraId="3C9EF66E"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39609F58"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SDP2</w:t>
            </w:r>
          </w:p>
        </w:tc>
        <w:tc>
          <w:tcPr>
            <w:tcW w:w="6945" w:type="dxa"/>
            <w:tcBorders>
              <w:top w:val="nil"/>
              <w:left w:val="nil"/>
              <w:bottom w:val="nil"/>
              <w:right w:val="nil"/>
            </w:tcBorders>
            <w:shd w:val="clear" w:color="auto" w:fill="auto"/>
          </w:tcPr>
          <w:p w14:paraId="4ACDD473" w14:textId="77777777" w:rsidR="00E9015E" w:rsidRPr="00F53C7A" w:rsidRDefault="00E9015E" w:rsidP="00C14E25">
            <w:pPr>
              <w:spacing w:line="276" w:lineRule="auto"/>
              <w:rPr>
                <w:rFonts w:ascii="Times New Roman" w:hAnsi="Times New Roman" w:cs="Times New Roman"/>
                <w:sz w:val="14"/>
                <w:szCs w:val="14"/>
              </w:rPr>
            </w:pPr>
            <w:r w:rsidRPr="00F53C7A">
              <w:rPr>
                <w:rFonts w:ascii="Times New Roman" w:hAnsi="Times New Roman" w:cs="Times New Roman"/>
                <w:sz w:val="14"/>
                <w:szCs w:val="14"/>
              </w:rPr>
              <w:t>We depend upon this major buyer firm’s capability for market intelligence related to our products</w:t>
            </w:r>
          </w:p>
        </w:tc>
        <w:tc>
          <w:tcPr>
            <w:tcW w:w="709" w:type="dxa"/>
            <w:tcBorders>
              <w:top w:val="nil"/>
              <w:left w:val="nil"/>
              <w:bottom w:val="nil"/>
              <w:right w:val="nil"/>
            </w:tcBorders>
            <w:shd w:val="clear" w:color="auto" w:fill="auto"/>
            <w:vAlign w:val="center"/>
          </w:tcPr>
          <w:p w14:paraId="555C25AE"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3.10</w:t>
            </w:r>
          </w:p>
        </w:tc>
        <w:tc>
          <w:tcPr>
            <w:tcW w:w="709" w:type="dxa"/>
            <w:tcBorders>
              <w:top w:val="nil"/>
              <w:left w:val="nil"/>
              <w:bottom w:val="nil"/>
              <w:right w:val="nil"/>
            </w:tcBorders>
            <w:shd w:val="clear" w:color="auto" w:fill="auto"/>
            <w:vAlign w:val="center"/>
          </w:tcPr>
          <w:p w14:paraId="4B1E5F40"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1.08</w:t>
            </w:r>
          </w:p>
        </w:tc>
        <w:tc>
          <w:tcPr>
            <w:tcW w:w="850" w:type="dxa"/>
            <w:tcBorders>
              <w:top w:val="nil"/>
              <w:left w:val="nil"/>
              <w:bottom w:val="nil"/>
              <w:right w:val="nil"/>
            </w:tcBorders>
            <w:shd w:val="clear" w:color="auto" w:fill="auto"/>
            <w:vAlign w:val="center"/>
          </w:tcPr>
          <w:p w14:paraId="6738E853"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.836</w:t>
            </w:r>
          </w:p>
        </w:tc>
        <w:tc>
          <w:tcPr>
            <w:tcW w:w="709" w:type="dxa"/>
            <w:tcBorders>
              <w:top w:val="nil"/>
              <w:left w:val="nil"/>
              <w:bottom w:val="nil"/>
              <w:right w:val="nil"/>
            </w:tcBorders>
            <w:shd w:val="clear" w:color="auto" w:fill="auto"/>
            <w:vAlign w:val="center"/>
          </w:tcPr>
          <w:p w14:paraId="0D359C56"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11.079</w:t>
            </w:r>
          </w:p>
        </w:tc>
        <w:tc>
          <w:tcPr>
            <w:tcW w:w="992" w:type="dxa"/>
            <w:vMerge/>
            <w:tcBorders>
              <w:left w:val="nil"/>
              <w:right w:val="nil"/>
            </w:tcBorders>
            <w:shd w:val="clear" w:color="auto" w:fill="auto"/>
            <w:vAlign w:val="center"/>
          </w:tcPr>
          <w:p w14:paraId="5CBB3D19" w14:textId="77777777" w:rsidR="00E9015E" w:rsidRPr="000673A6" w:rsidRDefault="00E9015E" w:rsidP="00C14E25">
            <w:pPr>
              <w:jc w:val="center"/>
              <w:rPr>
                <w:rFonts w:ascii="Times New Roman" w:hAnsi="Times New Roman" w:cs="Times New Roman"/>
                <w:sz w:val="14"/>
                <w:szCs w:val="14"/>
              </w:rPr>
            </w:pPr>
          </w:p>
        </w:tc>
        <w:tc>
          <w:tcPr>
            <w:tcW w:w="996" w:type="dxa"/>
            <w:vMerge/>
            <w:tcBorders>
              <w:left w:val="nil"/>
              <w:right w:val="nil"/>
            </w:tcBorders>
            <w:shd w:val="clear" w:color="auto" w:fill="auto"/>
            <w:vAlign w:val="center"/>
          </w:tcPr>
          <w:p w14:paraId="1623C838" w14:textId="77777777" w:rsidR="00E9015E" w:rsidRPr="000673A6" w:rsidRDefault="00E9015E" w:rsidP="00C14E25">
            <w:pPr>
              <w:jc w:val="center"/>
              <w:rPr>
                <w:rFonts w:ascii="Times New Roman" w:hAnsi="Times New Roman" w:cs="Times New Roman"/>
                <w:sz w:val="14"/>
                <w:szCs w:val="14"/>
              </w:rPr>
            </w:pPr>
          </w:p>
        </w:tc>
      </w:tr>
      <w:tr w:rsidR="00E9015E" w:rsidRPr="000673A6" w14:paraId="0D1432E9" w14:textId="77777777" w:rsidTr="00C14E25">
        <w:trPr>
          <w:trHeight w:val="20"/>
        </w:trPr>
        <w:tc>
          <w:tcPr>
            <w:tcW w:w="1526" w:type="dxa"/>
            <w:vMerge/>
            <w:tcBorders>
              <w:left w:val="nil"/>
              <w:right w:val="nil"/>
            </w:tcBorders>
            <w:shd w:val="clear" w:color="auto" w:fill="auto"/>
            <w:vAlign w:val="center"/>
          </w:tcPr>
          <w:p w14:paraId="1841C9FD"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2EEEB651"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SDP3</w:t>
            </w:r>
          </w:p>
        </w:tc>
        <w:tc>
          <w:tcPr>
            <w:tcW w:w="6945" w:type="dxa"/>
            <w:tcBorders>
              <w:top w:val="nil"/>
              <w:left w:val="nil"/>
              <w:bottom w:val="nil"/>
              <w:right w:val="nil"/>
            </w:tcBorders>
            <w:shd w:val="clear" w:color="auto" w:fill="auto"/>
          </w:tcPr>
          <w:p w14:paraId="16D51F3D" w14:textId="77777777" w:rsidR="00E9015E" w:rsidRPr="00F53C7A" w:rsidRDefault="00E9015E" w:rsidP="00C14E25">
            <w:pPr>
              <w:spacing w:line="276" w:lineRule="auto"/>
              <w:rPr>
                <w:rFonts w:ascii="Times New Roman" w:hAnsi="Times New Roman" w:cs="Times New Roman"/>
                <w:sz w:val="14"/>
                <w:szCs w:val="14"/>
              </w:rPr>
            </w:pPr>
            <w:r w:rsidRPr="00F53C7A">
              <w:rPr>
                <w:rFonts w:ascii="Times New Roman" w:hAnsi="Times New Roman" w:cs="Times New Roman"/>
                <w:sz w:val="14"/>
                <w:szCs w:val="14"/>
              </w:rPr>
              <w:t>This major buyer firm accounts for a large portion of our company's total sales.</w:t>
            </w:r>
          </w:p>
        </w:tc>
        <w:tc>
          <w:tcPr>
            <w:tcW w:w="709" w:type="dxa"/>
            <w:tcBorders>
              <w:top w:val="nil"/>
              <w:left w:val="nil"/>
              <w:bottom w:val="nil"/>
              <w:right w:val="nil"/>
            </w:tcBorders>
            <w:shd w:val="clear" w:color="auto" w:fill="auto"/>
            <w:vAlign w:val="center"/>
          </w:tcPr>
          <w:p w14:paraId="091C2A86"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3.86</w:t>
            </w:r>
          </w:p>
        </w:tc>
        <w:tc>
          <w:tcPr>
            <w:tcW w:w="709" w:type="dxa"/>
            <w:tcBorders>
              <w:top w:val="nil"/>
              <w:left w:val="nil"/>
              <w:bottom w:val="nil"/>
              <w:right w:val="nil"/>
            </w:tcBorders>
            <w:shd w:val="clear" w:color="auto" w:fill="auto"/>
            <w:vAlign w:val="center"/>
          </w:tcPr>
          <w:p w14:paraId="18981579"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1.19</w:t>
            </w:r>
          </w:p>
        </w:tc>
        <w:tc>
          <w:tcPr>
            <w:tcW w:w="850" w:type="dxa"/>
            <w:tcBorders>
              <w:top w:val="nil"/>
              <w:left w:val="nil"/>
              <w:bottom w:val="nil"/>
              <w:right w:val="nil"/>
            </w:tcBorders>
            <w:shd w:val="clear" w:color="auto" w:fill="auto"/>
            <w:vAlign w:val="center"/>
          </w:tcPr>
          <w:p w14:paraId="1D7C7EAD"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.642</w:t>
            </w:r>
          </w:p>
        </w:tc>
        <w:tc>
          <w:tcPr>
            <w:tcW w:w="709" w:type="dxa"/>
            <w:tcBorders>
              <w:top w:val="nil"/>
              <w:left w:val="nil"/>
              <w:bottom w:val="nil"/>
              <w:right w:val="nil"/>
            </w:tcBorders>
            <w:shd w:val="clear" w:color="auto" w:fill="auto"/>
            <w:vAlign w:val="center"/>
          </w:tcPr>
          <w:p w14:paraId="4C1483C5"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7.9</w:t>
            </w:r>
          </w:p>
        </w:tc>
        <w:tc>
          <w:tcPr>
            <w:tcW w:w="992" w:type="dxa"/>
            <w:vMerge/>
            <w:tcBorders>
              <w:left w:val="nil"/>
              <w:right w:val="nil"/>
            </w:tcBorders>
            <w:shd w:val="clear" w:color="auto" w:fill="auto"/>
            <w:vAlign w:val="center"/>
          </w:tcPr>
          <w:p w14:paraId="4A0FFD00" w14:textId="77777777" w:rsidR="00E9015E" w:rsidRPr="000673A6" w:rsidRDefault="00E9015E" w:rsidP="00C14E25">
            <w:pPr>
              <w:jc w:val="center"/>
              <w:rPr>
                <w:rFonts w:ascii="Times New Roman" w:hAnsi="Times New Roman" w:cs="Times New Roman"/>
                <w:sz w:val="14"/>
                <w:szCs w:val="14"/>
              </w:rPr>
            </w:pPr>
          </w:p>
        </w:tc>
        <w:tc>
          <w:tcPr>
            <w:tcW w:w="996" w:type="dxa"/>
            <w:vMerge/>
            <w:tcBorders>
              <w:left w:val="nil"/>
              <w:right w:val="nil"/>
            </w:tcBorders>
            <w:shd w:val="clear" w:color="auto" w:fill="auto"/>
            <w:vAlign w:val="center"/>
          </w:tcPr>
          <w:p w14:paraId="6269BA12" w14:textId="77777777" w:rsidR="00E9015E" w:rsidRPr="000673A6" w:rsidRDefault="00E9015E" w:rsidP="00C14E25">
            <w:pPr>
              <w:jc w:val="center"/>
              <w:rPr>
                <w:rFonts w:ascii="Times New Roman" w:hAnsi="Times New Roman" w:cs="Times New Roman"/>
                <w:sz w:val="14"/>
                <w:szCs w:val="14"/>
              </w:rPr>
            </w:pPr>
          </w:p>
        </w:tc>
      </w:tr>
      <w:tr w:rsidR="00E9015E" w:rsidRPr="000673A6" w14:paraId="70AD5A35" w14:textId="77777777" w:rsidTr="00C14E25">
        <w:trPr>
          <w:trHeight w:val="20"/>
        </w:trPr>
        <w:tc>
          <w:tcPr>
            <w:tcW w:w="1526" w:type="dxa"/>
            <w:vMerge/>
            <w:tcBorders>
              <w:left w:val="nil"/>
              <w:right w:val="nil"/>
            </w:tcBorders>
            <w:shd w:val="clear" w:color="auto" w:fill="auto"/>
            <w:vAlign w:val="center"/>
          </w:tcPr>
          <w:p w14:paraId="5AF1DD79"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0BCA5A14"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SDP4</w:t>
            </w:r>
          </w:p>
        </w:tc>
        <w:tc>
          <w:tcPr>
            <w:tcW w:w="6945" w:type="dxa"/>
            <w:tcBorders>
              <w:top w:val="nil"/>
              <w:left w:val="nil"/>
              <w:bottom w:val="nil"/>
              <w:right w:val="nil"/>
            </w:tcBorders>
            <w:shd w:val="clear" w:color="auto" w:fill="auto"/>
          </w:tcPr>
          <w:p w14:paraId="6CEE730D" w14:textId="77777777" w:rsidR="00E9015E" w:rsidRPr="00F53C7A" w:rsidRDefault="00E9015E" w:rsidP="00C14E25">
            <w:pPr>
              <w:spacing w:line="276" w:lineRule="auto"/>
              <w:rPr>
                <w:rFonts w:ascii="Times New Roman" w:hAnsi="Times New Roman" w:cs="Times New Roman"/>
                <w:sz w:val="14"/>
                <w:szCs w:val="14"/>
              </w:rPr>
            </w:pPr>
            <w:r w:rsidRPr="00F53C7A">
              <w:rPr>
                <w:rFonts w:ascii="Times New Roman" w:hAnsi="Times New Roman" w:cs="Times New Roman"/>
                <w:sz w:val="14"/>
                <w:szCs w:val="14"/>
              </w:rPr>
              <w:t>If this major buyer firm stopped buying from us, we could not easily replace their volume with sales to other customer</w:t>
            </w:r>
          </w:p>
        </w:tc>
        <w:tc>
          <w:tcPr>
            <w:tcW w:w="709" w:type="dxa"/>
            <w:tcBorders>
              <w:top w:val="nil"/>
              <w:left w:val="nil"/>
              <w:bottom w:val="nil"/>
              <w:right w:val="nil"/>
            </w:tcBorders>
            <w:shd w:val="clear" w:color="auto" w:fill="auto"/>
            <w:vAlign w:val="center"/>
          </w:tcPr>
          <w:p w14:paraId="12C0A5FF"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3.40</w:t>
            </w:r>
          </w:p>
        </w:tc>
        <w:tc>
          <w:tcPr>
            <w:tcW w:w="709" w:type="dxa"/>
            <w:tcBorders>
              <w:top w:val="nil"/>
              <w:left w:val="nil"/>
              <w:bottom w:val="nil"/>
              <w:right w:val="nil"/>
            </w:tcBorders>
            <w:shd w:val="clear" w:color="auto" w:fill="auto"/>
            <w:vAlign w:val="center"/>
          </w:tcPr>
          <w:p w14:paraId="03ACED40"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1.18</w:t>
            </w:r>
          </w:p>
        </w:tc>
        <w:tc>
          <w:tcPr>
            <w:tcW w:w="850" w:type="dxa"/>
            <w:tcBorders>
              <w:top w:val="nil"/>
              <w:left w:val="nil"/>
              <w:bottom w:val="nil"/>
              <w:right w:val="nil"/>
            </w:tcBorders>
            <w:shd w:val="clear" w:color="auto" w:fill="auto"/>
            <w:vAlign w:val="center"/>
          </w:tcPr>
          <w:p w14:paraId="1C1659EA"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.468</w:t>
            </w:r>
          </w:p>
        </w:tc>
        <w:tc>
          <w:tcPr>
            <w:tcW w:w="709" w:type="dxa"/>
            <w:tcBorders>
              <w:top w:val="nil"/>
              <w:left w:val="nil"/>
              <w:bottom w:val="nil"/>
              <w:right w:val="nil"/>
            </w:tcBorders>
            <w:shd w:val="clear" w:color="auto" w:fill="auto"/>
            <w:vAlign w:val="center"/>
          </w:tcPr>
          <w:p w14:paraId="20841930"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5.373</w:t>
            </w:r>
          </w:p>
        </w:tc>
        <w:tc>
          <w:tcPr>
            <w:tcW w:w="992" w:type="dxa"/>
            <w:vMerge/>
            <w:tcBorders>
              <w:left w:val="nil"/>
              <w:right w:val="nil"/>
            </w:tcBorders>
            <w:shd w:val="clear" w:color="auto" w:fill="auto"/>
            <w:vAlign w:val="center"/>
          </w:tcPr>
          <w:p w14:paraId="06C6FC3D" w14:textId="77777777" w:rsidR="00E9015E" w:rsidRPr="000673A6" w:rsidRDefault="00E9015E" w:rsidP="00C14E25">
            <w:pPr>
              <w:jc w:val="center"/>
              <w:rPr>
                <w:rFonts w:ascii="Times New Roman" w:hAnsi="Times New Roman" w:cs="Times New Roman"/>
                <w:sz w:val="14"/>
                <w:szCs w:val="14"/>
              </w:rPr>
            </w:pPr>
          </w:p>
        </w:tc>
        <w:tc>
          <w:tcPr>
            <w:tcW w:w="996" w:type="dxa"/>
            <w:vMerge/>
            <w:tcBorders>
              <w:left w:val="nil"/>
              <w:right w:val="nil"/>
            </w:tcBorders>
            <w:shd w:val="clear" w:color="auto" w:fill="auto"/>
            <w:vAlign w:val="center"/>
          </w:tcPr>
          <w:p w14:paraId="1AC773AC" w14:textId="77777777" w:rsidR="00E9015E" w:rsidRPr="000673A6" w:rsidRDefault="00E9015E" w:rsidP="00C14E25">
            <w:pPr>
              <w:jc w:val="center"/>
              <w:rPr>
                <w:rFonts w:ascii="Times New Roman" w:hAnsi="Times New Roman" w:cs="Times New Roman"/>
                <w:sz w:val="14"/>
                <w:szCs w:val="14"/>
              </w:rPr>
            </w:pPr>
          </w:p>
        </w:tc>
      </w:tr>
      <w:tr w:rsidR="00E9015E" w:rsidRPr="000673A6" w14:paraId="2761829B" w14:textId="77777777" w:rsidTr="00C14E25">
        <w:trPr>
          <w:trHeight w:val="20"/>
        </w:trPr>
        <w:tc>
          <w:tcPr>
            <w:tcW w:w="1526" w:type="dxa"/>
            <w:vMerge/>
            <w:tcBorders>
              <w:left w:val="nil"/>
              <w:right w:val="nil"/>
            </w:tcBorders>
            <w:shd w:val="clear" w:color="auto" w:fill="auto"/>
            <w:vAlign w:val="center"/>
          </w:tcPr>
          <w:p w14:paraId="456AA375"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single" w:sz="4" w:space="0" w:color="auto"/>
              <w:right w:val="nil"/>
            </w:tcBorders>
            <w:shd w:val="clear" w:color="auto" w:fill="auto"/>
            <w:vAlign w:val="center"/>
          </w:tcPr>
          <w:p w14:paraId="270D9141"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SDP5</w:t>
            </w:r>
          </w:p>
        </w:tc>
        <w:tc>
          <w:tcPr>
            <w:tcW w:w="6945" w:type="dxa"/>
            <w:tcBorders>
              <w:top w:val="nil"/>
              <w:left w:val="nil"/>
              <w:bottom w:val="single" w:sz="4" w:space="0" w:color="auto"/>
              <w:right w:val="nil"/>
            </w:tcBorders>
            <w:shd w:val="clear" w:color="auto" w:fill="auto"/>
          </w:tcPr>
          <w:p w14:paraId="4E8A249B" w14:textId="77777777" w:rsidR="00E9015E" w:rsidRPr="00F53C7A" w:rsidRDefault="00E9015E" w:rsidP="00C14E25">
            <w:pPr>
              <w:spacing w:line="276" w:lineRule="auto"/>
              <w:rPr>
                <w:rFonts w:ascii="Times New Roman" w:hAnsi="Times New Roman" w:cs="Times New Roman"/>
                <w:sz w:val="14"/>
                <w:szCs w:val="14"/>
              </w:rPr>
            </w:pPr>
            <w:r w:rsidRPr="00F53C7A">
              <w:rPr>
                <w:rFonts w:ascii="Times New Roman" w:hAnsi="Times New Roman" w:cs="Times New Roman"/>
                <w:sz w:val="14"/>
                <w:szCs w:val="14"/>
              </w:rPr>
              <w:t xml:space="preserve">Our production system </w:t>
            </w:r>
            <w:proofErr w:type="gramStart"/>
            <w:r w:rsidRPr="00F53C7A">
              <w:rPr>
                <w:rFonts w:ascii="Times New Roman" w:hAnsi="Times New Roman" w:cs="Times New Roman"/>
                <w:sz w:val="14"/>
                <w:szCs w:val="14"/>
              </w:rPr>
              <w:t>can’t</w:t>
            </w:r>
            <w:proofErr w:type="gramEnd"/>
            <w:r w:rsidRPr="00F53C7A">
              <w:rPr>
                <w:rFonts w:ascii="Times New Roman" w:hAnsi="Times New Roman" w:cs="Times New Roman"/>
                <w:sz w:val="14"/>
                <w:szCs w:val="14"/>
              </w:rPr>
              <w:t xml:space="preserve"> be easily arranged to new customer’s needs</w:t>
            </w:r>
          </w:p>
        </w:tc>
        <w:tc>
          <w:tcPr>
            <w:tcW w:w="709" w:type="dxa"/>
            <w:tcBorders>
              <w:top w:val="nil"/>
              <w:left w:val="nil"/>
              <w:bottom w:val="single" w:sz="4" w:space="0" w:color="auto"/>
              <w:right w:val="nil"/>
            </w:tcBorders>
            <w:shd w:val="clear" w:color="auto" w:fill="auto"/>
            <w:vAlign w:val="center"/>
          </w:tcPr>
          <w:p w14:paraId="24AB3EC7"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2.54</w:t>
            </w:r>
          </w:p>
        </w:tc>
        <w:tc>
          <w:tcPr>
            <w:tcW w:w="709" w:type="dxa"/>
            <w:tcBorders>
              <w:top w:val="nil"/>
              <w:left w:val="nil"/>
              <w:bottom w:val="single" w:sz="4" w:space="0" w:color="auto"/>
              <w:right w:val="nil"/>
            </w:tcBorders>
            <w:shd w:val="clear" w:color="auto" w:fill="auto"/>
            <w:vAlign w:val="center"/>
          </w:tcPr>
          <w:p w14:paraId="5894246B"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.96</w:t>
            </w:r>
          </w:p>
        </w:tc>
        <w:tc>
          <w:tcPr>
            <w:tcW w:w="850" w:type="dxa"/>
            <w:tcBorders>
              <w:top w:val="nil"/>
              <w:left w:val="nil"/>
              <w:bottom w:val="single" w:sz="4" w:space="0" w:color="auto"/>
              <w:right w:val="nil"/>
            </w:tcBorders>
            <w:shd w:val="clear" w:color="auto" w:fill="auto"/>
            <w:vAlign w:val="center"/>
          </w:tcPr>
          <w:p w14:paraId="46460BB1"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eastAsia="Gulim" w:hAnsi="Times New Roman" w:cs="Times New Roman"/>
                <w:sz w:val="14"/>
                <w:szCs w:val="14"/>
              </w:rPr>
              <w:t>.349</w:t>
            </w:r>
          </w:p>
        </w:tc>
        <w:tc>
          <w:tcPr>
            <w:tcW w:w="709" w:type="dxa"/>
            <w:tcBorders>
              <w:top w:val="nil"/>
              <w:left w:val="nil"/>
              <w:bottom w:val="single" w:sz="4" w:space="0" w:color="auto"/>
              <w:right w:val="nil"/>
            </w:tcBorders>
            <w:shd w:val="clear" w:color="auto" w:fill="auto"/>
            <w:vAlign w:val="center"/>
          </w:tcPr>
          <w:p w14:paraId="083B5195"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3.893</w:t>
            </w:r>
          </w:p>
        </w:tc>
        <w:tc>
          <w:tcPr>
            <w:tcW w:w="992" w:type="dxa"/>
            <w:vMerge/>
            <w:tcBorders>
              <w:left w:val="nil"/>
              <w:bottom w:val="single" w:sz="4" w:space="0" w:color="auto"/>
              <w:right w:val="nil"/>
            </w:tcBorders>
            <w:shd w:val="clear" w:color="auto" w:fill="auto"/>
            <w:vAlign w:val="center"/>
          </w:tcPr>
          <w:p w14:paraId="66B57128" w14:textId="77777777" w:rsidR="00E9015E" w:rsidRPr="000673A6" w:rsidRDefault="00E9015E" w:rsidP="00C14E25">
            <w:pPr>
              <w:jc w:val="center"/>
              <w:rPr>
                <w:rFonts w:ascii="Times New Roman" w:hAnsi="Times New Roman" w:cs="Times New Roman"/>
                <w:sz w:val="14"/>
                <w:szCs w:val="14"/>
              </w:rPr>
            </w:pPr>
          </w:p>
        </w:tc>
        <w:tc>
          <w:tcPr>
            <w:tcW w:w="996" w:type="dxa"/>
            <w:vMerge/>
            <w:tcBorders>
              <w:left w:val="nil"/>
              <w:bottom w:val="single" w:sz="4" w:space="0" w:color="auto"/>
              <w:right w:val="nil"/>
            </w:tcBorders>
            <w:shd w:val="clear" w:color="auto" w:fill="auto"/>
            <w:vAlign w:val="center"/>
          </w:tcPr>
          <w:p w14:paraId="59C2F5EE" w14:textId="77777777" w:rsidR="00E9015E" w:rsidRPr="000673A6" w:rsidRDefault="00E9015E" w:rsidP="00C14E25">
            <w:pPr>
              <w:jc w:val="center"/>
              <w:rPr>
                <w:rFonts w:ascii="Times New Roman" w:hAnsi="Times New Roman" w:cs="Times New Roman"/>
                <w:sz w:val="14"/>
                <w:szCs w:val="14"/>
              </w:rPr>
            </w:pPr>
          </w:p>
        </w:tc>
      </w:tr>
      <w:tr w:rsidR="00E9015E" w:rsidRPr="000673A6" w14:paraId="23848F0F" w14:textId="77777777" w:rsidTr="00C14E25">
        <w:trPr>
          <w:trHeight w:val="20"/>
        </w:trPr>
        <w:tc>
          <w:tcPr>
            <w:tcW w:w="1526" w:type="dxa"/>
            <w:vMerge w:val="restart"/>
            <w:tcBorders>
              <w:left w:val="nil"/>
              <w:right w:val="nil"/>
            </w:tcBorders>
            <w:shd w:val="clear" w:color="auto" w:fill="auto"/>
            <w:vAlign w:val="center"/>
          </w:tcPr>
          <w:p w14:paraId="62DC314C" w14:textId="77777777" w:rsidR="00E9015E" w:rsidRPr="00F53C7A" w:rsidRDefault="00E9015E" w:rsidP="00C14E25">
            <w:pPr>
              <w:spacing w:line="276" w:lineRule="auto"/>
              <w:jc w:val="center"/>
              <w:rPr>
                <w:rFonts w:ascii="Times New Roman" w:hAnsi="Times New Roman" w:cs="Times New Roman"/>
                <w:sz w:val="14"/>
                <w:szCs w:val="14"/>
              </w:rPr>
            </w:pPr>
            <w:proofErr w:type="gramStart"/>
            <w:r w:rsidRPr="00F53C7A">
              <w:rPr>
                <w:rFonts w:ascii="Times New Roman" w:hAnsi="Times New Roman" w:cs="Times New Roman"/>
                <w:sz w:val="14"/>
                <w:szCs w:val="14"/>
              </w:rPr>
              <w:t xml:space="preserve">Relational </w:t>
            </w:r>
            <w:r>
              <w:rPr>
                <w:rFonts w:ascii="Times New Roman" w:hAnsi="Times New Roman" w:cs="Times New Roman" w:hint="eastAsia"/>
                <w:sz w:val="14"/>
                <w:szCs w:val="14"/>
              </w:rPr>
              <w:t xml:space="preserve"> </w:t>
            </w:r>
            <w:r w:rsidRPr="00F53C7A">
              <w:rPr>
                <w:rFonts w:ascii="Times New Roman" w:hAnsi="Times New Roman" w:cs="Times New Roman"/>
                <w:sz w:val="14"/>
                <w:szCs w:val="14"/>
              </w:rPr>
              <w:t>Governance</w:t>
            </w:r>
            <w:proofErr w:type="gramEnd"/>
          </w:p>
          <w:p w14:paraId="345C2B45"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(RG)</w:t>
            </w:r>
          </w:p>
        </w:tc>
        <w:tc>
          <w:tcPr>
            <w:tcW w:w="709" w:type="dxa"/>
            <w:tcBorders>
              <w:top w:val="single" w:sz="4" w:space="0" w:color="auto"/>
              <w:left w:val="nil"/>
              <w:bottom w:val="nil"/>
              <w:right w:val="nil"/>
            </w:tcBorders>
            <w:shd w:val="clear" w:color="auto" w:fill="auto"/>
            <w:vAlign w:val="center"/>
          </w:tcPr>
          <w:p w14:paraId="4EF4B6CE" w14:textId="77777777" w:rsidR="00E9015E" w:rsidRPr="00F53C7A" w:rsidRDefault="00E9015E" w:rsidP="00C14E25">
            <w:pPr>
              <w:spacing w:line="276" w:lineRule="auto"/>
              <w:jc w:val="center"/>
              <w:rPr>
                <w:rFonts w:ascii="Times New Roman" w:hAnsi="Times New Roman" w:cs="Times New Roman"/>
                <w:sz w:val="14"/>
                <w:szCs w:val="14"/>
              </w:rPr>
            </w:pPr>
          </w:p>
        </w:tc>
        <w:tc>
          <w:tcPr>
            <w:tcW w:w="6945" w:type="dxa"/>
            <w:tcBorders>
              <w:top w:val="single" w:sz="4" w:space="0" w:color="auto"/>
              <w:left w:val="nil"/>
              <w:bottom w:val="nil"/>
              <w:right w:val="nil"/>
            </w:tcBorders>
            <w:shd w:val="clear" w:color="auto" w:fill="auto"/>
          </w:tcPr>
          <w:p w14:paraId="1D15D448" w14:textId="77777777" w:rsidR="00E9015E" w:rsidRPr="00F53C7A" w:rsidRDefault="00E9015E" w:rsidP="00C14E25">
            <w:pPr>
              <w:spacing w:line="276" w:lineRule="auto"/>
              <w:rPr>
                <w:rFonts w:ascii="Times New Roman" w:hAnsi="Times New Roman" w:cs="Times New Roman"/>
                <w:sz w:val="14"/>
                <w:szCs w:val="14"/>
              </w:rPr>
            </w:pPr>
            <w:r w:rsidRPr="00F53C7A">
              <w:rPr>
                <w:rFonts w:ascii="Times New Roman" w:hAnsi="Times New Roman" w:cs="Times New Roman"/>
                <w:i/>
                <w:iCs/>
                <w:sz w:val="14"/>
                <w:szCs w:val="14"/>
              </w:rPr>
              <w:t>Please indicate the degree to which you agree to the following statements concerning your company’s relationship with this major buyer firm (1=strongly disagree, 5= strongly agree):</w:t>
            </w:r>
          </w:p>
        </w:tc>
        <w:tc>
          <w:tcPr>
            <w:tcW w:w="709" w:type="dxa"/>
            <w:tcBorders>
              <w:top w:val="single" w:sz="4" w:space="0" w:color="auto"/>
              <w:left w:val="nil"/>
              <w:bottom w:val="nil"/>
              <w:right w:val="nil"/>
            </w:tcBorders>
            <w:shd w:val="clear" w:color="auto" w:fill="auto"/>
            <w:vAlign w:val="center"/>
          </w:tcPr>
          <w:p w14:paraId="697D80A8" w14:textId="77777777" w:rsidR="00E9015E" w:rsidRPr="00F53C7A" w:rsidRDefault="00E9015E" w:rsidP="00C14E25">
            <w:pPr>
              <w:spacing w:line="276" w:lineRule="auto"/>
              <w:jc w:val="center"/>
              <w:rPr>
                <w:rFonts w:ascii="Times New Roman" w:hAnsi="Times New Roman" w:cs="Times New Roman"/>
                <w:sz w:val="14"/>
                <w:szCs w:val="14"/>
              </w:rPr>
            </w:pPr>
          </w:p>
        </w:tc>
        <w:tc>
          <w:tcPr>
            <w:tcW w:w="709" w:type="dxa"/>
            <w:tcBorders>
              <w:top w:val="single" w:sz="4" w:space="0" w:color="auto"/>
              <w:left w:val="nil"/>
              <w:bottom w:val="nil"/>
              <w:right w:val="nil"/>
            </w:tcBorders>
            <w:shd w:val="clear" w:color="auto" w:fill="auto"/>
            <w:vAlign w:val="center"/>
          </w:tcPr>
          <w:p w14:paraId="0EBD9735" w14:textId="77777777" w:rsidR="00E9015E" w:rsidRPr="00F53C7A" w:rsidRDefault="00E9015E" w:rsidP="00C14E25">
            <w:pPr>
              <w:spacing w:line="276" w:lineRule="auto"/>
              <w:jc w:val="center"/>
              <w:rPr>
                <w:rFonts w:ascii="Times New Roman" w:hAnsi="Times New Roman" w:cs="Times New Roman"/>
                <w:sz w:val="14"/>
                <w:szCs w:val="14"/>
              </w:rPr>
            </w:pPr>
          </w:p>
        </w:tc>
        <w:tc>
          <w:tcPr>
            <w:tcW w:w="850" w:type="dxa"/>
            <w:tcBorders>
              <w:top w:val="single" w:sz="4" w:space="0" w:color="auto"/>
              <w:left w:val="nil"/>
              <w:bottom w:val="nil"/>
              <w:right w:val="nil"/>
            </w:tcBorders>
            <w:shd w:val="clear" w:color="auto" w:fill="auto"/>
            <w:vAlign w:val="center"/>
          </w:tcPr>
          <w:p w14:paraId="1A5E8E7E" w14:textId="77777777" w:rsidR="00E9015E" w:rsidRPr="00F53C7A" w:rsidRDefault="00E9015E" w:rsidP="00C14E25">
            <w:pPr>
              <w:spacing w:line="276" w:lineRule="auto"/>
              <w:jc w:val="center"/>
              <w:rPr>
                <w:rFonts w:ascii="Times New Roman" w:hAnsi="Times New Roman" w:cs="Times New Roman"/>
                <w:sz w:val="14"/>
                <w:szCs w:val="14"/>
              </w:rPr>
            </w:pPr>
          </w:p>
        </w:tc>
        <w:tc>
          <w:tcPr>
            <w:tcW w:w="709" w:type="dxa"/>
            <w:tcBorders>
              <w:top w:val="single" w:sz="4" w:space="0" w:color="auto"/>
              <w:left w:val="nil"/>
              <w:bottom w:val="nil"/>
              <w:right w:val="nil"/>
            </w:tcBorders>
            <w:shd w:val="clear" w:color="auto" w:fill="auto"/>
            <w:vAlign w:val="center"/>
          </w:tcPr>
          <w:p w14:paraId="388D4121" w14:textId="77777777" w:rsidR="00E9015E" w:rsidRPr="00F53C7A" w:rsidRDefault="00E9015E" w:rsidP="00C14E25">
            <w:pPr>
              <w:spacing w:line="276" w:lineRule="auto"/>
              <w:jc w:val="center"/>
              <w:rPr>
                <w:rFonts w:ascii="Times New Roman" w:hAnsi="Times New Roman" w:cs="Times New Roman"/>
                <w:sz w:val="14"/>
                <w:szCs w:val="14"/>
              </w:rPr>
            </w:pPr>
          </w:p>
        </w:tc>
        <w:tc>
          <w:tcPr>
            <w:tcW w:w="992" w:type="dxa"/>
            <w:tcBorders>
              <w:left w:val="nil"/>
              <w:bottom w:val="nil"/>
              <w:right w:val="nil"/>
            </w:tcBorders>
            <w:shd w:val="clear" w:color="auto" w:fill="auto"/>
            <w:vAlign w:val="center"/>
          </w:tcPr>
          <w:p w14:paraId="1E086229" w14:textId="77777777" w:rsidR="00E9015E" w:rsidRPr="000673A6" w:rsidRDefault="00E9015E" w:rsidP="00C14E25">
            <w:pPr>
              <w:jc w:val="center"/>
              <w:rPr>
                <w:rFonts w:ascii="Times New Roman" w:hAnsi="Times New Roman" w:cs="Times New Roman"/>
                <w:sz w:val="14"/>
                <w:szCs w:val="14"/>
              </w:rPr>
            </w:pPr>
          </w:p>
        </w:tc>
        <w:tc>
          <w:tcPr>
            <w:tcW w:w="996" w:type="dxa"/>
            <w:tcBorders>
              <w:left w:val="nil"/>
              <w:bottom w:val="nil"/>
              <w:right w:val="nil"/>
            </w:tcBorders>
            <w:shd w:val="clear" w:color="auto" w:fill="auto"/>
            <w:vAlign w:val="center"/>
          </w:tcPr>
          <w:p w14:paraId="42AA8A33" w14:textId="77777777" w:rsidR="00E9015E" w:rsidRPr="000673A6" w:rsidRDefault="00E9015E" w:rsidP="00C14E25">
            <w:pPr>
              <w:jc w:val="center"/>
              <w:rPr>
                <w:rFonts w:ascii="Times New Roman" w:hAnsi="Times New Roman" w:cs="Times New Roman"/>
                <w:sz w:val="14"/>
                <w:szCs w:val="14"/>
              </w:rPr>
            </w:pPr>
          </w:p>
        </w:tc>
      </w:tr>
      <w:tr w:rsidR="00E9015E" w:rsidRPr="000673A6" w14:paraId="5CBCFAF9" w14:textId="77777777" w:rsidTr="00C14E25">
        <w:trPr>
          <w:trHeight w:val="20"/>
        </w:trPr>
        <w:tc>
          <w:tcPr>
            <w:tcW w:w="1526" w:type="dxa"/>
            <w:vMerge/>
            <w:tcBorders>
              <w:left w:val="nil"/>
              <w:right w:val="nil"/>
            </w:tcBorders>
            <w:shd w:val="clear" w:color="auto" w:fill="auto"/>
            <w:vAlign w:val="center"/>
          </w:tcPr>
          <w:p w14:paraId="2F7105B2"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1DF44FF0" w14:textId="77777777" w:rsidR="00E9015E" w:rsidRPr="00F53C7A"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RG1</w:t>
            </w:r>
          </w:p>
        </w:tc>
        <w:tc>
          <w:tcPr>
            <w:tcW w:w="6945" w:type="dxa"/>
            <w:tcBorders>
              <w:top w:val="nil"/>
              <w:left w:val="nil"/>
              <w:bottom w:val="nil"/>
              <w:right w:val="nil"/>
            </w:tcBorders>
            <w:shd w:val="clear" w:color="auto" w:fill="auto"/>
          </w:tcPr>
          <w:p w14:paraId="40AB6E99" w14:textId="77777777" w:rsidR="00E9015E" w:rsidRPr="00F53C7A" w:rsidRDefault="00E9015E" w:rsidP="00C14E25">
            <w:pPr>
              <w:rPr>
                <w:rFonts w:ascii="Times New Roman" w:hAnsi="Times New Roman" w:cs="Times New Roman"/>
                <w:sz w:val="14"/>
                <w:szCs w:val="14"/>
              </w:rPr>
            </w:pPr>
            <w:r w:rsidRPr="00F53C7A">
              <w:rPr>
                <w:rFonts w:ascii="Times New Roman" w:hAnsi="Times New Roman" w:cs="Times New Roman"/>
                <w:sz w:val="14"/>
                <w:szCs w:val="14"/>
              </w:rPr>
              <w:t>Our relationship with this major buyer firm is characterized by high trust</w:t>
            </w:r>
          </w:p>
        </w:tc>
        <w:tc>
          <w:tcPr>
            <w:tcW w:w="709" w:type="dxa"/>
            <w:tcBorders>
              <w:top w:val="nil"/>
              <w:left w:val="nil"/>
              <w:bottom w:val="nil"/>
              <w:right w:val="nil"/>
            </w:tcBorders>
            <w:shd w:val="clear" w:color="auto" w:fill="auto"/>
            <w:vAlign w:val="center"/>
          </w:tcPr>
          <w:p w14:paraId="0BBEB735"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4.11</w:t>
            </w:r>
          </w:p>
        </w:tc>
        <w:tc>
          <w:tcPr>
            <w:tcW w:w="709" w:type="dxa"/>
            <w:tcBorders>
              <w:top w:val="nil"/>
              <w:left w:val="nil"/>
              <w:bottom w:val="nil"/>
              <w:right w:val="nil"/>
            </w:tcBorders>
            <w:shd w:val="clear" w:color="auto" w:fill="auto"/>
            <w:vAlign w:val="center"/>
          </w:tcPr>
          <w:p w14:paraId="2E8714A4"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.74</w:t>
            </w:r>
          </w:p>
        </w:tc>
        <w:tc>
          <w:tcPr>
            <w:tcW w:w="850" w:type="dxa"/>
            <w:tcBorders>
              <w:top w:val="nil"/>
              <w:left w:val="nil"/>
              <w:bottom w:val="nil"/>
              <w:right w:val="nil"/>
            </w:tcBorders>
            <w:shd w:val="clear" w:color="auto" w:fill="auto"/>
            <w:vAlign w:val="center"/>
          </w:tcPr>
          <w:p w14:paraId="0F2FADC0"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eastAsia="Gulim" w:hAnsi="Times New Roman" w:cs="Times New Roman"/>
                <w:sz w:val="14"/>
                <w:szCs w:val="14"/>
              </w:rPr>
              <w:t>.447</w:t>
            </w:r>
          </w:p>
        </w:tc>
        <w:tc>
          <w:tcPr>
            <w:tcW w:w="709" w:type="dxa"/>
            <w:tcBorders>
              <w:top w:val="nil"/>
              <w:left w:val="nil"/>
              <w:bottom w:val="nil"/>
              <w:right w:val="nil"/>
            </w:tcBorders>
            <w:shd w:val="clear" w:color="auto" w:fill="auto"/>
            <w:vAlign w:val="center"/>
          </w:tcPr>
          <w:p w14:paraId="33294DE2"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w:t>
            </w:r>
          </w:p>
        </w:tc>
        <w:tc>
          <w:tcPr>
            <w:tcW w:w="992" w:type="dxa"/>
            <w:vMerge w:val="restart"/>
            <w:tcBorders>
              <w:top w:val="nil"/>
              <w:left w:val="nil"/>
              <w:right w:val="nil"/>
            </w:tcBorders>
            <w:shd w:val="clear" w:color="auto" w:fill="auto"/>
            <w:vAlign w:val="center"/>
          </w:tcPr>
          <w:p w14:paraId="529D943E"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.668</w:t>
            </w:r>
          </w:p>
        </w:tc>
        <w:tc>
          <w:tcPr>
            <w:tcW w:w="996" w:type="dxa"/>
            <w:vMerge w:val="restart"/>
            <w:tcBorders>
              <w:top w:val="nil"/>
              <w:left w:val="nil"/>
              <w:right w:val="nil"/>
            </w:tcBorders>
            <w:shd w:val="clear" w:color="auto" w:fill="auto"/>
            <w:vAlign w:val="center"/>
          </w:tcPr>
          <w:p w14:paraId="024CF0C2"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.707</w:t>
            </w:r>
          </w:p>
        </w:tc>
      </w:tr>
      <w:tr w:rsidR="00E9015E" w:rsidRPr="000673A6" w14:paraId="3252A743" w14:textId="77777777" w:rsidTr="00C14E25">
        <w:trPr>
          <w:trHeight w:val="20"/>
        </w:trPr>
        <w:tc>
          <w:tcPr>
            <w:tcW w:w="1526" w:type="dxa"/>
            <w:vMerge/>
            <w:tcBorders>
              <w:left w:val="nil"/>
              <w:right w:val="nil"/>
            </w:tcBorders>
            <w:shd w:val="clear" w:color="auto" w:fill="auto"/>
            <w:vAlign w:val="center"/>
          </w:tcPr>
          <w:p w14:paraId="58F4FAA6"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49409B21" w14:textId="77777777" w:rsidR="00E9015E" w:rsidRPr="00F53C7A"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RG2</w:t>
            </w:r>
          </w:p>
        </w:tc>
        <w:tc>
          <w:tcPr>
            <w:tcW w:w="6945" w:type="dxa"/>
            <w:tcBorders>
              <w:top w:val="nil"/>
              <w:left w:val="nil"/>
              <w:bottom w:val="nil"/>
              <w:right w:val="nil"/>
            </w:tcBorders>
            <w:shd w:val="clear" w:color="auto" w:fill="auto"/>
          </w:tcPr>
          <w:p w14:paraId="4E8C1F3F" w14:textId="77777777" w:rsidR="00E9015E" w:rsidRPr="00F53C7A" w:rsidRDefault="00E9015E" w:rsidP="00C14E25">
            <w:pPr>
              <w:rPr>
                <w:rFonts w:ascii="Times New Roman" w:hAnsi="Times New Roman" w:cs="Times New Roman"/>
                <w:sz w:val="14"/>
                <w:szCs w:val="14"/>
              </w:rPr>
            </w:pPr>
            <w:r w:rsidRPr="00F53C7A">
              <w:rPr>
                <w:rFonts w:ascii="Times New Roman" w:hAnsi="Times New Roman" w:cs="Times New Roman"/>
                <w:sz w:val="14"/>
                <w:szCs w:val="14"/>
              </w:rPr>
              <w:t>In this relationship, both parties expect that any information that may help the other party will be provided to that party</w:t>
            </w:r>
          </w:p>
        </w:tc>
        <w:tc>
          <w:tcPr>
            <w:tcW w:w="709" w:type="dxa"/>
            <w:tcBorders>
              <w:top w:val="nil"/>
              <w:left w:val="nil"/>
              <w:bottom w:val="nil"/>
              <w:right w:val="nil"/>
            </w:tcBorders>
            <w:shd w:val="clear" w:color="auto" w:fill="auto"/>
            <w:vAlign w:val="center"/>
          </w:tcPr>
          <w:p w14:paraId="7097A10E"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3.37</w:t>
            </w:r>
          </w:p>
        </w:tc>
        <w:tc>
          <w:tcPr>
            <w:tcW w:w="709" w:type="dxa"/>
            <w:tcBorders>
              <w:top w:val="nil"/>
              <w:left w:val="nil"/>
              <w:bottom w:val="nil"/>
              <w:right w:val="nil"/>
            </w:tcBorders>
            <w:shd w:val="clear" w:color="auto" w:fill="auto"/>
            <w:vAlign w:val="center"/>
          </w:tcPr>
          <w:p w14:paraId="040A88E1"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.90</w:t>
            </w:r>
          </w:p>
        </w:tc>
        <w:tc>
          <w:tcPr>
            <w:tcW w:w="850" w:type="dxa"/>
            <w:tcBorders>
              <w:top w:val="nil"/>
              <w:left w:val="nil"/>
              <w:bottom w:val="nil"/>
              <w:right w:val="nil"/>
            </w:tcBorders>
            <w:shd w:val="clear" w:color="auto" w:fill="auto"/>
            <w:vAlign w:val="center"/>
          </w:tcPr>
          <w:p w14:paraId="2331DDB5"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eastAsia="Gulim" w:hAnsi="Times New Roman" w:cs="Times New Roman"/>
                <w:sz w:val="14"/>
                <w:szCs w:val="14"/>
              </w:rPr>
              <w:t>.686</w:t>
            </w:r>
          </w:p>
        </w:tc>
        <w:tc>
          <w:tcPr>
            <w:tcW w:w="709" w:type="dxa"/>
            <w:tcBorders>
              <w:top w:val="nil"/>
              <w:left w:val="nil"/>
              <w:bottom w:val="nil"/>
              <w:right w:val="nil"/>
            </w:tcBorders>
            <w:shd w:val="clear" w:color="auto" w:fill="auto"/>
            <w:vAlign w:val="center"/>
          </w:tcPr>
          <w:p w14:paraId="4B13248C"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4.356</w:t>
            </w:r>
          </w:p>
        </w:tc>
        <w:tc>
          <w:tcPr>
            <w:tcW w:w="992" w:type="dxa"/>
            <w:vMerge/>
            <w:tcBorders>
              <w:left w:val="nil"/>
              <w:right w:val="nil"/>
            </w:tcBorders>
            <w:shd w:val="clear" w:color="auto" w:fill="auto"/>
            <w:vAlign w:val="center"/>
          </w:tcPr>
          <w:p w14:paraId="386DE6C0" w14:textId="77777777" w:rsidR="00E9015E" w:rsidRPr="000673A6" w:rsidRDefault="00E9015E" w:rsidP="00C14E25">
            <w:pPr>
              <w:jc w:val="center"/>
              <w:rPr>
                <w:rFonts w:ascii="Times New Roman" w:hAnsi="Times New Roman" w:cs="Times New Roman"/>
                <w:sz w:val="14"/>
                <w:szCs w:val="14"/>
              </w:rPr>
            </w:pPr>
          </w:p>
        </w:tc>
        <w:tc>
          <w:tcPr>
            <w:tcW w:w="996" w:type="dxa"/>
            <w:vMerge/>
            <w:tcBorders>
              <w:left w:val="nil"/>
              <w:right w:val="nil"/>
            </w:tcBorders>
            <w:shd w:val="clear" w:color="auto" w:fill="auto"/>
            <w:vAlign w:val="center"/>
          </w:tcPr>
          <w:p w14:paraId="6B3A300F" w14:textId="77777777" w:rsidR="00E9015E" w:rsidRPr="000673A6" w:rsidRDefault="00E9015E" w:rsidP="00C14E25">
            <w:pPr>
              <w:jc w:val="center"/>
              <w:rPr>
                <w:rFonts w:ascii="Times New Roman" w:hAnsi="Times New Roman" w:cs="Times New Roman"/>
                <w:sz w:val="14"/>
                <w:szCs w:val="14"/>
              </w:rPr>
            </w:pPr>
          </w:p>
        </w:tc>
      </w:tr>
      <w:tr w:rsidR="00E9015E" w:rsidRPr="000673A6" w14:paraId="31026E73" w14:textId="77777777" w:rsidTr="00C14E25">
        <w:trPr>
          <w:trHeight w:val="20"/>
        </w:trPr>
        <w:tc>
          <w:tcPr>
            <w:tcW w:w="1526" w:type="dxa"/>
            <w:vMerge/>
            <w:tcBorders>
              <w:left w:val="nil"/>
              <w:right w:val="nil"/>
            </w:tcBorders>
            <w:shd w:val="clear" w:color="auto" w:fill="auto"/>
            <w:vAlign w:val="center"/>
          </w:tcPr>
          <w:p w14:paraId="27E779E7"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single" w:sz="4" w:space="0" w:color="auto"/>
              <w:right w:val="nil"/>
            </w:tcBorders>
            <w:shd w:val="clear" w:color="auto" w:fill="auto"/>
            <w:vAlign w:val="center"/>
          </w:tcPr>
          <w:p w14:paraId="763C4E1C" w14:textId="77777777" w:rsidR="00E9015E" w:rsidRPr="00F53C7A"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RG3</w:t>
            </w:r>
          </w:p>
        </w:tc>
        <w:tc>
          <w:tcPr>
            <w:tcW w:w="6945" w:type="dxa"/>
            <w:tcBorders>
              <w:top w:val="nil"/>
              <w:left w:val="nil"/>
              <w:bottom w:val="single" w:sz="4" w:space="0" w:color="auto"/>
              <w:right w:val="nil"/>
            </w:tcBorders>
            <w:shd w:val="clear" w:color="auto" w:fill="auto"/>
          </w:tcPr>
          <w:p w14:paraId="028D750C" w14:textId="77777777" w:rsidR="00E9015E" w:rsidRPr="00F53C7A" w:rsidRDefault="00E9015E" w:rsidP="00C14E25">
            <w:pPr>
              <w:rPr>
                <w:rFonts w:ascii="Times New Roman" w:hAnsi="Times New Roman" w:cs="Times New Roman"/>
                <w:sz w:val="14"/>
                <w:szCs w:val="14"/>
              </w:rPr>
            </w:pPr>
            <w:r w:rsidRPr="00F53C7A">
              <w:rPr>
                <w:rFonts w:ascii="Times New Roman" w:hAnsi="Times New Roman" w:cs="Times New Roman"/>
                <w:sz w:val="14"/>
                <w:szCs w:val="14"/>
              </w:rPr>
              <w:t>In this relationship, problems or conflicts are expected by both parties to be solved through joint consultations and discussions</w:t>
            </w:r>
          </w:p>
        </w:tc>
        <w:tc>
          <w:tcPr>
            <w:tcW w:w="709" w:type="dxa"/>
            <w:tcBorders>
              <w:top w:val="nil"/>
              <w:left w:val="nil"/>
              <w:bottom w:val="single" w:sz="4" w:space="0" w:color="auto"/>
              <w:right w:val="nil"/>
            </w:tcBorders>
            <w:shd w:val="clear" w:color="auto" w:fill="auto"/>
            <w:vAlign w:val="center"/>
          </w:tcPr>
          <w:p w14:paraId="07CFFDFE"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3.58</w:t>
            </w:r>
          </w:p>
        </w:tc>
        <w:tc>
          <w:tcPr>
            <w:tcW w:w="709" w:type="dxa"/>
            <w:tcBorders>
              <w:top w:val="nil"/>
              <w:left w:val="nil"/>
              <w:bottom w:val="single" w:sz="4" w:space="0" w:color="auto"/>
              <w:right w:val="nil"/>
            </w:tcBorders>
            <w:shd w:val="clear" w:color="auto" w:fill="auto"/>
            <w:vAlign w:val="center"/>
          </w:tcPr>
          <w:p w14:paraId="514FA854"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.87</w:t>
            </w:r>
          </w:p>
        </w:tc>
        <w:tc>
          <w:tcPr>
            <w:tcW w:w="850" w:type="dxa"/>
            <w:tcBorders>
              <w:top w:val="nil"/>
              <w:left w:val="nil"/>
              <w:bottom w:val="single" w:sz="4" w:space="0" w:color="auto"/>
              <w:right w:val="nil"/>
            </w:tcBorders>
            <w:shd w:val="clear" w:color="auto" w:fill="auto"/>
            <w:vAlign w:val="center"/>
          </w:tcPr>
          <w:p w14:paraId="77F9920B"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eastAsia="Gulim" w:hAnsi="Times New Roman" w:cs="Times New Roman"/>
                <w:sz w:val="14"/>
                <w:szCs w:val="14"/>
              </w:rPr>
              <w:t>.844</w:t>
            </w:r>
          </w:p>
        </w:tc>
        <w:tc>
          <w:tcPr>
            <w:tcW w:w="709" w:type="dxa"/>
            <w:tcBorders>
              <w:top w:val="nil"/>
              <w:left w:val="nil"/>
              <w:bottom w:val="single" w:sz="4" w:space="0" w:color="auto"/>
              <w:right w:val="nil"/>
            </w:tcBorders>
            <w:shd w:val="clear" w:color="auto" w:fill="auto"/>
            <w:vAlign w:val="center"/>
          </w:tcPr>
          <w:p w14:paraId="3C64A45C"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4.506</w:t>
            </w:r>
          </w:p>
        </w:tc>
        <w:tc>
          <w:tcPr>
            <w:tcW w:w="992" w:type="dxa"/>
            <w:vMerge/>
            <w:tcBorders>
              <w:left w:val="nil"/>
              <w:bottom w:val="single" w:sz="4" w:space="0" w:color="auto"/>
              <w:right w:val="nil"/>
            </w:tcBorders>
            <w:shd w:val="clear" w:color="auto" w:fill="auto"/>
            <w:vAlign w:val="center"/>
          </w:tcPr>
          <w:p w14:paraId="7C023AB4" w14:textId="77777777" w:rsidR="00E9015E" w:rsidRPr="000673A6" w:rsidRDefault="00E9015E" w:rsidP="00C14E25">
            <w:pPr>
              <w:jc w:val="center"/>
              <w:rPr>
                <w:rFonts w:ascii="Times New Roman" w:hAnsi="Times New Roman" w:cs="Times New Roman"/>
                <w:sz w:val="14"/>
                <w:szCs w:val="14"/>
              </w:rPr>
            </w:pPr>
          </w:p>
        </w:tc>
        <w:tc>
          <w:tcPr>
            <w:tcW w:w="996" w:type="dxa"/>
            <w:vMerge/>
            <w:tcBorders>
              <w:left w:val="nil"/>
              <w:bottom w:val="single" w:sz="4" w:space="0" w:color="auto"/>
              <w:right w:val="nil"/>
            </w:tcBorders>
            <w:shd w:val="clear" w:color="auto" w:fill="auto"/>
            <w:vAlign w:val="center"/>
          </w:tcPr>
          <w:p w14:paraId="7C93110F" w14:textId="77777777" w:rsidR="00E9015E" w:rsidRPr="000673A6" w:rsidRDefault="00E9015E" w:rsidP="00C14E25">
            <w:pPr>
              <w:jc w:val="center"/>
              <w:rPr>
                <w:rFonts w:ascii="Times New Roman" w:hAnsi="Times New Roman" w:cs="Times New Roman"/>
                <w:sz w:val="14"/>
                <w:szCs w:val="14"/>
              </w:rPr>
            </w:pPr>
          </w:p>
        </w:tc>
      </w:tr>
      <w:tr w:rsidR="00E9015E" w:rsidRPr="000673A6" w14:paraId="0E31751D" w14:textId="77777777" w:rsidTr="00C14E25">
        <w:trPr>
          <w:trHeight w:val="20"/>
        </w:trPr>
        <w:tc>
          <w:tcPr>
            <w:tcW w:w="1526" w:type="dxa"/>
            <w:vMerge w:val="restart"/>
            <w:tcBorders>
              <w:left w:val="nil"/>
              <w:right w:val="nil"/>
            </w:tcBorders>
            <w:shd w:val="clear" w:color="auto" w:fill="auto"/>
            <w:vAlign w:val="center"/>
          </w:tcPr>
          <w:p w14:paraId="45541150"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Contractual Governance</w:t>
            </w:r>
          </w:p>
          <w:p w14:paraId="4528F43E"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(CG)</w:t>
            </w:r>
          </w:p>
        </w:tc>
        <w:tc>
          <w:tcPr>
            <w:tcW w:w="709" w:type="dxa"/>
            <w:tcBorders>
              <w:top w:val="single" w:sz="4" w:space="0" w:color="auto"/>
              <w:left w:val="nil"/>
              <w:bottom w:val="nil"/>
              <w:right w:val="nil"/>
            </w:tcBorders>
            <w:shd w:val="clear" w:color="auto" w:fill="auto"/>
            <w:vAlign w:val="center"/>
          </w:tcPr>
          <w:p w14:paraId="4F2EC19E" w14:textId="77777777" w:rsidR="00E9015E" w:rsidRPr="00F53C7A" w:rsidRDefault="00E9015E" w:rsidP="00C14E25">
            <w:pPr>
              <w:spacing w:line="276" w:lineRule="auto"/>
              <w:jc w:val="center"/>
              <w:rPr>
                <w:rFonts w:ascii="Times New Roman" w:hAnsi="Times New Roman" w:cs="Times New Roman"/>
                <w:sz w:val="14"/>
                <w:szCs w:val="14"/>
              </w:rPr>
            </w:pPr>
          </w:p>
        </w:tc>
        <w:tc>
          <w:tcPr>
            <w:tcW w:w="6945" w:type="dxa"/>
            <w:tcBorders>
              <w:top w:val="single" w:sz="4" w:space="0" w:color="auto"/>
              <w:left w:val="nil"/>
              <w:bottom w:val="nil"/>
              <w:right w:val="nil"/>
            </w:tcBorders>
            <w:shd w:val="clear" w:color="auto" w:fill="auto"/>
          </w:tcPr>
          <w:p w14:paraId="4FC6B518" w14:textId="77777777" w:rsidR="00E9015E" w:rsidRPr="00F53C7A" w:rsidRDefault="00E9015E" w:rsidP="00C14E25">
            <w:pPr>
              <w:spacing w:line="276" w:lineRule="auto"/>
              <w:rPr>
                <w:rFonts w:ascii="Times New Roman" w:hAnsi="Times New Roman" w:cs="Times New Roman"/>
                <w:sz w:val="14"/>
                <w:szCs w:val="14"/>
              </w:rPr>
            </w:pPr>
            <w:r w:rsidRPr="00F53C7A">
              <w:rPr>
                <w:rFonts w:ascii="Times New Roman" w:hAnsi="Times New Roman" w:cs="Times New Roman"/>
                <w:i/>
                <w:iCs/>
                <w:sz w:val="14"/>
                <w:szCs w:val="14"/>
              </w:rPr>
              <w:t xml:space="preserve">Please indicate the degree to which you agree to the following statements concerning your company’s relationship with </w:t>
            </w:r>
            <w:r w:rsidRPr="00F53C7A">
              <w:rPr>
                <w:rFonts w:ascii="Times New Roman" w:hAnsi="Times New Roman" w:cs="Times New Roman"/>
                <w:i/>
                <w:iCs/>
                <w:color w:val="000000" w:themeColor="text1"/>
                <w:sz w:val="14"/>
                <w:szCs w:val="14"/>
              </w:rPr>
              <w:t>this major</w:t>
            </w:r>
            <w:r w:rsidRPr="00F53C7A">
              <w:rPr>
                <w:rFonts w:ascii="Times New Roman" w:hAnsi="Times New Roman" w:cs="Times New Roman"/>
                <w:i/>
                <w:iCs/>
                <w:sz w:val="14"/>
                <w:szCs w:val="14"/>
              </w:rPr>
              <w:t xml:space="preserve"> buyer firm (1=strongly disagree, 5= strongly agree):</w:t>
            </w:r>
          </w:p>
        </w:tc>
        <w:tc>
          <w:tcPr>
            <w:tcW w:w="709" w:type="dxa"/>
            <w:tcBorders>
              <w:top w:val="single" w:sz="4" w:space="0" w:color="auto"/>
              <w:left w:val="nil"/>
              <w:bottom w:val="nil"/>
              <w:right w:val="nil"/>
            </w:tcBorders>
            <w:shd w:val="clear" w:color="auto" w:fill="auto"/>
          </w:tcPr>
          <w:p w14:paraId="151E4CBD" w14:textId="77777777" w:rsidR="00E9015E" w:rsidRPr="00F53C7A" w:rsidRDefault="00E9015E" w:rsidP="00C14E25">
            <w:pPr>
              <w:spacing w:line="276" w:lineRule="auto"/>
              <w:jc w:val="center"/>
              <w:rPr>
                <w:rFonts w:ascii="Times New Roman" w:hAnsi="Times New Roman" w:cs="Times New Roman"/>
                <w:sz w:val="14"/>
                <w:szCs w:val="14"/>
              </w:rPr>
            </w:pPr>
          </w:p>
        </w:tc>
        <w:tc>
          <w:tcPr>
            <w:tcW w:w="709" w:type="dxa"/>
            <w:tcBorders>
              <w:top w:val="single" w:sz="4" w:space="0" w:color="auto"/>
              <w:left w:val="nil"/>
              <w:bottom w:val="nil"/>
              <w:right w:val="nil"/>
            </w:tcBorders>
            <w:shd w:val="clear" w:color="auto" w:fill="auto"/>
          </w:tcPr>
          <w:p w14:paraId="46729B2B" w14:textId="77777777" w:rsidR="00E9015E" w:rsidRPr="00F53C7A" w:rsidRDefault="00E9015E" w:rsidP="00C14E25">
            <w:pPr>
              <w:spacing w:line="276" w:lineRule="auto"/>
              <w:jc w:val="center"/>
              <w:rPr>
                <w:rFonts w:ascii="Times New Roman" w:hAnsi="Times New Roman" w:cs="Times New Roman"/>
                <w:sz w:val="14"/>
                <w:szCs w:val="14"/>
              </w:rPr>
            </w:pPr>
          </w:p>
        </w:tc>
        <w:tc>
          <w:tcPr>
            <w:tcW w:w="850" w:type="dxa"/>
            <w:tcBorders>
              <w:top w:val="single" w:sz="4" w:space="0" w:color="auto"/>
              <w:left w:val="nil"/>
              <w:bottom w:val="nil"/>
              <w:right w:val="nil"/>
            </w:tcBorders>
            <w:shd w:val="clear" w:color="auto" w:fill="auto"/>
          </w:tcPr>
          <w:p w14:paraId="35B7966A" w14:textId="77777777" w:rsidR="00E9015E" w:rsidRPr="00F53C7A" w:rsidRDefault="00E9015E" w:rsidP="00C14E25">
            <w:pPr>
              <w:spacing w:line="276" w:lineRule="auto"/>
              <w:jc w:val="center"/>
              <w:rPr>
                <w:rFonts w:ascii="Times New Roman" w:hAnsi="Times New Roman" w:cs="Times New Roman"/>
                <w:sz w:val="14"/>
                <w:szCs w:val="14"/>
              </w:rPr>
            </w:pPr>
          </w:p>
        </w:tc>
        <w:tc>
          <w:tcPr>
            <w:tcW w:w="709" w:type="dxa"/>
            <w:tcBorders>
              <w:top w:val="single" w:sz="4" w:space="0" w:color="auto"/>
              <w:left w:val="nil"/>
              <w:bottom w:val="nil"/>
              <w:right w:val="nil"/>
            </w:tcBorders>
            <w:shd w:val="clear" w:color="auto" w:fill="auto"/>
          </w:tcPr>
          <w:p w14:paraId="5F123985" w14:textId="77777777" w:rsidR="00E9015E" w:rsidRPr="00F53C7A" w:rsidRDefault="00E9015E" w:rsidP="00C14E25">
            <w:pPr>
              <w:spacing w:line="276" w:lineRule="auto"/>
              <w:jc w:val="center"/>
              <w:rPr>
                <w:rFonts w:ascii="Times New Roman" w:hAnsi="Times New Roman" w:cs="Times New Roman"/>
                <w:sz w:val="14"/>
                <w:szCs w:val="14"/>
              </w:rPr>
            </w:pPr>
          </w:p>
        </w:tc>
        <w:tc>
          <w:tcPr>
            <w:tcW w:w="992" w:type="dxa"/>
            <w:tcBorders>
              <w:left w:val="nil"/>
              <w:bottom w:val="nil"/>
              <w:right w:val="nil"/>
            </w:tcBorders>
            <w:shd w:val="clear" w:color="auto" w:fill="auto"/>
            <w:vAlign w:val="center"/>
          </w:tcPr>
          <w:p w14:paraId="59359B6D" w14:textId="77777777" w:rsidR="00E9015E" w:rsidRPr="000673A6" w:rsidRDefault="00E9015E" w:rsidP="00C14E25">
            <w:pPr>
              <w:jc w:val="center"/>
              <w:rPr>
                <w:rFonts w:ascii="Times New Roman" w:hAnsi="Times New Roman" w:cs="Times New Roman"/>
                <w:sz w:val="14"/>
                <w:szCs w:val="14"/>
              </w:rPr>
            </w:pPr>
          </w:p>
        </w:tc>
        <w:tc>
          <w:tcPr>
            <w:tcW w:w="996" w:type="dxa"/>
            <w:tcBorders>
              <w:left w:val="nil"/>
              <w:bottom w:val="nil"/>
              <w:right w:val="nil"/>
            </w:tcBorders>
            <w:shd w:val="clear" w:color="auto" w:fill="auto"/>
            <w:vAlign w:val="center"/>
          </w:tcPr>
          <w:p w14:paraId="789884F4" w14:textId="77777777" w:rsidR="00E9015E" w:rsidRPr="000673A6" w:rsidRDefault="00E9015E" w:rsidP="00C14E25">
            <w:pPr>
              <w:jc w:val="center"/>
              <w:rPr>
                <w:rFonts w:ascii="Times New Roman" w:hAnsi="Times New Roman" w:cs="Times New Roman"/>
                <w:sz w:val="14"/>
                <w:szCs w:val="14"/>
              </w:rPr>
            </w:pPr>
          </w:p>
        </w:tc>
      </w:tr>
      <w:tr w:rsidR="00E9015E" w:rsidRPr="000673A6" w14:paraId="7AA96FFB" w14:textId="77777777" w:rsidTr="00C14E25">
        <w:trPr>
          <w:trHeight w:val="20"/>
        </w:trPr>
        <w:tc>
          <w:tcPr>
            <w:tcW w:w="1526" w:type="dxa"/>
            <w:vMerge/>
            <w:tcBorders>
              <w:left w:val="nil"/>
              <w:right w:val="nil"/>
            </w:tcBorders>
            <w:shd w:val="clear" w:color="auto" w:fill="auto"/>
            <w:vAlign w:val="center"/>
          </w:tcPr>
          <w:p w14:paraId="1A667F60"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6931554C" w14:textId="77777777" w:rsidR="00E9015E" w:rsidRPr="00F53C7A"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CG1</w:t>
            </w:r>
          </w:p>
        </w:tc>
        <w:tc>
          <w:tcPr>
            <w:tcW w:w="6945" w:type="dxa"/>
            <w:tcBorders>
              <w:top w:val="nil"/>
              <w:left w:val="nil"/>
              <w:bottom w:val="nil"/>
              <w:right w:val="nil"/>
            </w:tcBorders>
            <w:shd w:val="clear" w:color="auto" w:fill="auto"/>
          </w:tcPr>
          <w:p w14:paraId="24A23321" w14:textId="77777777" w:rsidR="00E9015E" w:rsidRPr="00F53C7A" w:rsidRDefault="00E9015E" w:rsidP="00C14E25">
            <w:pPr>
              <w:rPr>
                <w:rFonts w:ascii="Times New Roman" w:hAnsi="Times New Roman" w:cs="Times New Roman"/>
                <w:sz w:val="14"/>
                <w:szCs w:val="14"/>
              </w:rPr>
            </w:pPr>
            <w:r w:rsidRPr="00F53C7A">
              <w:rPr>
                <w:rFonts w:ascii="Times New Roman" w:hAnsi="Times New Roman" w:cs="Times New Roman"/>
                <w:sz w:val="14"/>
                <w:szCs w:val="14"/>
              </w:rPr>
              <w:t>We have customized agreements that detail the obligations of both parties</w:t>
            </w:r>
          </w:p>
        </w:tc>
        <w:tc>
          <w:tcPr>
            <w:tcW w:w="709" w:type="dxa"/>
            <w:tcBorders>
              <w:top w:val="nil"/>
              <w:left w:val="nil"/>
              <w:bottom w:val="nil"/>
              <w:right w:val="nil"/>
            </w:tcBorders>
            <w:shd w:val="clear" w:color="auto" w:fill="auto"/>
            <w:vAlign w:val="center"/>
          </w:tcPr>
          <w:p w14:paraId="7D904FC0"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4.01</w:t>
            </w:r>
          </w:p>
        </w:tc>
        <w:tc>
          <w:tcPr>
            <w:tcW w:w="709" w:type="dxa"/>
            <w:tcBorders>
              <w:top w:val="nil"/>
              <w:left w:val="nil"/>
              <w:bottom w:val="nil"/>
              <w:right w:val="nil"/>
            </w:tcBorders>
            <w:shd w:val="clear" w:color="auto" w:fill="auto"/>
            <w:vAlign w:val="center"/>
          </w:tcPr>
          <w:p w14:paraId="245085FE"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.90</w:t>
            </w:r>
          </w:p>
        </w:tc>
        <w:tc>
          <w:tcPr>
            <w:tcW w:w="850" w:type="dxa"/>
            <w:tcBorders>
              <w:top w:val="nil"/>
              <w:left w:val="nil"/>
              <w:bottom w:val="nil"/>
              <w:right w:val="nil"/>
            </w:tcBorders>
            <w:shd w:val="clear" w:color="auto" w:fill="auto"/>
            <w:vAlign w:val="center"/>
          </w:tcPr>
          <w:p w14:paraId="403123E3"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.835</w:t>
            </w:r>
          </w:p>
        </w:tc>
        <w:tc>
          <w:tcPr>
            <w:tcW w:w="709" w:type="dxa"/>
            <w:tcBorders>
              <w:top w:val="nil"/>
              <w:left w:val="nil"/>
              <w:bottom w:val="nil"/>
              <w:right w:val="nil"/>
            </w:tcBorders>
            <w:shd w:val="clear" w:color="auto" w:fill="auto"/>
            <w:vAlign w:val="center"/>
          </w:tcPr>
          <w:p w14:paraId="383A814C"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w:t>
            </w:r>
          </w:p>
        </w:tc>
        <w:tc>
          <w:tcPr>
            <w:tcW w:w="992" w:type="dxa"/>
            <w:vMerge w:val="restart"/>
            <w:tcBorders>
              <w:top w:val="nil"/>
              <w:left w:val="nil"/>
              <w:right w:val="nil"/>
            </w:tcBorders>
            <w:shd w:val="clear" w:color="auto" w:fill="auto"/>
            <w:vAlign w:val="center"/>
          </w:tcPr>
          <w:p w14:paraId="377F258A"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.866</w:t>
            </w:r>
          </w:p>
        </w:tc>
        <w:tc>
          <w:tcPr>
            <w:tcW w:w="996" w:type="dxa"/>
            <w:vMerge w:val="restart"/>
            <w:tcBorders>
              <w:top w:val="nil"/>
              <w:left w:val="nil"/>
              <w:right w:val="nil"/>
            </w:tcBorders>
            <w:shd w:val="clear" w:color="auto" w:fill="auto"/>
            <w:vAlign w:val="center"/>
          </w:tcPr>
          <w:p w14:paraId="23CFEC50" w14:textId="77777777" w:rsidR="00E9015E" w:rsidRPr="00F53C7A" w:rsidRDefault="00E9015E" w:rsidP="00C14E25">
            <w:pPr>
              <w:spacing w:line="276" w:lineRule="auto"/>
              <w:jc w:val="center"/>
              <w:rPr>
                <w:rFonts w:ascii="Times New Roman" w:hAnsi="Times New Roman" w:cs="Times New Roman"/>
                <w:sz w:val="14"/>
                <w:szCs w:val="14"/>
              </w:rPr>
            </w:pPr>
            <w:r w:rsidRPr="00F53C7A">
              <w:rPr>
                <w:rFonts w:ascii="Times New Roman" w:hAnsi="Times New Roman" w:cs="Times New Roman"/>
                <w:sz w:val="14"/>
                <w:szCs w:val="14"/>
              </w:rPr>
              <w:t>.867</w:t>
            </w:r>
          </w:p>
        </w:tc>
      </w:tr>
      <w:tr w:rsidR="00E9015E" w:rsidRPr="000673A6" w14:paraId="2151CBB9" w14:textId="77777777" w:rsidTr="00C14E25">
        <w:trPr>
          <w:trHeight w:val="20"/>
        </w:trPr>
        <w:tc>
          <w:tcPr>
            <w:tcW w:w="1526" w:type="dxa"/>
            <w:vMerge/>
            <w:tcBorders>
              <w:left w:val="nil"/>
              <w:right w:val="nil"/>
            </w:tcBorders>
            <w:shd w:val="clear" w:color="auto" w:fill="auto"/>
            <w:vAlign w:val="center"/>
          </w:tcPr>
          <w:p w14:paraId="5139F5DB"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3799AE32" w14:textId="77777777" w:rsidR="00E9015E" w:rsidRPr="00F53C7A"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CG2</w:t>
            </w:r>
          </w:p>
        </w:tc>
        <w:tc>
          <w:tcPr>
            <w:tcW w:w="6945" w:type="dxa"/>
            <w:tcBorders>
              <w:top w:val="nil"/>
              <w:left w:val="nil"/>
              <w:bottom w:val="nil"/>
              <w:right w:val="nil"/>
            </w:tcBorders>
            <w:shd w:val="clear" w:color="auto" w:fill="auto"/>
          </w:tcPr>
          <w:p w14:paraId="1DBC93A0" w14:textId="77777777" w:rsidR="00E9015E" w:rsidRPr="00F53C7A" w:rsidRDefault="00E9015E" w:rsidP="00C14E25">
            <w:pPr>
              <w:rPr>
                <w:rFonts w:ascii="Times New Roman" w:hAnsi="Times New Roman" w:cs="Times New Roman"/>
                <w:sz w:val="14"/>
                <w:szCs w:val="14"/>
              </w:rPr>
            </w:pPr>
            <w:r w:rsidRPr="00F53C7A">
              <w:rPr>
                <w:rFonts w:ascii="Times New Roman" w:hAnsi="Times New Roman" w:cs="Times New Roman"/>
                <w:sz w:val="14"/>
                <w:szCs w:val="14"/>
              </w:rPr>
              <w:t>We have detailed contractual agreements specifically designed with this major buyer firm</w:t>
            </w:r>
          </w:p>
        </w:tc>
        <w:tc>
          <w:tcPr>
            <w:tcW w:w="709" w:type="dxa"/>
            <w:tcBorders>
              <w:top w:val="nil"/>
              <w:left w:val="nil"/>
              <w:bottom w:val="nil"/>
              <w:right w:val="nil"/>
            </w:tcBorders>
            <w:shd w:val="clear" w:color="auto" w:fill="auto"/>
            <w:vAlign w:val="center"/>
          </w:tcPr>
          <w:p w14:paraId="66782455"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3.90</w:t>
            </w:r>
          </w:p>
        </w:tc>
        <w:tc>
          <w:tcPr>
            <w:tcW w:w="709" w:type="dxa"/>
            <w:tcBorders>
              <w:top w:val="nil"/>
              <w:left w:val="nil"/>
              <w:bottom w:val="nil"/>
              <w:right w:val="nil"/>
            </w:tcBorders>
            <w:shd w:val="clear" w:color="auto" w:fill="auto"/>
            <w:vAlign w:val="center"/>
          </w:tcPr>
          <w:p w14:paraId="2A16CE76"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.96</w:t>
            </w:r>
          </w:p>
        </w:tc>
        <w:tc>
          <w:tcPr>
            <w:tcW w:w="850" w:type="dxa"/>
            <w:tcBorders>
              <w:top w:val="nil"/>
              <w:left w:val="nil"/>
              <w:bottom w:val="nil"/>
              <w:right w:val="nil"/>
            </w:tcBorders>
            <w:shd w:val="clear" w:color="auto" w:fill="auto"/>
            <w:vAlign w:val="center"/>
          </w:tcPr>
          <w:p w14:paraId="47FB48D4"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.836</w:t>
            </w:r>
          </w:p>
        </w:tc>
        <w:tc>
          <w:tcPr>
            <w:tcW w:w="709" w:type="dxa"/>
            <w:tcBorders>
              <w:top w:val="nil"/>
              <w:left w:val="nil"/>
              <w:bottom w:val="nil"/>
              <w:right w:val="nil"/>
            </w:tcBorders>
            <w:shd w:val="clear" w:color="auto" w:fill="auto"/>
            <w:vAlign w:val="center"/>
          </w:tcPr>
          <w:p w14:paraId="0E25BD31"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9.923</w:t>
            </w:r>
          </w:p>
        </w:tc>
        <w:tc>
          <w:tcPr>
            <w:tcW w:w="992" w:type="dxa"/>
            <w:vMerge/>
            <w:tcBorders>
              <w:top w:val="nil"/>
              <w:left w:val="nil"/>
              <w:right w:val="nil"/>
            </w:tcBorders>
            <w:shd w:val="clear" w:color="auto" w:fill="auto"/>
            <w:vAlign w:val="center"/>
          </w:tcPr>
          <w:p w14:paraId="58D7C1EA" w14:textId="77777777" w:rsidR="00E9015E" w:rsidRPr="000673A6" w:rsidRDefault="00E9015E" w:rsidP="00C14E25">
            <w:pPr>
              <w:jc w:val="center"/>
              <w:rPr>
                <w:rFonts w:ascii="Times New Roman" w:hAnsi="Times New Roman" w:cs="Times New Roman"/>
                <w:sz w:val="14"/>
                <w:szCs w:val="14"/>
              </w:rPr>
            </w:pPr>
          </w:p>
        </w:tc>
        <w:tc>
          <w:tcPr>
            <w:tcW w:w="996" w:type="dxa"/>
            <w:vMerge/>
            <w:tcBorders>
              <w:top w:val="nil"/>
              <w:left w:val="nil"/>
              <w:right w:val="nil"/>
            </w:tcBorders>
            <w:shd w:val="clear" w:color="auto" w:fill="auto"/>
            <w:vAlign w:val="center"/>
          </w:tcPr>
          <w:p w14:paraId="683701ED" w14:textId="77777777" w:rsidR="00E9015E" w:rsidRPr="000673A6" w:rsidRDefault="00E9015E" w:rsidP="00C14E25">
            <w:pPr>
              <w:jc w:val="center"/>
              <w:rPr>
                <w:rFonts w:ascii="Times New Roman" w:hAnsi="Times New Roman" w:cs="Times New Roman"/>
                <w:sz w:val="14"/>
                <w:szCs w:val="14"/>
              </w:rPr>
            </w:pPr>
          </w:p>
        </w:tc>
      </w:tr>
      <w:tr w:rsidR="00E9015E" w:rsidRPr="000673A6" w14:paraId="7708A8A6" w14:textId="77777777" w:rsidTr="00C14E25">
        <w:trPr>
          <w:trHeight w:val="20"/>
        </w:trPr>
        <w:tc>
          <w:tcPr>
            <w:tcW w:w="1526" w:type="dxa"/>
            <w:vMerge/>
            <w:tcBorders>
              <w:left w:val="nil"/>
              <w:right w:val="nil"/>
            </w:tcBorders>
            <w:shd w:val="clear" w:color="auto" w:fill="auto"/>
            <w:vAlign w:val="center"/>
          </w:tcPr>
          <w:p w14:paraId="5A013DE4"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single" w:sz="4" w:space="0" w:color="auto"/>
              <w:right w:val="nil"/>
            </w:tcBorders>
            <w:shd w:val="clear" w:color="auto" w:fill="auto"/>
            <w:vAlign w:val="center"/>
          </w:tcPr>
          <w:p w14:paraId="7CB02AD1" w14:textId="77777777" w:rsidR="00E9015E" w:rsidRPr="00F53C7A"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CG3</w:t>
            </w:r>
          </w:p>
        </w:tc>
        <w:tc>
          <w:tcPr>
            <w:tcW w:w="6945" w:type="dxa"/>
            <w:tcBorders>
              <w:top w:val="nil"/>
              <w:left w:val="nil"/>
              <w:bottom w:val="single" w:sz="4" w:space="0" w:color="auto"/>
              <w:right w:val="nil"/>
            </w:tcBorders>
            <w:shd w:val="clear" w:color="auto" w:fill="auto"/>
          </w:tcPr>
          <w:p w14:paraId="0D678FB6" w14:textId="77777777" w:rsidR="00E9015E" w:rsidRPr="00F53C7A" w:rsidRDefault="00E9015E" w:rsidP="00C14E25">
            <w:pPr>
              <w:rPr>
                <w:rFonts w:ascii="Times New Roman" w:hAnsi="Times New Roman" w:cs="Times New Roman"/>
                <w:sz w:val="14"/>
                <w:szCs w:val="14"/>
              </w:rPr>
            </w:pPr>
            <w:r w:rsidRPr="00F53C7A">
              <w:rPr>
                <w:rFonts w:ascii="Times New Roman" w:hAnsi="Times New Roman" w:cs="Times New Roman"/>
                <w:sz w:val="14"/>
                <w:szCs w:val="14"/>
              </w:rPr>
              <w:t>Most aspects of our relationship are specified in the contract</w:t>
            </w:r>
          </w:p>
        </w:tc>
        <w:tc>
          <w:tcPr>
            <w:tcW w:w="709" w:type="dxa"/>
            <w:tcBorders>
              <w:top w:val="nil"/>
              <w:left w:val="nil"/>
              <w:bottom w:val="single" w:sz="4" w:space="0" w:color="auto"/>
              <w:right w:val="nil"/>
            </w:tcBorders>
            <w:shd w:val="clear" w:color="auto" w:fill="auto"/>
            <w:vAlign w:val="center"/>
          </w:tcPr>
          <w:p w14:paraId="5900EF4A"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4.02</w:t>
            </w:r>
          </w:p>
        </w:tc>
        <w:tc>
          <w:tcPr>
            <w:tcW w:w="709" w:type="dxa"/>
            <w:tcBorders>
              <w:top w:val="nil"/>
              <w:left w:val="nil"/>
              <w:bottom w:val="single" w:sz="4" w:space="0" w:color="auto"/>
              <w:right w:val="nil"/>
            </w:tcBorders>
            <w:shd w:val="clear" w:color="auto" w:fill="auto"/>
            <w:vAlign w:val="center"/>
          </w:tcPr>
          <w:p w14:paraId="13E8D03D" w14:textId="77777777" w:rsidR="00E9015E" w:rsidRPr="00F53C7A" w:rsidRDefault="00E9015E" w:rsidP="00C14E25">
            <w:pPr>
              <w:spacing w:line="276" w:lineRule="auto"/>
              <w:jc w:val="center"/>
              <w:rPr>
                <w:rFonts w:ascii="Times New Roman" w:eastAsia="Gulim" w:hAnsi="Times New Roman" w:cs="Times New Roman"/>
                <w:sz w:val="14"/>
                <w:szCs w:val="14"/>
              </w:rPr>
            </w:pPr>
            <w:r w:rsidRPr="00F53C7A">
              <w:rPr>
                <w:rFonts w:ascii="Times New Roman" w:hAnsi="Times New Roman" w:cs="Times New Roman"/>
                <w:sz w:val="14"/>
                <w:szCs w:val="14"/>
              </w:rPr>
              <w:t>.86</w:t>
            </w:r>
          </w:p>
        </w:tc>
        <w:tc>
          <w:tcPr>
            <w:tcW w:w="850" w:type="dxa"/>
            <w:tcBorders>
              <w:top w:val="nil"/>
              <w:left w:val="nil"/>
              <w:bottom w:val="single" w:sz="4" w:space="0" w:color="auto"/>
              <w:right w:val="nil"/>
            </w:tcBorders>
            <w:shd w:val="clear" w:color="auto" w:fill="auto"/>
            <w:vAlign w:val="center"/>
          </w:tcPr>
          <w:p w14:paraId="65896C48"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.812</w:t>
            </w:r>
          </w:p>
        </w:tc>
        <w:tc>
          <w:tcPr>
            <w:tcW w:w="709" w:type="dxa"/>
            <w:tcBorders>
              <w:top w:val="nil"/>
              <w:left w:val="nil"/>
              <w:bottom w:val="single" w:sz="4" w:space="0" w:color="auto"/>
              <w:right w:val="nil"/>
            </w:tcBorders>
            <w:shd w:val="clear" w:color="auto" w:fill="auto"/>
            <w:vAlign w:val="center"/>
          </w:tcPr>
          <w:p w14:paraId="640BE1DE" w14:textId="77777777" w:rsidR="00E9015E" w:rsidRPr="00F53C7A" w:rsidRDefault="00E9015E" w:rsidP="00C14E25">
            <w:pPr>
              <w:spacing w:line="276" w:lineRule="auto"/>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9.698</w:t>
            </w:r>
          </w:p>
        </w:tc>
        <w:tc>
          <w:tcPr>
            <w:tcW w:w="992" w:type="dxa"/>
            <w:vMerge/>
            <w:tcBorders>
              <w:top w:val="nil"/>
              <w:left w:val="nil"/>
              <w:bottom w:val="single" w:sz="4" w:space="0" w:color="auto"/>
              <w:right w:val="nil"/>
            </w:tcBorders>
            <w:shd w:val="clear" w:color="auto" w:fill="auto"/>
            <w:vAlign w:val="center"/>
          </w:tcPr>
          <w:p w14:paraId="36E4E814" w14:textId="77777777" w:rsidR="00E9015E" w:rsidRPr="000673A6" w:rsidRDefault="00E9015E" w:rsidP="00C14E25">
            <w:pPr>
              <w:jc w:val="center"/>
              <w:rPr>
                <w:rFonts w:ascii="Times New Roman" w:hAnsi="Times New Roman" w:cs="Times New Roman"/>
                <w:sz w:val="14"/>
                <w:szCs w:val="14"/>
              </w:rPr>
            </w:pPr>
          </w:p>
        </w:tc>
        <w:tc>
          <w:tcPr>
            <w:tcW w:w="996" w:type="dxa"/>
            <w:vMerge/>
            <w:tcBorders>
              <w:top w:val="nil"/>
              <w:left w:val="nil"/>
              <w:bottom w:val="single" w:sz="4" w:space="0" w:color="auto"/>
              <w:right w:val="nil"/>
            </w:tcBorders>
            <w:shd w:val="clear" w:color="auto" w:fill="auto"/>
            <w:vAlign w:val="center"/>
          </w:tcPr>
          <w:p w14:paraId="06A8065C" w14:textId="77777777" w:rsidR="00E9015E" w:rsidRPr="000673A6" w:rsidRDefault="00E9015E" w:rsidP="00C14E25">
            <w:pPr>
              <w:jc w:val="center"/>
              <w:rPr>
                <w:rFonts w:ascii="Times New Roman" w:hAnsi="Times New Roman" w:cs="Times New Roman"/>
                <w:sz w:val="14"/>
                <w:szCs w:val="14"/>
              </w:rPr>
            </w:pPr>
          </w:p>
        </w:tc>
      </w:tr>
      <w:tr w:rsidR="00E9015E" w:rsidRPr="000673A6" w14:paraId="5CED5814" w14:textId="77777777" w:rsidTr="00C14E25">
        <w:trPr>
          <w:trHeight w:val="20"/>
        </w:trPr>
        <w:tc>
          <w:tcPr>
            <w:tcW w:w="1526" w:type="dxa"/>
            <w:vMerge w:val="restart"/>
            <w:tcBorders>
              <w:left w:val="nil"/>
              <w:right w:val="nil"/>
            </w:tcBorders>
            <w:shd w:val="clear" w:color="auto" w:fill="auto"/>
            <w:vAlign w:val="center"/>
          </w:tcPr>
          <w:p w14:paraId="223ACF1C" w14:textId="77777777" w:rsidR="00E9015E" w:rsidRPr="00DC5F32" w:rsidRDefault="00E9015E" w:rsidP="00C14E25">
            <w:pPr>
              <w:spacing w:line="276" w:lineRule="auto"/>
              <w:jc w:val="center"/>
              <w:rPr>
                <w:rFonts w:ascii="Times New Roman" w:hAnsi="Times New Roman" w:cs="Times New Roman"/>
                <w:sz w:val="14"/>
                <w:szCs w:val="14"/>
              </w:rPr>
            </w:pPr>
            <w:r w:rsidRPr="00DC5F32">
              <w:rPr>
                <w:rFonts w:ascii="Times New Roman" w:hAnsi="Times New Roman" w:cs="Times New Roman"/>
                <w:sz w:val="14"/>
                <w:szCs w:val="14"/>
              </w:rPr>
              <w:t>Buyer’s Opportunis</w:t>
            </w:r>
            <w:r>
              <w:rPr>
                <w:rFonts w:ascii="Times New Roman" w:hAnsi="Times New Roman" w:cs="Times New Roman"/>
                <w:sz w:val="14"/>
                <w:szCs w:val="14"/>
              </w:rPr>
              <w:t>m</w:t>
            </w:r>
          </w:p>
          <w:p w14:paraId="452820BD" w14:textId="77777777" w:rsidR="00E9015E" w:rsidRPr="00EA1A58" w:rsidRDefault="00E9015E" w:rsidP="00C14E25">
            <w:pPr>
              <w:jc w:val="center"/>
              <w:rPr>
                <w:rFonts w:ascii="Times New Roman" w:hAnsi="Times New Roman" w:cs="Times New Roman"/>
                <w:sz w:val="14"/>
                <w:szCs w:val="14"/>
              </w:rPr>
            </w:pPr>
            <w:r w:rsidRPr="00DC5F32">
              <w:rPr>
                <w:rFonts w:ascii="Times New Roman" w:hAnsi="Times New Roman" w:cs="Times New Roman"/>
                <w:sz w:val="14"/>
                <w:szCs w:val="14"/>
              </w:rPr>
              <w:t>(OPT)</w:t>
            </w:r>
          </w:p>
        </w:tc>
        <w:tc>
          <w:tcPr>
            <w:tcW w:w="709" w:type="dxa"/>
            <w:tcBorders>
              <w:top w:val="single" w:sz="4" w:space="0" w:color="auto"/>
              <w:left w:val="nil"/>
              <w:bottom w:val="nil"/>
              <w:right w:val="nil"/>
            </w:tcBorders>
            <w:shd w:val="clear" w:color="auto" w:fill="auto"/>
            <w:vAlign w:val="center"/>
          </w:tcPr>
          <w:p w14:paraId="2F7CDC03" w14:textId="77777777" w:rsidR="00E9015E" w:rsidRPr="00F53C7A" w:rsidRDefault="00E9015E" w:rsidP="00C14E25">
            <w:pPr>
              <w:jc w:val="center"/>
              <w:rPr>
                <w:rFonts w:ascii="Times New Roman" w:hAnsi="Times New Roman" w:cs="Times New Roman"/>
                <w:sz w:val="14"/>
                <w:szCs w:val="14"/>
              </w:rPr>
            </w:pPr>
          </w:p>
        </w:tc>
        <w:tc>
          <w:tcPr>
            <w:tcW w:w="6945" w:type="dxa"/>
            <w:tcBorders>
              <w:top w:val="single" w:sz="4" w:space="0" w:color="auto"/>
              <w:left w:val="nil"/>
              <w:bottom w:val="nil"/>
              <w:right w:val="nil"/>
            </w:tcBorders>
            <w:shd w:val="clear" w:color="auto" w:fill="auto"/>
          </w:tcPr>
          <w:p w14:paraId="64112166" w14:textId="77777777" w:rsidR="00E9015E" w:rsidRPr="00F53C7A" w:rsidRDefault="00E9015E" w:rsidP="00C14E25">
            <w:pPr>
              <w:rPr>
                <w:rFonts w:ascii="Times New Roman" w:hAnsi="Times New Roman" w:cs="Times New Roman"/>
                <w:sz w:val="14"/>
                <w:szCs w:val="14"/>
              </w:rPr>
            </w:pPr>
            <w:r w:rsidRPr="009516A1">
              <w:rPr>
                <w:rFonts w:ascii="Times New Roman" w:hAnsi="Times New Roman" w:cs="Times New Roman"/>
                <w:i/>
                <w:iCs/>
                <w:sz w:val="14"/>
                <w:szCs w:val="14"/>
              </w:rPr>
              <w:t>Please indicate the degree to which you agree to the following statements concerning your major buyer firm’s opportunism in relationship with your company (1=strongly disagree, 5= strongly agree):</w:t>
            </w:r>
          </w:p>
        </w:tc>
        <w:tc>
          <w:tcPr>
            <w:tcW w:w="709" w:type="dxa"/>
            <w:tcBorders>
              <w:top w:val="single" w:sz="4" w:space="0" w:color="auto"/>
              <w:left w:val="nil"/>
              <w:bottom w:val="nil"/>
              <w:right w:val="nil"/>
            </w:tcBorders>
            <w:shd w:val="clear" w:color="auto" w:fill="auto"/>
            <w:vAlign w:val="center"/>
          </w:tcPr>
          <w:p w14:paraId="003B3CBF" w14:textId="77777777" w:rsidR="00E9015E" w:rsidRPr="00F53C7A" w:rsidRDefault="00E9015E" w:rsidP="00C14E25">
            <w:pPr>
              <w:jc w:val="center"/>
              <w:rPr>
                <w:rFonts w:ascii="Times New Roman" w:hAnsi="Times New Roman" w:cs="Times New Roman"/>
                <w:sz w:val="14"/>
                <w:szCs w:val="14"/>
              </w:rPr>
            </w:pPr>
          </w:p>
        </w:tc>
        <w:tc>
          <w:tcPr>
            <w:tcW w:w="709" w:type="dxa"/>
            <w:tcBorders>
              <w:top w:val="single" w:sz="4" w:space="0" w:color="auto"/>
              <w:left w:val="nil"/>
              <w:bottom w:val="nil"/>
              <w:right w:val="nil"/>
            </w:tcBorders>
            <w:shd w:val="clear" w:color="auto" w:fill="auto"/>
            <w:vAlign w:val="center"/>
          </w:tcPr>
          <w:p w14:paraId="7B961412" w14:textId="77777777" w:rsidR="00E9015E" w:rsidRPr="00F53C7A" w:rsidRDefault="00E9015E" w:rsidP="00C14E25">
            <w:pPr>
              <w:jc w:val="center"/>
              <w:rPr>
                <w:rFonts w:ascii="Times New Roman" w:hAnsi="Times New Roman" w:cs="Times New Roman"/>
                <w:sz w:val="14"/>
                <w:szCs w:val="14"/>
              </w:rPr>
            </w:pPr>
          </w:p>
        </w:tc>
        <w:tc>
          <w:tcPr>
            <w:tcW w:w="850" w:type="dxa"/>
            <w:tcBorders>
              <w:top w:val="single" w:sz="4" w:space="0" w:color="auto"/>
              <w:left w:val="nil"/>
              <w:bottom w:val="nil"/>
              <w:right w:val="nil"/>
            </w:tcBorders>
            <w:shd w:val="clear" w:color="auto" w:fill="auto"/>
            <w:vAlign w:val="center"/>
          </w:tcPr>
          <w:p w14:paraId="478CE895" w14:textId="77777777" w:rsidR="00E9015E" w:rsidRPr="00F53C7A" w:rsidRDefault="00E9015E" w:rsidP="00C14E25">
            <w:pPr>
              <w:jc w:val="center"/>
              <w:rPr>
                <w:rFonts w:ascii="Times New Roman" w:eastAsia="Malgun Gothic" w:hAnsi="Times New Roman" w:cs="Times New Roman"/>
                <w:sz w:val="14"/>
                <w:szCs w:val="14"/>
              </w:rPr>
            </w:pPr>
          </w:p>
        </w:tc>
        <w:tc>
          <w:tcPr>
            <w:tcW w:w="709" w:type="dxa"/>
            <w:tcBorders>
              <w:top w:val="single" w:sz="4" w:space="0" w:color="auto"/>
              <w:left w:val="nil"/>
              <w:bottom w:val="nil"/>
              <w:right w:val="nil"/>
            </w:tcBorders>
            <w:shd w:val="clear" w:color="auto" w:fill="auto"/>
            <w:vAlign w:val="center"/>
          </w:tcPr>
          <w:p w14:paraId="03C36F87" w14:textId="77777777" w:rsidR="00E9015E" w:rsidRPr="00F53C7A" w:rsidRDefault="00E9015E" w:rsidP="00C14E25">
            <w:pPr>
              <w:jc w:val="center"/>
              <w:rPr>
                <w:rFonts w:ascii="Times New Roman" w:eastAsia="Malgun Gothic" w:hAnsi="Times New Roman" w:cs="Times New Roman"/>
                <w:sz w:val="14"/>
                <w:szCs w:val="14"/>
              </w:rPr>
            </w:pPr>
          </w:p>
        </w:tc>
        <w:tc>
          <w:tcPr>
            <w:tcW w:w="992" w:type="dxa"/>
            <w:tcBorders>
              <w:top w:val="single" w:sz="4" w:space="0" w:color="auto"/>
              <w:left w:val="nil"/>
              <w:bottom w:val="nil"/>
              <w:right w:val="nil"/>
            </w:tcBorders>
            <w:shd w:val="clear" w:color="auto" w:fill="auto"/>
            <w:vAlign w:val="center"/>
          </w:tcPr>
          <w:p w14:paraId="7B9A47E2" w14:textId="77777777" w:rsidR="00E9015E" w:rsidRPr="000673A6" w:rsidRDefault="00E9015E" w:rsidP="00C14E25">
            <w:pPr>
              <w:jc w:val="center"/>
              <w:rPr>
                <w:rFonts w:ascii="Times New Roman" w:hAnsi="Times New Roman" w:cs="Times New Roman"/>
                <w:sz w:val="14"/>
                <w:szCs w:val="14"/>
              </w:rPr>
            </w:pPr>
          </w:p>
        </w:tc>
        <w:tc>
          <w:tcPr>
            <w:tcW w:w="996" w:type="dxa"/>
            <w:tcBorders>
              <w:top w:val="single" w:sz="4" w:space="0" w:color="auto"/>
              <w:left w:val="nil"/>
              <w:bottom w:val="nil"/>
              <w:right w:val="nil"/>
            </w:tcBorders>
            <w:shd w:val="clear" w:color="auto" w:fill="auto"/>
            <w:vAlign w:val="center"/>
          </w:tcPr>
          <w:p w14:paraId="68C4B1FE" w14:textId="77777777" w:rsidR="00E9015E" w:rsidRPr="000673A6" w:rsidRDefault="00E9015E" w:rsidP="00C14E25">
            <w:pPr>
              <w:jc w:val="center"/>
              <w:rPr>
                <w:rFonts w:ascii="Times New Roman" w:hAnsi="Times New Roman" w:cs="Times New Roman"/>
                <w:sz w:val="14"/>
                <w:szCs w:val="14"/>
              </w:rPr>
            </w:pPr>
          </w:p>
        </w:tc>
      </w:tr>
      <w:tr w:rsidR="00E9015E" w:rsidRPr="000673A6" w14:paraId="48BF81B6" w14:textId="77777777" w:rsidTr="00C14E25">
        <w:trPr>
          <w:trHeight w:val="20"/>
        </w:trPr>
        <w:tc>
          <w:tcPr>
            <w:tcW w:w="1526" w:type="dxa"/>
            <w:vMerge/>
            <w:tcBorders>
              <w:left w:val="nil"/>
              <w:right w:val="nil"/>
            </w:tcBorders>
            <w:shd w:val="clear" w:color="auto" w:fill="auto"/>
            <w:vAlign w:val="center"/>
          </w:tcPr>
          <w:p w14:paraId="1858EC4E"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266E3B89" w14:textId="77777777" w:rsidR="00E9015E" w:rsidRPr="00F53C7A"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OPT1</w:t>
            </w:r>
          </w:p>
        </w:tc>
        <w:tc>
          <w:tcPr>
            <w:tcW w:w="6945" w:type="dxa"/>
            <w:tcBorders>
              <w:top w:val="nil"/>
              <w:left w:val="nil"/>
              <w:bottom w:val="nil"/>
              <w:right w:val="nil"/>
            </w:tcBorders>
            <w:shd w:val="clear" w:color="auto" w:fill="auto"/>
          </w:tcPr>
          <w:p w14:paraId="6DEED062" w14:textId="77777777" w:rsidR="00E9015E" w:rsidRPr="00F53C7A" w:rsidRDefault="00E9015E" w:rsidP="00C14E25">
            <w:pPr>
              <w:rPr>
                <w:rFonts w:ascii="Times New Roman" w:hAnsi="Times New Roman" w:cs="Times New Roman"/>
                <w:sz w:val="14"/>
                <w:szCs w:val="14"/>
              </w:rPr>
            </w:pPr>
            <w:r w:rsidRPr="009516A1">
              <w:rPr>
                <w:rFonts w:ascii="Times New Roman" w:hAnsi="Times New Roman" w:cs="Times New Roman"/>
                <w:sz w:val="14"/>
                <w:szCs w:val="14"/>
              </w:rPr>
              <w:t xml:space="preserve">On occasion, this major buyer firm lies about certain things </w:t>
            </w:r>
            <w:proofErr w:type="gramStart"/>
            <w:r w:rsidRPr="009516A1">
              <w:rPr>
                <w:rFonts w:ascii="Times New Roman" w:hAnsi="Times New Roman" w:cs="Times New Roman"/>
                <w:sz w:val="14"/>
                <w:szCs w:val="14"/>
              </w:rPr>
              <w:t>in order to</w:t>
            </w:r>
            <w:proofErr w:type="gramEnd"/>
            <w:r w:rsidRPr="009516A1">
              <w:rPr>
                <w:rFonts w:ascii="Times New Roman" w:hAnsi="Times New Roman" w:cs="Times New Roman"/>
                <w:sz w:val="14"/>
                <w:szCs w:val="14"/>
              </w:rPr>
              <w:t xml:space="preserve"> protect their interests</w:t>
            </w:r>
          </w:p>
        </w:tc>
        <w:tc>
          <w:tcPr>
            <w:tcW w:w="709" w:type="dxa"/>
            <w:tcBorders>
              <w:top w:val="nil"/>
              <w:left w:val="nil"/>
              <w:bottom w:val="nil"/>
              <w:right w:val="nil"/>
            </w:tcBorders>
            <w:shd w:val="clear" w:color="auto" w:fill="auto"/>
            <w:vAlign w:val="center"/>
          </w:tcPr>
          <w:p w14:paraId="7DBD22BA" w14:textId="77777777" w:rsidR="00E9015E" w:rsidRPr="00F53C7A"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2.54</w:t>
            </w:r>
          </w:p>
        </w:tc>
        <w:tc>
          <w:tcPr>
            <w:tcW w:w="709" w:type="dxa"/>
            <w:tcBorders>
              <w:top w:val="nil"/>
              <w:left w:val="nil"/>
              <w:bottom w:val="nil"/>
              <w:right w:val="nil"/>
            </w:tcBorders>
            <w:shd w:val="clear" w:color="auto" w:fill="auto"/>
            <w:vAlign w:val="center"/>
          </w:tcPr>
          <w:p w14:paraId="5BEA45C3" w14:textId="77777777" w:rsidR="00E9015E" w:rsidRPr="00F53C7A"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1.05</w:t>
            </w:r>
          </w:p>
        </w:tc>
        <w:tc>
          <w:tcPr>
            <w:tcW w:w="850" w:type="dxa"/>
            <w:tcBorders>
              <w:top w:val="nil"/>
              <w:left w:val="nil"/>
              <w:bottom w:val="nil"/>
              <w:right w:val="nil"/>
            </w:tcBorders>
            <w:shd w:val="clear" w:color="auto" w:fill="auto"/>
            <w:vAlign w:val="center"/>
          </w:tcPr>
          <w:p w14:paraId="45831DFC" w14:textId="77777777" w:rsidR="00E9015E" w:rsidRPr="00F53C7A" w:rsidRDefault="00E9015E" w:rsidP="00C14E25">
            <w:pPr>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.681</w:t>
            </w:r>
          </w:p>
        </w:tc>
        <w:tc>
          <w:tcPr>
            <w:tcW w:w="709" w:type="dxa"/>
            <w:tcBorders>
              <w:top w:val="nil"/>
              <w:left w:val="nil"/>
              <w:bottom w:val="nil"/>
              <w:right w:val="nil"/>
            </w:tcBorders>
            <w:shd w:val="clear" w:color="auto" w:fill="auto"/>
            <w:vAlign w:val="center"/>
          </w:tcPr>
          <w:p w14:paraId="522225B6" w14:textId="77777777" w:rsidR="00E9015E" w:rsidRPr="00F53C7A" w:rsidRDefault="00E9015E" w:rsidP="00C14E25">
            <w:pPr>
              <w:jc w:val="center"/>
              <w:rPr>
                <w:rFonts w:ascii="Times New Roman" w:eastAsia="Malgun Gothic" w:hAnsi="Times New Roman" w:cs="Times New Roman"/>
                <w:sz w:val="14"/>
                <w:szCs w:val="14"/>
              </w:rPr>
            </w:pPr>
            <w:r w:rsidRPr="009516A1">
              <w:rPr>
                <w:rFonts w:ascii="Times New Roman" w:hAnsi="Times New Roman" w:cs="Times New Roman"/>
                <w:sz w:val="14"/>
                <w:szCs w:val="14"/>
              </w:rPr>
              <w:t>-</w:t>
            </w:r>
          </w:p>
        </w:tc>
        <w:tc>
          <w:tcPr>
            <w:tcW w:w="992" w:type="dxa"/>
            <w:vMerge w:val="restart"/>
            <w:tcBorders>
              <w:top w:val="nil"/>
              <w:left w:val="nil"/>
              <w:right w:val="nil"/>
            </w:tcBorders>
            <w:shd w:val="clear" w:color="auto" w:fill="auto"/>
            <w:vAlign w:val="center"/>
          </w:tcPr>
          <w:p w14:paraId="030D96CE" w14:textId="77777777" w:rsidR="00E9015E" w:rsidRPr="000673A6"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.839</w:t>
            </w:r>
          </w:p>
        </w:tc>
        <w:tc>
          <w:tcPr>
            <w:tcW w:w="996" w:type="dxa"/>
            <w:vMerge w:val="restart"/>
            <w:tcBorders>
              <w:top w:val="nil"/>
              <w:left w:val="nil"/>
              <w:right w:val="nil"/>
            </w:tcBorders>
            <w:shd w:val="clear" w:color="auto" w:fill="auto"/>
            <w:vAlign w:val="center"/>
          </w:tcPr>
          <w:p w14:paraId="3B5F0E97" w14:textId="77777777" w:rsidR="00E9015E" w:rsidRPr="000673A6"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.846</w:t>
            </w:r>
          </w:p>
        </w:tc>
      </w:tr>
      <w:tr w:rsidR="00E9015E" w:rsidRPr="000673A6" w14:paraId="18581DF0" w14:textId="77777777" w:rsidTr="00C14E25">
        <w:trPr>
          <w:trHeight w:val="20"/>
        </w:trPr>
        <w:tc>
          <w:tcPr>
            <w:tcW w:w="1526" w:type="dxa"/>
            <w:vMerge/>
            <w:tcBorders>
              <w:left w:val="nil"/>
              <w:right w:val="nil"/>
            </w:tcBorders>
            <w:shd w:val="clear" w:color="auto" w:fill="auto"/>
            <w:vAlign w:val="center"/>
          </w:tcPr>
          <w:p w14:paraId="75DFFF33"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nil"/>
              <w:right w:val="nil"/>
            </w:tcBorders>
            <w:shd w:val="clear" w:color="auto" w:fill="auto"/>
            <w:vAlign w:val="center"/>
          </w:tcPr>
          <w:p w14:paraId="2D4E50CC" w14:textId="77777777" w:rsidR="00E9015E" w:rsidRPr="00F53C7A"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OPT2</w:t>
            </w:r>
          </w:p>
        </w:tc>
        <w:tc>
          <w:tcPr>
            <w:tcW w:w="6945" w:type="dxa"/>
            <w:tcBorders>
              <w:top w:val="nil"/>
              <w:left w:val="nil"/>
              <w:bottom w:val="nil"/>
              <w:right w:val="nil"/>
            </w:tcBorders>
            <w:shd w:val="clear" w:color="auto" w:fill="auto"/>
          </w:tcPr>
          <w:p w14:paraId="307E72F5" w14:textId="77777777" w:rsidR="00E9015E" w:rsidRPr="00F53C7A" w:rsidRDefault="00E9015E" w:rsidP="00C14E25">
            <w:pPr>
              <w:rPr>
                <w:rFonts w:ascii="Times New Roman" w:hAnsi="Times New Roman" w:cs="Times New Roman"/>
                <w:sz w:val="14"/>
                <w:szCs w:val="14"/>
              </w:rPr>
            </w:pPr>
            <w:r w:rsidRPr="009516A1">
              <w:rPr>
                <w:rFonts w:ascii="Times New Roman" w:hAnsi="Times New Roman" w:cs="Times New Roman"/>
                <w:sz w:val="14"/>
                <w:szCs w:val="14"/>
              </w:rPr>
              <w:t>This major buyer firm sometimes tries to breach informal agreements between our company to maximize their own benefits</w:t>
            </w:r>
          </w:p>
        </w:tc>
        <w:tc>
          <w:tcPr>
            <w:tcW w:w="709" w:type="dxa"/>
            <w:tcBorders>
              <w:top w:val="nil"/>
              <w:left w:val="nil"/>
              <w:bottom w:val="nil"/>
              <w:right w:val="nil"/>
            </w:tcBorders>
            <w:shd w:val="clear" w:color="auto" w:fill="auto"/>
            <w:vAlign w:val="center"/>
          </w:tcPr>
          <w:p w14:paraId="7E0CFA77" w14:textId="77777777" w:rsidR="00E9015E" w:rsidRPr="00F53C7A"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2.34</w:t>
            </w:r>
          </w:p>
        </w:tc>
        <w:tc>
          <w:tcPr>
            <w:tcW w:w="709" w:type="dxa"/>
            <w:tcBorders>
              <w:top w:val="nil"/>
              <w:left w:val="nil"/>
              <w:bottom w:val="nil"/>
              <w:right w:val="nil"/>
            </w:tcBorders>
            <w:shd w:val="clear" w:color="auto" w:fill="auto"/>
            <w:vAlign w:val="center"/>
          </w:tcPr>
          <w:p w14:paraId="52F1A2C9" w14:textId="77777777" w:rsidR="00E9015E" w:rsidRPr="00F53C7A"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1.04</w:t>
            </w:r>
          </w:p>
        </w:tc>
        <w:tc>
          <w:tcPr>
            <w:tcW w:w="850" w:type="dxa"/>
            <w:tcBorders>
              <w:top w:val="nil"/>
              <w:left w:val="nil"/>
              <w:bottom w:val="nil"/>
              <w:right w:val="nil"/>
            </w:tcBorders>
            <w:shd w:val="clear" w:color="auto" w:fill="auto"/>
            <w:vAlign w:val="center"/>
          </w:tcPr>
          <w:p w14:paraId="1AFEE717" w14:textId="77777777" w:rsidR="00E9015E" w:rsidRPr="00F53C7A" w:rsidRDefault="00E9015E" w:rsidP="00C14E25">
            <w:pPr>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.913</w:t>
            </w:r>
          </w:p>
        </w:tc>
        <w:tc>
          <w:tcPr>
            <w:tcW w:w="709" w:type="dxa"/>
            <w:tcBorders>
              <w:top w:val="nil"/>
              <w:left w:val="nil"/>
              <w:bottom w:val="nil"/>
              <w:right w:val="nil"/>
            </w:tcBorders>
            <w:shd w:val="clear" w:color="auto" w:fill="auto"/>
            <w:vAlign w:val="center"/>
          </w:tcPr>
          <w:p w14:paraId="3FF430AD" w14:textId="77777777" w:rsidR="00E9015E" w:rsidRPr="00F53C7A" w:rsidRDefault="00E9015E" w:rsidP="00C14E25">
            <w:pPr>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8.189</w:t>
            </w:r>
          </w:p>
        </w:tc>
        <w:tc>
          <w:tcPr>
            <w:tcW w:w="992" w:type="dxa"/>
            <w:vMerge/>
            <w:tcBorders>
              <w:top w:val="nil"/>
              <w:left w:val="nil"/>
              <w:right w:val="nil"/>
            </w:tcBorders>
            <w:shd w:val="clear" w:color="auto" w:fill="auto"/>
            <w:vAlign w:val="center"/>
          </w:tcPr>
          <w:p w14:paraId="15FC3617" w14:textId="77777777" w:rsidR="00E9015E" w:rsidRPr="000673A6" w:rsidRDefault="00E9015E" w:rsidP="00C14E25">
            <w:pPr>
              <w:jc w:val="center"/>
              <w:rPr>
                <w:rFonts w:ascii="Times New Roman" w:hAnsi="Times New Roman" w:cs="Times New Roman"/>
                <w:sz w:val="14"/>
                <w:szCs w:val="14"/>
              </w:rPr>
            </w:pPr>
          </w:p>
        </w:tc>
        <w:tc>
          <w:tcPr>
            <w:tcW w:w="996" w:type="dxa"/>
            <w:vMerge/>
            <w:tcBorders>
              <w:top w:val="nil"/>
              <w:left w:val="nil"/>
              <w:right w:val="nil"/>
            </w:tcBorders>
            <w:shd w:val="clear" w:color="auto" w:fill="auto"/>
            <w:vAlign w:val="center"/>
          </w:tcPr>
          <w:p w14:paraId="07B3D0A6" w14:textId="77777777" w:rsidR="00E9015E" w:rsidRPr="000673A6" w:rsidRDefault="00E9015E" w:rsidP="00C14E25">
            <w:pPr>
              <w:jc w:val="center"/>
              <w:rPr>
                <w:rFonts w:ascii="Times New Roman" w:hAnsi="Times New Roman" w:cs="Times New Roman"/>
                <w:sz w:val="14"/>
                <w:szCs w:val="14"/>
              </w:rPr>
            </w:pPr>
          </w:p>
        </w:tc>
      </w:tr>
      <w:tr w:rsidR="00E9015E" w:rsidRPr="000673A6" w14:paraId="47DBB163" w14:textId="77777777" w:rsidTr="00C14E25">
        <w:trPr>
          <w:trHeight w:val="20"/>
        </w:trPr>
        <w:tc>
          <w:tcPr>
            <w:tcW w:w="1526" w:type="dxa"/>
            <w:vMerge/>
            <w:tcBorders>
              <w:left w:val="nil"/>
              <w:right w:val="nil"/>
            </w:tcBorders>
            <w:shd w:val="clear" w:color="auto" w:fill="auto"/>
            <w:vAlign w:val="center"/>
          </w:tcPr>
          <w:p w14:paraId="07814B6B" w14:textId="77777777" w:rsidR="00E9015E" w:rsidRPr="00F53C7A" w:rsidRDefault="00E9015E" w:rsidP="00C14E25">
            <w:pPr>
              <w:jc w:val="center"/>
              <w:rPr>
                <w:rFonts w:ascii="Times New Roman" w:hAnsi="Times New Roman" w:cs="Times New Roman"/>
                <w:color w:val="000000" w:themeColor="text1"/>
                <w:sz w:val="14"/>
                <w:szCs w:val="14"/>
              </w:rPr>
            </w:pPr>
          </w:p>
        </w:tc>
        <w:tc>
          <w:tcPr>
            <w:tcW w:w="709" w:type="dxa"/>
            <w:tcBorders>
              <w:top w:val="nil"/>
              <w:left w:val="nil"/>
              <w:bottom w:val="single" w:sz="4" w:space="0" w:color="auto"/>
              <w:right w:val="nil"/>
            </w:tcBorders>
            <w:shd w:val="clear" w:color="auto" w:fill="auto"/>
            <w:vAlign w:val="center"/>
          </w:tcPr>
          <w:p w14:paraId="06370970" w14:textId="77777777" w:rsidR="00E9015E" w:rsidRPr="00F53C7A"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OPT3</w:t>
            </w:r>
          </w:p>
        </w:tc>
        <w:tc>
          <w:tcPr>
            <w:tcW w:w="6945" w:type="dxa"/>
            <w:tcBorders>
              <w:top w:val="nil"/>
              <w:left w:val="nil"/>
              <w:bottom w:val="single" w:sz="4" w:space="0" w:color="auto"/>
              <w:right w:val="nil"/>
            </w:tcBorders>
            <w:shd w:val="clear" w:color="auto" w:fill="auto"/>
          </w:tcPr>
          <w:p w14:paraId="0871BEB2" w14:textId="77777777" w:rsidR="00E9015E" w:rsidRPr="00F53C7A" w:rsidRDefault="00E9015E" w:rsidP="00C14E25">
            <w:pPr>
              <w:rPr>
                <w:rFonts w:ascii="Times New Roman" w:hAnsi="Times New Roman" w:cs="Times New Roman"/>
                <w:sz w:val="14"/>
                <w:szCs w:val="14"/>
              </w:rPr>
            </w:pPr>
            <w:r w:rsidRPr="009516A1">
              <w:rPr>
                <w:rFonts w:ascii="Times New Roman" w:hAnsi="Times New Roman" w:cs="Times New Roman"/>
                <w:sz w:val="14"/>
                <w:szCs w:val="14"/>
              </w:rPr>
              <w:t>This major buyer firm sometimes uses unexpected events to extract concessions from our company</w:t>
            </w:r>
          </w:p>
        </w:tc>
        <w:tc>
          <w:tcPr>
            <w:tcW w:w="709" w:type="dxa"/>
            <w:tcBorders>
              <w:top w:val="nil"/>
              <w:left w:val="nil"/>
              <w:bottom w:val="single" w:sz="4" w:space="0" w:color="auto"/>
              <w:right w:val="nil"/>
            </w:tcBorders>
            <w:shd w:val="clear" w:color="auto" w:fill="auto"/>
            <w:vAlign w:val="center"/>
          </w:tcPr>
          <w:p w14:paraId="0EAD5E33" w14:textId="77777777" w:rsidR="00E9015E" w:rsidRPr="00F53C7A"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2.75</w:t>
            </w:r>
          </w:p>
        </w:tc>
        <w:tc>
          <w:tcPr>
            <w:tcW w:w="709" w:type="dxa"/>
            <w:tcBorders>
              <w:top w:val="nil"/>
              <w:left w:val="nil"/>
              <w:bottom w:val="single" w:sz="4" w:space="0" w:color="auto"/>
              <w:right w:val="nil"/>
            </w:tcBorders>
            <w:shd w:val="clear" w:color="auto" w:fill="auto"/>
            <w:vAlign w:val="center"/>
          </w:tcPr>
          <w:p w14:paraId="2C039276" w14:textId="77777777" w:rsidR="00E9015E" w:rsidRPr="00F53C7A" w:rsidRDefault="00E9015E" w:rsidP="00C14E25">
            <w:pPr>
              <w:jc w:val="center"/>
              <w:rPr>
                <w:rFonts w:ascii="Times New Roman" w:hAnsi="Times New Roman" w:cs="Times New Roman"/>
                <w:sz w:val="14"/>
                <w:szCs w:val="14"/>
              </w:rPr>
            </w:pPr>
            <w:r w:rsidRPr="009516A1">
              <w:rPr>
                <w:rFonts w:ascii="Times New Roman" w:hAnsi="Times New Roman" w:cs="Times New Roman"/>
                <w:sz w:val="14"/>
                <w:szCs w:val="14"/>
              </w:rPr>
              <w:t>1.08</w:t>
            </w:r>
          </w:p>
        </w:tc>
        <w:tc>
          <w:tcPr>
            <w:tcW w:w="850" w:type="dxa"/>
            <w:tcBorders>
              <w:top w:val="nil"/>
              <w:left w:val="nil"/>
              <w:bottom w:val="single" w:sz="4" w:space="0" w:color="auto"/>
              <w:right w:val="nil"/>
            </w:tcBorders>
            <w:shd w:val="clear" w:color="auto" w:fill="auto"/>
            <w:vAlign w:val="center"/>
          </w:tcPr>
          <w:p w14:paraId="20167ABB" w14:textId="77777777" w:rsidR="00E9015E" w:rsidRPr="00F53C7A" w:rsidRDefault="00E9015E" w:rsidP="00C14E25">
            <w:pPr>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.809</w:t>
            </w:r>
          </w:p>
        </w:tc>
        <w:tc>
          <w:tcPr>
            <w:tcW w:w="709" w:type="dxa"/>
            <w:tcBorders>
              <w:top w:val="nil"/>
              <w:left w:val="nil"/>
              <w:bottom w:val="single" w:sz="4" w:space="0" w:color="auto"/>
              <w:right w:val="nil"/>
            </w:tcBorders>
            <w:shd w:val="clear" w:color="auto" w:fill="auto"/>
            <w:vAlign w:val="center"/>
          </w:tcPr>
          <w:p w14:paraId="196F24D0" w14:textId="77777777" w:rsidR="00E9015E" w:rsidRPr="00F53C7A" w:rsidRDefault="00E9015E" w:rsidP="00C14E25">
            <w:pPr>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7.9</w:t>
            </w:r>
          </w:p>
        </w:tc>
        <w:tc>
          <w:tcPr>
            <w:tcW w:w="992" w:type="dxa"/>
            <w:vMerge/>
            <w:tcBorders>
              <w:top w:val="nil"/>
              <w:left w:val="nil"/>
              <w:bottom w:val="single" w:sz="4" w:space="0" w:color="auto"/>
              <w:right w:val="nil"/>
            </w:tcBorders>
            <w:shd w:val="clear" w:color="auto" w:fill="auto"/>
            <w:vAlign w:val="center"/>
          </w:tcPr>
          <w:p w14:paraId="57E400F9" w14:textId="77777777" w:rsidR="00E9015E" w:rsidRPr="000673A6" w:rsidRDefault="00E9015E" w:rsidP="00C14E25">
            <w:pPr>
              <w:jc w:val="center"/>
              <w:rPr>
                <w:rFonts w:ascii="Times New Roman" w:hAnsi="Times New Roman" w:cs="Times New Roman"/>
                <w:sz w:val="14"/>
                <w:szCs w:val="14"/>
              </w:rPr>
            </w:pPr>
          </w:p>
        </w:tc>
        <w:tc>
          <w:tcPr>
            <w:tcW w:w="996" w:type="dxa"/>
            <w:vMerge/>
            <w:tcBorders>
              <w:top w:val="nil"/>
              <w:left w:val="nil"/>
              <w:bottom w:val="single" w:sz="4" w:space="0" w:color="auto"/>
              <w:right w:val="nil"/>
            </w:tcBorders>
            <w:shd w:val="clear" w:color="auto" w:fill="auto"/>
            <w:vAlign w:val="center"/>
          </w:tcPr>
          <w:p w14:paraId="61064040" w14:textId="77777777" w:rsidR="00E9015E" w:rsidRPr="000673A6" w:rsidRDefault="00E9015E" w:rsidP="00C14E25">
            <w:pPr>
              <w:jc w:val="center"/>
              <w:rPr>
                <w:rFonts w:ascii="Times New Roman" w:hAnsi="Times New Roman" w:cs="Times New Roman"/>
                <w:sz w:val="14"/>
                <w:szCs w:val="14"/>
              </w:rPr>
            </w:pPr>
          </w:p>
        </w:tc>
      </w:tr>
      <w:tr w:rsidR="00E9015E" w:rsidRPr="000673A6" w14:paraId="76F7E9DB" w14:textId="77777777" w:rsidTr="00C14E25">
        <w:trPr>
          <w:trHeight w:val="142"/>
        </w:trPr>
        <w:tc>
          <w:tcPr>
            <w:tcW w:w="14145" w:type="dxa"/>
            <w:gridSpan w:val="9"/>
            <w:tcBorders>
              <w:top w:val="single" w:sz="12" w:space="0" w:color="auto"/>
              <w:left w:val="nil"/>
              <w:bottom w:val="nil"/>
              <w:right w:val="nil"/>
            </w:tcBorders>
            <w:shd w:val="clear" w:color="auto" w:fill="auto"/>
            <w:vAlign w:val="center"/>
          </w:tcPr>
          <w:p w14:paraId="52311082" w14:textId="77777777" w:rsidR="00E9015E" w:rsidRDefault="00E9015E" w:rsidP="00C14E25">
            <w:pPr>
              <w:rPr>
                <w:rFonts w:ascii="Times New Roman" w:hAnsi="Times New Roman" w:cs="Times New Roman"/>
                <w:bCs/>
                <w:kern w:val="24"/>
                <w:sz w:val="14"/>
                <w:szCs w:val="14"/>
              </w:rPr>
            </w:pPr>
            <w:proofErr w:type="spellStart"/>
            <w:r w:rsidRPr="000673A6">
              <w:rPr>
                <w:rFonts w:ascii="Times New Roman" w:hAnsi="Times New Roman" w:cs="Times New Roman"/>
                <w:bCs/>
                <w:kern w:val="24"/>
                <w:sz w:val="14"/>
                <w:szCs w:val="14"/>
                <w:vertAlign w:val="superscript"/>
              </w:rPr>
              <w:t>a</w:t>
            </w:r>
            <w:r w:rsidRPr="000673A6">
              <w:rPr>
                <w:rFonts w:ascii="Times New Roman" w:hAnsi="Times New Roman" w:cs="Times New Roman"/>
                <w:bCs/>
                <w:kern w:val="24"/>
                <w:sz w:val="14"/>
                <w:szCs w:val="14"/>
              </w:rPr>
              <w:t>Standardized</w:t>
            </w:r>
            <w:proofErr w:type="spellEnd"/>
            <w:r w:rsidRPr="000673A6">
              <w:rPr>
                <w:rFonts w:ascii="Times New Roman" w:hAnsi="Times New Roman" w:cs="Times New Roman"/>
                <w:bCs/>
                <w:kern w:val="24"/>
                <w:sz w:val="14"/>
                <w:szCs w:val="14"/>
              </w:rPr>
              <w:t xml:space="preserve"> loadings from confirmatory factor analysis., significant at p &lt;.001 (two-tailed test)</w:t>
            </w:r>
          </w:p>
          <w:p w14:paraId="3F533A7F" w14:textId="77777777" w:rsidR="00E9015E" w:rsidRPr="000673A6" w:rsidRDefault="00E9015E" w:rsidP="00C14E25">
            <w:pPr>
              <w:rPr>
                <w:rFonts w:ascii="Times New Roman" w:hAnsi="Times New Roman" w:cs="Times New Roman"/>
                <w:sz w:val="14"/>
                <w:szCs w:val="14"/>
              </w:rPr>
            </w:pPr>
            <w:r>
              <w:rPr>
                <w:rFonts w:ascii="Times New Roman" w:hAnsi="Times New Roman" w:cs="Times New Roman" w:hint="eastAsia"/>
                <w:bCs/>
                <w:kern w:val="24"/>
                <w:sz w:val="14"/>
                <w:szCs w:val="14"/>
              </w:rPr>
              <w:t>A</w:t>
            </w:r>
            <w:r>
              <w:rPr>
                <w:rFonts w:ascii="Times New Roman" w:hAnsi="Times New Roman" w:cs="Times New Roman"/>
                <w:bCs/>
                <w:kern w:val="24"/>
                <w:sz w:val="14"/>
                <w:szCs w:val="14"/>
              </w:rPr>
              <w:t>ll variables were measured from the supplier’s perspective</w:t>
            </w:r>
          </w:p>
        </w:tc>
      </w:tr>
    </w:tbl>
    <w:p w14:paraId="1FD380F4" w14:textId="77777777" w:rsidR="00E9015E" w:rsidRDefault="00E9015E" w:rsidP="00E9015E">
      <w:pPr>
        <w:rPr>
          <w:sz w:val="14"/>
          <w:szCs w:val="14"/>
        </w:rPr>
      </w:pPr>
    </w:p>
    <w:p w14:paraId="1006D700" w14:textId="77777777" w:rsidR="00E9015E" w:rsidRDefault="00E9015E" w:rsidP="00E9015E">
      <w:pPr>
        <w:rPr>
          <w:sz w:val="14"/>
          <w:szCs w:val="14"/>
        </w:rPr>
      </w:pPr>
    </w:p>
    <w:p w14:paraId="7172E3FA" w14:textId="77777777" w:rsidR="00E9015E" w:rsidRDefault="00E9015E" w:rsidP="00E9015E">
      <w:pPr>
        <w:rPr>
          <w:sz w:val="14"/>
          <w:szCs w:val="14"/>
        </w:rPr>
      </w:pPr>
    </w:p>
    <w:p w14:paraId="5FA0EAE0" w14:textId="77777777" w:rsidR="00E9015E" w:rsidRPr="00EF57BF" w:rsidRDefault="00E9015E" w:rsidP="00E9015E">
      <w:pPr>
        <w:rPr>
          <w:sz w:val="14"/>
          <w:szCs w:val="14"/>
        </w:rPr>
      </w:pPr>
    </w:p>
    <w:p w14:paraId="3B5F735C" w14:textId="77777777" w:rsidR="00E9015E" w:rsidRDefault="00E9015E" w:rsidP="00E9015E">
      <w:pPr>
        <w:rPr>
          <w:sz w:val="14"/>
          <w:szCs w:val="14"/>
        </w:rPr>
      </w:pPr>
    </w:p>
    <w:tbl>
      <w:tblPr>
        <w:tblStyle w:val="TableGrid1"/>
        <w:tblW w:w="5000" w:type="pct"/>
        <w:tblLook w:val="04A0" w:firstRow="1" w:lastRow="0" w:firstColumn="1" w:lastColumn="0" w:noHBand="0" w:noVBand="1"/>
      </w:tblPr>
      <w:tblGrid>
        <w:gridCol w:w="908"/>
        <w:gridCol w:w="621"/>
        <w:gridCol w:w="3169"/>
        <w:gridCol w:w="608"/>
        <w:gridCol w:w="461"/>
        <w:gridCol w:w="836"/>
        <w:gridCol w:w="581"/>
        <w:gridCol w:w="898"/>
        <w:gridCol w:w="945"/>
      </w:tblGrid>
      <w:tr w:rsidR="00E9015E" w:rsidRPr="000673A6" w14:paraId="3324064D" w14:textId="77777777" w:rsidTr="00C14E25">
        <w:tc>
          <w:tcPr>
            <w:tcW w:w="5000" w:type="pct"/>
            <w:gridSpan w:val="9"/>
            <w:tcBorders>
              <w:top w:val="nil"/>
              <w:left w:val="nil"/>
              <w:bottom w:val="single" w:sz="12" w:space="0" w:color="auto"/>
              <w:right w:val="nil"/>
            </w:tcBorders>
            <w:shd w:val="clear" w:color="auto" w:fill="auto"/>
          </w:tcPr>
          <w:p w14:paraId="57D95E0C" w14:textId="77777777" w:rsidR="00E9015E" w:rsidRPr="004F63A7" w:rsidRDefault="00E9015E" w:rsidP="00C14E25">
            <w:pPr>
              <w:tabs>
                <w:tab w:val="left" w:pos="6480"/>
                <w:tab w:val="center" w:pos="7001"/>
              </w:tabs>
              <w:spacing w:line="276" w:lineRule="auto"/>
              <w:jc w:val="center"/>
              <w:rPr>
                <w:rFonts w:ascii="Times New Roman" w:hAnsi="Times New Roman" w:cs="Times New Roman"/>
                <w:b/>
                <w:caps/>
                <w:szCs w:val="18"/>
              </w:rPr>
            </w:pPr>
            <w:r>
              <w:rPr>
                <w:rFonts w:ascii="Times New Roman" w:hAnsi="Times New Roman" w:cs="Times New Roman" w:hint="eastAsia"/>
                <w:b/>
                <w:caps/>
                <w:szCs w:val="18"/>
              </w:rPr>
              <w:t xml:space="preserve">Appendix </w:t>
            </w:r>
            <w:r w:rsidRPr="007B1836">
              <w:rPr>
                <w:rFonts w:ascii="Batang" w:eastAsia="Batang" w:hAnsi="Batang" w:cs="Batang" w:hint="eastAsia"/>
                <w:b/>
                <w:caps/>
              </w:rPr>
              <w:t>Ⅱ</w:t>
            </w:r>
            <w:r>
              <w:rPr>
                <w:rFonts w:ascii="Times New Roman" w:hAnsi="Times New Roman" w:cs="Times New Roman" w:hint="eastAsia"/>
                <w:b/>
                <w:caps/>
                <w:szCs w:val="18"/>
              </w:rPr>
              <w:t xml:space="preserve"> </w:t>
            </w:r>
            <w:r w:rsidRPr="000673A6">
              <w:rPr>
                <w:rFonts w:ascii="Times New Roman" w:hAnsi="Times New Roman" w:cs="Times New Roman"/>
                <w:b/>
                <w:caps/>
                <w:szCs w:val="16"/>
              </w:rPr>
              <w:t>(continued)</w:t>
            </w:r>
          </w:p>
          <w:p w14:paraId="48F9D317" w14:textId="77777777" w:rsidR="00E9015E" w:rsidRPr="000673A6" w:rsidRDefault="00E9015E" w:rsidP="00C14E25">
            <w:pPr>
              <w:spacing w:line="276" w:lineRule="auto"/>
              <w:jc w:val="center"/>
              <w:rPr>
                <w:rFonts w:ascii="Times New Roman" w:hAnsi="Times New Roman" w:cs="Times New Roman"/>
                <w:b/>
                <w:szCs w:val="16"/>
              </w:rPr>
            </w:pPr>
            <w:r w:rsidRPr="000673A6">
              <w:rPr>
                <w:rFonts w:ascii="Times New Roman" w:hAnsi="Times New Roman" w:cs="Times New Roman"/>
                <w:b/>
                <w:szCs w:val="16"/>
              </w:rPr>
              <w:t>Constructs and Indicators</w:t>
            </w:r>
          </w:p>
        </w:tc>
      </w:tr>
      <w:tr w:rsidR="00E9015E" w:rsidRPr="000673A6" w14:paraId="3EEA200F" w14:textId="77777777" w:rsidTr="00C14E25">
        <w:tc>
          <w:tcPr>
            <w:tcW w:w="539" w:type="pct"/>
            <w:tcBorders>
              <w:top w:val="single" w:sz="12" w:space="0" w:color="auto"/>
              <w:left w:val="nil"/>
              <w:bottom w:val="single" w:sz="12" w:space="0" w:color="auto"/>
              <w:right w:val="nil"/>
            </w:tcBorders>
            <w:shd w:val="clear" w:color="auto" w:fill="auto"/>
            <w:vAlign w:val="center"/>
          </w:tcPr>
          <w:p w14:paraId="081295DD" w14:textId="77777777" w:rsidR="00E9015E" w:rsidRPr="000673A6" w:rsidRDefault="00E9015E" w:rsidP="00C14E25">
            <w:pPr>
              <w:spacing w:line="276" w:lineRule="auto"/>
              <w:jc w:val="center"/>
              <w:rPr>
                <w:rFonts w:ascii="Times New Roman" w:hAnsi="Times New Roman" w:cs="Times New Roman"/>
                <w:sz w:val="16"/>
                <w:szCs w:val="16"/>
              </w:rPr>
            </w:pPr>
            <w:r w:rsidRPr="000673A6">
              <w:rPr>
                <w:rFonts w:ascii="Times New Roman" w:hAnsi="Times New Roman" w:cs="Times New Roman"/>
                <w:b/>
                <w:bCs/>
                <w:sz w:val="16"/>
                <w:szCs w:val="16"/>
              </w:rPr>
              <w:t>Construct</w:t>
            </w:r>
          </w:p>
        </w:tc>
        <w:tc>
          <w:tcPr>
            <w:tcW w:w="2706" w:type="pct"/>
            <w:gridSpan w:val="2"/>
            <w:tcBorders>
              <w:top w:val="single" w:sz="12" w:space="0" w:color="auto"/>
              <w:left w:val="nil"/>
              <w:bottom w:val="single" w:sz="12" w:space="0" w:color="auto"/>
              <w:right w:val="nil"/>
            </w:tcBorders>
            <w:shd w:val="clear" w:color="auto" w:fill="auto"/>
            <w:vAlign w:val="center"/>
          </w:tcPr>
          <w:p w14:paraId="4C0BE340" w14:textId="77777777" w:rsidR="00E9015E" w:rsidRPr="000673A6" w:rsidRDefault="00E9015E" w:rsidP="00C14E25">
            <w:pPr>
              <w:spacing w:line="276" w:lineRule="auto"/>
              <w:jc w:val="center"/>
              <w:rPr>
                <w:rFonts w:ascii="Times New Roman" w:hAnsi="Times New Roman" w:cs="Times New Roman"/>
                <w:sz w:val="16"/>
                <w:szCs w:val="16"/>
              </w:rPr>
            </w:pPr>
            <w:r w:rsidRPr="000673A6">
              <w:rPr>
                <w:rFonts w:ascii="Times New Roman" w:hAnsi="Times New Roman" w:cs="Times New Roman"/>
                <w:b/>
                <w:bCs/>
                <w:sz w:val="16"/>
                <w:szCs w:val="16"/>
              </w:rPr>
              <w:t>Measurement variables</w:t>
            </w:r>
          </w:p>
        </w:tc>
        <w:tc>
          <w:tcPr>
            <w:tcW w:w="251" w:type="pct"/>
            <w:tcBorders>
              <w:top w:val="single" w:sz="12" w:space="0" w:color="auto"/>
              <w:left w:val="nil"/>
              <w:bottom w:val="single" w:sz="12" w:space="0" w:color="auto"/>
              <w:right w:val="nil"/>
            </w:tcBorders>
            <w:shd w:val="clear" w:color="auto" w:fill="auto"/>
            <w:vAlign w:val="center"/>
          </w:tcPr>
          <w:p w14:paraId="7F19EF47" w14:textId="77777777" w:rsidR="00E9015E" w:rsidRPr="000673A6" w:rsidRDefault="00E9015E" w:rsidP="00C14E25">
            <w:pPr>
              <w:spacing w:line="276" w:lineRule="auto"/>
              <w:jc w:val="center"/>
              <w:rPr>
                <w:rFonts w:ascii="Times New Roman" w:hAnsi="Times New Roman" w:cs="Times New Roman"/>
                <w:b/>
                <w:bCs/>
                <w:sz w:val="16"/>
                <w:szCs w:val="16"/>
              </w:rPr>
            </w:pPr>
            <w:r w:rsidRPr="000673A6">
              <w:rPr>
                <w:rFonts w:ascii="Times New Roman" w:hAnsi="Times New Roman" w:cs="Times New Roman"/>
                <w:b/>
                <w:bCs/>
                <w:sz w:val="16"/>
                <w:szCs w:val="16"/>
              </w:rPr>
              <w:t>Mean</w:t>
            </w:r>
          </w:p>
        </w:tc>
        <w:tc>
          <w:tcPr>
            <w:tcW w:w="251" w:type="pct"/>
            <w:tcBorders>
              <w:top w:val="single" w:sz="12" w:space="0" w:color="auto"/>
              <w:left w:val="nil"/>
              <w:bottom w:val="single" w:sz="12" w:space="0" w:color="auto"/>
              <w:right w:val="nil"/>
            </w:tcBorders>
            <w:shd w:val="clear" w:color="auto" w:fill="auto"/>
            <w:vAlign w:val="center"/>
          </w:tcPr>
          <w:p w14:paraId="20FD7F9D" w14:textId="77777777" w:rsidR="00E9015E" w:rsidRPr="000673A6" w:rsidRDefault="00E9015E" w:rsidP="00C14E25">
            <w:pPr>
              <w:spacing w:line="276" w:lineRule="auto"/>
              <w:jc w:val="center"/>
              <w:rPr>
                <w:rFonts w:ascii="Times New Roman" w:hAnsi="Times New Roman" w:cs="Times New Roman"/>
                <w:b/>
                <w:bCs/>
                <w:sz w:val="16"/>
                <w:szCs w:val="16"/>
              </w:rPr>
            </w:pPr>
            <w:r w:rsidRPr="000673A6">
              <w:rPr>
                <w:rFonts w:ascii="Times New Roman" w:hAnsi="Times New Roman" w:cs="Times New Roman"/>
                <w:b/>
                <w:bCs/>
                <w:sz w:val="16"/>
                <w:szCs w:val="16"/>
              </w:rPr>
              <w:t>SD</w:t>
            </w:r>
          </w:p>
        </w:tc>
        <w:tc>
          <w:tcPr>
            <w:tcW w:w="300" w:type="pct"/>
            <w:tcBorders>
              <w:top w:val="single" w:sz="12" w:space="0" w:color="auto"/>
              <w:left w:val="nil"/>
              <w:bottom w:val="single" w:sz="12" w:space="0" w:color="auto"/>
              <w:right w:val="nil"/>
            </w:tcBorders>
            <w:shd w:val="clear" w:color="auto" w:fill="auto"/>
            <w:vAlign w:val="center"/>
          </w:tcPr>
          <w:p w14:paraId="38157796" w14:textId="77777777" w:rsidR="00E9015E" w:rsidRPr="000673A6" w:rsidRDefault="00E9015E" w:rsidP="00C14E25">
            <w:pPr>
              <w:spacing w:line="276" w:lineRule="auto"/>
              <w:jc w:val="center"/>
              <w:rPr>
                <w:rFonts w:ascii="Times New Roman" w:hAnsi="Times New Roman" w:cs="Times New Roman"/>
                <w:sz w:val="16"/>
                <w:szCs w:val="16"/>
              </w:rPr>
            </w:pPr>
            <w:proofErr w:type="spellStart"/>
            <w:r w:rsidRPr="000673A6">
              <w:rPr>
                <w:rFonts w:ascii="Times New Roman" w:hAnsi="Times New Roman" w:cs="Times New Roman"/>
                <w:b/>
                <w:bCs/>
                <w:sz w:val="16"/>
                <w:szCs w:val="16"/>
              </w:rPr>
              <w:t>Loading</w:t>
            </w:r>
            <w:r w:rsidRPr="000673A6">
              <w:rPr>
                <w:rFonts w:ascii="Times New Roman" w:hAnsi="Times New Roman" w:cs="Times New Roman"/>
                <w:b/>
                <w:bCs/>
                <w:sz w:val="16"/>
                <w:szCs w:val="16"/>
                <w:vertAlign w:val="superscript"/>
              </w:rPr>
              <w:t>a</w:t>
            </w:r>
            <w:proofErr w:type="spellEnd"/>
          </w:p>
        </w:tc>
        <w:tc>
          <w:tcPr>
            <w:tcW w:w="251" w:type="pct"/>
            <w:tcBorders>
              <w:top w:val="single" w:sz="12" w:space="0" w:color="auto"/>
              <w:left w:val="nil"/>
              <w:bottom w:val="single" w:sz="12" w:space="0" w:color="auto"/>
              <w:right w:val="nil"/>
            </w:tcBorders>
            <w:shd w:val="clear" w:color="auto" w:fill="auto"/>
            <w:vAlign w:val="center"/>
          </w:tcPr>
          <w:p w14:paraId="2A998F42" w14:textId="77777777" w:rsidR="00E9015E" w:rsidRPr="000673A6" w:rsidRDefault="00E9015E" w:rsidP="00C14E25">
            <w:pPr>
              <w:spacing w:line="276" w:lineRule="auto"/>
              <w:jc w:val="center"/>
              <w:rPr>
                <w:rFonts w:ascii="Times New Roman" w:hAnsi="Times New Roman" w:cs="Times New Roman"/>
                <w:b/>
                <w:bCs/>
                <w:sz w:val="16"/>
                <w:szCs w:val="16"/>
              </w:rPr>
            </w:pPr>
            <w:r w:rsidRPr="000673A6">
              <w:rPr>
                <w:rFonts w:ascii="Times New Roman" w:hAnsi="Times New Roman" w:cs="Times New Roman"/>
                <w:b/>
                <w:bCs/>
                <w:sz w:val="16"/>
                <w:szCs w:val="16"/>
              </w:rPr>
              <w:t>t-value</w:t>
            </w:r>
          </w:p>
        </w:tc>
        <w:tc>
          <w:tcPr>
            <w:tcW w:w="351" w:type="pct"/>
            <w:tcBorders>
              <w:top w:val="single" w:sz="12" w:space="0" w:color="auto"/>
              <w:left w:val="nil"/>
              <w:bottom w:val="single" w:sz="12" w:space="0" w:color="auto"/>
              <w:right w:val="nil"/>
            </w:tcBorders>
            <w:shd w:val="clear" w:color="auto" w:fill="auto"/>
            <w:vAlign w:val="center"/>
          </w:tcPr>
          <w:p w14:paraId="6019A1AE" w14:textId="77777777" w:rsidR="00E9015E" w:rsidRPr="000673A6" w:rsidRDefault="00E9015E" w:rsidP="00C14E25">
            <w:pPr>
              <w:spacing w:line="276" w:lineRule="auto"/>
              <w:jc w:val="center"/>
              <w:rPr>
                <w:rFonts w:ascii="Times New Roman" w:hAnsi="Times New Roman" w:cs="Times New Roman"/>
                <w:sz w:val="16"/>
                <w:szCs w:val="16"/>
              </w:rPr>
            </w:pPr>
            <w:r w:rsidRPr="000673A6">
              <w:rPr>
                <w:rFonts w:ascii="Times New Roman" w:hAnsi="Times New Roman" w:cs="Times New Roman"/>
                <w:b/>
                <w:bCs/>
                <w:sz w:val="16"/>
                <w:szCs w:val="16"/>
              </w:rPr>
              <w:t>Cronbach α</w:t>
            </w:r>
          </w:p>
        </w:tc>
        <w:tc>
          <w:tcPr>
            <w:tcW w:w="351" w:type="pct"/>
            <w:tcBorders>
              <w:top w:val="single" w:sz="12" w:space="0" w:color="auto"/>
              <w:left w:val="nil"/>
              <w:bottom w:val="single" w:sz="12" w:space="0" w:color="auto"/>
              <w:right w:val="nil"/>
            </w:tcBorders>
            <w:shd w:val="clear" w:color="auto" w:fill="auto"/>
            <w:vAlign w:val="center"/>
          </w:tcPr>
          <w:p w14:paraId="525C6DB8" w14:textId="77777777" w:rsidR="00E9015E" w:rsidRPr="000673A6" w:rsidRDefault="00E9015E" w:rsidP="00C14E25">
            <w:pPr>
              <w:spacing w:line="276" w:lineRule="auto"/>
              <w:jc w:val="center"/>
              <w:rPr>
                <w:rFonts w:ascii="Times New Roman" w:hAnsi="Times New Roman" w:cs="Times New Roman"/>
                <w:sz w:val="16"/>
                <w:szCs w:val="16"/>
              </w:rPr>
            </w:pPr>
            <w:r w:rsidRPr="000673A6">
              <w:rPr>
                <w:rFonts w:ascii="Times New Roman" w:hAnsi="Times New Roman" w:cs="Times New Roman"/>
                <w:b/>
                <w:bCs/>
                <w:sz w:val="16"/>
                <w:szCs w:val="16"/>
              </w:rPr>
              <w:t>Composite Reliability</w:t>
            </w:r>
          </w:p>
        </w:tc>
      </w:tr>
      <w:tr w:rsidR="00E9015E" w:rsidRPr="000673A6" w14:paraId="33B48253" w14:textId="77777777" w:rsidTr="00C14E25">
        <w:trPr>
          <w:trHeight w:val="20"/>
        </w:trPr>
        <w:tc>
          <w:tcPr>
            <w:tcW w:w="539" w:type="pct"/>
            <w:vMerge w:val="restart"/>
            <w:tcBorders>
              <w:top w:val="single" w:sz="4" w:space="0" w:color="auto"/>
              <w:left w:val="nil"/>
              <w:right w:val="nil"/>
            </w:tcBorders>
            <w:shd w:val="clear" w:color="auto" w:fill="auto"/>
            <w:vAlign w:val="center"/>
          </w:tcPr>
          <w:p w14:paraId="36DCAEB9"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Demand Uncertainty</w:t>
            </w:r>
          </w:p>
          <w:p w14:paraId="4B27CFCA" w14:textId="77777777" w:rsidR="00E9015E" w:rsidRPr="009516A1" w:rsidRDefault="00E9015E" w:rsidP="00C14E25">
            <w:pPr>
              <w:spacing w:line="276" w:lineRule="auto"/>
              <w:jc w:val="center"/>
              <w:rPr>
                <w:rFonts w:ascii="Times New Roman" w:hAnsi="Times New Roman" w:cs="Times New Roman"/>
                <w:b/>
                <w:bCs/>
                <w:sz w:val="14"/>
                <w:szCs w:val="14"/>
              </w:rPr>
            </w:pPr>
            <w:r w:rsidRPr="009516A1">
              <w:rPr>
                <w:rFonts w:ascii="Times New Roman" w:hAnsi="Times New Roman" w:cs="Times New Roman"/>
                <w:sz w:val="14"/>
                <w:szCs w:val="14"/>
              </w:rPr>
              <w:t>(DU)</w:t>
            </w:r>
          </w:p>
        </w:tc>
        <w:tc>
          <w:tcPr>
            <w:tcW w:w="251" w:type="pct"/>
            <w:tcBorders>
              <w:top w:val="single" w:sz="4" w:space="0" w:color="auto"/>
              <w:left w:val="nil"/>
              <w:bottom w:val="nil"/>
              <w:right w:val="nil"/>
            </w:tcBorders>
            <w:shd w:val="clear" w:color="auto" w:fill="auto"/>
            <w:vAlign w:val="center"/>
          </w:tcPr>
          <w:p w14:paraId="515B5764" w14:textId="77777777" w:rsidR="00E9015E" w:rsidRPr="009516A1" w:rsidRDefault="00E9015E" w:rsidP="00C14E25">
            <w:pPr>
              <w:spacing w:line="276" w:lineRule="auto"/>
              <w:jc w:val="center"/>
              <w:rPr>
                <w:rFonts w:ascii="Times New Roman" w:hAnsi="Times New Roman" w:cs="Times New Roman"/>
                <w:b/>
                <w:bCs/>
                <w:sz w:val="14"/>
                <w:szCs w:val="14"/>
              </w:rPr>
            </w:pPr>
          </w:p>
        </w:tc>
        <w:tc>
          <w:tcPr>
            <w:tcW w:w="2455" w:type="pct"/>
            <w:tcBorders>
              <w:top w:val="single" w:sz="4" w:space="0" w:color="auto"/>
              <w:left w:val="nil"/>
              <w:bottom w:val="nil"/>
              <w:right w:val="nil"/>
            </w:tcBorders>
            <w:shd w:val="clear" w:color="auto" w:fill="auto"/>
          </w:tcPr>
          <w:p w14:paraId="38347D75" w14:textId="77777777" w:rsidR="00E9015E" w:rsidRPr="009516A1" w:rsidRDefault="00E9015E" w:rsidP="00C14E25">
            <w:pPr>
              <w:spacing w:line="276" w:lineRule="auto"/>
              <w:jc w:val="left"/>
              <w:rPr>
                <w:rFonts w:ascii="Times New Roman" w:hAnsi="Times New Roman" w:cs="Times New Roman"/>
                <w:b/>
                <w:bCs/>
                <w:sz w:val="14"/>
                <w:szCs w:val="14"/>
              </w:rPr>
            </w:pPr>
            <w:r w:rsidRPr="009516A1">
              <w:rPr>
                <w:rFonts w:ascii="Times New Roman" w:hAnsi="Times New Roman" w:cs="Times New Roman"/>
                <w:i/>
                <w:iCs/>
                <w:sz w:val="14"/>
                <w:szCs w:val="14"/>
              </w:rPr>
              <w:t xml:space="preserve">Please indicate the degree to which you agree to the following statements concerning environmental uncertainty your company is </w:t>
            </w:r>
            <w:proofErr w:type="gramStart"/>
            <w:r w:rsidRPr="009516A1">
              <w:rPr>
                <w:rFonts w:ascii="Times New Roman" w:hAnsi="Times New Roman" w:cs="Times New Roman"/>
                <w:i/>
                <w:iCs/>
                <w:sz w:val="14"/>
                <w:szCs w:val="14"/>
              </w:rPr>
              <w:t>facing  (</w:t>
            </w:r>
            <w:proofErr w:type="gramEnd"/>
            <w:r w:rsidRPr="009516A1">
              <w:rPr>
                <w:rFonts w:ascii="Times New Roman" w:hAnsi="Times New Roman" w:cs="Times New Roman"/>
                <w:i/>
                <w:iCs/>
                <w:sz w:val="14"/>
                <w:szCs w:val="14"/>
              </w:rPr>
              <w:t>1=strongly disagree, 5= strongly agree):</w:t>
            </w:r>
          </w:p>
        </w:tc>
        <w:tc>
          <w:tcPr>
            <w:tcW w:w="251" w:type="pct"/>
            <w:tcBorders>
              <w:top w:val="single" w:sz="4" w:space="0" w:color="auto"/>
              <w:left w:val="nil"/>
              <w:bottom w:val="nil"/>
              <w:right w:val="nil"/>
            </w:tcBorders>
            <w:shd w:val="clear" w:color="auto" w:fill="auto"/>
            <w:vAlign w:val="center"/>
          </w:tcPr>
          <w:p w14:paraId="50BDBB15" w14:textId="77777777" w:rsidR="00E9015E" w:rsidRPr="009516A1" w:rsidRDefault="00E9015E" w:rsidP="00C14E25">
            <w:pPr>
              <w:spacing w:line="276" w:lineRule="auto"/>
              <w:jc w:val="center"/>
              <w:rPr>
                <w:rFonts w:ascii="Times New Roman" w:hAnsi="Times New Roman" w:cs="Times New Roman"/>
                <w:sz w:val="14"/>
                <w:szCs w:val="14"/>
              </w:rPr>
            </w:pPr>
          </w:p>
        </w:tc>
        <w:tc>
          <w:tcPr>
            <w:tcW w:w="251" w:type="pct"/>
            <w:tcBorders>
              <w:top w:val="single" w:sz="4" w:space="0" w:color="auto"/>
              <w:left w:val="nil"/>
              <w:bottom w:val="nil"/>
              <w:right w:val="nil"/>
            </w:tcBorders>
            <w:shd w:val="clear" w:color="auto" w:fill="auto"/>
            <w:vAlign w:val="center"/>
          </w:tcPr>
          <w:p w14:paraId="19BEFCB5" w14:textId="77777777" w:rsidR="00E9015E" w:rsidRPr="009516A1" w:rsidRDefault="00E9015E" w:rsidP="00C14E25">
            <w:pPr>
              <w:spacing w:line="276" w:lineRule="auto"/>
              <w:jc w:val="center"/>
              <w:rPr>
                <w:rFonts w:ascii="Times New Roman" w:hAnsi="Times New Roman" w:cs="Times New Roman"/>
                <w:sz w:val="14"/>
                <w:szCs w:val="14"/>
              </w:rPr>
            </w:pPr>
          </w:p>
        </w:tc>
        <w:tc>
          <w:tcPr>
            <w:tcW w:w="300" w:type="pct"/>
            <w:tcBorders>
              <w:top w:val="single" w:sz="4" w:space="0" w:color="auto"/>
              <w:left w:val="nil"/>
              <w:bottom w:val="nil"/>
              <w:right w:val="nil"/>
            </w:tcBorders>
            <w:shd w:val="clear" w:color="auto" w:fill="auto"/>
            <w:vAlign w:val="center"/>
          </w:tcPr>
          <w:p w14:paraId="4EF16AB1" w14:textId="77777777" w:rsidR="00E9015E" w:rsidRPr="009516A1" w:rsidRDefault="00E9015E" w:rsidP="00C14E25">
            <w:pPr>
              <w:spacing w:line="276" w:lineRule="auto"/>
              <w:jc w:val="center"/>
              <w:rPr>
                <w:rFonts w:ascii="Times New Roman" w:hAnsi="Times New Roman" w:cs="Times New Roman"/>
                <w:sz w:val="14"/>
                <w:szCs w:val="14"/>
              </w:rPr>
            </w:pPr>
          </w:p>
        </w:tc>
        <w:tc>
          <w:tcPr>
            <w:tcW w:w="251" w:type="pct"/>
            <w:tcBorders>
              <w:top w:val="single" w:sz="4" w:space="0" w:color="auto"/>
              <w:left w:val="nil"/>
              <w:bottom w:val="nil"/>
              <w:right w:val="nil"/>
            </w:tcBorders>
            <w:shd w:val="clear" w:color="auto" w:fill="auto"/>
            <w:vAlign w:val="center"/>
          </w:tcPr>
          <w:p w14:paraId="1E96F852" w14:textId="77777777" w:rsidR="00E9015E" w:rsidRPr="009516A1" w:rsidRDefault="00E9015E" w:rsidP="00C14E25">
            <w:pPr>
              <w:spacing w:line="276" w:lineRule="auto"/>
              <w:jc w:val="center"/>
              <w:rPr>
                <w:rFonts w:ascii="Times New Roman" w:hAnsi="Times New Roman" w:cs="Times New Roman"/>
                <w:sz w:val="14"/>
                <w:szCs w:val="14"/>
              </w:rPr>
            </w:pPr>
          </w:p>
        </w:tc>
        <w:tc>
          <w:tcPr>
            <w:tcW w:w="351" w:type="pct"/>
            <w:tcBorders>
              <w:top w:val="single" w:sz="4" w:space="0" w:color="auto"/>
              <w:left w:val="nil"/>
              <w:bottom w:val="nil"/>
              <w:right w:val="nil"/>
            </w:tcBorders>
            <w:shd w:val="clear" w:color="auto" w:fill="auto"/>
          </w:tcPr>
          <w:p w14:paraId="20C12A79" w14:textId="77777777" w:rsidR="00E9015E" w:rsidRPr="009516A1" w:rsidRDefault="00E9015E" w:rsidP="00C14E25">
            <w:pPr>
              <w:spacing w:line="276" w:lineRule="auto"/>
              <w:jc w:val="center"/>
              <w:rPr>
                <w:rFonts w:ascii="Times New Roman" w:hAnsi="Times New Roman" w:cs="Times New Roman"/>
                <w:b/>
                <w:bCs/>
                <w:sz w:val="14"/>
                <w:szCs w:val="14"/>
              </w:rPr>
            </w:pPr>
          </w:p>
        </w:tc>
        <w:tc>
          <w:tcPr>
            <w:tcW w:w="351" w:type="pct"/>
            <w:tcBorders>
              <w:top w:val="single" w:sz="4" w:space="0" w:color="auto"/>
              <w:left w:val="nil"/>
              <w:bottom w:val="nil"/>
              <w:right w:val="nil"/>
            </w:tcBorders>
            <w:shd w:val="clear" w:color="auto" w:fill="auto"/>
          </w:tcPr>
          <w:p w14:paraId="2D871EC7" w14:textId="77777777" w:rsidR="00E9015E" w:rsidRPr="009516A1" w:rsidRDefault="00E9015E" w:rsidP="00C14E25">
            <w:pPr>
              <w:spacing w:line="276" w:lineRule="auto"/>
              <w:jc w:val="center"/>
              <w:rPr>
                <w:rFonts w:ascii="Times New Roman" w:hAnsi="Times New Roman" w:cs="Times New Roman"/>
                <w:b/>
                <w:bCs/>
                <w:sz w:val="14"/>
                <w:szCs w:val="14"/>
              </w:rPr>
            </w:pPr>
          </w:p>
        </w:tc>
      </w:tr>
      <w:tr w:rsidR="00E9015E" w:rsidRPr="000673A6" w14:paraId="3D01D092" w14:textId="77777777" w:rsidTr="00C14E25">
        <w:trPr>
          <w:trHeight w:val="20"/>
        </w:trPr>
        <w:tc>
          <w:tcPr>
            <w:tcW w:w="539" w:type="pct"/>
            <w:vMerge/>
            <w:tcBorders>
              <w:left w:val="nil"/>
              <w:right w:val="nil"/>
            </w:tcBorders>
            <w:shd w:val="clear" w:color="auto" w:fill="auto"/>
            <w:vAlign w:val="center"/>
          </w:tcPr>
          <w:p w14:paraId="2EF86F50" w14:textId="77777777" w:rsidR="00E9015E" w:rsidRPr="009516A1" w:rsidRDefault="00E9015E" w:rsidP="00C14E25">
            <w:pPr>
              <w:spacing w:line="276" w:lineRule="auto"/>
              <w:jc w:val="center"/>
              <w:rPr>
                <w:rFonts w:ascii="Times New Roman" w:hAnsi="Times New Roman" w:cs="Times New Roman"/>
                <w:b/>
                <w:bCs/>
                <w:sz w:val="14"/>
                <w:szCs w:val="14"/>
              </w:rPr>
            </w:pPr>
          </w:p>
        </w:tc>
        <w:tc>
          <w:tcPr>
            <w:tcW w:w="251" w:type="pct"/>
            <w:tcBorders>
              <w:top w:val="nil"/>
              <w:left w:val="nil"/>
              <w:bottom w:val="nil"/>
              <w:right w:val="nil"/>
            </w:tcBorders>
            <w:shd w:val="clear" w:color="auto" w:fill="auto"/>
            <w:vAlign w:val="center"/>
          </w:tcPr>
          <w:p w14:paraId="0BD31CA5"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DU1</w:t>
            </w:r>
          </w:p>
        </w:tc>
        <w:tc>
          <w:tcPr>
            <w:tcW w:w="2455" w:type="pct"/>
            <w:tcBorders>
              <w:top w:val="nil"/>
              <w:left w:val="nil"/>
              <w:bottom w:val="nil"/>
              <w:right w:val="nil"/>
            </w:tcBorders>
            <w:shd w:val="clear" w:color="auto" w:fill="auto"/>
          </w:tcPr>
          <w:p w14:paraId="3CFE8B7B" w14:textId="77777777" w:rsidR="00E9015E" w:rsidRPr="009516A1" w:rsidRDefault="00E9015E" w:rsidP="00C14E25">
            <w:pPr>
              <w:spacing w:line="276" w:lineRule="auto"/>
              <w:rPr>
                <w:rFonts w:ascii="Times New Roman" w:hAnsi="Times New Roman" w:cs="Times New Roman"/>
                <w:sz w:val="14"/>
                <w:szCs w:val="14"/>
              </w:rPr>
            </w:pPr>
            <w:r w:rsidRPr="009516A1">
              <w:rPr>
                <w:rFonts w:ascii="Times New Roman" w:hAnsi="Times New Roman" w:cs="Times New Roman"/>
                <w:sz w:val="14"/>
                <w:szCs w:val="14"/>
              </w:rPr>
              <w:t>Customer requirements for our products vary dramatically</w:t>
            </w:r>
          </w:p>
        </w:tc>
        <w:tc>
          <w:tcPr>
            <w:tcW w:w="251" w:type="pct"/>
            <w:tcBorders>
              <w:top w:val="nil"/>
              <w:left w:val="nil"/>
              <w:bottom w:val="nil"/>
              <w:right w:val="nil"/>
            </w:tcBorders>
            <w:shd w:val="clear" w:color="auto" w:fill="auto"/>
            <w:vAlign w:val="center"/>
          </w:tcPr>
          <w:p w14:paraId="0C39C79A"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3.10</w:t>
            </w:r>
          </w:p>
        </w:tc>
        <w:tc>
          <w:tcPr>
            <w:tcW w:w="251" w:type="pct"/>
            <w:tcBorders>
              <w:top w:val="nil"/>
              <w:left w:val="nil"/>
              <w:bottom w:val="nil"/>
              <w:right w:val="nil"/>
            </w:tcBorders>
            <w:shd w:val="clear" w:color="auto" w:fill="auto"/>
            <w:vAlign w:val="center"/>
          </w:tcPr>
          <w:p w14:paraId="1FAB1139"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1.00</w:t>
            </w:r>
          </w:p>
        </w:tc>
        <w:tc>
          <w:tcPr>
            <w:tcW w:w="300" w:type="pct"/>
            <w:tcBorders>
              <w:top w:val="nil"/>
              <w:left w:val="nil"/>
              <w:bottom w:val="nil"/>
              <w:right w:val="nil"/>
            </w:tcBorders>
            <w:shd w:val="clear" w:color="auto" w:fill="auto"/>
            <w:vAlign w:val="center"/>
          </w:tcPr>
          <w:p w14:paraId="00C08CFB"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.726</w:t>
            </w:r>
          </w:p>
        </w:tc>
        <w:tc>
          <w:tcPr>
            <w:tcW w:w="251" w:type="pct"/>
            <w:tcBorders>
              <w:top w:val="nil"/>
              <w:left w:val="nil"/>
              <w:bottom w:val="nil"/>
              <w:right w:val="nil"/>
            </w:tcBorders>
            <w:shd w:val="clear" w:color="auto" w:fill="auto"/>
            <w:vAlign w:val="center"/>
          </w:tcPr>
          <w:p w14:paraId="75ED216B"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w:t>
            </w:r>
          </w:p>
        </w:tc>
        <w:tc>
          <w:tcPr>
            <w:tcW w:w="351" w:type="pct"/>
            <w:vMerge w:val="restart"/>
            <w:tcBorders>
              <w:top w:val="nil"/>
              <w:left w:val="nil"/>
              <w:right w:val="nil"/>
            </w:tcBorders>
            <w:shd w:val="clear" w:color="auto" w:fill="auto"/>
            <w:vAlign w:val="center"/>
          </w:tcPr>
          <w:p w14:paraId="2527F478"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.738</w:t>
            </w:r>
          </w:p>
        </w:tc>
        <w:tc>
          <w:tcPr>
            <w:tcW w:w="351" w:type="pct"/>
            <w:vMerge w:val="restart"/>
            <w:tcBorders>
              <w:top w:val="nil"/>
              <w:left w:val="nil"/>
              <w:right w:val="nil"/>
            </w:tcBorders>
            <w:shd w:val="clear" w:color="auto" w:fill="auto"/>
            <w:vAlign w:val="center"/>
          </w:tcPr>
          <w:p w14:paraId="08DA6282"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.740</w:t>
            </w:r>
          </w:p>
        </w:tc>
      </w:tr>
      <w:tr w:rsidR="00E9015E" w:rsidRPr="000673A6" w14:paraId="05699AB8" w14:textId="77777777" w:rsidTr="00C14E25">
        <w:trPr>
          <w:trHeight w:val="20"/>
        </w:trPr>
        <w:tc>
          <w:tcPr>
            <w:tcW w:w="539" w:type="pct"/>
            <w:vMerge/>
            <w:tcBorders>
              <w:left w:val="nil"/>
              <w:right w:val="nil"/>
            </w:tcBorders>
            <w:shd w:val="clear" w:color="auto" w:fill="auto"/>
            <w:vAlign w:val="center"/>
          </w:tcPr>
          <w:p w14:paraId="09AB457D" w14:textId="77777777" w:rsidR="00E9015E" w:rsidRPr="009516A1" w:rsidRDefault="00E9015E" w:rsidP="00C14E25">
            <w:pPr>
              <w:spacing w:line="276" w:lineRule="auto"/>
              <w:jc w:val="center"/>
              <w:rPr>
                <w:rFonts w:ascii="Times New Roman" w:hAnsi="Times New Roman" w:cs="Times New Roman"/>
                <w:b/>
                <w:bCs/>
                <w:sz w:val="14"/>
                <w:szCs w:val="14"/>
              </w:rPr>
            </w:pPr>
          </w:p>
        </w:tc>
        <w:tc>
          <w:tcPr>
            <w:tcW w:w="251" w:type="pct"/>
            <w:tcBorders>
              <w:top w:val="nil"/>
              <w:left w:val="nil"/>
              <w:bottom w:val="single" w:sz="4" w:space="0" w:color="auto"/>
              <w:right w:val="nil"/>
            </w:tcBorders>
            <w:shd w:val="clear" w:color="auto" w:fill="auto"/>
            <w:vAlign w:val="center"/>
          </w:tcPr>
          <w:p w14:paraId="0A9574BA"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DU2</w:t>
            </w:r>
          </w:p>
        </w:tc>
        <w:tc>
          <w:tcPr>
            <w:tcW w:w="2455" w:type="pct"/>
            <w:tcBorders>
              <w:top w:val="nil"/>
              <w:left w:val="nil"/>
              <w:bottom w:val="single" w:sz="4" w:space="0" w:color="auto"/>
              <w:right w:val="nil"/>
            </w:tcBorders>
            <w:shd w:val="clear" w:color="auto" w:fill="auto"/>
          </w:tcPr>
          <w:p w14:paraId="22ABAC69" w14:textId="77777777" w:rsidR="00E9015E" w:rsidRPr="009516A1" w:rsidRDefault="00E9015E" w:rsidP="00C14E25">
            <w:pPr>
              <w:spacing w:line="276" w:lineRule="auto"/>
              <w:rPr>
                <w:rFonts w:ascii="Times New Roman" w:hAnsi="Times New Roman" w:cs="Times New Roman"/>
                <w:sz w:val="14"/>
                <w:szCs w:val="14"/>
              </w:rPr>
            </w:pPr>
            <w:r w:rsidRPr="009516A1">
              <w:rPr>
                <w:rFonts w:ascii="Times New Roman" w:hAnsi="Times New Roman" w:cs="Times New Roman"/>
                <w:sz w:val="14"/>
                <w:szCs w:val="14"/>
              </w:rPr>
              <w:t>Our supply requirements vary drastically from week to week</w:t>
            </w:r>
          </w:p>
        </w:tc>
        <w:tc>
          <w:tcPr>
            <w:tcW w:w="251" w:type="pct"/>
            <w:tcBorders>
              <w:top w:val="nil"/>
              <w:left w:val="nil"/>
              <w:bottom w:val="single" w:sz="4" w:space="0" w:color="auto"/>
              <w:right w:val="nil"/>
            </w:tcBorders>
            <w:shd w:val="clear" w:color="auto" w:fill="auto"/>
            <w:vAlign w:val="center"/>
          </w:tcPr>
          <w:p w14:paraId="2F01EB66"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3.30</w:t>
            </w:r>
          </w:p>
        </w:tc>
        <w:tc>
          <w:tcPr>
            <w:tcW w:w="251" w:type="pct"/>
            <w:tcBorders>
              <w:top w:val="nil"/>
              <w:left w:val="nil"/>
              <w:bottom w:val="single" w:sz="4" w:space="0" w:color="auto"/>
              <w:right w:val="nil"/>
            </w:tcBorders>
            <w:shd w:val="clear" w:color="auto" w:fill="auto"/>
            <w:vAlign w:val="center"/>
          </w:tcPr>
          <w:p w14:paraId="77B064D2"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.97</w:t>
            </w:r>
          </w:p>
        </w:tc>
        <w:tc>
          <w:tcPr>
            <w:tcW w:w="300" w:type="pct"/>
            <w:tcBorders>
              <w:top w:val="nil"/>
              <w:left w:val="nil"/>
              <w:bottom w:val="single" w:sz="4" w:space="0" w:color="auto"/>
              <w:right w:val="nil"/>
            </w:tcBorders>
            <w:shd w:val="clear" w:color="auto" w:fill="auto"/>
            <w:vAlign w:val="center"/>
          </w:tcPr>
          <w:p w14:paraId="4518B20B"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.806</w:t>
            </w:r>
          </w:p>
        </w:tc>
        <w:tc>
          <w:tcPr>
            <w:tcW w:w="251" w:type="pct"/>
            <w:tcBorders>
              <w:top w:val="nil"/>
              <w:left w:val="nil"/>
              <w:bottom w:val="single" w:sz="4" w:space="0" w:color="auto"/>
              <w:right w:val="nil"/>
            </w:tcBorders>
            <w:shd w:val="clear" w:color="auto" w:fill="auto"/>
            <w:vAlign w:val="center"/>
          </w:tcPr>
          <w:p w14:paraId="5F731D3F"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5.695</w:t>
            </w:r>
          </w:p>
        </w:tc>
        <w:tc>
          <w:tcPr>
            <w:tcW w:w="351" w:type="pct"/>
            <w:vMerge/>
            <w:tcBorders>
              <w:left w:val="nil"/>
              <w:bottom w:val="single" w:sz="4" w:space="0" w:color="auto"/>
              <w:right w:val="nil"/>
            </w:tcBorders>
            <w:shd w:val="clear" w:color="auto" w:fill="auto"/>
          </w:tcPr>
          <w:p w14:paraId="5E35DE24" w14:textId="77777777" w:rsidR="00E9015E" w:rsidRPr="009516A1" w:rsidRDefault="00E9015E" w:rsidP="00C14E25">
            <w:pPr>
              <w:spacing w:line="276" w:lineRule="auto"/>
              <w:jc w:val="center"/>
              <w:rPr>
                <w:rFonts w:ascii="Times New Roman" w:hAnsi="Times New Roman" w:cs="Times New Roman"/>
                <w:b/>
                <w:bCs/>
                <w:sz w:val="14"/>
                <w:szCs w:val="14"/>
              </w:rPr>
            </w:pPr>
          </w:p>
        </w:tc>
        <w:tc>
          <w:tcPr>
            <w:tcW w:w="351" w:type="pct"/>
            <w:vMerge/>
            <w:tcBorders>
              <w:left w:val="nil"/>
              <w:bottom w:val="single" w:sz="4" w:space="0" w:color="auto"/>
              <w:right w:val="nil"/>
            </w:tcBorders>
            <w:shd w:val="clear" w:color="auto" w:fill="auto"/>
          </w:tcPr>
          <w:p w14:paraId="5397E644" w14:textId="77777777" w:rsidR="00E9015E" w:rsidRPr="009516A1" w:rsidRDefault="00E9015E" w:rsidP="00C14E25">
            <w:pPr>
              <w:spacing w:line="276" w:lineRule="auto"/>
              <w:jc w:val="center"/>
              <w:rPr>
                <w:rFonts w:ascii="Times New Roman" w:hAnsi="Times New Roman" w:cs="Times New Roman"/>
                <w:b/>
                <w:bCs/>
                <w:sz w:val="14"/>
                <w:szCs w:val="14"/>
              </w:rPr>
            </w:pPr>
          </w:p>
        </w:tc>
      </w:tr>
      <w:tr w:rsidR="00E9015E" w:rsidRPr="000673A6" w14:paraId="6DD9B0BB" w14:textId="77777777" w:rsidTr="00C14E25">
        <w:trPr>
          <w:trHeight w:val="20"/>
        </w:trPr>
        <w:tc>
          <w:tcPr>
            <w:tcW w:w="539" w:type="pct"/>
            <w:vMerge w:val="restart"/>
            <w:tcBorders>
              <w:left w:val="nil"/>
              <w:right w:val="nil"/>
            </w:tcBorders>
            <w:shd w:val="clear" w:color="auto" w:fill="auto"/>
            <w:vAlign w:val="center"/>
          </w:tcPr>
          <w:p w14:paraId="3F613A6B" w14:textId="77777777" w:rsidR="00E9015E" w:rsidRPr="009516A1" w:rsidRDefault="00E9015E" w:rsidP="00C14E25">
            <w:pPr>
              <w:spacing w:line="276" w:lineRule="auto"/>
              <w:jc w:val="center"/>
              <w:rPr>
                <w:rFonts w:ascii="Times New Roman" w:hAnsi="Times New Roman" w:cs="Times New Roman"/>
                <w:color w:val="000000" w:themeColor="text1"/>
                <w:sz w:val="14"/>
                <w:szCs w:val="14"/>
              </w:rPr>
            </w:pPr>
            <w:r w:rsidRPr="009516A1">
              <w:rPr>
                <w:rFonts w:ascii="Times New Roman" w:hAnsi="Times New Roman" w:cs="Times New Roman"/>
                <w:color w:val="000000" w:themeColor="text1"/>
                <w:sz w:val="14"/>
                <w:szCs w:val="14"/>
              </w:rPr>
              <w:t>Technology Uncertainty</w:t>
            </w:r>
          </w:p>
          <w:p w14:paraId="100AEFD8" w14:textId="77777777" w:rsidR="00E9015E" w:rsidRPr="009516A1" w:rsidRDefault="00E9015E" w:rsidP="00C14E25">
            <w:pPr>
              <w:spacing w:line="276" w:lineRule="auto"/>
              <w:jc w:val="center"/>
              <w:rPr>
                <w:rFonts w:ascii="Times New Roman" w:hAnsi="Times New Roman" w:cs="Times New Roman"/>
                <w:color w:val="000000" w:themeColor="text1"/>
                <w:sz w:val="14"/>
                <w:szCs w:val="14"/>
              </w:rPr>
            </w:pPr>
            <w:r w:rsidRPr="009516A1">
              <w:rPr>
                <w:rFonts w:ascii="Times New Roman" w:hAnsi="Times New Roman" w:cs="Times New Roman"/>
                <w:color w:val="000000" w:themeColor="text1"/>
                <w:sz w:val="14"/>
                <w:szCs w:val="14"/>
              </w:rPr>
              <w:t>(TU)</w:t>
            </w:r>
          </w:p>
        </w:tc>
        <w:tc>
          <w:tcPr>
            <w:tcW w:w="251" w:type="pct"/>
            <w:tcBorders>
              <w:left w:val="nil"/>
              <w:bottom w:val="nil"/>
              <w:right w:val="nil"/>
            </w:tcBorders>
            <w:shd w:val="clear" w:color="auto" w:fill="auto"/>
            <w:vAlign w:val="center"/>
          </w:tcPr>
          <w:p w14:paraId="0E9FE433" w14:textId="77777777" w:rsidR="00E9015E" w:rsidRPr="009516A1" w:rsidRDefault="00E9015E" w:rsidP="00C14E25">
            <w:pPr>
              <w:spacing w:line="276" w:lineRule="auto"/>
              <w:jc w:val="center"/>
              <w:rPr>
                <w:rFonts w:ascii="Times New Roman" w:hAnsi="Times New Roman" w:cs="Times New Roman"/>
                <w:sz w:val="14"/>
                <w:szCs w:val="14"/>
              </w:rPr>
            </w:pPr>
          </w:p>
        </w:tc>
        <w:tc>
          <w:tcPr>
            <w:tcW w:w="2455" w:type="pct"/>
            <w:tcBorders>
              <w:left w:val="nil"/>
              <w:bottom w:val="nil"/>
              <w:right w:val="nil"/>
            </w:tcBorders>
            <w:shd w:val="clear" w:color="auto" w:fill="auto"/>
          </w:tcPr>
          <w:p w14:paraId="27022AE2" w14:textId="77777777" w:rsidR="00E9015E" w:rsidRPr="009516A1" w:rsidRDefault="00E9015E" w:rsidP="00C14E25">
            <w:pPr>
              <w:spacing w:line="276" w:lineRule="auto"/>
              <w:rPr>
                <w:rFonts w:ascii="Times New Roman" w:hAnsi="Times New Roman" w:cs="Times New Roman"/>
                <w:sz w:val="14"/>
                <w:szCs w:val="14"/>
              </w:rPr>
            </w:pPr>
            <w:r w:rsidRPr="009516A1">
              <w:rPr>
                <w:rFonts w:ascii="Times New Roman" w:hAnsi="Times New Roman" w:cs="Times New Roman"/>
                <w:i/>
                <w:iCs/>
                <w:sz w:val="14"/>
                <w:szCs w:val="14"/>
              </w:rPr>
              <w:t xml:space="preserve">Please indicate the degree to which you agree to the following statements concerning environmental uncertainty your company is </w:t>
            </w:r>
            <w:proofErr w:type="gramStart"/>
            <w:r w:rsidRPr="009516A1">
              <w:rPr>
                <w:rFonts w:ascii="Times New Roman" w:hAnsi="Times New Roman" w:cs="Times New Roman"/>
                <w:i/>
                <w:iCs/>
                <w:sz w:val="14"/>
                <w:szCs w:val="14"/>
              </w:rPr>
              <w:t>facing  (</w:t>
            </w:r>
            <w:proofErr w:type="gramEnd"/>
            <w:r w:rsidRPr="009516A1">
              <w:rPr>
                <w:rFonts w:ascii="Times New Roman" w:hAnsi="Times New Roman" w:cs="Times New Roman"/>
                <w:i/>
                <w:iCs/>
                <w:sz w:val="14"/>
                <w:szCs w:val="14"/>
              </w:rPr>
              <w:t>1=strongly disagree, 5= strongly agree):</w:t>
            </w:r>
          </w:p>
        </w:tc>
        <w:tc>
          <w:tcPr>
            <w:tcW w:w="251" w:type="pct"/>
            <w:tcBorders>
              <w:left w:val="nil"/>
              <w:bottom w:val="nil"/>
              <w:right w:val="nil"/>
            </w:tcBorders>
            <w:shd w:val="clear" w:color="auto" w:fill="auto"/>
            <w:vAlign w:val="center"/>
          </w:tcPr>
          <w:p w14:paraId="1933D5FA" w14:textId="77777777" w:rsidR="00E9015E" w:rsidRPr="009516A1" w:rsidRDefault="00E9015E" w:rsidP="00C14E25">
            <w:pPr>
              <w:spacing w:line="276" w:lineRule="auto"/>
              <w:jc w:val="center"/>
              <w:rPr>
                <w:rFonts w:ascii="Times New Roman" w:hAnsi="Times New Roman" w:cs="Times New Roman"/>
                <w:sz w:val="14"/>
                <w:szCs w:val="14"/>
              </w:rPr>
            </w:pPr>
          </w:p>
        </w:tc>
        <w:tc>
          <w:tcPr>
            <w:tcW w:w="251" w:type="pct"/>
            <w:tcBorders>
              <w:left w:val="nil"/>
              <w:bottom w:val="nil"/>
              <w:right w:val="nil"/>
            </w:tcBorders>
            <w:shd w:val="clear" w:color="auto" w:fill="auto"/>
            <w:vAlign w:val="center"/>
          </w:tcPr>
          <w:p w14:paraId="74A4A24C" w14:textId="77777777" w:rsidR="00E9015E" w:rsidRPr="009516A1" w:rsidRDefault="00E9015E" w:rsidP="00C14E25">
            <w:pPr>
              <w:spacing w:line="276" w:lineRule="auto"/>
              <w:jc w:val="center"/>
              <w:rPr>
                <w:rFonts w:ascii="Times New Roman" w:hAnsi="Times New Roman" w:cs="Times New Roman"/>
                <w:sz w:val="14"/>
                <w:szCs w:val="14"/>
              </w:rPr>
            </w:pPr>
          </w:p>
        </w:tc>
        <w:tc>
          <w:tcPr>
            <w:tcW w:w="300" w:type="pct"/>
            <w:tcBorders>
              <w:left w:val="nil"/>
              <w:bottom w:val="nil"/>
              <w:right w:val="nil"/>
            </w:tcBorders>
            <w:shd w:val="clear" w:color="auto" w:fill="auto"/>
            <w:vAlign w:val="center"/>
          </w:tcPr>
          <w:p w14:paraId="6AF32C93" w14:textId="77777777" w:rsidR="00E9015E" w:rsidRPr="009516A1" w:rsidRDefault="00E9015E" w:rsidP="00C14E25">
            <w:pPr>
              <w:spacing w:line="276" w:lineRule="auto"/>
              <w:jc w:val="center"/>
              <w:rPr>
                <w:rFonts w:ascii="Times New Roman" w:hAnsi="Times New Roman" w:cs="Times New Roman"/>
                <w:sz w:val="14"/>
                <w:szCs w:val="14"/>
              </w:rPr>
            </w:pPr>
          </w:p>
        </w:tc>
        <w:tc>
          <w:tcPr>
            <w:tcW w:w="251" w:type="pct"/>
            <w:tcBorders>
              <w:left w:val="nil"/>
              <w:bottom w:val="nil"/>
              <w:right w:val="nil"/>
            </w:tcBorders>
            <w:shd w:val="clear" w:color="auto" w:fill="auto"/>
            <w:vAlign w:val="center"/>
          </w:tcPr>
          <w:p w14:paraId="0E02040F" w14:textId="77777777" w:rsidR="00E9015E" w:rsidRPr="009516A1" w:rsidRDefault="00E9015E" w:rsidP="00C14E25">
            <w:pPr>
              <w:spacing w:line="276" w:lineRule="auto"/>
              <w:jc w:val="center"/>
              <w:rPr>
                <w:rFonts w:ascii="Times New Roman" w:hAnsi="Times New Roman" w:cs="Times New Roman"/>
                <w:sz w:val="14"/>
                <w:szCs w:val="14"/>
              </w:rPr>
            </w:pPr>
          </w:p>
        </w:tc>
        <w:tc>
          <w:tcPr>
            <w:tcW w:w="351" w:type="pct"/>
            <w:tcBorders>
              <w:left w:val="nil"/>
              <w:bottom w:val="nil"/>
              <w:right w:val="nil"/>
            </w:tcBorders>
            <w:shd w:val="clear" w:color="auto" w:fill="auto"/>
          </w:tcPr>
          <w:p w14:paraId="7E626247" w14:textId="77777777" w:rsidR="00E9015E" w:rsidRPr="009516A1" w:rsidRDefault="00E9015E" w:rsidP="00C14E25">
            <w:pPr>
              <w:spacing w:line="276" w:lineRule="auto"/>
              <w:jc w:val="center"/>
              <w:rPr>
                <w:rFonts w:ascii="Times New Roman" w:hAnsi="Times New Roman" w:cs="Times New Roman"/>
                <w:sz w:val="14"/>
                <w:szCs w:val="14"/>
              </w:rPr>
            </w:pPr>
          </w:p>
        </w:tc>
        <w:tc>
          <w:tcPr>
            <w:tcW w:w="351" w:type="pct"/>
            <w:tcBorders>
              <w:left w:val="nil"/>
              <w:bottom w:val="nil"/>
              <w:right w:val="nil"/>
            </w:tcBorders>
            <w:shd w:val="clear" w:color="auto" w:fill="auto"/>
          </w:tcPr>
          <w:p w14:paraId="1F612BCA" w14:textId="77777777" w:rsidR="00E9015E" w:rsidRPr="009516A1" w:rsidRDefault="00E9015E" w:rsidP="00C14E25">
            <w:pPr>
              <w:spacing w:line="276" w:lineRule="auto"/>
              <w:jc w:val="center"/>
              <w:rPr>
                <w:rFonts w:ascii="Times New Roman" w:hAnsi="Times New Roman" w:cs="Times New Roman"/>
                <w:sz w:val="14"/>
                <w:szCs w:val="14"/>
              </w:rPr>
            </w:pPr>
          </w:p>
        </w:tc>
      </w:tr>
      <w:tr w:rsidR="00E9015E" w:rsidRPr="000673A6" w14:paraId="6BF9A1B4" w14:textId="77777777" w:rsidTr="00C14E25">
        <w:trPr>
          <w:trHeight w:val="20"/>
        </w:trPr>
        <w:tc>
          <w:tcPr>
            <w:tcW w:w="539" w:type="pct"/>
            <w:vMerge/>
            <w:tcBorders>
              <w:left w:val="nil"/>
              <w:right w:val="nil"/>
            </w:tcBorders>
            <w:shd w:val="clear" w:color="auto" w:fill="auto"/>
            <w:vAlign w:val="center"/>
          </w:tcPr>
          <w:p w14:paraId="535DF9A8" w14:textId="77777777" w:rsidR="00E9015E" w:rsidRPr="009516A1" w:rsidRDefault="00E9015E" w:rsidP="00C14E25">
            <w:pPr>
              <w:spacing w:line="276" w:lineRule="auto"/>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573F8875"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TU1</w:t>
            </w:r>
          </w:p>
        </w:tc>
        <w:tc>
          <w:tcPr>
            <w:tcW w:w="2455" w:type="pct"/>
            <w:tcBorders>
              <w:top w:val="nil"/>
              <w:left w:val="nil"/>
              <w:bottom w:val="nil"/>
              <w:right w:val="nil"/>
            </w:tcBorders>
            <w:shd w:val="clear" w:color="auto" w:fill="auto"/>
          </w:tcPr>
          <w:p w14:paraId="3B62D5F5" w14:textId="77777777" w:rsidR="00E9015E" w:rsidRPr="009516A1" w:rsidRDefault="00E9015E" w:rsidP="00C14E25">
            <w:pPr>
              <w:spacing w:line="276" w:lineRule="auto"/>
              <w:rPr>
                <w:rFonts w:ascii="Times New Roman" w:hAnsi="Times New Roman" w:cs="Times New Roman"/>
                <w:sz w:val="14"/>
                <w:szCs w:val="14"/>
              </w:rPr>
            </w:pPr>
            <w:r w:rsidRPr="009516A1">
              <w:rPr>
                <w:rFonts w:ascii="Times New Roman" w:hAnsi="Times New Roman" w:cs="Times New Roman"/>
                <w:sz w:val="14"/>
                <w:szCs w:val="14"/>
              </w:rPr>
              <w:t>Our industry is characterized by rapidly changing technology</w:t>
            </w:r>
          </w:p>
        </w:tc>
        <w:tc>
          <w:tcPr>
            <w:tcW w:w="251" w:type="pct"/>
            <w:tcBorders>
              <w:top w:val="nil"/>
              <w:left w:val="nil"/>
              <w:bottom w:val="nil"/>
              <w:right w:val="nil"/>
            </w:tcBorders>
            <w:shd w:val="clear" w:color="auto" w:fill="auto"/>
            <w:vAlign w:val="center"/>
          </w:tcPr>
          <w:p w14:paraId="59B6EF98"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3.21</w:t>
            </w:r>
          </w:p>
        </w:tc>
        <w:tc>
          <w:tcPr>
            <w:tcW w:w="251" w:type="pct"/>
            <w:tcBorders>
              <w:top w:val="nil"/>
              <w:left w:val="nil"/>
              <w:bottom w:val="nil"/>
              <w:right w:val="nil"/>
            </w:tcBorders>
            <w:shd w:val="clear" w:color="auto" w:fill="auto"/>
            <w:vAlign w:val="center"/>
          </w:tcPr>
          <w:p w14:paraId="5A128105"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1.05</w:t>
            </w:r>
          </w:p>
        </w:tc>
        <w:tc>
          <w:tcPr>
            <w:tcW w:w="300" w:type="pct"/>
            <w:tcBorders>
              <w:top w:val="nil"/>
              <w:left w:val="nil"/>
              <w:bottom w:val="nil"/>
              <w:right w:val="nil"/>
            </w:tcBorders>
            <w:shd w:val="clear" w:color="auto" w:fill="auto"/>
            <w:vAlign w:val="center"/>
          </w:tcPr>
          <w:p w14:paraId="12EC7EC0"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.754</w:t>
            </w:r>
          </w:p>
        </w:tc>
        <w:tc>
          <w:tcPr>
            <w:tcW w:w="251" w:type="pct"/>
            <w:tcBorders>
              <w:top w:val="nil"/>
              <w:left w:val="nil"/>
              <w:bottom w:val="nil"/>
              <w:right w:val="nil"/>
            </w:tcBorders>
            <w:shd w:val="clear" w:color="auto" w:fill="auto"/>
            <w:vAlign w:val="center"/>
          </w:tcPr>
          <w:p w14:paraId="15C74EBD"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w:t>
            </w:r>
          </w:p>
        </w:tc>
        <w:tc>
          <w:tcPr>
            <w:tcW w:w="351" w:type="pct"/>
            <w:vMerge w:val="restart"/>
            <w:tcBorders>
              <w:top w:val="nil"/>
              <w:left w:val="nil"/>
              <w:right w:val="nil"/>
            </w:tcBorders>
            <w:shd w:val="clear" w:color="auto" w:fill="auto"/>
            <w:vAlign w:val="center"/>
          </w:tcPr>
          <w:p w14:paraId="1A246AF9"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.771</w:t>
            </w:r>
          </w:p>
        </w:tc>
        <w:tc>
          <w:tcPr>
            <w:tcW w:w="351" w:type="pct"/>
            <w:vMerge w:val="restart"/>
            <w:tcBorders>
              <w:top w:val="nil"/>
              <w:left w:val="nil"/>
              <w:right w:val="nil"/>
            </w:tcBorders>
            <w:shd w:val="clear" w:color="auto" w:fill="auto"/>
            <w:vAlign w:val="center"/>
          </w:tcPr>
          <w:p w14:paraId="0228A2C9"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.777</w:t>
            </w:r>
          </w:p>
        </w:tc>
      </w:tr>
      <w:tr w:rsidR="00E9015E" w:rsidRPr="000673A6" w14:paraId="1C1200C7" w14:textId="77777777" w:rsidTr="00C14E25">
        <w:trPr>
          <w:trHeight w:val="20"/>
        </w:trPr>
        <w:tc>
          <w:tcPr>
            <w:tcW w:w="539" w:type="pct"/>
            <w:vMerge/>
            <w:tcBorders>
              <w:left w:val="nil"/>
              <w:right w:val="nil"/>
            </w:tcBorders>
            <w:shd w:val="clear" w:color="auto" w:fill="auto"/>
            <w:vAlign w:val="center"/>
          </w:tcPr>
          <w:p w14:paraId="62BD686F" w14:textId="77777777" w:rsidR="00E9015E" w:rsidRPr="009516A1" w:rsidRDefault="00E9015E" w:rsidP="00C14E25">
            <w:pPr>
              <w:spacing w:line="276" w:lineRule="auto"/>
              <w:jc w:val="center"/>
              <w:rPr>
                <w:rFonts w:ascii="Times New Roman" w:hAnsi="Times New Roman" w:cs="Times New Roman"/>
                <w:color w:val="000000" w:themeColor="text1"/>
                <w:sz w:val="14"/>
                <w:szCs w:val="14"/>
              </w:rPr>
            </w:pPr>
          </w:p>
        </w:tc>
        <w:tc>
          <w:tcPr>
            <w:tcW w:w="251" w:type="pct"/>
            <w:tcBorders>
              <w:top w:val="nil"/>
              <w:left w:val="nil"/>
              <w:bottom w:val="single" w:sz="4" w:space="0" w:color="auto"/>
              <w:right w:val="nil"/>
            </w:tcBorders>
            <w:shd w:val="clear" w:color="auto" w:fill="auto"/>
            <w:vAlign w:val="center"/>
          </w:tcPr>
          <w:p w14:paraId="175C466A"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TU2</w:t>
            </w:r>
          </w:p>
        </w:tc>
        <w:tc>
          <w:tcPr>
            <w:tcW w:w="2455" w:type="pct"/>
            <w:tcBorders>
              <w:top w:val="nil"/>
              <w:left w:val="nil"/>
              <w:bottom w:val="single" w:sz="4" w:space="0" w:color="auto"/>
              <w:right w:val="nil"/>
            </w:tcBorders>
            <w:shd w:val="clear" w:color="auto" w:fill="auto"/>
          </w:tcPr>
          <w:p w14:paraId="4A060D0D" w14:textId="77777777" w:rsidR="00E9015E" w:rsidRPr="009516A1" w:rsidRDefault="00E9015E" w:rsidP="00C14E25">
            <w:pPr>
              <w:spacing w:line="276" w:lineRule="auto"/>
              <w:rPr>
                <w:rFonts w:ascii="Times New Roman" w:hAnsi="Times New Roman" w:cs="Times New Roman"/>
                <w:sz w:val="14"/>
                <w:szCs w:val="14"/>
              </w:rPr>
            </w:pPr>
            <w:r w:rsidRPr="009516A1">
              <w:rPr>
                <w:rFonts w:ascii="Times New Roman" w:hAnsi="Times New Roman" w:cs="Times New Roman"/>
                <w:sz w:val="14"/>
                <w:szCs w:val="14"/>
              </w:rPr>
              <w:t>Our production technology changes frequently</w:t>
            </w:r>
          </w:p>
        </w:tc>
        <w:tc>
          <w:tcPr>
            <w:tcW w:w="251" w:type="pct"/>
            <w:tcBorders>
              <w:top w:val="nil"/>
              <w:left w:val="nil"/>
              <w:bottom w:val="single" w:sz="4" w:space="0" w:color="auto"/>
              <w:right w:val="nil"/>
            </w:tcBorders>
            <w:shd w:val="clear" w:color="auto" w:fill="auto"/>
            <w:vAlign w:val="center"/>
          </w:tcPr>
          <w:p w14:paraId="652F7C91"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2.70</w:t>
            </w:r>
          </w:p>
        </w:tc>
        <w:tc>
          <w:tcPr>
            <w:tcW w:w="251" w:type="pct"/>
            <w:tcBorders>
              <w:top w:val="nil"/>
              <w:left w:val="nil"/>
              <w:bottom w:val="single" w:sz="4" w:space="0" w:color="auto"/>
              <w:right w:val="nil"/>
            </w:tcBorders>
            <w:shd w:val="clear" w:color="auto" w:fill="auto"/>
            <w:vAlign w:val="center"/>
          </w:tcPr>
          <w:p w14:paraId="69CAC680"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.91</w:t>
            </w:r>
          </w:p>
        </w:tc>
        <w:tc>
          <w:tcPr>
            <w:tcW w:w="300" w:type="pct"/>
            <w:tcBorders>
              <w:top w:val="nil"/>
              <w:left w:val="nil"/>
              <w:bottom w:val="single" w:sz="4" w:space="0" w:color="auto"/>
              <w:right w:val="nil"/>
            </w:tcBorders>
            <w:shd w:val="clear" w:color="auto" w:fill="auto"/>
            <w:vAlign w:val="center"/>
          </w:tcPr>
          <w:p w14:paraId="232E180F"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.839</w:t>
            </w:r>
          </w:p>
        </w:tc>
        <w:tc>
          <w:tcPr>
            <w:tcW w:w="251" w:type="pct"/>
            <w:tcBorders>
              <w:top w:val="nil"/>
              <w:left w:val="nil"/>
              <w:bottom w:val="single" w:sz="4" w:space="0" w:color="auto"/>
              <w:right w:val="nil"/>
            </w:tcBorders>
            <w:shd w:val="clear" w:color="auto" w:fill="auto"/>
            <w:vAlign w:val="center"/>
          </w:tcPr>
          <w:p w14:paraId="3A5DBF15"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6.06</w:t>
            </w:r>
          </w:p>
        </w:tc>
        <w:tc>
          <w:tcPr>
            <w:tcW w:w="351" w:type="pct"/>
            <w:vMerge/>
            <w:tcBorders>
              <w:left w:val="nil"/>
              <w:bottom w:val="single" w:sz="4" w:space="0" w:color="auto"/>
              <w:right w:val="nil"/>
            </w:tcBorders>
            <w:shd w:val="clear" w:color="auto" w:fill="auto"/>
          </w:tcPr>
          <w:p w14:paraId="397854FB" w14:textId="77777777" w:rsidR="00E9015E" w:rsidRPr="009516A1" w:rsidRDefault="00E9015E" w:rsidP="00C14E25">
            <w:pPr>
              <w:spacing w:line="276" w:lineRule="auto"/>
              <w:jc w:val="center"/>
              <w:rPr>
                <w:rFonts w:ascii="Times New Roman" w:hAnsi="Times New Roman" w:cs="Times New Roman"/>
                <w:sz w:val="14"/>
                <w:szCs w:val="14"/>
              </w:rPr>
            </w:pPr>
          </w:p>
        </w:tc>
        <w:tc>
          <w:tcPr>
            <w:tcW w:w="351" w:type="pct"/>
            <w:vMerge/>
            <w:tcBorders>
              <w:left w:val="nil"/>
              <w:bottom w:val="single" w:sz="4" w:space="0" w:color="auto"/>
              <w:right w:val="nil"/>
            </w:tcBorders>
            <w:shd w:val="clear" w:color="auto" w:fill="auto"/>
          </w:tcPr>
          <w:p w14:paraId="5860FE8B" w14:textId="77777777" w:rsidR="00E9015E" w:rsidRPr="009516A1" w:rsidRDefault="00E9015E" w:rsidP="00C14E25">
            <w:pPr>
              <w:spacing w:line="276" w:lineRule="auto"/>
              <w:jc w:val="center"/>
              <w:rPr>
                <w:rFonts w:ascii="Times New Roman" w:hAnsi="Times New Roman" w:cs="Times New Roman"/>
                <w:sz w:val="14"/>
                <w:szCs w:val="14"/>
              </w:rPr>
            </w:pPr>
          </w:p>
        </w:tc>
      </w:tr>
      <w:tr w:rsidR="00E9015E" w:rsidRPr="000673A6" w14:paraId="31EEC68E" w14:textId="77777777" w:rsidTr="00C14E25">
        <w:trPr>
          <w:trHeight w:val="20"/>
        </w:trPr>
        <w:tc>
          <w:tcPr>
            <w:tcW w:w="539" w:type="pct"/>
            <w:vMerge w:val="restart"/>
            <w:tcBorders>
              <w:left w:val="nil"/>
              <w:right w:val="nil"/>
            </w:tcBorders>
            <w:shd w:val="clear" w:color="auto" w:fill="auto"/>
            <w:vAlign w:val="center"/>
          </w:tcPr>
          <w:p w14:paraId="79B48371" w14:textId="77777777" w:rsidR="00E9015E" w:rsidRPr="009516A1" w:rsidRDefault="00E9015E" w:rsidP="00C14E25">
            <w:pPr>
              <w:spacing w:line="276" w:lineRule="auto"/>
              <w:jc w:val="center"/>
              <w:rPr>
                <w:rFonts w:ascii="Times New Roman" w:hAnsi="Times New Roman" w:cs="Times New Roman"/>
                <w:color w:val="000000" w:themeColor="text1"/>
                <w:sz w:val="14"/>
                <w:szCs w:val="14"/>
              </w:rPr>
            </w:pPr>
            <w:r w:rsidRPr="009516A1">
              <w:rPr>
                <w:rFonts w:ascii="Times New Roman" w:hAnsi="Times New Roman" w:cs="Times New Roman"/>
                <w:sz w:val="14"/>
                <w:szCs w:val="14"/>
              </w:rPr>
              <w:t>Buyer’s Dependence on the Supplier</w:t>
            </w:r>
            <w:r w:rsidRPr="009516A1">
              <w:rPr>
                <w:rFonts w:ascii="Times New Roman" w:hAnsi="Times New Roman" w:cs="Times New Roman"/>
                <w:color w:val="000000" w:themeColor="text1"/>
                <w:sz w:val="14"/>
                <w:szCs w:val="14"/>
              </w:rPr>
              <w:t xml:space="preserve"> </w:t>
            </w:r>
          </w:p>
          <w:p w14:paraId="1D238C40" w14:textId="77777777" w:rsidR="00E9015E" w:rsidRPr="009516A1" w:rsidRDefault="00E9015E" w:rsidP="00C14E25">
            <w:pPr>
              <w:spacing w:line="276" w:lineRule="auto"/>
              <w:jc w:val="center"/>
              <w:rPr>
                <w:rFonts w:ascii="Times New Roman" w:hAnsi="Times New Roman" w:cs="Times New Roman"/>
                <w:color w:val="000000" w:themeColor="text1"/>
                <w:sz w:val="14"/>
                <w:szCs w:val="14"/>
              </w:rPr>
            </w:pPr>
            <w:r w:rsidRPr="009516A1">
              <w:rPr>
                <w:rFonts w:ascii="Times New Roman" w:hAnsi="Times New Roman" w:cs="Times New Roman"/>
                <w:color w:val="000000" w:themeColor="text1"/>
                <w:sz w:val="14"/>
                <w:szCs w:val="14"/>
              </w:rPr>
              <w:t>(BDP)</w:t>
            </w:r>
          </w:p>
        </w:tc>
        <w:tc>
          <w:tcPr>
            <w:tcW w:w="251" w:type="pct"/>
            <w:tcBorders>
              <w:left w:val="nil"/>
              <w:bottom w:val="nil"/>
              <w:right w:val="nil"/>
            </w:tcBorders>
            <w:shd w:val="clear" w:color="auto" w:fill="auto"/>
            <w:vAlign w:val="center"/>
          </w:tcPr>
          <w:p w14:paraId="77C83303" w14:textId="77777777" w:rsidR="00E9015E" w:rsidRPr="009516A1" w:rsidRDefault="00E9015E" w:rsidP="00C14E25">
            <w:pPr>
              <w:spacing w:line="276" w:lineRule="auto"/>
              <w:jc w:val="center"/>
              <w:rPr>
                <w:rFonts w:ascii="Times New Roman" w:hAnsi="Times New Roman" w:cs="Times New Roman"/>
                <w:sz w:val="14"/>
                <w:szCs w:val="14"/>
              </w:rPr>
            </w:pPr>
          </w:p>
        </w:tc>
        <w:tc>
          <w:tcPr>
            <w:tcW w:w="2455" w:type="pct"/>
            <w:tcBorders>
              <w:left w:val="nil"/>
              <w:bottom w:val="nil"/>
              <w:right w:val="nil"/>
            </w:tcBorders>
            <w:shd w:val="clear" w:color="auto" w:fill="auto"/>
            <w:vAlign w:val="center"/>
          </w:tcPr>
          <w:p w14:paraId="5659EA08" w14:textId="77777777" w:rsidR="00E9015E" w:rsidRPr="009516A1" w:rsidRDefault="00E9015E" w:rsidP="00C14E25">
            <w:pPr>
              <w:spacing w:line="276" w:lineRule="auto"/>
              <w:rPr>
                <w:rFonts w:ascii="Times New Roman" w:hAnsi="Times New Roman" w:cs="Times New Roman"/>
                <w:sz w:val="14"/>
                <w:szCs w:val="14"/>
              </w:rPr>
            </w:pPr>
            <w:r w:rsidRPr="009516A1">
              <w:rPr>
                <w:rFonts w:ascii="Times New Roman" w:hAnsi="Times New Roman" w:cs="Times New Roman"/>
                <w:i/>
                <w:iCs/>
                <w:sz w:val="14"/>
                <w:szCs w:val="14"/>
              </w:rPr>
              <w:t xml:space="preserve">Please indicate the degree to which you agree to the following statements concerning your company’s relationship with </w:t>
            </w:r>
            <w:r w:rsidRPr="009516A1">
              <w:rPr>
                <w:rFonts w:ascii="Times New Roman" w:hAnsi="Times New Roman" w:cs="Times New Roman"/>
                <w:i/>
                <w:iCs/>
                <w:color w:val="000000" w:themeColor="text1"/>
                <w:sz w:val="14"/>
                <w:szCs w:val="14"/>
              </w:rPr>
              <w:t>this major</w:t>
            </w:r>
            <w:r w:rsidRPr="009516A1">
              <w:rPr>
                <w:rFonts w:ascii="Times New Roman" w:hAnsi="Times New Roman" w:cs="Times New Roman"/>
                <w:i/>
                <w:iCs/>
                <w:sz w:val="14"/>
                <w:szCs w:val="14"/>
              </w:rPr>
              <w:t xml:space="preserve"> buyer firm (1=strongly disagree, 5= strongly agree):</w:t>
            </w:r>
          </w:p>
        </w:tc>
        <w:tc>
          <w:tcPr>
            <w:tcW w:w="251" w:type="pct"/>
            <w:tcBorders>
              <w:left w:val="nil"/>
              <w:bottom w:val="nil"/>
              <w:right w:val="nil"/>
            </w:tcBorders>
            <w:shd w:val="clear" w:color="auto" w:fill="auto"/>
            <w:vAlign w:val="center"/>
          </w:tcPr>
          <w:p w14:paraId="52741D21" w14:textId="77777777" w:rsidR="00E9015E" w:rsidRPr="009516A1" w:rsidRDefault="00E9015E" w:rsidP="00C14E25">
            <w:pPr>
              <w:spacing w:line="276" w:lineRule="auto"/>
              <w:jc w:val="center"/>
              <w:rPr>
                <w:rFonts w:ascii="Times New Roman" w:eastAsia="Gulim" w:hAnsi="Times New Roman" w:cs="Times New Roman"/>
                <w:sz w:val="14"/>
                <w:szCs w:val="14"/>
              </w:rPr>
            </w:pPr>
          </w:p>
        </w:tc>
        <w:tc>
          <w:tcPr>
            <w:tcW w:w="251" w:type="pct"/>
            <w:tcBorders>
              <w:left w:val="nil"/>
              <w:bottom w:val="nil"/>
              <w:right w:val="nil"/>
            </w:tcBorders>
            <w:shd w:val="clear" w:color="auto" w:fill="auto"/>
            <w:vAlign w:val="center"/>
          </w:tcPr>
          <w:p w14:paraId="4B8E6E3A" w14:textId="77777777" w:rsidR="00E9015E" w:rsidRPr="009516A1" w:rsidRDefault="00E9015E" w:rsidP="00C14E25">
            <w:pPr>
              <w:spacing w:line="276" w:lineRule="auto"/>
              <w:jc w:val="center"/>
              <w:rPr>
                <w:rFonts w:ascii="Times New Roman" w:eastAsia="Gulim" w:hAnsi="Times New Roman" w:cs="Times New Roman"/>
                <w:sz w:val="14"/>
                <w:szCs w:val="14"/>
              </w:rPr>
            </w:pPr>
          </w:p>
        </w:tc>
        <w:tc>
          <w:tcPr>
            <w:tcW w:w="300" w:type="pct"/>
            <w:tcBorders>
              <w:left w:val="nil"/>
              <w:bottom w:val="nil"/>
              <w:right w:val="nil"/>
            </w:tcBorders>
            <w:shd w:val="clear" w:color="auto" w:fill="auto"/>
            <w:vAlign w:val="center"/>
          </w:tcPr>
          <w:p w14:paraId="32278ED9" w14:textId="77777777" w:rsidR="00E9015E" w:rsidRPr="009516A1" w:rsidRDefault="00E9015E" w:rsidP="00C14E25">
            <w:pPr>
              <w:spacing w:line="276" w:lineRule="auto"/>
              <w:jc w:val="center"/>
              <w:rPr>
                <w:rFonts w:ascii="Times New Roman" w:hAnsi="Times New Roman" w:cs="Times New Roman"/>
                <w:sz w:val="14"/>
                <w:szCs w:val="14"/>
              </w:rPr>
            </w:pPr>
          </w:p>
        </w:tc>
        <w:tc>
          <w:tcPr>
            <w:tcW w:w="251" w:type="pct"/>
            <w:tcBorders>
              <w:left w:val="nil"/>
              <w:bottom w:val="nil"/>
              <w:right w:val="nil"/>
            </w:tcBorders>
            <w:shd w:val="clear" w:color="auto" w:fill="auto"/>
            <w:vAlign w:val="center"/>
          </w:tcPr>
          <w:p w14:paraId="329FE443" w14:textId="77777777" w:rsidR="00E9015E" w:rsidRPr="009516A1" w:rsidRDefault="00E9015E" w:rsidP="00C14E25">
            <w:pPr>
              <w:spacing w:line="276" w:lineRule="auto"/>
              <w:jc w:val="center"/>
              <w:rPr>
                <w:rFonts w:ascii="Times New Roman" w:hAnsi="Times New Roman" w:cs="Times New Roman"/>
                <w:sz w:val="14"/>
                <w:szCs w:val="14"/>
              </w:rPr>
            </w:pPr>
          </w:p>
        </w:tc>
        <w:tc>
          <w:tcPr>
            <w:tcW w:w="351" w:type="pct"/>
            <w:tcBorders>
              <w:left w:val="nil"/>
              <w:bottom w:val="nil"/>
              <w:right w:val="nil"/>
            </w:tcBorders>
            <w:shd w:val="clear" w:color="auto" w:fill="auto"/>
          </w:tcPr>
          <w:p w14:paraId="3B04B87B" w14:textId="77777777" w:rsidR="00E9015E" w:rsidRPr="009516A1" w:rsidRDefault="00E9015E" w:rsidP="00C14E25">
            <w:pPr>
              <w:spacing w:line="276" w:lineRule="auto"/>
              <w:jc w:val="center"/>
              <w:rPr>
                <w:rFonts w:ascii="Times New Roman" w:hAnsi="Times New Roman" w:cs="Times New Roman"/>
                <w:sz w:val="14"/>
                <w:szCs w:val="14"/>
              </w:rPr>
            </w:pPr>
          </w:p>
        </w:tc>
        <w:tc>
          <w:tcPr>
            <w:tcW w:w="351" w:type="pct"/>
            <w:tcBorders>
              <w:left w:val="nil"/>
              <w:bottom w:val="nil"/>
              <w:right w:val="nil"/>
            </w:tcBorders>
            <w:shd w:val="clear" w:color="auto" w:fill="auto"/>
          </w:tcPr>
          <w:p w14:paraId="3F260DDE" w14:textId="77777777" w:rsidR="00E9015E" w:rsidRPr="009516A1" w:rsidRDefault="00E9015E" w:rsidP="00C14E25">
            <w:pPr>
              <w:spacing w:line="276" w:lineRule="auto"/>
              <w:jc w:val="center"/>
              <w:rPr>
                <w:rFonts w:ascii="Times New Roman" w:hAnsi="Times New Roman" w:cs="Times New Roman"/>
                <w:sz w:val="14"/>
                <w:szCs w:val="14"/>
              </w:rPr>
            </w:pPr>
          </w:p>
        </w:tc>
      </w:tr>
      <w:tr w:rsidR="00E9015E" w:rsidRPr="000673A6" w14:paraId="0BE17BED" w14:textId="77777777" w:rsidTr="00C14E25">
        <w:trPr>
          <w:trHeight w:val="20"/>
        </w:trPr>
        <w:tc>
          <w:tcPr>
            <w:tcW w:w="539" w:type="pct"/>
            <w:vMerge/>
            <w:tcBorders>
              <w:left w:val="nil"/>
              <w:right w:val="nil"/>
            </w:tcBorders>
            <w:shd w:val="clear" w:color="auto" w:fill="auto"/>
            <w:vAlign w:val="center"/>
          </w:tcPr>
          <w:p w14:paraId="30440550" w14:textId="77777777" w:rsidR="00E9015E" w:rsidRPr="009516A1" w:rsidRDefault="00E9015E" w:rsidP="00C14E25">
            <w:pPr>
              <w:spacing w:line="276" w:lineRule="auto"/>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3C8C8BBB"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BDP1</w:t>
            </w:r>
          </w:p>
        </w:tc>
        <w:tc>
          <w:tcPr>
            <w:tcW w:w="2455" w:type="pct"/>
            <w:tcBorders>
              <w:top w:val="nil"/>
              <w:left w:val="nil"/>
              <w:bottom w:val="nil"/>
              <w:right w:val="nil"/>
            </w:tcBorders>
            <w:shd w:val="clear" w:color="auto" w:fill="auto"/>
            <w:vAlign w:val="center"/>
          </w:tcPr>
          <w:p w14:paraId="76D94B37" w14:textId="77777777" w:rsidR="00E9015E" w:rsidRPr="009516A1" w:rsidRDefault="00E9015E" w:rsidP="00C14E25">
            <w:pPr>
              <w:spacing w:line="276" w:lineRule="auto"/>
              <w:rPr>
                <w:rFonts w:ascii="Times New Roman" w:hAnsi="Times New Roman" w:cs="Times New Roman"/>
                <w:sz w:val="14"/>
                <w:szCs w:val="14"/>
              </w:rPr>
            </w:pPr>
            <w:r w:rsidRPr="009516A1">
              <w:rPr>
                <w:rFonts w:ascii="Times New Roman" w:hAnsi="Times New Roman" w:cs="Times New Roman"/>
                <w:sz w:val="14"/>
                <w:szCs w:val="14"/>
              </w:rPr>
              <w:t>Our company accounts for a large portion of the total annual purchases made by this major buyer firm company.</w:t>
            </w:r>
          </w:p>
        </w:tc>
        <w:tc>
          <w:tcPr>
            <w:tcW w:w="251" w:type="pct"/>
            <w:tcBorders>
              <w:top w:val="nil"/>
              <w:left w:val="nil"/>
              <w:bottom w:val="nil"/>
              <w:right w:val="nil"/>
            </w:tcBorders>
            <w:shd w:val="clear" w:color="auto" w:fill="auto"/>
            <w:vAlign w:val="center"/>
          </w:tcPr>
          <w:p w14:paraId="0927655C"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2.86</w:t>
            </w:r>
          </w:p>
        </w:tc>
        <w:tc>
          <w:tcPr>
            <w:tcW w:w="251" w:type="pct"/>
            <w:tcBorders>
              <w:top w:val="nil"/>
              <w:left w:val="nil"/>
              <w:bottom w:val="nil"/>
              <w:right w:val="nil"/>
            </w:tcBorders>
            <w:shd w:val="clear" w:color="auto" w:fill="auto"/>
            <w:vAlign w:val="center"/>
          </w:tcPr>
          <w:p w14:paraId="47682EF2"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.98</w:t>
            </w:r>
          </w:p>
        </w:tc>
        <w:tc>
          <w:tcPr>
            <w:tcW w:w="300" w:type="pct"/>
            <w:tcBorders>
              <w:top w:val="nil"/>
              <w:left w:val="nil"/>
              <w:bottom w:val="nil"/>
              <w:right w:val="nil"/>
            </w:tcBorders>
            <w:shd w:val="clear" w:color="auto" w:fill="auto"/>
            <w:vAlign w:val="center"/>
          </w:tcPr>
          <w:p w14:paraId="02DDE06C"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.851</w:t>
            </w:r>
          </w:p>
        </w:tc>
        <w:tc>
          <w:tcPr>
            <w:tcW w:w="251" w:type="pct"/>
            <w:tcBorders>
              <w:top w:val="nil"/>
              <w:left w:val="nil"/>
              <w:bottom w:val="nil"/>
              <w:right w:val="nil"/>
            </w:tcBorders>
            <w:shd w:val="clear" w:color="auto" w:fill="auto"/>
            <w:vAlign w:val="center"/>
          </w:tcPr>
          <w:p w14:paraId="14F72EEF"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w:t>
            </w:r>
          </w:p>
        </w:tc>
        <w:tc>
          <w:tcPr>
            <w:tcW w:w="351" w:type="pct"/>
            <w:vMerge w:val="restart"/>
            <w:tcBorders>
              <w:top w:val="nil"/>
              <w:left w:val="nil"/>
              <w:right w:val="nil"/>
            </w:tcBorders>
            <w:shd w:val="clear" w:color="auto" w:fill="auto"/>
            <w:vAlign w:val="center"/>
          </w:tcPr>
          <w:p w14:paraId="69D033EE"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.715</w:t>
            </w:r>
          </w:p>
        </w:tc>
        <w:tc>
          <w:tcPr>
            <w:tcW w:w="351" w:type="pct"/>
            <w:vMerge w:val="restart"/>
            <w:tcBorders>
              <w:top w:val="nil"/>
              <w:left w:val="nil"/>
              <w:right w:val="nil"/>
            </w:tcBorders>
            <w:shd w:val="clear" w:color="auto" w:fill="auto"/>
            <w:vAlign w:val="center"/>
          </w:tcPr>
          <w:p w14:paraId="73652FA3"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.740</w:t>
            </w:r>
          </w:p>
        </w:tc>
      </w:tr>
      <w:tr w:rsidR="00E9015E" w:rsidRPr="000673A6" w14:paraId="6E408220" w14:textId="77777777" w:rsidTr="00C14E25">
        <w:trPr>
          <w:trHeight w:val="20"/>
        </w:trPr>
        <w:tc>
          <w:tcPr>
            <w:tcW w:w="539" w:type="pct"/>
            <w:vMerge/>
            <w:tcBorders>
              <w:left w:val="nil"/>
              <w:right w:val="nil"/>
            </w:tcBorders>
            <w:shd w:val="clear" w:color="auto" w:fill="auto"/>
            <w:vAlign w:val="center"/>
          </w:tcPr>
          <w:p w14:paraId="645BE260" w14:textId="77777777" w:rsidR="00E9015E" w:rsidRPr="009516A1" w:rsidRDefault="00E9015E" w:rsidP="00C14E25">
            <w:pPr>
              <w:spacing w:line="276" w:lineRule="auto"/>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34086E51"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BDP2</w:t>
            </w:r>
          </w:p>
        </w:tc>
        <w:tc>
          <w:tcPr>
            <w:tcW w:w="2455" w:type="pct"/>
            <w:tcBorders>
              <w:top w:val="nil"/>
              <w:left w:val="nil"/>
              <w:bottom w:val="nil"/>
              <w:right w:val="nil"/>
            </w:tcBorders>
            <w:shd w:val="clear" w:color="auto" w:fill="auto"/>
            <w:vAlign w:val="center"/>
          </w:tcPr>
          <w:p w14:paraId="427CF36A" w14:textId="77777777" w:rsidR="00E9015E" w:rsidRPr="009516A1" w:rsidRDefault="00E9015E" w:rsidP="00C14E25">
            <w:pPr>
              <w:spacing w:line="276" w:lineRule="auto"/>
              <w:rPr>
                <w:rFonts w:ascii="Times New Roman" w:hAnsi="Times New Roman" w:cs="Times New Roman"/>
                <w:sz w:val="14"/>
                <w:szCs w:val="14"/>
              </w:rPr>
            </w:pPr>
            <w:r w:rsidRPr="009516A1">
              <w:rPr>
                <w:rFonts w:ascii="Times New Roman" w:hAnsi="Times New Roman" w:cs="Times New Roman"/>
                <w:sz w:val="14"/>
                <w:szCs w:val="14"/>
              </w:rPr>
              <w:t xml:space="preserve">If this major buyer firm decided to stop purchasing </w:t>
            </w:r>
            <w:r w:rsidRPr="009516A1">
              <w:rPr>
                <w:rFonts w:ascii="Times New Roman" w:hAnsi="Times New Roman" w:cs="Times New Roman"/>
                <w:sz w:val="14"/>
                <w:szCs w:val="14"/>
              </w:rPr>
              <w:lastRenderedPageBreak/>
              <w:t>from us, they could not easily replace this volume with purchases from other suppliers.</w:t>
            </w:r>
          </w:p>
        </w:tc>
        <w:tc>
          <w:tcPr>
            <w:tcW w:w="251" w:type="pct"/>
            <w:tcBorders>
              <w:top w:val="nil"/>
              <w:left w:val="nil"/>
              <w:bottom w:val="nil"/>
              <w:right w:val="nil"/>
            </w:tcBorders>
            <w:shd w:val="clear" w:color="auto" w:fill="auto"/>
            <w:vAlign w:val="center"/>
          </w:tcPr>
          <w:p w14:paraId="4E93091E"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lastRenderedPageBreak/>
              <w:t>2.76</w:t>
            </w:r>
          </w:p>
        </w:tc>
        <w:tc>
          <w:tcPr>
            <w:tcW w:w="251" w:type="pct"/>
            <w:tcBorders>
              <w:top w:val="nil"/>
              <w:left w:val="nil"/>
              <w:bottom w:val="nil"/>
              <w:right w:val="nil"/>
            </w:tcBorders>
            <w:shd w:val="clear" w:color="auto" w:fill="auto"/>
            <w:vAlign w:val="center"/>
          </w:tcPr>
          <w:p w14:paraId="79D1950B"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.93</w:t>
            </w:r>
          </w:p>
        </w:tc>
        <w:tc>
          <w:tcPr>
            <w:tcW w:w="300" w:type="pct"/>
            <w:tcBorders>
              <w:top w:val="nil"/>
              <w:left w:val="nil"/>
              <w:bottom w:val="nil"/>
              <w:right w:val="nil"/>
            </w:tcBorders>
            <w:shd w:val="clear" w:color="auto" w:fill="auto"/>
            <w:vAlign w:val="center"/>
          </w:tcPr>
          <w:p w14:paraId="784FBC55"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.766</w:t>
            </w:r>
          </w:p>
        </w:tc>
        <w:tc>
          <w:tcPr>
            <w:tcW w:w="251" w:type="pct"/>
            <w:tcBorders>
              <w:top w:val="nil"/>
              <w:left w:val="nil"/>
              <w:bottom w:val="nil"/>
              <w:right w:val="nil"/>
            </w:tcBorders>
            <w:shd w:val="clear" w:color="auto" w:fill="auto"/>
            <w:vAlign w:val="center"/>
          </w:tcPr>
          <w:p w14:paraId="25F8F41A"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5.779</w:t>
            </w:r>
          </w:p>
        </w:tc>
        <w:tc>
          <w:tcPr>
            <w:tcW w:w="351" w:type="pct"/>
            <w:vMerge/>
            <w:tcBorders>
              <w:top w:val="single" w:sz="4" w:space="0" w:color="auto"/>
              <w:left w:val="nil"/>
              <w:right w:val="nil"/>
            </w:tcBorders>
            <w:shd w:val="clear" w:color="auto" w:fill="auto"/>
          </w:tcPr>
          <w:p w14:paraId="5AB96096" w14:textId="77777777" w:rsidR="00E9015E" w:rsidRPr="000673A6" w:rsidRDefault="00E9015E" w:rsidP="00C14E25">
            <w:pPr>
              <w:spacing w:line="276" w:lineRule="auto"/>
              <w:jc w:val="center"/>
              <w:rPr>
                <w:rFonts w:ascii="Times New Roman" w:hAnsi="Times New Roman" w:cs="Times New Roman"/>
                <w:sz w:val="14"/>
                <w:szCs w:val="14"/>
              </w:rPr>
            </w:pPr>
          </w:p>
        </w:tc>
        <w:tc>
          <w:tcPr>
            <w:tcW w:w="351" w:type="pct"/>
            <w:vMerge/>
            <w:tcBorders>
              <w:top w:val="single" w:sz="4" w:space="0" w:color="auto"/>
              <w:left w:val="nil"/>
              <w:right w:val="nil"/>
            </w:tcBorders>
            <w:shd w:val="clear" w:color="auto" w:fill="auto"/>
          </w:tcPr>
          <w:p w14:paraId="14BB3DDA" w14:textId="77777777" w:rsidR="00E9015E" w:rsidRPr="000673A6" w:rsidRDefault="00E9015E" w:rsidP="00C14E25">
            <w:pPr>
              <w:spacing w:line="276" w:lineRule="auto"/>
              <w:jc w:val="center"/>
              <w:rPr>
                <w:rFonts w:ascii="Times New Roman" w:hAnsi="Times New Roman" w:cs="Times New Roman"/>
                <w:sz w:val="14"/>
                <w:szCs w:val="14"/>
              </w:rPr>
            </w:pPr>
          </w:p>
        </w:tc>
      </w:tr>
      <w:tr w:rsidR="00E9015E" w:rsidRPr="000673A6" w14:paraId="032E59CE" w14:textId="77777777" w:rsidTr="00C14E25">
        <w:trPr>
          <w:trHeight w:val="20"/>
        </w:trPr>
        <w:tc>
          <w:tcPr>
            <w:tcW w:w="539" w:type="pct"/>
            <w:vMerge/>
            <w:tcBorders>
              <w:left w:val="nil"/>
              <w:right w:val="nil"/>
            </w:tcBorders>
            <w:shd w:val="clear" w:color="auto" w:fill="auto"/>
            <w:vAlign w:val="center"/>
          </w:tcPr>
          <w:p w14:paraId="3BCCECBA" w14:textId="77777777" w:rsidR="00E9015E" w:rsidRPr="009516A1" w:rsidRDefault="00E9015E" w:rsidP="00C14E25">
            <w:pPr>
              <w:spacing w:line="276" w:lineRule="auto"/>
              <w:jc w:val="center"/>
              <w:rPr>
                <w:rFonts w:ascii="Times New Roman" w:hAnsi="Times New Roman" w:cs="Times New Roman"/>
                <w:color w:val="000000" w:themeColor="text1"/>
                <w:sz w:val="14"/>
                <w:szCs w:val="14"/>
              </w:rPr>
            </w:pPr>
          </w:p>
        </w:tc>
        <w:tc>
          <w:tcPr>
            <w:tcW w:w="251" w:type="pct"/>
            <w:tcBorders>
              <w:top w:val="nil"/>
              <w:left w:val="nil"/>
              <w:bottom w:val="single" w:sz="4" w:space="0" w:color="auto"/>
              <w:right w:val="nil"/>
            </w:tcBorders>
            <w:shd w:val="clear" w:color="auto" w:fill="auto"/>
            <w:vAlign w:val="center"/>
          </w:tcPr>
          <w:p w14:paraId="3FA27303" w14:textId="77777777" w:rsidR="00E9015E" w:rsidRPr="009516A1" w:rsidRDefault="00E9015E" w:rsidP="00C14E25">
            <w:pPr>
              <w:spacing w:line="276" w:lineRule="auto"/>
              <w:jc w:val="center"/>
              <w:rPr>
                <w:rFonts w:ascii="Times New Roman" w:hAnsi="Times New Roman" w:cs="Times New Roman"/>
                <w:sz w:val="14"/>
                <w:szCs w:val="14"/>
              </w:rPr>
            </w:pPr>
            <w:r w:rsidRPr="009516A1">
              <w:rPr>
                <w:rFonts w:ascii="Times New Roman" w:hAnsi="Times New Roman" w:cs="Times New Roman"/>
                <w:sz w:val="14"/>
                <w:szCs w:val="14"/>
              </w:rPr>
              <w:t>BDP3</w:t>
            </w:r>
          </w:p>
        </w:tc>
        <w:tc>
          <w:tcPr>
            <w:tcW w:w="2455" w:type="pct"/>
            <w:tcBorders>
              <w:top w:val="nil"/>
              <w:left w:val="nil"/>
              <w:bottom w:val="single" w:sz="4" w:space="0" w:color="auto"/>
              <w:right w:val="nil"/>
            </w:tcBorders>
            <w:shd w:val="clear" w:color="auto" w:fill="auto"/>
            <w:vAlign w:val="center"/>
          </w:tcPr>
          <w:p w14:paraId="562312F4" w14:textId="77777777" w:rsidR="00E9015E" w:rsidRPr="009516A1" w:rsidRDefault="00E9015E" w:rsidP="00C14E25">
            <w:pPr>
              <w:spacing w:line="276" w:lineRule="auto"/>
              <w:rPr>
                <w:rFonts w:ascii="Times New Roman" w:hAnsi="Times New Roman" w:cs="Times New Roman"/>
                <w:sz w:val="14"/>
                <w:szCs w:val="14"/>
              </w:rPr>
            </w:pPr>
            <w:r w:rsidRPr="009516A1">
              <w:rPr>
                <w:rFonts w:ascii="Times New Roman" w:hAnsi="Times New Roman" w:cs="Times New Roman"/>
                <w:sz w:val="14"/>
                <w:szCs w:val="14"/>
              </w:rPr>
              <w:t>There are very few suppliers who could provide major buyer firm with products and services comparable to what we currently offer.</w:t>
            </w:r>
          </w:p>
        </w:tc>
        <w:tc>
          <w:tcPr>
            <w:tcW w:w="251" w:type="pct"/>
            <w:tcBorders>
              <w:top w:val="nil"/>
              <w:left w:val="nil"/>
              <w:bottom w:val="single" w:sz="4" w:space="0" w:color="auto"/>
              <w:right w:val="nil"/>
            </w:tcBorders>
            <w:shd w:val="clear" w:color="auto" w:fill="auto"/>
            <w:vAlign w:val="center"/>
          </w:tcPr>
          <w:p w14:paraId="1A9B04D1"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2.42</w:t>
            </w:r>
          </w:p>
        </w:tc>
        <w:tc>
          <w:tcPr>
            <w:tcW w:w="251" w:type="pct"/>
            <w:tcBorders>
              <w:top w:val="nil"/>
              <w:left w:val="nil"/>
              <w:bottom w:val="single" w:sz="4" w:space="0" w:color="auto"/>
              <w:right w:val="nil"/>
            </w:tcBorders>
            <w:shd w:val="clear" w:color="auto" w:fill="auto"/>
            <w:vAlign w:val="center"/>
          </w:tcPr>
          <w:p w14:paraId="4814882A" w14:textId="77777777" w:rsidR="00E9015E" w:rsidRPr="009516A1" w:rsidRDefault="00E9015E" w:rsidP="00C14E25">
            <w:pPr>
              <w:spacing w:line="276" w:lineRule="auto"/>
              <w:jc w:val="center"/>
              <w:rPr>
                <w:rFonts w:ascii="Times New Roman" w:eastAsia="Gulim" w:hAnsi="Times New Roman" w:cs="Times New Roman"/>
                <w:sz w:val="14"/>
                <w:szCs w:val="14"/>
              </w:rPr>
            </w:pPr>
            <w:r w:rsidRPr="009516A1">
              <w:rPr>
                <w:rFonts w:ascii="Times New Roman" w:hAnsi="Times New Roman" w:cs="Times New Roman"/>
                <w:sz w:val="14"/>
                <w:szCs w:val="14"/>
              </w:rPr>
              <w:t>.94</w:t>
            </w:r>
          </w:p>
        </w:tc>
        <w:tc>
          <w:tcPr>
            <w:tcW w:w="300" w:type="pct"/>
            <w:tcBorders>
              <w:top w:val="nil"/>
              <w:left w:val="nil"/>
              <w:bottom w:val="single" w:sz="4" w:space="0" w:color="auto"/>
              <w:right w:val="nil"/>
            </w:tcBorders>
            <w:shd w:val="clear" w:color="auto" w:fill="auto"/>
            <w:vAlign w:val="center"/>
          </w:tcPr>
          <w:p w14:paraId="56B87C9D"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.443</w:t>
            </w:r>
          </w:p>
        </w:tc>
        <w:tc>
          <w:tcPr>
            <w:tcW w:w="251" w:type="pct"/>
            <w:tcBorders>
              <w:top w:val="nil"/>
              <w:left w:val="nil"/>
              <w:bottom w:val="single" w:sz="4" w:space="0" w:color="auto"/>
              <w:right w:val="nil"/>
            </w:tcBorders>
            <w:shd w:val="clear" w:color="auto" w:fill="auto"/>
            <w:vAlign w:val="center"/>
          </w:tcPr>
          <w:p w14:paraId="7E916634" w14:textId="77777777" w:rsidR="00E9015E" w:rsidRPr="009516A1" w:rsidRDefault="00E9015E" w:rsidP="00C14E25">
            <w:pPr>
              <w:spacing w:line="276" w:lineRule="auto"/>
              <w:jc w:val="center"/>
              <w:rPr>
                <w:rFonts w:ascii="Times New Roman" w:eastAsia="Malgun Gothic" w:hAnsi="Times New Roman" w:cs="Times New Roman"/>
                <w:sz w:val="14"/>
                <w:szCs w:val="14"/>
              </w:rPr>
            </w:pPr>
            <w:r w:rsidRPr="009516A1">
              <w:rPr>
                <w:rFonts w:ascii="Times New Roman" w:eastAsia="Malgun Gothic" w:hAnsi="Times New Roman" w:cs="Times New Roman"/>
                <w:sz w:val="14"/>
                <w:szCs w:val="14"/>
              </w:rPr>
              <w:t>4.287</w:t>
            </w:r>
          </w:p>
        </w:tc>
        <w:tc>
          <w:tcPr>
            <w:tcW w:w="351" w:type="pct"/>
            <w:vMerge/>
            <w:tcBorders>
              <w:top w:val="single" w:sz="4" w:space="0" w:color="auto"/>
              <w:left w:val="nil"/>
              <w:bottom w:val="single" w:sz="4" w:space="0" w:color="auto"/>
              <w:right w:val="nil"/>
            </w:tcBorders>
            <w:shd w:val="clear" w:color="auto" w:fill="auto"/>
          </w:tcPr>
          <w:p w14:paraId="2B0ACA8F" w14:textId="77777777" w:rsidR="00E9015E" w:rsidRPr="000673A6" w:rsidRDefault="00E9015E" w:rsidP="00C14E25">
            <w:pPr>
              <w:spacing w:line="276" w:lineRule="auto"/>
              <w:jc w:val="center"/>
              <w:rPr>
                <w:rFonts w:ascii="Times New Roman" w:hAnsi="Times New Roman" w:cs="Times New Roman"/>
                <w:sz w:val="14"/>
                <w:szCs w:val="14"/>
              </w:rPr>
            </w:pPr>
          </w:p>
        </w:tc>
        <w:tc>
          <w:tcPr>
            <w:tcW w:w="351" w:type="pct"/>
            <w:vMerge/>
            <w:tcBorders>
              <w:top w:val="single" w:sz="4" w:space="0" w:color="auto"/>
              <w:left w:val="nil"/>
              <w:bottom w:val="single" w:sz="4" w:space="0" w:color="auto"/>
              <w:right w:val="nil"/>
            </w:tcBorders>
            <w:shd w:val="clear" w:color="auto" w:fill="auto"/>
          </w:tcPr>
          <w:p w14:paraId="5809988E" w14:textId="77777777" w:rsidR="00E9015E" w:rsidRPr="000673A6" w:rsidRDefault="00E9015E" w:rsidP="00C14E25">
            <w:pPr>
              <w:spacing w:line="276" w:lineRule="auto"/>
              <w:jc w:val="center"/>
              <w:rPr>
                <w:rFonts w:ascii="Times New Roman" w:hAnsi="Times New Roman" w:cs="Times New Roman"/>
                <w:sz w:val="14"/>
                <w:szCs w:val="14"/>
              </w:rPr>
            </w:pPr>
          </w:p>
        </w:tc>
      </w:tr>
      <w:tr w:rsidR="00E9015E" w:rsidRPr="000673A6" w14:paraId="08A2B44D" w14:textId="77777777" w:rsidTr="00C14E25">
        <w:trPr>
          <w:trHeight w:val="20"/>
        </w:trPr>
        <w:tc>
          <w:tcPr>
            <w:tcW w:w="539" w:type="pct"/>
            <w:vMerge w:val="restart"/>
            <w:tcBorders>
              <w:left w:val="nil"/>
              <w:right w:val="nil"/>
            </w:tcBorders>
            <w:shd w:val="clear" w:color="auto" w:fill="auto"/>
            <w:vAlign w:val="center"/>
          </w:tcPr>
          <w:p w14:paraId="2437DBA0" w14:textId="77777777" w:rsidR="00E9015E" w:rsidRPr="00F53C7A" w:rsidRDefault="00E9015E" w:rsidP="00C14E25">
            <w:pPr>
              <w:jc w:val="center"/>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Extent of Supplier’s Dig</w:t>
            </w:r>
            <w:r>
              <w:rPr>
                <w:rFonts w:ascii="Times New Roman" w:hAnsi="Times New Roman" w:cs="Times New Roman"/>
                <w:color w:val="000000" w:themeColor="text1"/>
                <w:sz w:val="14"/>
                <w:szCs w:val="14"/>
              </w:rPr>
              <w:t>ital Technology Adoption</w:t>
            </w:r>
            <w:r w:rsidRPr="00F53C7A">
              <w:rPr>
                <w:rFonts w:ascii="Times New Roman" w:hAnsi="Times New Roman" w:cs="Times New Roman"/>
                <w:color w:val="000000" w:themeColor="text1"/>
                <w:sz w:val="14"/>
                <w:szCs w:val="14"/>
              </w:rPr>
              <w:t xml:space="preserve">  </w:t>
            </w:r>
          </w:p>
          <w:p w14:paraId="0DF14DEA" w14:textId="77777777" w:rsidR="00E9015E" w:rsidRPr="009516A1" w:rsidRDefault="00E9015E" w:rsidP="00C14E25">
            <w:pPr>
              <w:jc w:val="center"/>
              <w:rPr>
                <w:rFonts w:ascii="Times New Roman" w:hAnsi="Times New Roman" w:cs="Times New Roman"/>
                <w:color w:val="000000" w:themeColor="text1"/>
                <w:sz w:val="14"/>
                <w:szCs w:val="14"/>
              </w:rPr>
            </w:pPr>
            <w:r w:rsidRPr="00F53C7A">
              <w:rPr>
                <w:rFonts w:ascii="Times New Roman" w:hAnsi="Times New Roman" w:cs="Times New Roman"/>
                <w:color w:val="000000" w:themeColor="text1"/>
                <w:sz w:val="14"/>
                <w:szCs w:val="14"/>
              </w:rPr>
              <w:t>(SDT)</w:t>
            </w:r>
          </w:p>
        </w:tc>
        <w:tc>
          <w:tcPr>
            <w:tcW w:w="251" w:type="pct"/>
            <w:tcBorders>
              <w:top w:val="single" w:sz="4" w:space="0" w:color="auto"/>
              <w:left w:val="nil"/>
              <w:bottom w:val="nil"/>
              <w:right w:val="nil"/>
            </w:tcBorders>
            <w:shd w:val="clear" w:color="auto" w:fill="auto"/>
            <w:vAlign w:val="center"/>
          </w:tcPr>
          <w:p w14:paraId="7D46CABE" w14:textId="77777777" w:rsidR="00E9015E" w:rsidRPr="009516A1" w:rsidRDefault="00E9015E" w:rsidP="00C14E25">
            <w:pPr>
              <w:jc w:val="center"/>
              <w:rPr>
                <w:rFonts w:ascii="Times New Roman" w:hAnsi="Times New Roman" w:cs="Times New Roman"/>
                <w:sz w:val="14"/>
                <w:szCs w:val="14"/>
              </w:rPr>
            </w:pPr>
          </w:p>
        </w:tc>
        <w:tc>
          <w:tcPr>
            <w:tcW w:w="2455" w:type="pct"/>
            <w:tcBorders>
              <w:top w:val="single" w:sz="4" w:space="0" w:color="auto"/>
              <w:left w:val="nil"/>
              <w:bottom w:val="nil"/>
              <w:right w:val="nil"/>
            </w:tcBorders>
            <w:shd w:val="clear" w:color="auto" w:fill="auto"/>
            <w:vAlign w:val="center"/>
          </w:tcPr>
          <w:p w14:paraId="1FDCD8D5" w14:textId="77777777" w:rsidR="00E9015E" w:rsidRPr="009516A1" w:rsidRDefault="00E9015E" w:rsidP="00C14E25">
            <w:pPr>
              <w:rPr>
                <w:rFonts w:ascii="Times New Roman" w:hAnsi="Times New Roman" w:cs="Times New Roman"/>
                <w:sz w:val="14"/>
                <w:szCs w:val="14"/>
              </w:rPr>
            </w:pPr>
            <w:r w:rsidRPr="00F53C7A">
              <w:rPr>
                <w:rFonts w:ascii="Times New Roman" w:hAnsi="Times New Roman" w:cs="Times New Roman"/>
                <w:i/>
                <w:iCs/>
                <w:sz w:val="14"/>
                <w:szCs w:val="14"/>
              </w:rPr>
              <w:t>Each of the followings is the required technologies for digital transformation. Which of the following the digital technologies does your company implement? (1 = yes, 0 = no):</w:t>
            </w:r>
          </w:p>
        </w:tc>
        <w:tc>
          <w:tcPr>
            <w:tcW w:w="251" w:type="pct"/>
            <w:tcBorders>
              <w:top w:val="single" w:sz="4" w:space="0" w:color="auto"/>
              <w:left w:val="nil"/>
              <w:bottom w:val="nil"/>
              <w:right w:val="nil"/>
            </w:tcBorders>
            <w:shd w:val="clear" w:color="auto" w:fill="auto"/>
          </w:tcPr>
          <w:p w14:paraId="767715F4" w14:textId="77777777" w:rsidR="00E9015E" w:rsidRPr="009516A1" w:rsidRDefault="00E9015E" w:rsidP="00C14E25">
            <w:pPr>
              <w:jc w:val="center"/>
              <w:rPr>
                <w:rFonts w:ascii="Times New Roman" w:hAnsi="Times New Roman" w:cs="Times New Roman"/>
                <w:sz w:val="14"/>
                <w:szCs w:val="14"/>
              </w:rPr>
            </w:pPr>
          </w:p>
        </w:tc>
        <w:tc>
          <w:tcPr>
            <w:tcW w:w="251" w:type="pct"/>
            <w:tcBorders>
              <w:top w:val="single" w:sz="4" w:space="0" w:color="auto"/>
              <w:left w:val="nil"/>
              <w:bottom w:val="nil"/>
              <w:right w:val="nil"/>
            </w:tcBorders>
            <w:shd w:val="clear" w:color="auto" w:fill="auto"/>
          </w:tcPr>
          <w:p w14:paraId="519222C8" w14:textId="77777777" w:rsidR="00E9015E" w:rsidRPr="009516A1" w:rsidRDefault="00E9015E" w:rsidP="00C14E25">
            <w:pPr>
              <w:jc w:val="center"/>
              <w:rPr>
                <w:rFonts w:ascii="Times New Roman" w:hAnsi="Times New Roman" w:cs="Times New Roman"/>
                <w:sz w:val="14"/>
                <w:szCs w:val="14"/>
              </w:rPr>
            </w:pPr>
          </w:p>
        </w:tc>
        <w:tc>
          <w:tcPr>
            <w:tcW w:w="300" w:type="pct"/>
            <w:tcBorders>
              <w:top w:val="single" w:sz="4" w:space="0" w:color="auto"/>
              <w:left w:val="nil"/>
              <w:bottom w:val="nil"/>
              <w:right w:val="nil"/>
            </w:tcBorders>
            <w:shd w:val="clear" w:color="auto" w:fill="auto"/>
            <w:vAlign w:val="center"/>
          </w:tcPr>
          <w:p w14:paraId="6E4D3748" w14:textId="77777777" w:rsidR="00E9015E" w:rsidRPr="009516A1" w:rsidRDefault="00E9015E" w:rsidP="00C14E25">
            <w:pPr>
              <w:jc w:val="center"/>
              <w:rPr>
                <w:rFonts w:ascii="Times New Roman" w:eastAsia="Malgun Gothic" w:hAnsi="Times New Roman" w:cs="Times New Roman"/>
                <w:sz w:val="14"/>
                <w:szCs w:val="14"/>
              </w:rPr>
            </w:pPr>
          </w:p>
        </w:tc>
        <w:tc>
          <w:tcPr>
            <w:tcW w:w="251" w:type="pct"/>
            <w:tcBorders>
              <w:top w:val="single" w:sz="4" w:space="0" w:color="auto"/>
              <w:left w:val="nil"/>
              <w:bottom w:val="nil"/>
              <w:right w:val="nil"/>
            </w:tcBorders>
            <w:shd w:val="clear" w:color="auto" w:fill="auto"/>
            <w:vAlign w:val="center"/>
          </w:tcPr>
          <w:p w14:paraId="234EC330" w14:textId="77777777" w:rsidR="00E9015E" w:rsidRPr="009516A1" w:rsidRDefault="00E9015E" w:rsidP="00C14E25">
            <w:pPr>
              <w:jc w:val="center"/>
              <w:rPr>
                <w:rFonts w:ascii="Times New Roman" w:eastAsia="Malgun Gothic" w:hAnsi="Times New Roman" w:cs="Times New Roman"/>
                <w:sz w:val="14"/>
                <w:szCs w:val="14"/>
              </w:rPr>
            </w:pPr>
          </w:p>
        </w:tc>
        <w:tc>
          <w:tcPr>
            <w:tcW w:w="351" w:type="pct"/>
            <w:tcBorders>
              <w:top w:val="single" w:sz="4" w:space="0" w:color="auto"/>
              <w:left w:val="nil"/>
              <w:bottom w:val="nil"/>
              <w:right w:val="nil"/>
            </w:tcBorders>
            <w:shd w:val="clear" w:color="auto" w:fill="auto"/>
          </w:tcPr>
          <w:p w14:paraId="1FA2CFFF" w14:textId="77777777" w:rsidR="00E9015E" w:rsidRPr="000673A6" w:rsidRDefault="00E9015E" w:rsidP="00C14E25">
            <w:pPr>
              <w:jc w:val="center"/>
              <w:rPr>
                <w:rFonts w:ascii="Times New Roman" w:hAnsi="Times New Roman" w:cs="Times New Roman"/>
                <w:sz w:val="14"/>
                <w:szCs w:val="14"/>
              </w:rPr>
            </w:pPr>
          </w:p>
        </w:tc>
        <w:tc>
          <w:tcPr>
            <w:tcW w:w="351" w:type="pct"/>
            <w:tcBorders>
              <w:top w:val="single" w:sz="4" w:space="0" w:color="auto"/>
              <w:left w:val="nil"/>
              <w:bottom w:val="nil"/>
              <w:right w:val="nil"/>
            </w:tcBorders>
            <w:shd w:val="clear" w:color="auto" w:fill="auto"/>
          </w:tcPr>
          <w:p w14:paraId="44122F05" w14:textId="77777777" w:rsidR="00E9015E" w:rsidRPr="000673A6" w:rsidRDefault="00E9015E" w:rsidP="00C14E25">
            <w:pPr>
              <w:jc w:val="center"/>
              <w:rPr>
                <w:rFonts w:ascii="Times New Roman" w:hAnsi="Times New Roman" w:cs="Times New Roman"/>
                <w:sz w:val="14"/>
                <w:szCs w:val="14"/>
              </w:rPr>
            </w:pPr>
          </w:p>
        </w:tc>
      </w:tr>
      <w:tr w:rsidR="00E9015E" w:rsidRPr="000673A6" w14:paraId="0B750A5F" w14:textId="77777777" w:rsidTr="00C14E25">
        <w:trPr>
          <w:trHeight w:val="20"/>
        </w:trPr>
        <w:tc>
          <w:tcPr>
            <w:tcW w:w="539" w:type="pct"/>
            <w:vMerge/>
            <w:tcBorders>
              <w:left w:val="nil"/>
              <w:right w:val="nil"/>
            </w:tcBorders>
            <w:shd w:val="clear" w:color="auto" w:fill="auto"/>
            <w:vAlign w:val="center"/>
          </w:tcPr>
          <w:p w14:paraId="64EBAD83" w14:textId="77777777" w:rsidR="00E9015E" w:rsidRPr="009516A1" w:rsidRDefault="00E9015E" w:rsidP="00C14E25">
            <w:pPr>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406C55A1"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SDT1</w:t>
            </w:r>
          </w:p>
        </w:tc>
        <w:tc>
          <w:tcPr>
            <w:tcW w:w="2455" w:type="pct"/>
            <w:tcBorders>
              <w:top w:val="nil"/>
              <w:left w:val="nil"/>
              <w:bottom w:val="nil"/>
              <w:right w:val="nil"/>
            </w:tcBorders>
            <w:shd w:val="clear" w:color="auto" w:fill="auto"/>
          </w:tcPr>
          <w:p w14:paraId="171DCF91" w14:textId="77777777" w:rsidR="00E9015E" w:rsidRPr="009516A1" w:rsidRDefault="00E9015E" w:rsidP="00C14E25">
            <w:pPr>
              <w:rPr>
                <w:rFonts w:ascii="Times New Roman" w:hAnsi="Times New Roman" w:cs="Times New Roman"/>
                <w:sz w:val="14"/>
                <w:szCs w:val="14"/>
              </w:rPr>
            </w:pPr>
            <w:r w:rsidRPr="00F53C7A">
              <w:rPr>
                <w:rFonts w:ascii="Times New Roman" w:hAnsi="Times New Roman" w:cs="Times New Roman"/>
                <w:color w:val="000000" w:themeColor="text1"/>
                <w:sz w:val="14"/>
                <w:szCs w:val="14"/>
              </w:rPr>
              <w:t>Smart sensors, RFID, NFC, Bluetooth</w:t>
            </w:r>
          </w:p>
        </w:tc>
        <w:tc>
          <w:tcPr>
            <w:tcW w:w="251" w:type="pct"/>
            <w:tcBorders>
              <w:top w:val="nil"/>
              <w:left w:val="nil"/>
              <w:bottom w:val="nil"/>
              <w:right w:val="nil"/>
            </w:tcBorders>
            <w:shd w:val="clear" w:color="auto" w:fill="auto"/>
            <w:vAlign w:val="center"/>
          </w:tcPr>
          <w:p w14:paraId="6DB0AB7D"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.34</w:t>
            </w:r>
          </w:p>
        </w:tc>
        <w:tc>
          <w:tcPr>
            <w:tcW w:w="251" w:type="pct"/>
            <w:tcBorders>
              <w:top w:val="nil"/>
              <w:left w:val="nil"/>
              <w:bottom w:val="nil"/>
              <w:right w:val="nil"/>
            </w:tcBorders>
            <w:shd w:val="clear" w:color="auto" w:fill="auto"/>
            <w:vAlign w:val="center"/>
          </w:tcPr>
          <w:p w14:paraId="2DAFD4FF"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.48</w:t>
            </w:r>
          </w:p>
        </w:tc>
        <w:tc>
          <w:tcPr>
            <w:tcW w:w="300" w:type="pct"/>
            <w:vMerge w:val="restart"/>
            <w:tcBorders>
              <w:top w:val="nil"/>
              <w:left w:val="nil"/>
              <w:right w:val="nil"/>
            </w:tcBorders>
            <w:shd w:val="clear" w:color="auto" w:fill="auto"/>
            <w:vAlign w:val="center"/>
          </w:tcPr>
          <w:p w14:paraId="4D8AF468" w14:textId="77777777" w:rsidR="00E9015E" w:rsidRPr="009516A1" w:rsidRDefault="00E9015E" w:rsidP="00C14E25">
            <w:pPr>
              <w:jc w:val="center"/>
              <w:rPr>
                <w:rFonts w:ascii="Times New Roman" w:eastAsia="Malgun Gothic" w:hAnsi="Times New Roman" w:cs="Times New Roman"/>
                <w:sz w:val="14"/>
                <w:szCs w:val="14"/>
              </w:rPr>
            </w:pPr>
            <w:r w:rsidRPr="00F53C7A">
              <w:rPr>
                <w:rFonts w:ascii="Times New Roman" w:eastAsia="Malgun Gothic" w:hAnsi="Times New Roman" w:cs="Times New Roman"/>
                <w:sz w:val="14"/>
                <w:szCs w:val="14"/>
              </w:rPr>
              <w:t>Formative</w:t>
            </w:r>
          </w:p>
        </w:tc>
        <w:tc>
          <w:tcPr>
            <w:tcW w:w="251" w:type="pct"/>
            <w:vMerge w:val="restart"/>
            <w:tcBorders>
              <w:top w:val="nil"/>
              <w:left w:val="nil"/>
              <w:right w:val="nil"/>
            </w:tcBorders>
            <w:shd w:val="clear" w:color="auto" w:fill="auto"/>
            <w:vAlign w:val="center"/>
          </w:tcPr>
          <w:p w14:paraId="66CF1557" w14:textId="77777777" w:rsidR="00E9015E" w:rsidRPr="009516A1" w:rsidRDefault="00E9015E" w:rsidP="00C14E25">
            <w:pPr>
              <w:jc w:val="center"/>
              <w:rPr>
                <w:rFonts w:ascii="Times New Roman" w:eastAsia="Malgun Gothic" w:hAnsi="Times New Roman" w:cs="Times New Roman"/>
                <w:sz w:val="14"/>
                <w:szCs w:val="14"/>
              </w:rPr>
            </w:pPr>
          </w:p>
        </w:tc>
        <w:tc>
          <w:tcPr>
            <w:tcW w:w="351" w:type="pct"/>
            <w:vMerge w:val="restart"/>
            <w:tcBorders>
              <w:top w:val="nil"/>
              <w:left w:val="nil"/>
              <w:right w:val="nil"/>
            </w:tcBorders>
            <w:shd w:val="clear" w:color="auto" w:fill="auto"/>
          </w:tcPr>
          <w:p w14:paraId="3172A976" w14:textId="77777777" w:rsidR="00E9015E" w:rsidRPr="000673A6" w:rsidRDefault="00E9015E" w:rsidP="00C14E25">
            <w:pPr>
              <w:jc w:val="center"/>
              <w:rPr>
                <w:rFonts w:ascii="Times New Roman" w:hAnsi="Times New Roman" w:cs="Times New Roman"/>
                <w:sz w:val="14"/>
                <w:szCs w:val="14"/>
              </w:rPr>
            </w:pPr>
          </w:p>
        </w:tc>
        <w:tc>
          <w:tcPr>
            <w:tcW w:w="351" w:type="pct"/>
            <w:vMerge w:val="restart"/>
            <w:tcBorders>
              <w:top w:val="nil"/>
              <w:left w:val="nil"/>
              <w:right w:val="nil"/>
            </w:tcBorders>
            <w:shd w:val="clear" w:color="auto" w:fill="auto"/>
          </w:tcPr>
          <w:p w14:paraId="16DBDB34" w14:textId="77777777" w:rsidR="00E9015E" w:rsidRPr="000673A6" w:rsidRDefault="00E9015E" w:rsidP="00C14E25">
            <w:pPr>
              <w:jc w:val="center"/>
              <w:rPr>
                <w:rFonts w:ascii="Times New Roman" w:hAnsi="Times New Roman" w:cs="Times New Roman"/>
                <w:sz w:val="14"/>
                <w:szCs w:val="14"/>
              </w:rPr>
            </w:pPr>
          </w:p>
        </w:tc>
      </w:tr>
      <w:tr w:rsidR="00E9015E" w:rsidRPr="000673A6" w14:paraId="2D22F805" w14:textId="77777777" w:rsidTr="00C14E25">
        <w:trPr>
          <w:trHeight w:val="20"/>
        </w:trPr>
        <w:tc>
          <w:tcPr>
            <w:tcW w:w="539" w:type="pct"/>
            <w:vMerge/>
            <w:tcBorders>
              <w:left w:val="nil"/>
              <w:right w:val="nil"/>
            </w:tcBorders>
            <w:shd w:val="clear" w:color="auto" w:fill="auto"/>
            <w:vAlign w:val="center"/>
          </w:tcPr>
          <w:p w14:paraId="241BA5FF" w14:textId="77777777" w:rsidR="00E9015E" w:rsidRPr="009516A1" w:rsidRDefault="00E9015E" w:rsidP="00C14E25">
            <w:pPr>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53BBE60D"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SDT2</w:t>
            </w:r>
          </w:p>
        </w:tc>
        <w:tc>
          <w:tcPr>
            <w:tcW w:w="2455" w:type="pct"/>
            <w:tcBorders>
              <w:top w:val="nil"/>
              <w:left w:val="nil"/>
              <w:bottom w:val="nil"/>
              <w:right w:val="nil"/>
            </w:tcBorders>
            <w:shd w:val="clear" w:color="auto" w:fill="auto"/>
          </w:tcPr>
          <w:p w14:paraId="6A756653" w14:textId="77777777" w:rsidR="00E9015E" w:rsidRPr="009516A1" w:rsidRDefault="00E9015E" w:rsidP="00C14E25">
            <w:pPr>
              <w:rPr>
                <w:rFonts w:ascii="Times New Roman" w:hAnsi="Times New Roman" w:cs="Times New Roman"/>
                <w:sz w:val="14"/>
                <w:szCs w:val="14"/>
              </w:rPr>
            </w:pPr>
            <w:r w:rsidRPr="00F53C7A">
              <w:rPr>
                <w:rFonts w:ascii="Times New Roman" w:hAnsi="Times New Roman" w:cs="Times New Roman"/>
                <w:color w:val="000000" w:themeColor="text1"/>
                <w:sz w:val="14"/>
                <w:szCs w:val="14"/>
              </w:rPr>
              <w:t>Manufacturing Execution System (MES)</w:t>
            </w:r>
          </w:p>
        </w:tc>
        <w:tc>
          <w:tcPr>
            <w:tcW w:w="251" w:type="pct"/>
            <w:tcBorders>
              <w:top w:val="nil"/>
              <w:left w:val="nil"/>
              <w:bottom w:val="nil"/>
              <w:right w:val="nil"/>
            </w:tcBorders>
            <w:shd w:val="clear" w:color="auto" w:fill="auto"/>
            <w:vAlign w:val="center"/>
          </w:tcPr>
          <w:p w14:paraId="34E363AE"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.32</w:t>
            </w:r>
          </w:p>
        </w:tc>
        <w:tc>
          <w:tcPr>
            <w:tcW w:w="251" w:type="pct"/>
            <w:tcBorders>
              <w:top w:val="nil"/>
              <w:left w:val="nil"/>
              <w:bottom w:val="nil"/>
              <w:right w:val="nil"/>
            </w:tcBorders>
            <w:shd w:val="clear" w:color="auto" w:fill="auto"/>
            <w:vAlign w:val="center"/>
          </w:tcPr>
          <w:p w14:paraId="1273E8C6"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.47</w:t>
            </w:r>
          </w:p>
        </w:tc>
        <w:tc>
          <w:tcPr>
            <w:tcW w:w="300" w:type="pct"/>
            <w:vMerge/>
            <w:tcBorders>
              <w:left w:val="nil"/>
              <w:right w:val="nil"/>
            </w:tcBorders>
            <w:shd w:val="clear" w:color="auto" w:fill="auto"/>
            <w:vAlign w:val="center"/>
          </w:tcPr>
          <w:p w14:paraId="03B5B040" w14:textId="77777777" w:rsidR="00E9015E" w:rsidRPr="009516A1" w:rsidRDefault="00E9015E" w:rsidP="00C14E25">
            <w:pPr>
              <w:jc w:val="center"/>
              <w:rPr>
                <w:rFonts w:ascii="Times New Roman" w:eastAsia="Malgun Gothic" w:hAnsi="Times New Roman" w:cs="Times New Roman"/>
                <w:sz w:val="14"/>
                <w:szCs w:val="14"/>
              </w:rPr>
            </w:pPr>
          </w:p>
        </w:tc>
        <w:tc>
          <w:tcPr>
            <w:tcW w:w="251" w:type="pct"/>
            <w:vMerge/>
            <w:tcBorders>
              <w:left w:val="nil"/>
              <w:right w:val="nil"/>
            </w:tcBorders>
            <w:shd w:val="clear" w:color="auto" w:fill="auto"/>
            <w:vAlign w:val="center"/>
          </w:tcPr>
          <w:p w14:paraId="6C374331" w14:textId="77777777" w:rsidR="00E9015E" w:rsidRPr="009516A1" w:rsidRDefault="00E9015E" w:rsidP="00C14E25">
            <w:pPr>
              <w:jc w:val="center"/>
              <w:rPr>
                <w:rFonts w:ascii="Times New Roman" w:eastAsia="Malgun Gothic" w:hAnsi="Times New Roman" w:cs="Times New Roman"/>
                <w:sz w:val="14"/>
                <w:szCs w:val="14"/>
              </w:rPr>
            </w:pPr>
          </w:p>
        </w:tc>
        <w:tc>
          <w:tcPr>
            <w:tcW w:w="351" w:type="pct"/>
            <w:vMerge/>
            <w:tcBorders>
              <w:left w:val="nil"/>
              <w:right w:val="nil"/>
            </w:tcBorders>
            <w:shd w:val="clear" w:color="auto" w:fill="auto"/>
          </w:tcPr>
          <w:p w14:paraId="1F1994A1" w14:textId="77777777" w:rsidR="00E9015E" w:rsidRPr="000673A6" w:rsidRDefault="00E9015E" w:rsidP="00C14E25">
            <w:pPr>
              <w:jc w:val="center"/>
              <w:rPr>
                <w:rFonts w:ascii="Times New Roman" w:hAnsi="Times New Roman" w:cs="Times New Roman"/>
                <w:sz w:val="14"/>
                <w:szCs w:val="14"/>
              </w:rPr>
            </w:pPr>
          </w:p>
        </w:tc>
        <w:tc>
          <w:tcPr>
            <w:tcW w:w="351" w:type="pct"/>
            <w:vMerge/>
            <w:tcBorders>
              <w:left w:val="nil"/>
              <w:right w:val="nil"/>
            </w:tcBorders>
            <w:shd w:val="clear" w:color="auto" w:fill="auto"/>
          </w:tcPr>
          <w:p w14:paraId="3367B8A2" w14:textId="77777777" w:rsidR="00E9015E" w:rsidRPr="000673A6" w:rsidRDefault="00E9015E" w:rsidP="00C14E25">
            <w:pPr>
              <w:jc w:val="center"/>
              <w:rPr>
                <w:rFonts w:ascii="Times New Roman" w:hAnsi="Times New Roman" w:cs="Times New Roman"/>
                <w:sz w:val="14"/>
                <w:szCs w:val="14"/>
              </w:rPr>
            </w:pPr>
          </w:p>
        </w:tc>
      </w:tr>
      <w:tr w:rsidR="00E9015E" w:rsidRPr="000673A6" w14:paraId="61552D61" w14:textId="77777777" w:rsidTr="00C14E25">
        <w:trPr>
          <w:trHeight w:val="20"/>
        </w:trPr>
        <w:tc>
          <w:tcPr>
            <w:tcW w:w="539" w:type="pct"/>
            <w:vMerge/>
            <w:tcBorders>
              <w:left w:val="nil"/>
              <w:right w:val="nil"/>
            </w:tcBorders>
            <w:shd w:val="clear" w:color="auto" w:fill="auto"/>
            <w:vAlign w:val="center"/>
          </w:tcPr>
          <w:p w14:paraId="31919123" w14:textId="77777777" w:rsidR="00E9015E" w:rsidRPr="009516A1" w:rsidRDefault="00E9015E" w:rsidP="00C14E25">
            <w:pPr>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3879C3D5"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SDT3</w:t>
            </w:r>
          </w:p>
        </w:tc>
        <w:tc>
          <w:tcPr>
            <w:tcW w:w="2455" w:type="pct"/>
            <w:tcBorders>
              <w:top w:val="nil"/>
              <w:left w:val="nil"/>
              <w:bottom w:val="nil"/>
              <w:right w:val="nil"/>
            </w:tcBorders>
            <w:shd w:val="clear" w:color="auto" w:fill="auto"/>
          </w:tcPr>
          <w:p w14:paraId="325A8D3C" w14:textId="77777777" w:rsidR="00E9015E" w:rsidRPr="009516A1" w:rsidRDefault="00E9015E" w:rsidP="00C14E25">
            <w:pPr>
              <w:rPr>
                <w:rFonts w:ascii="Times New Roman" w:hAnsi="Times New Roman" w:cs="Times New Roman"/>
                <w:sz w:val="14"/>
                <w:szCs w:val="14"/>
              </w:rPr>
            </w:pPr>
            <w:r w:rsidRPr="00F53C7A">
              <w:rPr>
                <w:rFonts w:ascii="Times New Roman" w:hAnsi="Times New Roman" w:cs="Times New Roman"/>
                <w:color w:val="000000" w:themeColor="text1"/>
                <w:sz w:val="14"/>
                <w:szCs w:val="14"/>
              </w:rPr>
              <w:t>Enterprise Resource Planning (ERP)</w:t>
            </w:r>
          </w:p>
        </w:tc>
        <w:tc>
          <w:tcPr>
            <w:tcW w:w="251" w:type="pct"/>
            <w:tcBorders>
              <w:top w:val="nil"/>
              <w:left w:val="nil"/>
              <w:bottom w:val="nil"/>
              <w:right w:val="nil"/>
            </w:tcBorders>
            <w:shd w:val="clear" w:color="auto" w:fill="auto"/>
            <w:vAlign w:val="center"/>
          </w:tcPr>
          <w:p w14:paraId="56E8FBE1"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.87</w:t>
            </w:r>
          </w:p>
        </w:tc>
        <w:tc>
          <w:tcPr>
            <w:tcW w:w="251" w:type="pct"/>
            <w:tcBorders>
              <w:top w:val="nil"/>
              <w:left w:val="nil"/>
              <w:bottom w:val="nil"/>
              <w:right w:val="nil"/>
            </w:tcBorders>
            <w:shd w:val="clear" w:color="auto" w:fill="auto"/>
            <w:vAlign w:val="center"/>
          </w:tcPr>
          <w:p w14:paraId="4313D2B6"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.34</w:t>
            </w:r>
          </w:p>
        </w:tc>
        <w:tc>
          <w:tcPr>
            <w:tcW w:w="300" w:type="pct"/>
            <w:vMerge/>
            <w:tcBorders>
              <w:left w:val="nil"/>
              <w:right w:val="nil"/>
            </w:tcBorders>
            <w:shd w:val="clear" w:color="auto" w:fill="auto"/>
            <w:vAlign w:val="center"/>
          </w:tcPr>
          <w:p w14:paraId="6A876023" w14:textId="77777777" w:rsidR="00E9015E" w:rsidRPr="009516A1" w:rsidRDefault="00E9015E" w:rsidP="00C14E25">
            <w:pPr>
              <w:jc w:val="center"/>
              <w:rPr>
                <w:rFonts w:ascii="Times New Roman" w:eastAsia="Malgun Gothic" w:hAnsi="Times New Roman" w:cs="Times New Roman"/>
                <w:sz w:val="14"/>
                <w:szCs w:val="14"/>
              </w:rPr>
            </w:pPr>
          </w:p>
        </w:tc>
        <w:tc>
          <w:tcPr>
            <w:tcW w:w="251" w:type="pct"/>
            <w:vMerge/>
            <w:tcBorders>
              <w:left w:val="nil"/>
              <w:right w:val="nil"/>
            </w:tcBorders>
            <w:shd w:val="clear" w:color="auto" w:fill="auto"/>
            <w:vAlign w:val="center"/>
          </w:tcPr>
          <w:p w14:paraId="66801E9E" w14:textId="77777777" w:rsidR="00E9015E" w:rsidRPr="009516A1" w:rsidRDefault="00E9015E" w:rsidP="00C14E25">
            <w:pPr>
              <w:jc w:val="center"/>
              <w:rPr>
                <w:rFonts w:ascii="Times New Roman" w:eastAsia="Malgun Gothic" w:hAnsi="Times New Roman" w:cs="Times New Roman"/>
                <w:sz w:val="14"/>
                <w:szCs w:val="14"/>
              </w:rPr>
            </w:pPr>
          </w:p>
        </w:tc>
        <w:tc>
          <w:tcPr>
            <w:tcW w:w="351" w:type="pct"/>
            <w:vMerge/>
            <w:tcBorders>
              <w:left w:val="nil"/>
              <w:right w:val="nil"/>
            </w:tcBorders>
            <w:shd w:val="clear" w:color="auto" w:fill="auto"/>
          </w:tcPr>
          <w:p w14:paraId="5C236F8F" w14:textId="77777777" w:rsidR="00E9015E" w:rsidRPr="000673A6" w:rsidRDefault="00E9015E" w:rsidP="00C14E25">
            <w:pPr>
              <w:jc w:val="center"/>
              <w:rPr>
                <w:rFonts w:ascii="Times New Roman" w:hAnsi="Times New Roman" w:cs="Times New Roman"/>
                <w:sz w:val="14"/>
                <w:szCs w:val="14"/>
              </w:rPr>
            </w:pPr>
          </w:p>
        </w:tc>
        <w:tc>
          <w:tcPr>
            <w:tcW w:w="351" w:type="pct"/>
            <w:vMerge/>
            <w:tcBorders>
              <w:left w:val="nil"/>
              <w:right w:val="nil"/>
            </w:tcBorders>
            <w:shd w:val="clear" w:color="auto" w:fill="auto"/>
          </w:tcPr>
          <w:p w14:paraId="567BAAD2" w14:textId="77777777" w:rsidR="00E9015E" w:rsidRPr="000673A6" w:rsidRDefault="00E9015E" w:rsidP="00C14E25">
            <w:pPr>
              <w:jc w:val="center"/>
              <w:rPr>
                <w:rFonts w:ascii="Times New Roman" w:hAnsi="Times New Roman" w:cs="Times New Roman"/>
                <w:sz w:val="14"/>
                <w:szCs w:val="14"/>
              </w:rPr>
            </w:pPr>
          </w:p>
        </w:tc>
      </w:tr>
      <w:tr w:rsidR="00E9015E" w:rsidRPr="000673A6" w14:paraId="2FD40A85" w14:textId="77777777" w:rsidTr="00C14E25">
        <w:trPr>
          <w:trHeight w:val="20"/>
        </w:trPr>
        <w:tc>
          <w:tcPr>
            <w:tcW w:w="539" w:type="pct"/>
            <w:vMerge/>
            <w:tcBorders>
              <w:left w:val="nil"/>
              <w:right w:val="nil"/>
            </w:tcBorders>
            <w:shd w:val="clear" w:color="auto" w:fill="auto"/>
            <w:vAlign w:val="center"/>
          </w:tcPr>
          <w:p w14:paraId="1BBABC14" w14:textId="77777777" w:rsidR="00E9015E" w:rsidRPr="009516A1" w:rsidRDefault="00E9015E" w:rsidP="00C14E25">
            <w:pPr>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65CE1CEF"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SDT4</w:t>
            </w:r>
          </w:p>
        </w:tc>
        <w:tc>
          <w:tcPr>
            <w:tcW w:w="2455" w:type="pct"/>
            <w:tcBorders>
              <w:top w:val="nil"/>
              <w:left w:val="nil"/>
              <w:bottom w:val="nil"/>
              <w:right w:val="nil"/>
            </w:tcBorders>
            <w:shd w:val="clear" w:color="auto" w:fill="auto"/>
          </w:tcPr>
          <w:p w14:paraId="2F38FC94" w14:textId="77777777" w:rsidR="00E9015E" w:rsidRPr="009516A1" w:rsidRDefault="00E9015E" w:rsidP="00C14E25">
            <w:pPr>
              <w:rPr>
                <w:rFonts w:ascii="Times New Roman" w:hAnsi="Times New Roman" w:cs="Times New Roman"/>
                <w:sz w:val="14"/>
                <w:szCs w:val="14"/>
              </w:rPr>
            </w:pPr>
            <w:proofErr w:type="spellStart"/>
            <w:r w:rsidRPr="00F53C7A">
              <w:rPr>
                <w:rFonts w:ascii="Times New Roman" w:hAnsi="Times New Roman" w:cs="Times New Roman"/>
                <w:iCs/>
                <w:color w:val="000000" w:themeColor="text1"/>
                <w:sz w:val="14"/>
                <w:szCs w:val="14"/>
              </w:rPr>
              <w:t>SCM</w:t>
            </w:r>
            <w:r w:rsidRPr="00F53C7A">
              <w:rPr>
                <w:rFonts w:ascii="Times New Roman" w:hAnsi="Times New Roman" w:cs="Times New Roman"/>
                <w:iCs/>
                <w:color w:val="000000" w:themeColor="text1"/>
                <w:sz w:val="14"/>
                <w:szCs w:val="14"/>
                <w:vertAlign w:val="superscript"/>
              </w:rPr>
              <w:t>b</w:t>
            </w:r>
            <w:proofErr w:type="spellEnd"/>
            <w:r w:rsidRPr="00F53C7A">
              <w:rPr>
                <w:rFonts w:ascii="Times New Roman" w:hAnsi="Times New Roman" w:cs="Times New Roman"/>
                <w:iCs/>
                <w:color w:val="000000" w:themeColor="text1"/>
                <w:sz w:val="14"/>
                <w:szCs w:val="14"/>
              </w:rPr>
              <w:t xml:space="preserve"> / </w:t>
            </w:r>
            <w:proofErr w:type="spellStart"/>
            <w:r w:rsidRPr="00F53C7A">
              <w:rPr>
                <w:rFonts w:ascii="Times New Roman" w:hAnsi="Times New Roman" w:cs="Times New Roman"/>
                <w:iCs/>
                <w:color w:val="000000" w:themeColor="text1"/>
                <w:sz w:val="14"/>
                <w:szCs w:val="14"/>
              </w:rPr>
              <w:t>CRM</w:t>
            </w:r>
            <w:r w:rsidRPr="00F53C7A">
              <w:rPr>
                <w:rFonts w:ascii="Times New Roman" w:hAnsi="Times New Roman" w:cs="Times New Roman"/>
                <w:iCs/>
                <w:color w:val="000000" w:themeColor="text1"/>
                <w:sz w:val="14"/>
                <w:szCs w:val="14"/>
                <w:vertAlign w:val="superscript"/>
              </w:rPr>
              <w:t>c</w:t>
            </w:r>
            <w:proofErr w:type="spellEnd"/>
            <w:r w:rsidRPr="00F53C7A">
              <w:rPr>
                <w:rFonts w:ascii="Times New Roman" w:hAnsi="Times New Roman" w:cs="Times New Roman"/>
                <w:iCs/>
                <w:color w:val="000000" w:themeColor="text1"/>
                <w:sz w:val="14"/>
                <w:szCs w:val="14"/>
              </w:rPr>
              <w:t xml:space="preserve"> / </w:t>
            </w:r>
            <w:proofErr w:type="spellStart"/>
            <w:r w:rsidRPr="00F53C7A">
              <w:rPr>
                <w:rFonts w:ascii="Times New Roman" w:hAnsi="Times New Roman" w:cs="Times New Roman"/>
                <w:iCs/>
                <w:color w:val="000000" w:themeColor="text1"/>
                <w:sz w:val="14"/>
                <w:szCs w:val="14"/>
              </w:rPr>
              <w:t>PLM</w:t>
            </w:r>
            <w:r w:rsidRPr="00F53C7A">
              <w:rPr>
                <w:rFonts w:ascii="Times New Roman" w:hAnsi="Times New Roman" w:cs="Times New Roman"/>
                <w:iCs/>
                <w:color w:val="000000" w:themeColor="text1"/>
                <w:sz w:val="14"/>
                <w:szCs w:val="14"/>
                <w:vertAlign w:val="superscript"/>
              </w:rPr>
              <w:t>d</w:t>
            </w:r>
            <w:proofErr w:type="spellEnd"/>
          </w:p>
        </w:tc>
        <w:tc>
          <w:tcPr>
            <w:tcW w:w="251" w:type="pct"/>
            <w:tcBorders>
              <w:top w:val="nil"/>
              <w:left w:val="nil"/>
              <w:bottom w:val="nil"/>
              <w:right w:val="nil"/>
            </w:tcBorders>
            <w:shd w:val="clear" w:color="auto" w:fill="auto"/>
            <w:vAlign w:val="center"/>
          </w:tcPr>
          <w:p w14:paraId="383E87FE"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.38</w:t>
            </w:r>
          </w:p>
        </w:tc>
        <w:tc>
          <w:tcPr>
            <w:tcW w:w="251" w:type="pct"/>
            <w:tcBorders>
              <w:top w:val="nil"/>
              <w:left w:val="nil"/>
              <w:bottom w:val="nil"/>
              <w:right w:val="nil"/>
            </w:tcBorders>
            <w:shd w:val="clear" w:color="auto" w:fill="auto"/>
            <w:vAlign w:val="center"/>
          </w:tcPr>
          <w:p w14:paraId="51F3E706"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.49</w:t>
            </w:r>
          </w:p>
        </w:tc>
        <w:tc>
          <w:tcPr>
            <w:tcW w:w="300" w:type="pct"/>
            <w:vMerge/>
            <w:tcBorders>
              <w:left w:val="nil"/>
              <w:right w:val="nil"/>
            </w:tcBorders>
            <w:shd w:val="clear" w:color="auto" w:fill="auto"/>
            <w:vAlign w:val="center"/>
          </w:tcPr>
          <w:p w14:paraId="14F2C386" w14:textId="77777777" w:rsidR="00E9015E" w:rsidRPr="009516A1" w:rsidRDefault="00E9015E" w:rsidP="00C14E25">
            <w:pPr>
              <w:jc w:val="center"/>
              <w:rPr>
                <w:rFonts w:ascii="Times New Roman" w:eastAsia="Malgun Gothic" w:hAnsi="Times New Roman" w:cs="Times New Roman"/>
                <w:sz w:val="14"/>
                <w:szCs w:val="14"/>
              </w:rPr>
            </w:pPr>
          </w:p>
        </w:tc>
        <w:tc>
          <w:tcPr>
            <w:tcW w:w="251" w:type="pct"/>
            <w:vMerge/>
            <w:tcBorders>
              <w:left w:val="nil"/>
              <w:right w:val="nil"/>
            </w:tcBorders>
            <w:shd w:val="clear" w:color="auto" w:fill="auto"/>
            <w:vAlign w:val="center"/>
          </w:tcPr>
          <w:p w14:paraId="4043A633" w14:textId="77777777" w:rsidR="00E9015E" w:rsidRPr="009516A1" w:rsidRDefault="00E9015E" w:rsidP="00C14E25">
            <w:pPr>
              <w:jc w:val="center"/>
              <w:rPr>
                <w:rFonts w:ascii="Times New Roman" w:eastAsia="Malgun Gothic" w:hAnsi="Times New Roman" w:cs="Times New Roman"/>
                <w:sz w:val="14"/>
                <w:szCs w:val="14"/>
              </w:rPr>
            </w:pPr>
          </w:p>
        </w:tc>
        <w:tc>
          <w:tcPr>
            <w:tcW w:w="351" w:type="pct"/>
            <w:vMerge/>
            <w:tcBorders>
              <w:left w:val="nil"/>
              <w:right w:val="nil"/>
            </w:tcBorders>
            <w:shd w:val="clear" w:color="auto" w:fill="auto"/>
          </w:tcPr>
          <w:p w14:paraId="7E4BC70B" w14:textId="77777777" w:rsidR="00E9015E" w:rsidRPr="000673A6" w:rsidRDefault="00E9015E" w:rsidP="00C14E25">
            <w:pPr>
              <w:jc w:val="center"/>
              <w:rPr>
                <w:rFonts w:ascii="Times New Roman" w:hAnsi="Times New Roman" w:cs="Times New Roman"/>
                <w:sz w:val="14"/>
                <w:szCs w:val="14"/>
              </w:rPr>
            </w:pPr>
          </w:p>
        </w:tc>
        <w:tc>
          <w:tcPr>
            <w:tcW w:w="351" w:type="pct"/>
            <w:vMerge/>
            <w:tcBorders>
              <w:left w:val="nil"/>
              <w:right w:val="nil"/>
            </w:tcBorders>
            <w:shd w:val="clear" w:color="auto" w:fill="auto"/>
          </w:tcPr>
          <w:p w14:paraId="3C1FED01" w14:textId="77777777" w:rsidR="00E9015E" w:rsidRPr="000673A6" w:rsidRDefault="00E9015E" w:rsidP="00C14E25">
            <w:pPr>
              <w:jc w:val="center"/>
              <w:rPr>
                <w:rFonts w:ascii="Times New Roman" w:hAnsi="Times New Roman" w:cs="Times New Roman"/>
                <w:sz w:val="14"/>
                <w:szCs w:val="14"/>
              </w:rPr>
            </w:pPr>
          </w:p>
        </w:tc>
      </w:tr>
      <w:tr w:rsidR="00E9015E" w:rsidRPr="000673A6" w14:paraId="2773EEC7" w14:textId="77777777" w:rsidTr="00C14E25">
        <w:trPr>
          <w:trHeight w:val="20"/>
        </w:trPr>
        <w:tc>
          <w:tcPr>
            <w:tcW w:w="539" w:type="pct"/>
            <w:vMerge/>
            <w:tcBorders>
              <w:left w:val="nil"/>
              <w:right w:val="nil"/>
            </w:tcBorders>
            <w:shd w:val="clear" w:color="auto" w:fill="auto"/>
            <w:vAlign w:val="center"/>
          </w:tcPr>
          <w:p w14:paraId="74A44AE8" w14:textId="77777777" w:rsidR="00E9015E" w:rsidRPr="009516A1" w:rsidRDefault="00E9015E" w:rsidP="00C14E25">
            <w:pPr>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5DDAA821"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SDT5</w:t>
            </w:r>
          </w:p>
        </w:tc>
        <w:tc>
          <w:tcPr>
            <w:tcW w:w="2455" w:type="pct"/>
            <w:tcBorders>
              <w:top w:val="nil"/>
              <w:left w:val="nil"/>
              <w:bottom w:val="nil"/>
              <w:right w:val="nil"/>
            </w:tcBorders>
            <w:shd w:val="clear" w:color="auto" w:fill="auto"/>
          </w:tcPr>
          <w:p w14:paraId="2870F1F3" w14:textId="77777777" w:rsidR="00E9015E" w:rsidRPr="009516A1" w:rsidRDefault="00E9015E" w:rsidP="00C14E25">
            <w:pPr>
              <w:rPr>
                <w:rFonts w:ascii="Times New Roman" w:hAnsi="Times New Roman" w:cs="Times New Roman"/>
                <w:sz w:val="14"/>
                <w:szCs w:val="14"/>
              </w:rPr>
            </w:pPr>
            <w:r w:rsidRPr="00F53C7A">
              <w:rPr>
                <w:rFonts w:ascii="Times New Roman" w:hAnsi="Times New Roman" w:cs="Times New Roman"/>
                <w:color w:val="000000" w:themeColor="text1"/>
                <w:sz w:val="14"/>
                <w:szCs w:val="14"/>
              </w:rPr>
              <w:t>Cloud computing</w:t>
            </w:r>
          </w:p>
        </w:tc>
        <w:tc>
          <w:tcPr>
            <w:tcW w:w="251" w:type="pct"/>
            <w:tcBorders>
              <w:top w:val="nil"/>
              <w:left w:val="nil"/>
              <w:bottom w:val="nil"/>
              <w:right w:val="nil"/>
            </w:tcBorders>
            <w:shd w:val="clear" w:color="auto" w:fill="auto"/>
            <w:vAlign w:val="center"/>
          </w:tcPr>
          <w:p w14:paraId="0FFEC9B4"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.36</w:t>
            </w:r>
          </w:p>
        </w:tc>
        <w:tc>
          <w:tcPr>
            <w:tcW w:w="251" w:type="pct"/>
            <w:tcBorders>
              <w:top w:val="nil"/>
              <w:left w:val="nil"/>
              <w:bottom w:val="nil"/>
              <w:right w:val="nil"/>
            </w:tcBorders>
            <w:shd w:val="clear" w:color="auto" w:fill="auto"/>
            <w:vAlign w:val="center"/>
          </w:tcPr>
          <w:p w14:paraId="3C8CAA60"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.48</w:t>
            </w:r>
          </w:p>
        </w:tc>
        <w:tc>
          <w:tcPr>
            <w:tcW w:w="300" w:type="pct"/>
            <w:vMerge/>
            <w:tcBorders>
              <w:left w:val="nil"/>
              <w:right w:val="nil"/>
            </w:tcBorders>
            <w:shd w:val="clear" w:color="auto" w:fill="auto"/>
            <w:vAlign w:val="center"/>
          </w:tcPr>
          <w:p w14:paraId="7B70F040" w14:textId="77777777" w:rsidR="00E9015E" w:rsidRPr="009516A1" w:rsidRDefault="00E9015E" w:rsidP="00C14E25">
            <w:pPr>
              <w:jc w:val="center"/>
              <w:rPr>
                <w:rFonts w:ascii="Times New Roman" w:eastAsia="Malgun Gothic" w:hAnsi="Times New Roman" w:cs="Times New Roman"/>
                <w:sz w:val="14"/>
                <w:szCs w:val="14"/>
              </w:rPr>
            </w:pPr>
          </w:p>
        </w:tc>
        <w:tc>
          <w:tcPr>
            <w:tcW w:w="251" w:type="pct"/>
            <w:vMerge/>
            <w:tcBorders>
              <w:left w:val="nil"/>
              <w:right w:val="nil"/>
            </w:tcBorders>
            <w:shd w:val="clear" w:color="auto" w:fill="auto"/>
            <w:vAlign w:val="center"/>
          </w:tcPr>
          <w:p w14:paraId="36BDBD1D" w14:textId="77777777" w:rsidR="00E9015E" w:rsidRPr="009516A1" w:rsidRDefault="00E9015E" w:rsidP="00C14E25">
            <w:pPr>
              <w:jc w:val="center"/>
              <w:rPr>
                <w:rFonts w:ascii="Times New Roman" w:eastAsia="Malgun Gothic" w:hAnsi="Times New Roman" w:cs="Times New Roman"/>
                <w:sz w:val="14"/>
                <w:szCs w:val="14"/>
              </w:rPr>
            </w:pPr>
          </w:p>
        </w:tc>
        <w:tc>
          <w:tcPr>
            <w:tcW w:w="351" w:type="pct"/>
            <w:vMerge/>
            <w:tcBorders>
              <w:left w:val="nil"/>
              <w:right w:val="nil"/>
            </w:tcBorders>
            <w:shd w:val="clear" w:color="auto" w:fill="auto"/>
          </w:tcPr>
          <w:p w14:paraId="280CD0BC" w14:textId="77777777" w:rsidR="00E9015E" w:rsidRPr="000673A6" w:rsidRDefault="00E9015E" w:rsidP="00C14E25">
            <w:pPr>
              <w:jc w:val="center"/>
              <w:rPr>
                <w:rFonts w:ascii="Times New Roman" w:hAnsi="Times New Roman" w:cs="Times New Roman"/>
                <w:sz w:val="14"/>
                <w:szCs w:val="14"/>
              </w:rPr>
            </w:pPr>
          </w:p>
        </w:tc>
        <w:tc>
          <w:tcPr>
            <w:tcW w:w="351" w:type="pct"/>
            <w:vMerge/>
            <w:tcBorders>
              <w:left w:val="nil"/>
              <w:right w:val="nil"/>
            </w:tcBorders>
            <w:shd w:val="clear" w:color="auto" w:fill="auto"/>
          </w:tcPr>
          <w:p w14:paraId="0EB095EA" w14:textId="77777777" w:rsidR="00E9015E" w:rsidRPr="000673A6" w:rsidRDefault="00E9015E" w:rsidP="00C14E25">
            <w:pPr>
              <w:jc w:val="center"/>
              <w:rPr>
                <w:rFonts w:ascii="Times New Roman" w:hAnsi="Times New Roman" w:cs="Times New Roman"/>
                <w:sz w:val="14"/>
                <w:szCs w:val="14"/>
              </w:rPr>
            </w:pPr>
          </w:p>
        </w:tc>
      </w:tr>
      <w:tr w:rsidR="00E9015E" w:rsidRPr="000673A6" w14:paraId="70803B74" w14:textId="77777777" w:rsidTr="00C14E25">
        <w:trPr>
          <w:trHeight w:val="20"/>
        </w:trPr>
        <w:tc>
          <w:tcPr>
            <w:tcW w:w="539" w:type="pct"/>
            <w:vMerge/>
            <w:tcBorders>
              <w:left w:val="nil"/>
              <w:right w:val="nil"/>
            </w:tcBorders>
            <w:shd w:val="clear" w:color="auto" w:fill="auto"/>
            <w:vAlign w:val="center"/>
          </w:tcPr>
          <w:p w14:paraId="259C07AF" w14:textId="77777777" w:rsidR="00E9015E" w:rsidRPr="009516A1" w:rsidRDefault="00E9015E" w:rsidP="00C14E25">
            <w:pPr>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6DDF91AC"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SDT6</w:t>
            </w:r>
          </w:p>
        </w:tc>
        <w:tc>
          <w:tcPr>
            <w:tcW w:w="2455" w:type="pct"/>
            <w:tcBorders>
              <w:top w:val="nil"/>
              <w:left w:val="nil"/>
              <w:bottom w:val="nil"/>
              <w:right w:val="nil"/>
            </w:tcBorders>
            <w:shd w:val="clear" w:color="auto" w:fill="auto"/>
          </w:tcPr>
          <w:p w14:paraId="34E4702B" w14:textId="77777777" w:rsidR="00E9015E" w:rsidRPr="009516A1" w:rsidRDefault="00E9015E" w:rsidP="00C14E25">
            <w:pPr>
              <w:rPr>
                <w:rFonts w:ascii="Times New Roman" w:hAnsi="Times New Roman" w:cs="Times New Roman"/>
                <w:sz w:val="14"/>
                <w:szCs w:val="14"/>
              </w:rPr>
            </w:pPr>
            <w:r w:rsidRPr="00F53C7A">
              <w:rPr>
                <w:rFonts w:ascii="Times New Roman" w:hAnsi="Times New Roman" w:cs="Times New Roman"/>
                <w:color w:val="000000" w:themeColor="text1"/>
                <w:sz w:val="14"/>
                <w:szCs w:val="14"/>
              </w:rPr>
              <w:t>Big Data Analysis</w:t>
            </w:r>
          </w:p>
        </w:tc>
        <w:tc>
          <w:tcPr>
            <w:tcW w:w="251" w:type="pct"/>
            <w:tcBorders>
              <w:top w:val="nil"/>
              <w:left w:val="nil"/>
              <w:bottom w:val="nil"/>
              <w:right w:val="nil"/>
            </w:tcBorders>
            <w:shd w:val="clear" w:color="auto" w:fill="auto"/>
            <w:vAlign w:val="center"/>
          </w:tcPr>
          <w:p w14:paraId="3AAFDEB0"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.14</w:t>
            </w:r>
          </w:p>
        </w:tc>
        <w:tc>
          <w:tcPr>
            <w:tcW w:w="251" w:type="pct"/>
            <w:tcBorders>
              <w:top w:val="nil"/>
              <w:left w:val="nil"/>
              <w:bottom w:val="nil"/>
              <w:right w:val="nil"/>
            </w:tcBorders>
            <w:shd w:val="clear" w:color="auto" w:fill="auto"/>
            <w:vAlign w:val="center"/>
          </w:tcPr>
          <w:p w14:paraId="07FEE134"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.35</w:t>
            </w:r>
          </w:p>
        </w:tc>
        <w:tc>
          <w:tcPr>
            <w:tcW w:w="300" w:type="pct"/>
            <w:vMerge/>
            <w:tcBorders>
              <w:left w:val="nil"/>
              <w:right w:val="nil"/>
            </w:tcBorders>
            <w:shd w:val="clear" w:color="auto" w:fill="auto"/>
            <w:vAlign w:val="center"/>
          </w:tcPr>
          <w:p w14:paraId="58124482" w14:textId="77777777" w:rsidR="00E9015E" w:rsidRPr="009516A1" w:rsidRDefault="00E9015E" w:rsidP="00C14E25">
            <w:pPr>
              <w:jc w:val="center"/>
              <w:rPr>
                <w:rFonts w:ascii="Times New Roman" w:eastAsia="Malgun Gothic" w:hAnsi="Times New Roman" w:cs="Times New Roman"/>
                <w:sz w:val="14"/>
                <w:szCs w:val="14"/>
              </w:rPr>
            </w:pPr>
          </w:p>
        </w:tc>
        <w:tc>
          <w:tcPr>
            <w:tcW w:w="251" w:type="pct"/>
            <w:vMerge/>
            <w:tcBorders>
              <w:left w:val="nil"/>
              <w:right w:val="nil"/>
            </w:tcBorders>
            <w:shd w:val="clear" w:color="auto" w:fill="auto"/>
            <w:vAlign w:val="center"/>
          </w:tcPr>
          <w:p w14:paraId="4FDB070B" w14:textId="77777777" w:rsidR="00E9015E" w:rsidRPr="009516A1" w:rsidRDefault="00E9015E" w:rsidP="00C14E25">
            <w:pPr>
              <w:jc w:val="center"/>
              <w:rPr>
                <w:rFonts w:ascii="Times New Roman" w:eastAsia="Malgun Gothic" w:hAnsi="Times New Roman" w:cs="Times New Roman"/>
                <w:sz w:val="14"/>
                <w:szCs w:val="14"/>
              </w:rPr>
            </w:pPr>
          </w:p>
        </w:tc>
        <w:tc>
          <w:tcPr>
            <w:tcW w:w="351" w:type="pct"/>
            <w:vMerge/>
            <w:tcBorders>
              <w:left w:val="nil"/>
              <w:right w:val="nil"/>
            </w:tcBorders>
            <w:shd w:val="clear" w:color="auto" w:fill="auto"/>
          </w:tcPr>
          <w:p w14:paraId="20AA0657" w14:textId="77777777" w:rsidR="00E9015E" w:rsidRPr="000673A6" w:rsidRDefault="00E9015E" w:rsidP="00C14E25">
            <w:pPr>
              <w:jc w:val="center"/>
              <w:rPr>
                <w:rFonts w:ascii="Times New Roman" w:hAnsi="Times New Roman" w:cs="Times New Roman"/>
                <w:sz w:val="14"/>
                <w:szCs w:val="14"/>
              </w:rPr>
            </w:pPr>
          </w:p>
        </w:tc>
        <w:tc>
          <w:tcPr>
            <w:tcW w:w="351" w:type="pct"/>
            <w:vMerge/>
            <w:tcBorders>
              <w:left w:val="nil"/>
              <w:right w:val="nil"/>
            </w:tcBorders>
            <w:shd w:val="clear" w:color="auto" w:fill="auto"/>
          </w:tcPr>
          <w:p w14:paraId="35C20D2D" w14:textId="77777777" w:rsidR="00E9015E" w:rsidRPr="000673A6" w:rsidRDefault="00E9015E" w:rsidP="00C14E25">
            <w:pPr>
              <w:jc w:val="center"/>
              <w:rPr>
                <w:rFonts w:ascii="Times New Roman" w:hAnsi="Times New Roman" w:cs="Times New Roman"/>
                <w:sz w:val="14"/>
                <w:szCs w:val="14"/>
              </w:rPr>
            </w:pPr>
          </w:p>
        </w:tc>
      </w:tr>
      <w:tr w:rsidR="00E9015E" w:rsidRPr="000673A6" w14:paraId="7FA18350" w14:textId="77777777" w:rsidTr="00C14E25">
        <w:trPr>
          <w:trHeight w:val="20"/>
        </w:trPr>
        <w:tc>
          <w:tcPr>
            <w:tcW w:w="539" w:type="pct"/>
            <w:vMerge/>
            <w:tcBorders>
              <w:left w:val="nil"/>
              <w:right w:val="nil"/>
            </w:tcBorders>
            <w:shd w:val="clear" w:color="auto" w:fill="auto"/>
            <w:vAlign w:val="center"/>
          </w:tcPr>
          <w:p w14:paraId="0275D59E" w14:textId="77777777" w:rsidR="00E9015E" w:rsidRPr="009516A1" w:rsidRDefault="00E9015E" w:rsidP="00C14E25">
            <w:pPr>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7D90C744"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SDT7</w:t>
            </w:r>
          </w:p>
        </w:tc>
        <w:tc>
          <w:tcPr>
            <w:tcW w:w="2455" w:type="pct"/>
            <w:tcBorders>
              <w:top w:val="nil"/>
              <w:left w:val="nil"/>
              <w:bottom w:val="nil"/>
              <w:right w:val="nil"/>
            </w:tcBorders>
            <w:shd w:val="clear" w:color="auto" w:fill="auto"/>
          </w:tcPr>
          <w:p w14:paraId="363976BD" w14:textId="77777777" w:rsidR="00E9015E" w:rsidRPr="009516A1" w:rsidRDefault="00E9015E" w:rsidP="00C14E25">
            <w:pPr>
              <w:rPr>
                <w:rFonts w:ascii="Times New Roman" w:hAnsi="Times New Roman" w:cs="Times New Roman"/>
                <w:sz w:val="14"/>
                <w:szCs w:val="14"/>
              </w:rPr>
            </w:pPr>
            <w:r w:rsidRPr="00F53C7A">
              <w:rPr>
                <w:rFonts w:ascii="Times New Roman" w:hAnsi="Times New Roman" w:cs="Times New Roman"/>
                <w:color w:val="000000" w:themeColor="text1"/>
                <w:sz w:val="14"/>
                <w:szCs w:val="14"/>
              </w:rPr>
              <w:t>Machine learning / Artificial Intelligence</w:t>
            </w:r>
          </w:p>
        </w:tc>
        <w:tc>
          <w:tcPr>
            <w:tcW w:w="251" w:type="pct"/>
            <w:tcBorders>
              <w:top w:val="nil"/>
              <w:left w:val="nil"/>
              <w:bottom w:val="nil"/>
              <w:right w:val="nil"/>
            </w:tcBorders>
            <w:shd w:val="clear" w:color="auto" w:fill="auto"/>
            <w:vAlign w:val="center"/>
          </w:tcPr>
          <w:p w14:paraId="558D04F4"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.07</w:t>
            </w:r>
          </w:p>
        </w:tc>
        <w:tc>
          <w:tcPr>
            <w:tcW w:w="251" w:type="pct"/>
            <w:tcBorders>
              <w:top w:val="nil"/>
              <w:left w:val="nil"/>
              <w:bottom w:val="nil"/>
              <w:right w:val="nil"/>
            </w:tcBorders>
            <w:shd w:val="clear" w:color="auto" w:fill="auto"/>
            <w:vAlign w:val="center"/>
          </w:tcPr>
          <w:p w14:paraId="1E03EBBF"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.26</w:t>
            </w:r>
          </w:p>
        </w:tc>
        <w:tc>
          <w:tcPr>
            <w:tcW w:w="300" w:type="pct"/>
            <w:vMerge/>
            <w:tcBorders>
              <w:left w:val="nil"/>
              <w:right w:val="nil"/>
            </w:tcBorders>
            <w:shd w:val="clear" w:color="auto" w:fill="auto"/>
            <w:vAlign w:val="center"/>
          </w:tcPr>
          <w:p w14:paraId="1777AF78" w14:textId="77777777" w:rsidR="00E9015E" w:rsidRPr="009516A1" w:rsidRDefault="00E9015E" w:rsidP="00C14E25">
            <w:pPr>
              <w:jc w:val="center"/>
              <w:rPr>
                <w:rFonts w:ascii="Times New Roman" w:eastAsia="Malgun Gothic" w:hAnsi="Times New Roman" w:cs="Times New Roman"/>
                <w:sz w:val="14"/>
                <w:szCs w:val="14"/>
              </w:rPr>
            </w:pPr>
          </w:p>
        </w:tc>
        <w:tc>
          <w:tcPr>
            <w:tcW w:w="251" w:type="pct"/>
            <w:vMerge/>
            <w:tcBorders>
              <w:left w:val="nil"/>
              <w:right w:val="nil"/>
            </w:tcBorders>
            <w:shd w:val="clear" w:color="auto" w:fill="auto"/>
            <w:vAlign w:val="center"/>
          </w:tcPr>
          <w:p w14:paraId="65934118" w14:textId="77777777" w:rsidR="00E9015E" w:rsidRPr="009516A1" w:rsidRDefault="00E9015E" w:rsidP="00C14E25">
            <w:pPr>
              <w:jc w:val="center"/>
              <w:rPr>
                <w:rFonts w:ascii="Times New Roman" w:eastAsia="Malgun Gothic" w:hAnsi="Times New Roman" w:cs="Times New Roman"/>
                <w:sz w:val="14"/>
                <w:szCs w:val="14"/>
              </w:rPr>
            </w:pPr>
          </w:p>
        </w:tc>
        <w:tc>
          <w:tcPr>
            <w:tcW w:w="351" w:type="pct"/>
            <w:vMerge/>
            <w:tcBorders>
              <w:left w:val="nil"/>
              <w:right w:val="nil"/>
            </w:tcBorders>
            <w:shd w:val="clear" w:color="auto" w:fill="auto"/>
          </w:tcPr>
          <w:p w14:paraId="5D351FE4" w14:textId="77777777" w:rsidR="00E9015E" w:rsidRPr="000673A6" w:rsidRDefault="00E9015E" w:rsidP="00C14E25">
            <w:pPr>
              <w:jc w:val="center"/>
              <w:rPr>
                <w:rFonts w:ascii="Times New Roman" w:hAnsi="Times New Roman" w:cs="Times New Roman"/>
                <w:sz w:val="14"/>
                <w:szCs w:val="14"/>
              </w:rPr>
            </w:pPr>
          </w:p>
        </w:tc>
        <w:tc>
          <w:tcPr>
            <w:tcW w:w="351" w:type="pct"/>
            <w:vMerge/>
            <w:tcBorders>
              <w:left w:val="nil"/>
              <w:right w:val="nil"/>
            </w:tcBorders>
            <w:shd w:val="clear" w:color="auto" w:fill="auto"/>
          </w:tcPr>
          <w:p w14:paraId="5A15566D" w14:textId="77777777" w:rsidR="00E9015E" w:rsidRPr="000673A6" w:rsidRDefault="00E9015E" w:rsidP="00C14E25">
            <w:pPr>
              <w:jc w:val="center"/>
              <w:rPr>
                <w:rFonts w:ascii="Times New Roman" w:hAnsi="Times New Roman" w:cs="Times New Roman"/>
                <w:sz w:val="14"/>
                <w:szCs w:val="14"/>
              </w:rPr>
            </w:pPr>
          </w:p>
        </w:tc>
      </w:tr>
      <w:tr w:rsidR="00E9015E" w:rsidRPr="000673A6" w14:paraId="2D958A77" w14:textId="77777777" w:rsidTr="00C14E25">
        <w:trPr>
          <w:trHeight w:val="20"/>
        </w:trPr>
        <w:tc>
          <w:tcPr>
            <w:tcW w:w="539" w:type="pct"/>
            <w:vMerge/>
            <w:tcBorders>
              <w:left w:val="nil"/>
              <w:right w:val="nil"/>
            </w:tcBorders>
            <w:shd w:val="clear" w:color="auto" w:fill="auto"/>
            <w:vAlign w:val="center"/>
          </w:tcPr>
          <w:p w14:paraId="72378D98" w14:textId="77777777" w:rsidR="00E9015E" w:rsidRPr="009516A1" w:rsidRDefault="00E9015E" w:rsidP="00C14E25">
            <w:pPr>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583FF209"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SDT8</w:t>
            </w:r>
          </w:p>
        </w:tc>
        <w:tc>
          <w:tcPr>
            <w:tcW w:w="2455" w:type="pct"/>
            <w:tcBorders>
              <w:top w:val="nil"/>
              <w:left w:val="nil"/>
              <w:bottom w:val="nil"/>
              <w:right w:val="nil"/>
            </w:tcBorders>
            <w:shd w:val="clear" w:color="auto" w:fill="auto"/>
          </w:tcPr>
          <w:p w14:paraId="283519D0" w14:textId="77777777" w:rsidR="00E9015E" w:rsidRPr="009516A1" w:rsidRDefault="00E9015E" w:rsidP="00C14E25">
            <w:pPr>
              <w:rPr>
                <w:rFonts w:ascii="Times New Roman" w:hAnsi="Times New Roman" w:cs="Times New Roman"/>
                <w:sz w:val="14"/>
                <w:szCs w:val="14"/>
              </w:rPr>
            </w:pPr>
            <w:r w:rsidRPr="00F53C7A">
              <w:rPr>
                <w:rFonts w:ascii="Times New Roman" w:hAnsi="Times New Roman" w:cs="Times New Roman"/>
                <w:color w:val="000000" w:themeColor="text1"/>
                <w:sz w:val="14"/>
                <w:szCs w:val="14"/>
              </w:rPr>
              <w:t>Internet of Things (IoT)</w:t>
            </w:r>
          </w:p>
        </w:tc>
        <w:tc>
          <w:tcPr>
            <w:tcW w:w="251" w:type="pct"/>
            <w:tcBorders>
              <w:top w:val="nil"/>
              <w:left w:val="nil"/>
              <w:bottom w:val="nil"/>
              <w:right w:val="nil"/>
            </w:tcBorders>
            <w:shd w:val="clear" w:color="auto" w:fill="auto"/>
            <w:vAlign w:val="center"/>
          </w:tcPr>
          <w:p w14:paraId="182C1289"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.14</w:t>
            </w:r>
          </w:p>
        </w:tc>
        <w:tc>
          <w:tcPr>
            <w:tcW w:w="251" w:type="pct"/>
            <w:tcBorders>
              <w:top w:val="nil"/>
              <w:left w:val="nil"/>
              <w:bottom w:val="nil"/>
              <w:right w:val="nil"/>
            </w:tcBorders>
            <w:shd w:val="clear" w:color="auto" w:fill="auto"/>
            <w:vAlign w:val="center"/>
          </w:tcPr>
          <w:p w14:paraId="6DCFE0AB"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.35</w:t>
            </w:r>
          </w:p>
        </w:tc>
        <w:tc>
          <w:tcPr>
            <w:tcW w:w="300" w:type="pct"/>
            <w:vMerge/>
            <w:tcBorders>
              <w:left w:val="nil"/>
              <w:right w:val="nil"/>
            </w:tcBorders>
            <w:shd w:val="clear" w:color="auto" w:fill="auto"/>
            <w:vAlign w:val="center"/>
          </w:tcPr>
          <w:p w14:paraId="5AEAE439" w14:textId="77777777" w:rsidR="00E9015E" w:rsidRPr="009516A1" w:rsidRDefault="00E9015E" w:rsidP="00C14E25">
            <w:pPr>
              <w:jc w:val="center"/>
              <w:rPr>
                <w:rFonts w:ascii="Times New Roman" w:eastAsia="Malgun Gothic" w:hAnsi="Times New Roman" w:cs="Times New Roman"/>
                <w:sz w:val="14"/>
                <w:szCs w:val="14"/>
              </w:rPr>
            </w:pPr>
          </w:p>
        </w:tc>
        <w:tc>
          <w:tcPr>
            <w:tcW w:w="251" w:type="pct"/>
            <w:vMerge/>
            <w:tcBorders>
              <w:left w:val="nil"/>
              <w:right w:val="nil"/>
            </w:tcBorders>
            <w:shd w:val="clear" w:color="auto" w:fill="auto"/>
            <w:vAlign w:val="center"/>
          </w:tcPr>
          <w:p w14:paraId="00425253" w14:textId="77777777" w:rsidR="00E9015E" w:rsidRPr="009516A1" w:rsidRDefault="00E9015E" w:rsidP="00C14E25">
            <w:pPr>
              <w:jc w:val="center"/>
              <w:rPr>
                <w:rFonts w:ascii="Times New Roman" w:eastAsia="Malgun Gothic" w:hAnsi="Times New Roman" w:cs="Times New Roman"/>
                <w:sz w:val="14"/>
                <w:szCs w:val="14"/>
              </w:rPr>
            </w:pPr>
          </w:p>
        </w:tc>
        <w:tc>
          <w:tcPr>
            <w:tcW w:w="351" w:type="pct"/>
            <w:vMerge/>
            <w:tcBorders>
              <w:left w:val="nil"/>
              <w:right w:val="nil"/>
            </w:tcBorders>
            <w:shd w:val="clear" w:color="auto" w:fill="auto"/>
          </w:tcPr>
          <w:p w14:paraId="0B5CF80C" w14:textId="77777777" w:rsidR="00E9015E" w:rsidRPr="000673A6" w:rsidRDefault="00E9015E" w:rsidP="00C14E25">
            <w:pPr>
              <w:jc w:val="center"/>
              <w:rPr>
                <w:rFonts w:ascii="Times New Roman" w:hAnsi="Times New Roman" w:cs="Times New Roman"/>
                <w:sz w:val="14"/>
                <w:szCs w:val="14"/>
              </w:rPr>
            </w:pPr>
          </w:p>
        </w:tc>
        <w:tc>
          <w:tcPr>
            <w:tcW w:w="351" w:type="pct"/>
            <w:vMerge/>
            <w:tcBorders>
              <w:left w:val="nil"/>
              <w:right w:val="nil"/>
            </w:tcBorders>
            <w:shd w:val="clear" w:color="auto" w:fill="auto"/>
          </w:tcPr>
          <w:p w14:paraId="08A49930" w14:textId="77777777" w:rsidR="00E9015E" w:rsidRPr="000673A6" w:rsidRDefault="00E9015E" w:rsidP="00C14E25">
            <w:pPr>
              <w:jc w:val="center"/>
              <w:rPr>
                <w:rFonts w:ascii="Times New Roman" w:hAnsi="Times New Roman" w:cs="Times New Roman"/>
                <w:sz w:val="14"/>
                <w:szCs w:val="14"/>
              </w:rPr>
            </w:pPr>
          </w:p>
        </w:tc>
      </w:tr>
      <w:tr w:rsidR="00E9015E" w:rsidRPr="000673A6" w14:paraId="387AB4AD" w14:textId="77777777" w:rsidTr="00C14E25">
        <w:trPr>
          <w:trHeight w:val="20"/>
        </w:trPr>
        <w:tc>
          <w:tcPr>
            <w:tcW w:w="539" w:type="pct"/>
            <w:vMerge/>
            <w:tcBorders>
              <w:left w:val="nil"/>
              <w:right w:val="nil"/>
            </w:tcBorders>
            <w:shd w:val="clear" w:color="auto" w:fill="auto"/>
            <w:vAlign w:val="center"/>
          </w:tcPr>
          <w:p w14:paraId="5CEDBF1D" w14:textId="77777777" w:rsidR="00E9015E" w:rsidRPr="009516A1" w:rsidRDefault="00E9015E" w:rsidP="00C14E25">
            <w:pPr>
              <w:jc w:val="center"/>
              <w:rPr>
                <w:rFonts w:ascii="Times New Roman" w:hAnsi="Times New Roman" w:cs="Times New Roman"/>
                <w:color w:val="000000" w:themeColor="text1"/>
                <w:sz w:val="14"/>
                <w:szCs w:val="14"/>
              </w:rPr>
            </w:pPr>
          </w:p>
        </w:tc>
        <w:tc>
          <w:tcPr>
            <w:tcW w:w="251" w:type="pct"/>
            <w:tcBorders>
              <w:top w:val="nil"/>
              <w:left w:val="nil"/>
              <w:bottom w:val="nil"/>
              <w:right w:val="nil"/>
            </w:tcBorders>
            <w:shd w:val="clear" w:color="auto" w:fill="auto"/>
            <w:vAlign w:val="center"/>
          </w:tcPr>
          <w:p w14:paraId="27C9A436"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SDT9</w:t>
            </w:r>
          </w:p>
        </w:tc>
        <w:tc>
          <w:tcPr>
            <w:tcW w:w="2455" w:type="pct"/>
            <w:tcBorders>
              <w:top w:val="nil"/>
              <w:left w:val="nil"/>
              <w:bottom w:val="nil"/>
              <w:right w:val="nil"/>
            </w:tcBorders>
            <w:shd w:val="clear" w:color="auto" w:fill="auto"/>
          </w:tcPr>
          <w:p w14:paraId="7DAD7BF0" w14:textId="77777777" w:rsidR="00E9015E" w:rsidRPr="009516A1" w:rsidRDefault="00E9015E" w:rsidP="00C14E25">
            <w:pPr>
              <w:rPr>
                <w:rFonts w:ascii="Times New Roman" w:hAnsi="Times New Roman" w:cs="Times New Roman"/>
                <w:sz w:val="14"/>
                <w:szCs w:val="14"/>
              </w:rPr>
            </w:pPr>
            <w:r w:rsidRPr="00F53C7A">
              <w:rPr>
                <w:rFonts w:ascii="Times New Roman" w:hAnsi="Times New Roman" w:cs="Times New Roman"/>
                <w:color w:val="000000" w:themeColor="text1"/>
                <w:sz w:val="14"/>
                <w:szCs w:val="14"/>
              </w:rPr>
              <w:t>3D Printing</w:t>
            </w:r>
          </w:p>
        </w:tc>
        <w:tc>
          <w:tcPr>
            <w:tcW w:w="251" w:type="pct"/>
            <w:tcBorders>
              <w:top w:val="nil"/>
              <w:left w:val="nil"/>
              <w:bottom w:val="nil"/>
              <w:right w:val="nil"/>
            </w:tcBorders>
            <w:shd w:val="clear" w:color="auto" w:fill="auto"/>
            <w:vAlign w:val="center"/>
          </w:tcPr>
          <w:p w14:paraId="03789B9B"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.13</w:t>
            </w:r>
          </w:p>
        </w:tc>
        <w:tc>
          <w:tcPr>
            <w:tcW w:w="251" w:type="pct"/>
            <w:tcBorders>
              <w:top w:val="nil"/>
              <w:left w:val="nil"/>
              <w:bottom w:val="nil"/>
              <w:right w:val="nil"/>
            </w:tcBorders>
            <w:shd w:val="clear" w:color="auto" w:fill="auto"/>
            <w:vAlign w:val="center"/>
          </w:tcPr>
          <w:p w14:paraId="44F62EB3"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.34</w:t>
            </w:r>
          </w:p>
        </w:tc>
        <w:tc>
          <w:tcPr>
            <w:tcW w:w="300" w:type="pct"/>
            <w:vMerge/>
            <w:tcBorders>
              <w:left w:val="nil"/>
              <w:right w:val="nil"/>
            </w:tcBorders>
            <w:shd w:val="clear" w:color="auto" w:fill="auto"/>
            <w:vAlign w:val="center"/>
          </w:tcPr>
          <w:p w14:paraId="336A5501" w14:textId="77777777" w:rsidR="00E9015E" w:rsidRPr="009516A1" w:rsidRDefault="00E9015E" w:rsidP="00C14E25">
            <w:pPr>
              <w:jc w:val="center"/>
              <w:rPr>
                <w:rFonts w:ascii="Times New Roman" w:eastAsia="Malgun Gothic" w:hAnsi="Times New Roman" w:cs="Times New Roman"/>
                <w:sz w:val="14"/>
                <w:szCs w:val="14"/>
              </w:rPr>
            </w:pPr>
          </w:p>
        </w:tc>
        <w:tc>
          <w:tcPr>
            <w:tcW w:w="251" w:type="pct"/>
            <w:vMerge/>
            <w:tcBorders>
              <w:left w:val="nil"/>
              <w:right w:val="nil"/>
            </w:tcBorders>
            <w:shd w:val="clear" w:color="auto" w:fill="auto"/>
            <w:vAlign w:val="center"/>
          </w:tcPr>
          <w:p w14:paraId="114BE840" w14:textId="77777777" w:rsidR="00E9015E" w:rsidRPr="009516A1" w:rsidRDefault="00E9015E" w:rsidP="00C14E25">
            <w:pPr>
              <w:jc w:val="center"/>
              <w:rPr>
                <w:rFonts w:ascii="Times New Roman" w:eastAsia="Malgun Gothic" w:hAnsi="Times New Roman" w:cs="Times New Roman"/>
                <w:sz w:val="14"/>
                <w:szCs w:val="14"/>
              </w:rPr>
            </w:pPr>
          </w:p>
        </w:tc>
        <w:tc>
          <w:tcPr>
            <w:tcW w:w="351" w:type="pct"/>
            <w:vMerge/>
            <w:tcBorders>
              <w:left w:val="nil"/>
              <w:right w:val="nil"/>
            </w:tcBorders>
            <w:shd w:val="clear" w:color="auto" w:fill="auto"/>
          </w:tcPr>
          <w:p w14:paraId="28198D68" w14:textId="77777777" w:rsidR="00E9015E" w:rsidRPr="000673A6" w:rsidRDefault="00E9015E" w:rsidP="00C14E25">
            <w:pPr>
              <w:jc w:val="center"/>
              <w:rPr>
                <w:rFonts w:ascii="Times New Roman" w:hAnsi="Times New Roman" w:cs="Times New Roman"/>
                <w:sz w:val="14"/>
                <w:szCs w:val="14"/>
              </w:rPr>
            </w:pPr>
          </w:p>
        </w:tc>
        <w:tc>
          <w:tcPr>
            <w:tcW w:w="351" w:type="pct"/>
            <w:vMerge/>
            <w:tcBorders>
              <w:left w:val="nil"/>
              <w:right w:val="nil"/>
            </w:tcBorders>
            <w:shd w:val="clear" w:color="auto" w:fill="auto"/>
          </w:tcPr>
          <w:p w14:paraId="7752A46C" w14:textId="77777777" w:rsidR="00E9015E" w:rsidRPr="000673A6" w:rsidRDefault="00E9015E" w:rsidP="00C14E25">
            <w:pPr>
              <w:jc w:val="center"/>
              <w:rPr>
                <w:rFonts w:ascii="Times New Roman" w:hAnsi="Times New Roman" w:cs="Times New Roman"/>
                <w:sz w:val="14"/>
                <w:szCs w:val="14"/>
              </w:rPr>
            </w:pPr>
          </w:p>
        </w:tc>
      </w:tr>
      <w:tr w:rsidR="00E9015E" w:rsidRPr="000673A6" w14:paraId="6DF3A401" w14:textId="77777777" w:rsidTr="00C14E25">
        <w:trPr>
          <w:trHeight w:val="20"/>
        </w:trPr>
        <w:tc>
          <w:tcPr>
            <w:tcW w:w="539" w:type="pct"/>
            <w:vMerge/>
            <w:tcBorders>
              <w:left w:val="nil"/>
              <w:right w:val="nil"/>
            </w:tcBorders>
            <w:shd w:val="clear" w:color="auto" w:fill="auto"/>
            <w:vAlign w:val="center"/>
          </w:tcPr>
          <w:p w14:paraId="56722AFC" w14:textId="77777777" w:rsidR="00E9015E" w:rsidRPr="009516A1" w:rsidRDefault="00E9015E" w:rsidP="00C14E25">
            <w:pPr>
              <w:jc w:val="center"/>
              <w:rPr>
                <w:rFonts w:ascii="Times New Roman" w:hAnsi="Times New Roman" w:cs="Times New Roman"/>
                <w:color w:val="000000" w:themeColor="text1"/>
                <w:sz w:val="14"/>
                <w:szCs w:val="14"/>
              </w:rPr>
            </w:pPr>
          </w:p>
        </w:tc>
        <w:tc>
          <w:tcPr>
            <w:tcW w:w="251" w:type="pct"/>
            <w:tcBorders>
              <w:top w:val="nil"/>
              <w:left w:val="nil"/>
              <w:right w:val="nil"/>
            </w:tcBorders>
            <w:shd w:val="clear" w:color="auto" w:fill="auto"/>
            <w:vAlign w:val="center"/>
          </w:tcPr>
          <w:p w14:paraId="74E7F317"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SDT10</w:t>
            </w:r>
          </w:p>
        </w:tc>
        <w:tc>
          <w:tcPr>
            <w:tcW w:w="2455" w:type="pct"/>
            <w:tcBorders>
              <w:top w:val="nil"/>
              <w:left w:val="nil"/>
              <w:right w:val="nil"/>
            </w:tcBorders>
            <w:shd w:val="clear" w:color="auto" w:fill="auto"/>
          </w:tcPr>
          <w:p w14:paraId="0165A8A1" w14:textId="77777777" w:rsidR="00E9015E" w:rsidRPr="009516A1" w:rsidRDefault="00E9015E" w:rsidP="00C14E25">
            <w:pPr>
              <w:rPr>
                <w:rFonts w:ascii="Times New Roman" w:hAnsi="Times New Roman" w:cs="Times New Roman"/>
                <w:sz w:val="14"/>
                <w:szCs w:val="14"/>
              </w:rPr>
            </w:pPr>
            <w:r w:rsidRPr="00F53C7A">
              <w:rPr>
                <w:rFonts w:ascii="Times New Roman" w:hAnsi="Times New Roman" w:cs="Times New Roman"/>
                <w:color w:val="000000" w:themeColor="text1"/>
                <w:sz w:val="14"/>
                <w:szCs w:val="14"/>
              </w:rPr>
              <w:t>Robotics</w:t>
            </w:r>
          </w:p>
        </w:tc>
        <w:tc>
          <w:tcPr>
            <w:tcW w:w="251" w:type="pct"/>
            <w:tcBorders>
              <w:top w:val="nil"/>
              <w:left w:val="nil"/>
              <w:right w:val="nil"/>
            </w:tcBorders>
            <w:shd w:val="clear" w:color="auto" w:fill="auto"/>
            <w:vAlign w:val="center"/>
          </w:tcPr>
          <w:p w14:paraId="3402D1ED"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.23</w:t>
            </w:r>
          </w:p>
        </w:tc>
        <w:tc>
          <w:tcPr>
            <w:tcW w:w="251" w:type="pct"/>
            <w:tcBorders>
              <w:top w:val="nil"/>
              <w:left w:val="nil"/>
              <w:right w:val="nil"/>
            </w:tcBorders>
            <w:shd w:val="clear" w:color="auto" w:fill="auto"/>
            <w:vAlign w:val="center"/>
          </w:tcPr>
          <w:p w14:paraId="6B3C35BB" w14:textId="77777777" w:rsidR="00E9015E" w:rsidRPr="009516A1" w:rsidRDefault="00E9015E" w:rsidP="00C14E25">
            <w:pPr>
              <w:jc w:val="center"/>
              <w:rPr>
                <w:rFonts w:ascii="Times New Roman" w:hAnsi="Times New Roman" w:cs="Times New Roman"/>
                <w:sz w:val="14"/>
                <w:szCs w:val="14"/>
              </w:rPr>
            </w:pPr>
            <w:r w:rsidRPr="00F53C7A">
              <w:rPr>
                <w:rFonts w:ascii="Times New Roman" w:hAnsi="Times New Roman" w:cs="Times New Roman"/>
                <w:sz w:val="14"/>
                <w:szCs w:val="14"/>
              </w:rPr>
              <w:t>.42</w:t>
            </w:r>
          </w:p>
        </w:tc>
        <w:tc>
          <w:tcPr>
            <w:tcW w:w="300" w:type="pct"/>
            <w:vMerge/>
            <w:tcBorders>
              <w:left w:val="nil"/>
              <w:right w:val="nil"/>
            </w:tcBorders>
            <w:shd w:val="clear" w:color="auto" w:fill="auto"/>
            <w:vAlign w:val="center"/>
          </w:tcPr>
          <w:p w14:paraId="7FE63AF5" w14:textId="77777777" w:rsidR="00E9015E" w:rsidRPr="009516A1" w:rsidRDefault="00E9015E" w:rsidP="00C14E25">
            <w:pPr>
              <w:jc w:val="center"/>
              <w:rPr>
                <w:rFonts w:ascii="Times New Roman" w:eastAsia="Malgun Gothic" w:hAnsi="Times New Roman" w:cs="Times New Roman"/>
                <w:sz w:val="14"/>
                <w:szCs w:val="14"/>
              </w:rPr>
            </w:pPr>
          </w:p>
        </w:tc>
        <w:tc>
          <w:tcPr>
            <w:tcW w:w="251" w:type="pct"/>
            <w:vMerge/>
            <w:tcBorders>
              <w:left w:val="nil"/>
              <w:right w:val="nil"/>
            </w:tcBorders>
            <w:shd w:val="clear" w:color="auto" w:fill="auto"/>
            <w:vAlign w:val="center"/>
          </w:tcPr>
          <w:p w14:paraId="3E70C084" w14:textId="77777777" w:rsidR="00E9015E" w:rsidRPr="009516A1" w:rsidRDefault="00E9015E" w:rsidP="00C14E25">
            <w:pPr>
              <w:jc w:val="center"/>
              <w:rPr>
                <w:rFonts w:ascii="Times New Roman" w:eastAsia="Malgun Gothic" w:hAnsi="Times New Roman" w:cs="Times New Roman"/>
                <w:sz w:val="14"/>
                <w:szCs w:val="14"/>
              </w:rPr>
            </w:pPr>
          </w:p>
        </w:tc>
        <w:tc>
          <w:tcPr>
            <w:tcW w:w="351" w:type="pct"/>
            <w:vMerge/>
            <w:tcBorders>
              <w:left w:val="nil"/>
              <w:right w:val="nil"/>
            </w:tcBorders>
            <w:shd w:val="clear" w:color="auto" w:fill="auto"/>
          </w:tcPr>
          <w:p w14:paraId="06965702" w14:textId="77777777" w:rsidR="00E9015E" w:rsidRPr="000673A6" w:rsidRDefault="00E9015E" w:rsidP="00C14E25">
            <w:pPr>
              <w:jc w:val="center"/>
              <w:rPr>
                <w:rFonts w:ascii="Times New Roman" w:hAnsi="Times New Roman" w:cs="Times New Roman"/>
                <w:sz w:val="14"/>
                <w:szCs w:val="14"/>
              </w:rPr>
            </w:pPr>
          </w:p>
        </w:tc>
        <w:tc>
          <w:tcPr>
            <w:tcW w:w="351" w:type="pct"/>
            <w:vMerge/>
            <w:tcBorders>
              <w:left w:val="nil"/>
              <w:right w:val="nil"/>
            </w:tcBorders>
            <w:shd w:val="clear" w:color="auto" w:fill="auto"/>
          </w:tcPr>
          <w:p w14:paraId="50948D0A" w14:textId="77777777" w:rsidR="00E9015E" w:rsidRPr="000673A6" w:rsidRDefault="00E9015E" w:rsidP="00C14E25">
            <w:pPr>
              <w:jc w:val="center"/>
              <w:rPr>
                <w:rFonts w:ascii="Times New Roman" w:hAnsi="Times New Roman" w:cs="Times New Roman"/>
                <w:sz w:val="14"/>
                <w:szCs w:val="14"/>
              </w:rPr>
            </w:pPr>
          </w:p>
        </w:tc>
      </w:tr>
      <w:tr w:rsidR="00E9015E" w:rsidRPr="000673A6" w14:paraId="2FD9EF69" w14:textId="77777777" w:rsidTr="00C14E25">
        <w:tc>
          <w:tcPr>
            <w:tcW w:w="5000" w:type="pct"/>
            <w:gridSpan w:val="9"/>
            <w:tcBorders>
              <w:top w:val="single" w:sz="12" w:space="0" w:color="auto"/>
              <w:left w:val="nil"/>
              <w:bottom w:val="nil"/>
              <w:right w:val="nil"/>
            </w:tcBorders>
            <w:shd w:val="clear" w:color="auto" w:fill="auto"/>
          </w:tcPr>
          <w:p w14:paraId="36E79F5E" w14:textId="77777777" w:rsidR="00E9015E" w:rsidRDefault="00E9015E" w:rsidP="00C14E25">
            <w:pPr>
              <w:spacing w:line="276" w:lineRule="auto"/>
              <w:rPr>
                <w:rFonts w:ascii="Times New Roman" w:hAnsi="Times New Roman" w:cs="Times New Roman"/>
                <w:bCs/>
                <w:kern w:val="24"/>
                <w:sz w:val="14"/>
                <w:szCs w:val="14"/>
              </w:rPr>
            </w:pPr>
            <w:proofErr w:type="spellStart"/>
            <w:r w:rsidRPr="000673A6">
              <w:rPr>
                <w:rFonts w:ascii="Times New Roman" w:hAnsi="Times New Roman" w:cs="Times New Roman"/>
                <w:bCs/>
                <w:kern w:val="24"/>
                <w:sz w:val="14"/>
                <w:szCs w:val="14"/>
                <w:vertAlign w:val="superscript"/>
              </w:rPr>
              <w:t>a</w:t>
            </w:r>
            <w:r w:rsidRPr="000673A6">
              <w:rPr>
                <w:rFonts w:ascii="Times New Roman" w:hAnsi="Times New Roman" w:cs="Times New Roman"/>
                <w:bCs/>
                <w:kern w:val="24"/>
                <w:sz w:val="14"/>
                <w:szCs w:val="14"/>
              </w:rPr>
              <w:t>Standardized</w:t>
            </w:r>
            <w:proofErr w:type="spellEnd"/>
            <w:r w:rsidRPr="000673A6">
              <w:rPr>
                <w:rFonts w:ascii="Times New Roman" w:hAnsi="Times New Roman" w:cs="Times New Roman"/>
                <w:bCs/>
                <w:kern w:val="24"/>
                <w:sz w:val="14"/>
                <w:szCs w:val="14"/>
              </w:rPr>
              <w:t xml:space="preserve"> loadings from confirmatory factor analysis, significa</w:t>
            </w:r>
            <w:r>
              <w:rPr>
                <w:rFonts w:ascii="Times New Roman" w:hAnsi="Times New Roman" w:cs="Times New Roman"/>
                <w:bCs/>
                <w:kern w:val="24"/>
                <w:sz w:val="14"/>
                <w:szCs w:val="14"/>
              </w:rPr>
              <w:t>nt at p &lt;.001 (two-tailed test)</w:t>
            </w:r>
          </w:p>
          <w:p w14:paraId="6ED9AD4A" w14:textId="77777777" w:rsidR="00E9015E" w:rsidRPr="00DC5F32" w:rsidRDefault="00E9015E" w:rsidP="00C14E25">
            <w:pPr>
              <w:spacing w:line="276" w:lineRule="auto"/>
              <w:rPr>
                <w:rFonts w:ascii="Times New Roman" w:hAnsi="Times New Roman" w:cs="Times New Roman"/>
                <w:bCs/>
                <w:kern w:val="24"/>
                <w:sz w:val="14"/>
                <w:szCs w:val="14"/>
              </w:rPr>
            </w:pPr>
            <w:r>
              <w:rPr>
                <w:rFonts w:ascii="Times New Roman" w:hAnsi="Times New Roman" w:cs="Times New Roman" w:hint="eastAsia"/>
                <w:bCs/>
                <w:kern w:val="24"/>
                <w:sz w:val="14"/>
                <w:szCs w:val="14"/>
              </w:rPr>
              <w:t>A</w:t>
            </w:r>
            <w:r>
              <w:rPr>
                <w:rFonts w:ascii="Times New Roman" w:hAnsi="Times New Roman" w:cs="Times New Roman"/>
                <w:bCs/>
                <w:kern w:val="24"/>
                <w:sz w:val="14"/>
                <w:szCs w:val="14"/>
              </w:rPr>
              <w:t>ll variables were measured from the supplier’s perspective</w:t>
            </w:r>
          </w:p>
        </w:tc>
      </w:tr>
    </w:tbl>
    <w:p w14:paraId="56C26EFA" w14:textId="77777777" w:rsidR="00E9015E" w:rsidRDefault="00E9015E" w:rsidP="00E9015E"/>
    <w:p w14:paraId="4BCF3141" w14:textId="77777777" w:rsidR="003C2F88" w:rsidRPr="00574A9F" w:rsidRDefault="003C2F88" w:rsidP="00107829">
      <w:pPr>
        <w:adjustRightInd w:val="0"/>
        <w:spacing w:before="140"/>
        <w:ind w:left="480" w:hanging="480"/>
        <w:jc w:val="both"/>
        <w:rPr>
          <w:color w:val="FF0000"/>
          <w:lang w:val="en-US" w:eastAsia="en-IE"/>
        </w:rPr>
      </w:pPr>
    </w:p>
    <w:sectPr w:rsidR="003C2F88" w:rsidRPr="00574A9F" w:rsidSect="002F5783">
      <w:footerReference w:type="even" r:id="rId8"/>
      <w:footerReference w:type="default" r:id="rId9"/>
      <w:pgSz w:w="11907" w:h="16840"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93FE" w14:textId="77777777" w:rsidR="005B4BB1" w:rsidRDefault="005B4BB1">
      <w:r>
        <w:separator/>
      </w:r>
    </w:p>
  </w:endnote>
  <w:endnote w:type="continuationSeparator" w:id="0">
    <w:p w14:paraId="76B09B88" w14:textId="77777777" w:rsidR="005B4BB1" w:rsidRDefault="005B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otumChe">
    <w:altName w:val="돋움체"/>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altName w:val="﷽﷽﷽﷽﷽﷽﷽﷽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Times New Roman"/>
    <w:panose1 w:val="02030609000101010101"/>
    <w:charset w:val="81"/>
    <w:family w:val="modern"/>
    <w:pitch w:val="fixed"/>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8EC6" w14:textId="77777777" w:rsidR="009E4843" w:rsidRDefault="009E48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E13E6" w14:textId="77777777" w:rsidR="009E4843" w:rsidRDefault="009E48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5D1B" w14:textId="54F9C33B" w:rsidR="009E4843" w:rsidRDefault="009E48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1C3E">
      <w:rPr>
        <w:rStyle w:val="PageNumber"/>
        <w:noProof/>
      </w:rPr>
      <w:t>30</w:t>
    </w:r>
    <w:r>
      <w:rPr>
        <w:rStyle w:val="PageNumber"/>
      </w:rPr>
      <w:fldChar w:fldCharType="end"/>
    </w:r>
  </w:p>
  <w:p w14:paraId="0F1AA908" w14:textId="77777777" w:rsidR="009E4843" w:rsidRPr="00741FBE" w:rsidRDefault="009E4843">
    <w:pPr>
      <w:pStyle w:val="Footer"/>
      <w:ind w:right="360"/>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AF75" w14:textId="77777777" w:rsidR="005B4BB1" w:rsidRDefault="005B4BB1">
      <w:r>
        <w:separator/>
      </w:r>
    </w:p>
  </w:footnote>
  <w:footnote w:type="continuationSeparator" w:id="0">
    <w:p w14:paraId="4974F726" w14:textId="77777777" w:rsidR="005B4BB1" w:rsidRDefault="005B4BB1">
      <w:r>
        <w:continuationSeparator/>
      </w:r>
    </w:p>
  </w:footnote>
  <w:footnote w:id="1">
    <w:p w14:paraId="0E8FB052" w14:textId="4E3EE7EE" w:rsidR="00F02219" w:rsidRPr="00F02219" w:rsidRDefault="00F02219">
      <w:pPr>
        <w:pStyle w:val="FootnoteText"/>
        <w:rPr>
          <w:lang w:val="en-US" w:eastAsia="ko-KR"/>
        </w:rPr>
      </w:pPr>
      <w:r>
        <w:rPr>
          <w:rStyle w:val="FootnoteReference"/>
        </w:rPr>
        <w:footnoteRef/>
      </w:r>
      <w:r>
        <w:t xml:space="preserve"> </w:t>
      </w:r>
      <w:r w:rsidR="003D0B04">
        <w:rPr>
          <w:rFonts w:eastAsia="Batang" w:hint="cs"/>
          <w:lang w:val="en-US" w:eastAsia="ko-KR"/>
        </w:rPr>
        <w:t>T</w:t>
      </w:r>
      <w:r w:rsidR="003D0B04">
        <w:rPr>
          <w:rFonts w:eastAsia="Batang"/>
          <w:lang w:val="en-US" w:eastAsia="ko-KR"/>
        </w:rPr>
        <w:t xml:space="preserve">his shall be based on Article 2 of </w:t>
      </w:r>
      <w:r w:rsidR="003D0BF3">
        <w:rPr>
          <w:rFonts w:eastAsia="Batang"/>
          <w:lang w:val="en-US" w:eastAsia="ko-KR"/>
        </w:rPr>
        <w:t>the Framework Act on Small and Medium Enterprise (</w:t>
      </w:r>
      <w:hyperlink r:id="rId1" w:history="1">
        <w:r w:rsidR="006807A9" w:rsidRPr="00D56A58">
          <w:rPr>
            <w:rStyle w:val="Hyperlink"/>
            <w:rFonts w:eastAsia="Batang"/>
            <w:lang w:val="en-US" w:eastAsia="ko-KR"/>
          </w:rPr>
          <w:t>www.mss.go.kr</w:t>
        </w:r>
      </w:hyperlink>
      <w:r w:rsidR="006807A9">
        <w:rPr>
          <w:rFonts w:eastAsia="Batang"/>
          <w:lang w:val="en-US" w:eastAsia="ko-KR"/>
        </w:rPr>
        <w:t xml:space="preserve">). </w:t>
      </w:r>
    </w:p>
  </w:footnote>
  <w:footnote w:id="2">
    <w:p w14:paraId="203DC28C" w14:textId="72A2C783" w:rsidR="009E4843" w:rsidRPr="00D94CE7" w:rsidRDefault="009E4843" w:rsidP="00BB7FB7">
      <w:pPr>
        <w:pStyle w:val="FootnoteText"/>
        <w:jc w:val="both"/>
        <w:rPr>
          <w:lang w:val="en-US"/>
        </w:rPr>
      </w:pPr>
      <w:r>
        <w:rPr>
          <w:rStyle w:val="FootnoteReference"/>
        </w:rPr>
        <w:footnoteRef/>
      </w:r>
      <w:r>
        <w:t xml:space="preserve"> The </w:t>
      </w:r>
      <w:r>
        <w:rPr>
          <w:lang w:val="en-US"/>
        </w:rPr>
        <w:t>Korea Enterprise Data (</w:t>
      </w:r>
      <w:hyperlink r:id="rId2" w:history="1">
        <w:r w:rsidRPr="000C27AB">
          <w:rPr>
            <w:rStyle w:val="Hyperlink"/>
            <w:lang w:val="en-US"/>
          </w:rPr>
          <w:t>www.kedkorea.com</w:t>
        </w:r>
      </w:hyperlink>
      <w:r>
        <w:rPr>
          <w:lang w:val="en-US"/>
        </w:rPr>
        <w:t>) is the nation’s largest corporate database, containing information about 8.9 million Korean corporates and providing information on unlisted SMEs.</w:t>
      </w:r>
    </w:p>
  </w:footnote>
  <w:footnote w:id="3">
    <w:p w14:paraId="7FDEE2BB" w14:textId="287EB4BB" w:rsidR="009E4843" w:rsidRPr="00BB7FB7" w:rsidRDefault="009E4843" w:rsidP="00BB7FB7">
      <w:pPr>
        <w:pStyle w:val="FootnoteText"/>
        <w:jc w:val="both"/>
        <w:rPr>
          <w:lang w:val="en-US"/>
        </w:rPr>
      </w:pPr>
      <w:r>
        <w:rPr>
          <w:rStyle w:val="FootnoteReference"/>
        </w:rPr>
        <w:footnoteRef/>
      </w:r>
      <w:r>
        <w:t xml:space="preserve"> The </w:t>
      </w:r>
      <w:r>
        <w:rPr>
          <w:lang w:val="en-US"/>
        </w:rPr>
        <w:t xml:space="preserve">Korean Enterprise Information, published by the </w:t>
      </w:r>
      <w:r w:rsidRPr="000C1510">
        <w:rPr>
          <w:i/>
          <w:iCs/>
          <w:lang w:val="en-US"/>
        </w:rPr>
        <w:t>Korea Economic Daily</w:t>
      </w:r>
      <w:r>
        <w:rPr>
          <w:lang w:val="en-US"/>
        </w:rPr>
        <w:t>, deals with information on 280,000 Korean enterprises, and aggregates corporate status and financial information based on audit reports and statements of accounts held by the Korean Financial Supervisory Service and an investor service company in Korea (NICE) (www.nicerating.com)</w:t>
      </w:r>
    </w:p>
  </w:footnote>
  <w:footnote w:id="4">
    <w:p w14:paraId="669CB423" w14:textId="1FE83683" w:rsidR="009E4843" w:rsidRPr="00BB7FB7" w:rsidRDefault="009E4843" w:rsidP="00BB7FB7">
      <w:pPr>
        <w:pStyle w:val="FootnoteText"/>
        <w:jc w:val="both"/>
        <w:rPr>
          <w:lang w:val="en-US"/>
        </w:rPr>
      </w:pPr>
      <w:r>
        <w:rPr>
          <w:rStyle w:val="FootnoteReference"/>
        </w:rPr>
        <w:footnoteRef/>
      </w:r>
      <w:r>
        <w:t xml:space="preserve"> </w:t>
      </w:r>
      <w:r>
        <w:rPr>
          <w:lang w:val="en-US"/>
        </w:rPr>
        <w:t>KISLINE (</w:t>
      </w:r>
      <w:hyperlink r:id="rId3" w:history="1">
        <w:r w:rsidRPr="000C27AB">
          <w:rPr>
            <w:rStyle w:val="Hyperlink"/>
            <w:lang w:val="en-US"/>
          </w:rPr>
          <w:t>www.kisline.com</w:t>
        </w:r>
      </w:hyperlink>
      <w:r>
        <w:rPr>
          <w:lang w:val="en-US"/>
        </w:rPr>
        <w:t>) is the largest database of financial, R&amp;D and general corporate information, covering almost 2.4 million companies in South Korea.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490"/>
    <w:multiLevelType w:val="hybridMultilevel"/>
    <w:tmpl w:val="306CFC98"/>
    <w:lvl w:ilvl="0" w:tplc="CE96CE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F135A"/>
    <w:multiLevelType w:val="hybridMultilevel"/>
    <w:tmpl w:val="3D9014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5E6FF1"/>
    <w:multiLevelType w:val="hybridMultilevel"/>
    <w:tmpl w:val="D88C0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9E67B9"/>
    <w:multiLevelType w:val="hybridMultilevel"/>
    <w:tmpl w:val="D1EC0350"/>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C1A4319"/>
    <w:multiLevelType w:val="hybridMultilevel"/>
    <w:tmpl w:val="A7D2C1D8"/>
    <w:lvl w:ilvl="0" w:tplc="A78E5F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0577C"/>
    <w:multiLevelType w:val="hybridMultilevel"/>
    <w:tmpl w:val="D760004E"/>
    <w:lvl w:ilvl="0" w:tplc="2D3803A8">
      <w:start w:val="1"/>
      <w:numFmt w:val="decimal"/>
      <w:lvlText w:val="(%1)"/>
      <w:lvlJc w:val="left"/>
      <w:pPr>
        <w:ind w:left="1815" w:hanging="10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55E0A"/>
    <w:multiLevelType w:val="multilevel"/>
    <w:tmpl w:val="4386FE6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C1646D"/>
    <w:multiLevelType w:val="hybridMultilevel"/>
    <w:tmpl w:val="E186611C"/>
    <w:lvl w:ilvl="0" w:tplc="8EA6F0EE">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B3B42FD"/>
    <w:multiLevelType w:val="singleLevel"/>
    <w:tmpl w:val="C240ABD0"/>
    <w:lvl w:ilvl="0">
      <w:start w:val="6"/>
      <w:numFmt w:val="bullet"/>
      <w:lvlText w:val="-"/>
      <w:lvlJc w:val="left"/>
      <w:pPr>
        <w:tabs>
          <w:tab w:val="num" w:pos="360"/>
        </w:tabs>
        <w:ind w:left="360" w:hanging="360"/>
      </w:pPr>
      <w:rPr>
        <w:rFonts w:hint="default"/>
      </w:rPr>
    </w:lvl>
  </w:abstractNum>
  <w:abstractNum w:abstractNumId="9" w15:restartNumberingAfterBreak="0">
    <w:nsid w:val="2B8722E5"/>
    <w:multiLevelType w:val="singleLevel"/>
    <w:tmpl w:val="C240ABD0"/>
    <w:lvl w:ilvl="0">
      <w:start w:val="6"/>
      <w:numFmt w:val="bullet"/>
      <w:lvlText w:val="-"/>
      <w:lvlJc w:val="left"/>
      <w:pPr>
        <w:tabs>
          <w:tab w:val="num" w:pos="360"/>
        </w:tabs>
        <w:ind w:left="360" w:hanging="360"/>
      </w:pPr>
      <w:rPr>
        <w:rFonts w:hint="default"/>
      </w:rPr>
    </w:lvl>
  </w:abstractNum>
  <w:abstractNum w:abstractNumId="10" w15:restartNumberingAfterBreak="0">
    <w:nsid w:val="2C033610"/>
    <w:multiLevelType w:val="hybridMultilevel"/>
    <w:tmpl w:val="E1528B4E"/>
    <w:lvl w:ilvl="0" w:tplc="39340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F6EE9"/>
    <w:multiLevelType w:val="multilevel"/>
    <w:tmpl w:val="60286DD8"/>
    <w:lvl w:ilvl="0">
      <w:start w:val="1"/>
      <w:numFmt w:val="upperRoman"/>
      <w:lvlText w:val="%1."/>
      <w:lvlJc w:val="left"/>
      <w:pPr>
        <w:tabs>
          <w:tab w:val="num" w:pos="720"/>
        </w:tabs>
        <w:ind w:left="432" w:hanging="432"/>
      </w:pPr>
      <w:rPr>
        <w:rFonts w:ascii="Arial" w:hAnsi="Arial" w:hint="default"/>
        <w:b/>
        <w:i w:val="0"/>
        <w:sz w:val="28"/>
      </w:rPr>
    </w:lvl>
    <w:lvl w:ilvl="1">
      <w:start w:val="1"/>
      <w:numFmt w:val="decimal"/>
      <w:lvlText w:val="%2"/>
      <w:lvlJc w:val="left"/>
      <w:pPr>
        <w:tabs>
          <w:tab w:val="num" w:pos="576"/>
        </w:tabs>
        <w:ind w:left="576" w:hanging="576"/>
      </w:pPr>
    </w:lvl>
    <w:lvl w:ilvl="2">
      <w:start w:val="1"/>
      <w:numFmt w:val="decimal"/>
      <w:lvlText w:val="%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C9598F"/>
    <w:multiLevelType w:val="hybridMultilevel"/>
    <w:tmpl w:val="EFDAFFF2"/>
    <w:lvl w:ilvl="0" w:tplc="9CF286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AC74C5"/>
    <w:multiLevelType w:val="hybridMultilevel"/>
    <w:tmpl w:val="D010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70CAA"/>
    <w:multiLevelType w:val="hybridMultilevel"/>
    <w:tmpl w:val="A98832C2"/>
    <w:lvl w:ilvl="0" w:tplc="FAF07EA2">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15:restartNumberingAfterBreak="0">
    <w:nsid w:val="4AAE30A9"/>
    <w:multiLevelType w:val="hybridMultilevel"/>
    <w:tmpl w:val="226CF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A9292C"/>
    <w:multiLevelType w:val="hybridMultilevel"/>
    <w:tmpl w:val="176E5D9A"/>
    <w:lvl w:ilvl="0" w:tplc="9A66D716">
      <w:start w:val="1"/>
      <w:numFmt w:val="decimal"/>
      <w:lvlText w:val="(%1)"/>
      <w:lvlJc w:val="left"/>
      <w:pPr>
        <w:ind w:left="1538" w:hanging="9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7" w15:restartNumberingAfterBreak="0">
    <w:nsid w:val="54B8710A"/>
    <w:multiLevelType w:val="hybridMultilevel"/>
    <w:tmpl w:val="D8E20380"/>
    <w:lvl w:ilvl="0" w:tplc="0409000F">
      <w:start w:val="1"/>
      <w:numFmt w:val="decimal"/>
      <w:lvlText w:val="%1."/>
      <w:lvlJc w:val="left"/>
      <w:pPr>
        <w:tabs>
          <w:tab w:val="num" w:pos="480"/>
        </w:tabs>
        <w:ind w:left="480" w:hanging="4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E51E33"/>
    <w:multiLevelType w:val="hybridMultilevel"/>
    <w:tmpl w:val="4F5E3E0A"/>
    <w:lvl w:ilvl="0" w:tplc="62D28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A4941"/>
    <w:multiLevelType w:val="hybridMultilevel"/>
    <w:tmpl w:val="382096F8"/>
    <w:lvl w:ilvl="0" w:tplc="25DA9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36AB3"/>
    <w:multiLevelType w:val="hybridMultilevel"/>
    <w:tmpl w:val="5DDE73AA"/>
    <w:lvl w:ilvl="0" w:tplc="806AC732">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5CD36407"/>
    <w:multiLevelType w:val="hybridMultilevel"/>
    <w:tmpl w:val="77B4BE3A"/>
    <w:lvl w:ilvl="0" w:tplc="8EA6F0EE">
      <w:start w:val="1"/>
      <w:numFmt w:val="decimal"/>
      <w:lvlText w:val="(%1)"/>
      <w:lvlJc w:val="left"/>
      <w:pPr>
        <w:ind w:left="400" w:hanging="40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2" w15:restartNumberingAfterBreak="0">
    <w:nsid w:val="5DB53A5D"/>
    <w:multiLevelType w:val="singleLevel"/>
    <w:tmpl w:val="BB1E1C1A"/>
    <w:lvl w:ilvl="0">
      <w:start w:val="1"/>
      <w:numFmt w:val="bullet"/>
      <w:pStyle w:val="Bullets"/>
      <w:lvlText w:val=""/>
      <w:lvlJc w:val="left"/>
      <w:pPr>
        <w:tabs>
          <w:tab w:val="num" w:pos="360"/>
        </w:tabs>
        <w:ind w:left="360" w:hanging="360"/>
      </w:pPr>
      <w:rPr>
        <w:rFonts w:ascii="Symbol" w:hAnsi="Symbol" w:hint="default"/>
      </w:rPr>
    </w:lvl>
  </w:abstractNum>
  <w:abstractNum w:abstractNumId="23" w15:restartNumberingAfterBreak="0">
    <w:nsid w:val="5FC66C0B"/>
    <w:multiLevelType w:val="hybridMultilevel"/>
    <w:tmpl w:val="3198EF22"/>
    <w:lvl w:ilvl="0" w:tplc="AE9E69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61820FAA"/>
    <w:multiLevelType w:val="hybridMultilevel"/>
    <w:tmpl w:val="23F4C9F8"/>
    <w:lvl w:ilvl="0" w:tplc="0409000F">
      <w:start w:val="1"/>
      <w:numFmt w:val="decimal"/>
      <w:lvlText w:val="%1."/>
      <w:lvlJc w:val="left"/>
      <w:pPr>
        <w:ind w:left="400" w:hanging="40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5" w15:restartNumberingAfterBreak="0">
    <w:nsid w:val="63462DFC"/>
    <w:multiLevelType w:val="hybridMultilevel"/>
    <w:tmpl w:val="C186D80A"/>
    <w:lvl w:ilvl="0" w:tplc="0409000F">
      <w:start w:val="1"/>
      <w:numFmt w:val="decimal"/>
      <w:lvlText w:val="%1."/>
      <w:lvlJc w:val="left"/>
      <w:pPr>
        <w:ind w:left="400" w:hanging="40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674C17BE"/>
    <w:multiLevelType w:val="hybridMultilevel"/>
    <w:tmpl w:val="10D07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7EE6F2A"/>
    <w:multiLevelType w:val="hybridMultilevel"/>
    <w:tmpl w:val="F114247E"/>
    <w:lvl w:ilvl="0" w:tplc="8EA6F0EE">
      <w:start w:val="1"/>
      <w:numFmt w:val="decimal"/>
      <w:lvlText w:val="(%1)"/>
      <w:lvlJc w:val="left"/>
      <w:pPr>
        <w:ind w:left="400" w:hanging="40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8" w15:restartNumberingAfterBreak="0">
    <w:nsid w:val="69401B6A"/>
    <w:multiLevelType w:val="hybridMultilevel"/>
    <w:tmpl w:val="D860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71E5F"/>
    <w:multiLevelType w:val="singleLevel"/>
    <w:tmpl w:val="C240ABD0"/>
    <w:lvl w:ilvl="0">
      <w:start w:val="6"/>
      <w:numFmt w:val="bullet"/>
      <w:lvlText w:val="-"/>
      <w:lvlJc w:val="left"/>
      <w:pPr>
        <w:tabs>
          <w:tab w:val="num" w:pos="360"/>
        </w:tabs>
        <w:ind w:left="360" w:hanging="360"/>
      </w:pPr>
      <w:rPr>
        <w:rFonts w:hint="default"/>
      </w:rPr>
    </w:lvl>
  </w:abstractNum>
  <w:abstractNum w:abstractNumId="30" w15:restartNumberingAfterBreak="0">
    <w:nsid w:val="72C006A4"/>
    <w:multiLevelType w:val="hybridMultilevel"/>
    <w:tmpl w:val="DBACFA34"/>
    <w:lvl w:ilvl="0" w:tplc="0409000F">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1" w15:restartNumberingAfterBreak="0">
    <w:nsid w:val="73461856"/>
    <w:multiLevelType w:val="hybridMultilevel"/>
    <w:tmpl w:val="8318B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8FB0ECE"/>
    <w:multiLevelType w:val="hybridMultilevel"/>
    <w:tmpl w:val="73F63194"/>
    <w:lvl w:ilvl="0" w:tplc="11EC0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66D0D"/>
    <w:multiLevelType w:val="hybridMultilevel"/>
    <w:tmpl w:val="B112A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2"/>
  </w:num>
  <w:num w:numId="3">
    <w:abstractNumId w:val="8"/>
  </w:num>
  <w:num w:numId="4">
    <w:abstractNumId w:val="9"/>
  </w:num>
  <w:num w:numId="5">
    <w:abstractNumId w:val="29"/>
  </w:num>
  <w:num w:numId="6">
    <w:abstractNumId w:val="17"/>
  </w:num>
  <w:num w:numId="7">
    <w:abstractNumId w:val="18"/>
  </w:num>
  <w:num w:numId="8">
    <w:abstractNumId w:val="5"/>
  </w:num>
  <w:num w:numId="9">
    <w:abstractNumId w:val="16"/>
  </w:num>
  <w:num w:numId="10">
    <w:abstractNumId w:val="1"/>
  </w:num>
  <w:num w:numId="11">
    <w:abstractNumId w:val="13"/>
  </w:num>
  <w:num w:numId="12">
    <w:abstractNumId w:val="28"/>
  </w:num>
  <w:num w:numId="13">
    <w:abstractNumId w:val="33"/>
  </w:num>
  <w:num w:numId="14">
    <w:abstractNumId w:val="0"/>
  </w:num>
  <w:num w:numId="15">
    <w:abstractNumId w:val="10"/>
  </w:num>
  <w:num w:numId="16">
    <w:abstractNumId w:val="32"/>
  </w:num>
  <w:num w:numId="17">
    <w:abstractNumId w:val="12"/>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31"/>
  </w:num>
  <w:num w:numId="23">
    <w:abstractNumId w:val="15"/>
  </w:num>
  <w:num w:numId="24">
    <w:abstractNumId w:val="26"/>
  </w:num>
  <w:num w:numId="25">
    <w:abstractNumId w:val="23"/>
  </w:num>
  <w:num w:numId="26">
    <w:abstractNumId w:val="19"/>
  </w:num>
  <w:num w:numId="27">
    <w:abstractNumId w:val="20"/>
  </w:num>
  <w:num w:numId="28">
    <w:abstractNumId w:val="14"/>
  </w:num>
  <w:num w:numId="29">
    <w:abstractNumId w:val="7"/>
  </w:num>
  <w:num w:numId="30">
    <w:abstractNumId w:val="27"/>
  </w:num>
  <w:num w:numId="31">
    <w:abstractNumId w:val="21"/>
  </w:num>
  <w:num w:numId="32">
    <w:abstractNumId w:val="24"/>
  </w:num>
  <w:num w:numId="33">
    <w:abstractNumId w:val="25"/>
  </w:num>
  <w:num w:numId="34">
    <w:abstractNumId w:val="30"/>
  </w:num>
  <w:num w:numId="3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OwNDM1NDcxMTQ3NrBQ0lEKTi0uzszPAykwMqsFAJ+g94UtAAAA"/>
    <w:docVar w:name="EN.InstantFormat" w:val="&lt;ENInstantFormat&gt;&lt;Enabled&gt;0&lt;/Enabled&gt;&lt;ScanUnformatted&gt;1&lt;/ScanUnformatted&gt;&lt;ScanChanges&gt;1&lt;/ScanChanges&gt;&lt;/ENInstantFormat&gt;"/>
  </w:docVars>
  <w:rsids>
    <w:rsidRoot w:val="00AF7F15"/>
    <w:rsid w:val="000000E9"/>
    <w:rsid w:val="00000D95"/>
    <w:rsid w:val="00000FE0"/>
    <w:rsid w:val="00001996"/>
    <w:rsid w:val="00002C44"/>
    <w:rsid w:val="00003B77"/>
    <w:rsid w:val="000042C2"/>
    <w:rsid w:val="00004B25"/>
    <w:rsid w:val="00007AF8"/>
    <w:rsid w:val="0001108A"/>
    <w:rsid w:val="00011ABE"/>
    <w:rsid w:val="00011C4C"/>
    <w:rsid w:val="0001256A"/>
    <w:rsid w:val="000126C8"/>
    <w:rsid w:val="00012771"/>
    <w:rsid w:val="0001488F"/>
    <w:rsid w:val="00014D1F"/>
    <w:rsid w:val="000155EF"/>
    <w:rsid w:val="000157DB"/>
    <w:rsid w:val="00016C0C"/>
    <w:rsid w:val="00016DC2"/>
    <w:rsid w:val="00016EBF"/>
    <w:rsid w:val="00016EEA"/>
    <w:rsid w:val="00016FBE"/>
    <w:rsid w:val="000203EF"/>
    <w:rsid w:val="000204EA"/>
    <w:rsid w:val="00020B44"/>
    <w:rsid w:val="0002167F"/>
    <w:rsid w:val="0002290C"/>
    <w:rsid w:val="00023495"/>
    <w:rsid w:val="00023921"/>
    <w:rsid w:val="00023C7B"/>
    <w:rsid w:val="00024055"/>
    <w:rsid w:val="000243E0"/>
    <w:rsid w:val="00024436"/>
    <w:rsid w:val="0002448F"/>
    <w:rsid w:val="000246CF"/>
    <w:rsid w:val="00024C1A"/>
    <w:rsid w:val="000257F5"/>
    <w:rsid w:val="00025E46"/>
    <w:rsid w:val="0002603C"/>
    <w:rsid w:val="00026331"/>
    <w:rsid w:val="000277F9"/>
    <w:rsid w:val="00030938"/>
    <w:rsid w:val="00031D4D"/>
    <w:rsid w:val="0003228D"/>
    <w:rsid w:val="000328E4"/>
    <w:rsid w:val="00033047"/>
    <w:rsid w:val="0003358A"/>
    <w:rsid w:val="000335C2"/>
    <w:rsid w:val="000335D8"/>
    <w:rsid w:val="0003477E"/>
    <w:rsid w:val="00034ECB"/>
    <w:rsid w:val="000359FC"/>
    <w:rsid w:val="00035AFA"/>
    <w:rsid w:val="00036132"/>
    <w:rsid w:val="00036C8C"/>
    <w:rsid w:val="0003771C"/>
    <w:rsid w:val="00040025"/>
    <w:rsid w:val="000402EE"/>
    <w:rsid w:val="00040D27"/>
    <w:rsid w:val="000410CE"/>
    <w:rsid w:val="0004166F"/>
    <w:rsid w:val="000418E7"/>
    <w:rsid w:val="00041917"/>
    <w:rsid w:val="000421E0"/>
    <w:rsid w:val="000423F6"/>
    <w:rsid w:val="00042617"/>
    <w:rsid w:val="000427C3"/>
    <w:rsid w:val="000430D7"/>
    <w:rsid w:val="000430F2"/>
    <w:rsid w:val="00043802"/>
    <w:rsid w:val="000439C5"/>
    <w:rsid w:val="00043A10"/>
    <w:rsid w:val="00043FFF"/>
    <w:rsid w:val="000449D3"/>
    <w:rsid w:val="00044C96"/>
    <w:rsid w:val="000450DA"/>
    <w:rsid w:val="00045F6C"/>
    <w:rsid w:val="00046321"/>
    <w:rsid w:val="00046A2F"/>
    <w:rsid w:val="00046B6A"/>
    <w:rsid w:val="000474AF"/>
    <w:rsid w:val="000502FB"/>
    <w:rsid w:val="000515AB"/>
    <w:rsid w:val="00051793"/>
    <w:rsid w:val="000520F7"/>
    <w:rsid w:val="00053759"/>
    <w:rsid w:val="00053DD2"/>
    <w:rsid w:val="00055854"/>
    <w:rsid w:val="00055A48"/>
    <w:rsid w:val="00055B68"/>
    <w:rsid w:val="00055BC5"/>
    <w:rsid w:val="00055BFB"/>
    <w:rsid w:val="0005656E"/>
    <w:rsid w:val="00057D24"/>
    <w:rsid w:val="00060007"/>
    <w:rsid w:val="000615F3"/>
    <w:rsid w:val="0006269E"/>
    <w:rsid w:val="00062A4D"/>
    <w:rsid w:val="00063080"/>
    <w:rsid w:val="00063A44"/>
    <w:rsid w:val="00063A76"/>
    <w:rsid w:val="00063C71"/>
    <w:rsid w:val="000649E4"/>
    <w:rsid w:val="0006522C"/>
    <w:rsid w:val="000656B1"/>
    <w:rsid w:val="000664E2"/>
    <w:rsid w:val="00067176"/>
    <w:rsid w:val="00070112"/>
    <w:rsid w:val="000704DC"/>
    <w:rsid w:val="0007050B"/>
    <w:rsid w:val="0007140B"/>
    <w:rsid w:val="00072200"/>
    <w:rsid w:val="000722E9"/>
    <w:rsid w:val="000729CA"/>
    <w:rsid w:val="00074869"/>
    <w:rsid w:val="00074D87"/>
    <w:rsid w:val="00075408"/>
    <w:rsid w:val="00075B02"/>
    <w:rsid w:val="00075B6F"/>
    <w:rsid w:val="00077A1C"/>
    <w:rsid w:val="000803D4"/>
    <w:rsid w:val="0008087D"/>
    <w:rsid w:val="000811B6"/>
    <w:rsid w:val="000816E4"/>
    <w:rsid w:val="000827F8"/>
    <w:rsid w:val="00082DE2"/>
    <w:rsid w:val="00083358"/>
    <w:rsid w:val="000838B1"/>
    <w:rsid w:val="000841A8"/>
    <w:rsid w:val="00084674"/>
    <w:rsid w:val="000849ED"/>
    <w:rsid w:val="00084ACB"/>
    <w:rsid w:val="00084DF1"/>
    <w:rsid w:val="00085830"/>
    <w:rsid w:val="00085B63"/>
    <w:rsid w:val="000867E1"/>
    <w:rsid w:val="00086CB2"/>
    <w:rsid w:val="00086F2A"/>
    <w:rsid w:val="0009070C"/>
    <w:rsid w:val="00090740"/>
    <w:rsid w:val="00091617"/>
    <w:rsid w:val="00091EFB"/>
    <w:rsid w:val="00092137"/>
    <w:rsid w:val="000925A1"/>
    <w:rsid w:val="00092754"/>
    <w:rsid w:val="00093C3D"/>
    <w:rsid w:val="00093E22"/>
    <w:rsid w:val="000944C8"/>
    <w:rsid w:val="00094FCE"/>
    <w:rsid w:val="00095887"/>
    <w:rsid w:val="00095A5C"/>
    <w:rsid w:val="000964E6"/>
    <w:rsid w:val="00096694"/>
    <w:rsid w:val="000974F8"/>
    <w:rsid w:val="0009754E"/>
    <w:rsid w:val="000979A9"/>
    <w:rsid w:val="00097F43"/>
    <w:rsid w:val="000A0302"/>
    <w:rsid w:val="000A1574"/>
    <w:rsid w:val="000A203B"/>
    <w:rsid w:val="000A30F1"/>
    <w:rsid w:val="000A3633"/>
    <w:rsid w:val="000A4F40"/>
    <w:rsid w:val="000A532F"/>
    <w:rsid w:val="000A5800"/>
    <w:rsid w:val="000A5A3C"/>
    <w:rsid w:val="000A5B8C"/>
    <w:rsid w:val="000A5BDF"/>
    <w:rsid w:val="000A61A3"/>
    <w:rsid w:val="000A68FC"/>
    <w:rsid w:val="000A72A4"/>
    <w:rsid w:val="000B12B4"/>
    <w:rsid w:val="000B1828"/>
    <w:rsid w:val="000B1BB3"/>
    <w:rsid w:val="000B1EF2"/>
    <w:rsid w:val="000B258B"/>
    <w:rsid w:val="000B2A00"/>
    <w:rsid w:val="000B2ACF"/>
    <w:rsid w:val="000B2DCA"/>
    <w:rsid w:val="000B33EE"/>
    <w:rsid w:val="000B3DF1"/>
    <w:rsid w:val="000B4687"/>
    <w:rsid w:val="000B6399"/>
    <w:rsid w:val="000B654A"/>
    <w:rsid w:val="000B6816"/>
    <w:rsid w:val="000B74E8"/>
    <w:rsid w:val="000C0808"/>
    <w:rsid w:val="000C0EE4"/>
    <w:rsid w:val="000C1510"/>
    <w:rsid w:val="000C2223"/>
    <w:rsid w:val="000C2397"/>
    <w:rsid w:val="000C2A9B"/>
    <w:rsid w:val="000C3357"/>
    <w:rsid w:val="000C469F"/>
    <w:rsid w:val="000C4A8E"/>
    <w:rsid w:val="000C4B35"/>
    <w:rsid w:val="000C4BD4"/>
    <w:rsid w:val="000C65E0"/>
    <w:rsid w:val="000C6883"/>
    <w:rsid w:val="000C6A48"/>
    <w:rsid w:val="000C7B76"/>
    <w:rsid w:val="000D0E2F"/>
    <w:rsid w:val="000D1333"/>
    <w:rsid w:val="000D1BAE"/>
    <w:rsid w:val="000D1D1C"/>
    <w:rsid w:val="000D2BA4"/>
    <w:rsid w:val="000D2D09"/>
    <w:rsid w:val="000D4037"/>
    <w:rsid w:val="000D427A"/>
    <w:rsid w:val="000D48F9"/>
    <w:rsid w:val="000D525B"/>
    <w:rsid w:val="000D529C"/>
    <w:rsid w:val="000D551A"/>
    <w:rsid w:val="000D5982"/>
    <w:rsid w:val="000D6065"/>
    <w:rsid w:val="000D6179"/>
    <w:rsid w:val="000D71D3"/>
    <w:rsid w:val="000D7D31"/>
    <w:rsid w:val="000E03BE"/>
    <w:rsid w:val="000E0F2B"/>
    <w:rsid w:val="000E117F"/>
    <w:rsid w:val="000E1AF1"/>
    <w:rsid w:val="000E27BB"/>
    <w:rsid w:val="000E286B"/>
    <w:rsid w:val="000E2E3D"/>
    <w:rsid w:val="000E2F24"/>
    <w:rsid w:val="000E3711"/>
    <w:rsid w:val="000E4154"/>
    <w:rsid w:val="000E441B"/>
    <w:rsid w:val="000E4873"/>
    <w:rsid w:val="000E49F8"/>
    <w:rsid w:val="000E4D08"/>
    <w:rsid w:val="000E4E62"/>
    <w:rsid w:val="000E58E6"/>
    <w:rsid w:val="000E5CAD"/>
    <w:rsid w:val="000E603D"/>
    <w:rsid w:val="000E7409"/>
    <w:rsid w:val="000E74A4"/>
    <w:rsid w:val="000F0D71"/>
    <w:rsid w:val="000F13E7"/>
    <w:rsid w:val="000F1612"/>
    <w:rsid w:val="000F1E7D"/>
    <w:rsid w:val="000F2E33"/>
    <w:rsid w:val="000F3767"/>
    <w:rsid w:val="000F3BB2"/>
    <w:rsid w:val="000F5026"/>
    <w:rsid w:val="000F5229"/>
    <w:rsid w:val="000F5342"/>
    <w:rsid w:val="000F551E"/>
    <w:rsid w:val="000F6473"/>
    <w:rsid w:val="000F671E"/>
    <w:rsid w:val="000F68A3"/>
    <w:rsid w:val="000F6BBD"/>
    <w:rsid w:val="000F6E10"/>
    <w:rsid w:val="000F70A8"/>
    <w:rsid w:val="00100879"/>
    <w:rsid w:val="00100B3C"/>
    <w:rsid w:val="00100B7A"/>
    <w:rsid w:val="00101931"/>
    <w:rsid w:val="001020A8"/>
    <w:rsid w:val="00102423"/>
    <w:rsid w:val="00102AED"/>
    <w:rsid w:val="00102E5A"/>
    <w:rsid w:val="00103FE8"/>
    <w:rsid w:val="001040BE"/>
    <w:rsid w:val="001041E2"/>
    <w:rsid w:val="0010463D"/>
    <w:rsid w:val="00104691"/>
    <w:rsid w:val="00104AEA"/>
    <w:rsid w:val="00105BBC"/>
    <w:rsid w:val="00105CAD"/>
    <w:rsid w:val="00105F4F"/>
    <w:rsid w:val="001066B1"/>
    <w:rsid w:val="00106CA8"/>
    <w:rsid w:val="00106CD5"/>
    <w:rsid w:val="00106D42"/>
    <w:rsid w:val="00107286"/>
    <w:rsid w:val="00107829"/>
    <w:rsid w:val="00110A6D"/>
    <w:rsid w:val="00110B28"/>
    <w:rsid w:val="00111170"/>
    <w:rsid w:val="00111301"/>
    <w:rsid w:val="0011150C"/>
    <w:rsid w:val="00111D8D"/>
    <w:rsid w:val="00111F6B"/>
    <w:rsid w:val="00112F29"/>
    <w:rsid w:val="0011325D"/>
    <w:rsid w:val="001136A6"/>
    <w:rsid w:val="0011387F"/>
    <w:rsid w:val="00113ABC"/>
    <w:rsid w:val="00113BD9"/>
    <w:rsid w:val="00114793"/>
    <w:rsid w:val="001149B9"/>
    <w:rsid w:val="00114F94"/>
    <w:rsid w:val="00114FAC"/>
    <w:rsid w:val="0011560D"/>
    <w:rsid w:val="00115809"/>
    <w:rsid w:val="00115A9B"/>
    <w:rsid w:val="00115D74"/>
    <w:rsid w:val="00116BC5"/>
    <w:rsid w:val="00116D5E"/>
    <w:rsid w:val="0011750D"/>
    <w:rsid w:val="00117550"/>
    <w:rsid w:val="00120DB5"/>
    <w:rsid w:val="0012117A"/>
    <w:rsid w:val="00121BFB"/>
    <w:rsid w:val="001221CE"/>
    <w:rsid w:val="00122EC8"/>
    <w:rsid w:val="001242CF"/>
    <w:rsid w:val="00124AC2"/>
    <w:rsid w:val="00124AD3"/>
    <w:rsid w:val="00124BC8"/>
    <w:rsid w:val="00124FBE"/>
    <w:rsid w:val="00125590"/>
    <w:rsid w:val="00125C88"/>
    <w:rsid w:val="00126624"/>
    <w:rsid w:val="001267B6"/>
    <w:rsid w:val="00126949"/>
    <w:rsid w:val="00126F36"/>
    <w:rsid w:val="00127185"/>
    <w:rsid w:val="00127B94"/>
    <w:rsid w:val="0013051A"/>
    <w:rsid w:val="00131F3D"/>
    <w:rsid w:val="0013210A"/>
    <w:rsid w:val="001321FD"/>
    <w:rsid w:val="00132974"/>
    <w:rsid w:val="00133008"/>
    <w:rsid w:val="00133872"/>
    <w:rsid w:val="00133A7E"/>
    <w:rsid w:val="00133B74"/>
    <w:rsid w:val="001347D3"/>
    <w:rsid w:val="00134843"/>
    <w:rsid w:val="0013511F"/>
    <w:rsid w:val="00135641"/>
    <w:rsid w:val="00135AF6"/>
    <w:rsid w:val="00135C50"/>
    <w:rsid w:val="001362F5"/>
    <w:rsid w:val="00136471"/>
    <w:rsid w:val="00136C46"/>
    <w:rsid w:val="001371CC"/>
    <w:rsid w:val="0013784F"/>
    <w:rsid w:val="00140057"/>
    <w:rsid w:val="00140F83"/>
    <w:rsid w:val="00141978"/>
    <w:rsid w:val="00141CB5"/>
    <w:rsid w:val="00142509"/>
    <w:rsid w:val="001428CC"/>
    <w:rsid w:val="001433AC"/>
    <w:rsid w:val="00143538"/>
    <w:rsid w:val="00143AE8"/>
    <w:rsid w:val="00144A51"/>
    <w:rsid w:val="00144D6B"/>
    <w:rsid w:val="0014535F"/>
    <w:rsid w:val="00145775"/>
    <w:rsid w:val="00146502"/>
    <w:rsid w:val="00146A3C"/>
    <w:rsid w:val="0014788F"/>
    <w:rsid w:val="00147FF5"/>
    <w:rsid w:val="00150973"/>
    <w:rsid w:val="00150B53"/>
    <w:rsid w:val="00150E50"/>
    <w:rsid w:val="00151C01"/>
    <w:rsid w:val="00152919"/>
    <w:rsid w:val="0015309D"/>
    <w:rsid w:val="0015342A"/>
    <w:rsid w:val="001534C9"/>
    <w:rsid w:val="00153AED"/>
    <w:rsid w:val="00155A98"/>
    <w:rsid w:val="00156201"/>
    <w:rsid w:val="001566D0"/>
    <w:rsid w:val="00156805"/>
    <w:rsid w:val="00157836"/>
    <w:rsid w:val="00161015"/>
    <w:rsid w:val="001617A7"/>
    <w:rsid w:val="00161A5E"/>
    <w:rsid w:val="00161E32"/>
    <w:rsid w:val="00161EA5"/>
    <w:rsid w:val="001622CE"/>
    <w:rsid w:val="00162C25"/>
    <w:rsid w:val="00163199"/>
    <w:rsid w:val="001631FC"/>
    <w:rsid w:val="001640A4"/>
    <w:rsid w:val="00164B41"/>
    <w:rsid w:val="001656D3"/>
    <w:rsid w:val="00165A76"/>
    <w:rsid w:val="00165ADC"/>
    <w:rsid w:val="001660E1"/>
    <w:rsid w:val="00167183"/>
    <w:rsid w:val="001672F5"/>
    <w:rsid w:val="00167E49"/>
    <w:rsid w:val="00167FD4"/>
    <w:rsid w:val="0017095E"/>
    <w:rsid w:val="001710DF"/>
    <w:rsid w:val="00171126"/>
    <w:rsid w:val="00171BD3"/>
    <w:rsid w:val="00172502"/>
    <w:rsid w:val="001729AD"/>
    <w:rsid w:val="00172B41"/>
    <w:rsid w:val="00173791"/>
    <w:rsid w:val="00173875"/>
    <w:rsid w:val="00173B78"/>
    <w:rsid w:val="00173D59"/>
    <w:rsid w:val="00174649"/>
    <w:rsid w:val="00174BE9"/>
    <w:rsid w:val="001753DE"/>
    <w:rsid w:val="00175EB2"/>
    <w:rsid w:val="00175FA9"/>
    <w:rsid w:val="0017604A"/>
    <w:rsid w:val="001761AF"/>
    <w:rsid w:val="00176C45"/>
    <w:rsid w:val="00182ACB"/>
    <w:rsid w:val="00182DE2"/>
    <w:rsid w:val="001830A8"/>
    <w:rsid w:val="00183CE3"/>
    <w:rsid w:val="00183DC3"/>
    <w:rsid w:val="001842C8"/>
    <w:rsid w:val="00184823"/>
    <w:rsid w:val="00184955"/>
    <w:rsid w:val="0018495F"/>
    <w:rsid w:val="0018547C"/>
    <w:rsid w:val="001856F6"/>
    <w:rsid w:val="0018578E"/>
    <w:rsid w:val="001857F2"/>
    <w:rsid w:val="00185D76"/>
    <w:rsid w:val="00185DAB"/>
    <w:rsid w:val="001867C2"/>
    <w:rsid w:val="00186A81"/>
    <w:rsid w:val="001873C2"/>
    <w:rsid w:val="00187654"/>
    <w:rsid w:val="0018783D"/>
    <w:rsid w:val="00187882"/>
    <w:rsid w:val="00187A77"/>
    <w:rsid w:val="001915EF"/>
    <w:rsid w:val="00191AF0"/>
    <w:rsid w:val="00191BC2"/>
    <w:rsid w:val="001927F2"/>
    <w:rsid w:val="0019298C"/>
    <w:rsid w:val="00193683"/>
    <w:rsid w:val="00194353"/>
    <w:rsid w:val="001946CE"/>
    <w:rsid w:val="0019525E"/>
    <w:rsid w:val="001957AA"/>
    <w:rsid w:val="001958E7"/>
    <w:rsid w:val="00195926"/>
    <w:rsid w:val="001979DC"/>
    <w:rsid w:val="001A1152"/>
    <w:rsid w:val="001A1270"/>
    <w:rsid w:val="001A1329"/>
    <w:rsid w:val="001A1571"/>
    <w:rsid w:val="001A1E5A"/>
    <w:rsid w:val="001A20FE"/>
    <w:rsid w:val="001A302F"/>
    <w:rsid w:val="001A616B"/>
    <w:rsid w:val="001A61A2"/>
    <w:rsid w:val="001A6E21"/>
    <w:rsid w:val="001A6ECD"/>
    <w:rsid w:val="001A764B"/>
    <w:rsid w:val="001A769C"/>
    <w:rsid w:val="001A7C91"/>
    <w:rsid w:val="001B155F"/>
    <w:rsid w:val="001B1614"/>
    <w:rsid w:val="001B16E8"/>
    <w:rsid w:val="001B26BE"/>
    <w:rsid w:val="001B35C1"/>
    <w:rsid w:val="001B3879"/>
    <w:rsid w:val="001B42D8"/>
    <w:rsid w:val="001B487C"/>
    <w:rsid w:val="001B4CD7"/>
    <w:rsid w:val="001B4CF8"/>
    <w:rsid w:val="001B500A"/>
    <w:rsid w:val="001B58E6"/>
    <w:rsid w:val="001B5B71"/>
    <w:rsid w:val="001B5E7D"/>
    <w:rsid w:val="001B6570"/>
    <w:rsid w:val="001B6C91"/>
    <w:rsid w:val="001B76C7"/>
    <w:rsid w:val="001B7F5E"/>
    <w:rsid w:val="001C14AB"/>
    <w:rsid w:val="001C1C2A"/>
    <w:rsid w:val="001C1EAF"/>
    <w:rsid w:val="001C1F02"/>
    <w:rsid w:val="001C1F48"/>
    <w:rsid w:val="001C2026"/>
    <w:rsid w:val="001C2251"/>
    <w:rsid w:val="001C2358"/>
    <w:rsid w:val="001C38AD"/>
    <w:rsid w:val="001C3D00"/>
    <w:rsid w:val="001C423D"/>
    <w:rsid w:val="001C45D7"/>
    <w:rsid w:val="001C4C63"/>
    <w:rsid w:val="001C5F87"/>
    <w:rsid w:val="001C5FAD"/>
    <w:rsid w:val="001C64BA"/>
    <w:rsid w:val="001C64E8"/>
    <w:rsid w:val="001C765E"/>
    <w:rsid w:val="001C7E99"/>
    <w:rsid w:val="001D02B5"/>
    <w:rsid w:val="001D0445"/>
    <w:rsid w:val="001D080E"/>
    <w:rsid w:val="001D0D68"/>
    <w:rsid w:val="001D0FCC"/>
    <w:rsid w:val="001D165B"/>
    <w:rsid w:val="001D1A77"/>
    <w:rsid w:val="001D1AF5"/>
    <w:rsid w:val="001D2389"/>
    <w:rsid w:val="001D2573"/>
    <w:rsid w:val="001D28D8"/>
    <w:rsid w:val="001D3994"/>
    <w:rsid w:val="001D3A82"/>
    <w:rsid w:val="001D3AB1"/>
    <w:rsid w:val="001D4439"/>
    <w:rsid w:val="001D4500"/>
    <w:rsid w:val="001D4625"/>
    <w:rsid w:val="001D5C7C"/>
    <w:rsid w:val="001D5D2A"/>
    <w:rsid w:val="001D6BFF"/>
    <w:rsid w:val="001D75B7"/>
    <w:rsid w:val="001D7F55"/>
    <w:rsid w:val="001E0BB4"/>
    <w:rsid w:val="001E0F3E"/>
    <w:rsid w:val="001E1FA8"/>
    <w:rsid w:val="001E2148"/>
    <w:rsid w:val="001E2771"/>
    <w:rsid w:val="001E31C9"/>
    <w:rsid w:val="001E32CA"/>
    <w:rsid w:val="001E3542"/>
    <w:rsid w:val="001E3AF4"/>
    <w:rsid w:val="001E3DC8"/>
    <w:rsid w:val="001E3F10"/>
    <w:rsid w:val="001E514E"/>
    <w:rsid w:val="001E52DA"/>
    <w:rsid w:val="001E5A21"/>
    <w:rsid w:val="001E5A92"/>
    <w:rsid w:val="001E5C52"/>
    <w:rsid w:val="001E66EF"/>
    <w:rsid w:val="001E690E"/>
    <w:rsid w:val="001E6E12"/>
    <w:rsid w:val="001E7DB2"/>
    <w:rsid w:val="001F1181"/>
    <w:rsid w:val="001F1924"/>
    <w:rsid w:val="001F2C92"/>
    <w:rsid w:val="001F2CA4"/>
    <w:rsid w:val="001F2FB0"/>
    <w:rsid w:val="001F34B3"/>
    <w:rsid w:val="001F36E5"/>
    <w:rsid w:val="001F3EAE"/>
    <w:rsid w:val="001F4D0F"/>
    <w:rsid w:val="001F4F0C"/>
    <w:rsid w:val="001F5317"/>
    <w:rsid w:val="001F5AF0"/>
    <w:rsid w:val="001F676B"/>
    <w:rsid w:val="001F689B"/>
    <w:rsid w:val="001F74AB"/>
    <w:rsid w:val="001F76F7"/>
    <w:rsid w:val="001F7BFB"/>
    <w:rsid w:val="00200A8C"/>
    <w:rsid w:val="002015E6"/>
    <w:rsid w:val="00201DDA"/>
    <w:rsid w:val="002020E4"/>
    <w:rsid w:val="00202234"/>
    <w:rsid w:val="0020231E"/>
    <w:rsid w:val="00202F74"/>
    <w:rsid w:val="002043DF"/>
    <w:rsid w:val="00204647"/>
    <w:rsid w:val="002054E7"/>
    <w:rsid w:val="0020675D"/>
    <w:rsid w:val="00206854"/>
    <w:rsid w:val="00206ED0"/>
    <w:rsid w:val="00207B3E"/>
    <w:rsid w:val="00210000"/>
    <w:rsid w:val="0021068D"/>
    <w:rsid w:val="00211F97"/>
    <w:rsid w:val="00212521"/>
    <w:rsid w:val="00212A4D"/>
    <w:rsid w:val="00212BFB"/>
    <w:rsid w:val="002131AC"/>
    <w:rsid w:val="0021398E"/>
    <w:rsid w:val="00213BA1"/>
    <w:rsid w:val="0021419D"/>
    <w:rsid w:val="00214221"/>
    <w:rsid w:val="002142A4"/>
    <w:rsid w:val="00214938"/>
    <w:rsid w:val="00214BE4"/>
    <w:rsid w:val="00215815"/>
    <w:rsid w:val="0021675C"/>
    <w:rsid w:val="00216B32"/>
    <w:rsid w:val="00217AE2"/>
    <w:rsid w:val="00217D29"/>
    <w:rsid w:val="00220D03"/>
    <w:rsid w:val="00220F89"/>
    <w:rsid w:val="00221AD3"/>
    <w:rsid w:val="00221C90"/>
    <w:rsid w:val="00221DF8"/>
    <w:rsid w:val="00223054"/>
    <w:rsid w:val="00223AA3"/>
    <w:rsid w:val="002302B3"/>
    <w:rsid w:val="00230598"/>
    <w:rsid w:val="002309C6"/>
    <w:rsid w:val="00231715"/>
    <w:rsid w:val="00231B02"/>
    <w:rsid w:val="002321D4"/>
    <w:rsid w:val="00232746"/>
    <w:rsid w:val="002328E1"/>
    <w:rsid w:val="00232A62"/>
    <w:rsid w:val="00232BBE"/>
    <w:rsid w:val="00232C2B"/>
    <w:rsid w:val="00233106"/>
    <w:rsid w:val="00233454"/>
    <w:rsid w:val="0023387B"/>
    <w:rsid w:val="00233CE5"/>
    <w:rsid w:val="002344C4"/>
    <w:rsid w:val="00234873"/>
    <w:rsid w:val="002352C8"/>
    <w:rsid w:val="002356FC"/>
    <w:rsid w:val="002357CD"/>
    <w:rsid w:val="00235BB0"/>
    <w:rsid w:val="0023600D"/>
    <w:rsid w:val="00236178"/>
    <w:rsid w:val="0023682B"/>
    <w:rsid w:val="00237098"/>
    <w:rsid w:val="002370F9"/>
    <w:rsid w:val="00237152"/>
    <w:rsid w:val="00237EDF"/>
    <w:rsid w:val="0024026F"/>
    <w:rsid w:val="00240827"/>
    <w:rsid w:val="0024155B"/>
    <w:rsid w:val="00242615"/>
    <w:rsid w:val="00242AED"/>
    <w:rsid w:val="00243AFA"/>
    <w:rsid w:val="00243C9D"/>
    <w:rsid w:val="00243FEB"/>
    <w:rsid w:val="00245289"/>
    <w:rsid w:val="002462D4"/>
    <w:rsid w:val="00246AC4"/>
    <w:rsid w:val="00246CFA"/>
    <w:rsid w:val="0024715A"/>
    <w:rsid w:val="002474A1"/>
    <w:rsid w:val="00247F27"/>
    <w:rsid w:val="00250058"/>
    <w:rsid w:val="00250106"/>
    <w:rsid w:val="002508BB"/>
    <w:rsid w:val="002517EA"/>
    <w:rsid w:val="0025229F"/>
    <w:rsid w:val="00252364"/>
    <w:rsid w:val="00252580"/>
    <w:rsid w:val="00253577"/>
    <w:rsid w:val="00253F6E"/>
    <w:rsid w:val="002557E6"/>
    <w:rsid w:val="00255D62"/>
    <w:rsid w:val="00256160"/>
    <w:rsid w:val="00256E08"/>
    <w:rsid w:val="00260DA3"/>
    <w:rsid w:val="00260F77"/>
    <w:rsid w:val="00261502"/>
    <w:rsid w:val="002617D8"/>
    <w:rsid w:val="00261BD7"/>
    <w:rsid w:val="00261DBE"/>
    <w:rsid w:val="002620D7"/>
    <w:rsid w:val="00262835"/>
    <w:rsid w:val="00262A64"/>
    <w:rsid w:val="00262C64"/>
    <w:rsid w:val="0026367B"/>
    <w:rsid w:val="00263C72"/>
    <w:rsid w:val="00264599"/>
    <w:rsid w:val="002646AC"/>
    <w:rsid w:val="002651AD"/>
    <w:rsid w:val="0026563F"/>
    <w:rsid w:val="00265C25"/>
    <w:rsid w:val="00266DC3"/>
    <w:rsid w:val="002676AF"/>
    <w:rsid w:val="0027036E"/>
    <w:rsid w:val="00270437"/>
    <w:rsid w:val="00270BAA"/>
    <w:rsid w:val="002712E3"/>
    <w:rsid w:val="002718D6"/>
    <w:rsid w:val="002721A7"/>
    <w:rsid w:val="0027292C"/>
    <w:rsid w:val="002730CB"/>
    <w:rsid w:val="00273176"/>
    <w:rsid w:val="002736E3"/>
    <w:rsid w:val="00273CB1"/>
    <w:rsid w:val="00274556"/>
    <w:rsid w:val="00274C5B"/>
    <w:rsid w:val="0027545D"/>
    <w:rsid w:val="00275516"/>
    <w:rsid w:val="00275FBA"/>
    <w:rsid w:val="002763CB"/>
    <w:rsid w:val="002768FB"/>
    <w:rsid w:val="002770A2"/>
    <w:rsid w:val="00277171"/>
    <w:rsid w:val="002778CF"/>
    <w:rsid w:val="00277B9A"/>
    <w:rsid w:val="00277C37"/>
    <w:rsid w:val="00281711"/>
    <w:rsid w:val="00281F24"/>
    <w:rsid w:val="0028215B"/>
    <w:rsid w:val="00282C76"/>
    <w:rsid w:val="0028314E"/>
    <w:rsid w:val="00283221"/>
    <w:rsid w:val="00283304"/>
    <w:rsid w:val="0028333D"/>
    <w:rsid w:val="00283A56"/>
    <w:rsid w:val="00283AB5"/>
    <w:rsid w:val="00284292"/>
    <w:rsid w:val="002843C9"/>
    <w:rsid w:val="0028501A"/>
    <w:rsid w:val="002854F4"/>
    <w:rsid w:val="0028673B"/>
    <w:rsid w:val="002867B5"/>
    <w:rsid w:val="002877A0"/>
    <w:rsid w:val="00290310"/>
    <w:rsid w:val="0029036B"/>
    <w:rsid w:val="00290424"/>
    <w:rsid w:val="00290C76"/>
    <w:rsid w:val="00290C8A"/>
    <w:rsid w:val="0029104F"/>
    <w:rsid w:val="002910B8"/>
    <w:rsid w:val="002914A9"/>
    <w:rsid w:val="002917F4"/>
    <w:rsid w:val="0029223C"/>
    <w:rsid w:val="00292577"/>
    <w:rsid w:val="00292BE0"/>
    <w:rsid w:val="00292C75"/>
    <w:rsid w:val="00292E9F"/>
    <w:rsid w:val="00293187"/>
    <w:rsid w:val="002932A1"/>
    <w:rsid w:val="00293E0A"/>
    <w:rsid w:val="002940B8"/>
    <w:rsid w:val="00294306"/>
    <w:rsid w:val="00294A9F"/>
    <w:rsid w:val="00294C1D"/>
    <w:rsid w:val="00294DFD"/>
    <w:rsid w:val="00295494"/>
    <w:rsid w:val="00296A60"/>
    <w:rsid w:val="00296A84"/>
    <w:rsid w:val="00297A28"/>
    <w:rsid w:val="002A0332"/>
    <w:rsid w:val="002A08D6"/>
    <w:rsid w:val="002A11CF"/>
    <w:rsid w:val="002A1E33"/>
    <w:rsid w:val="002A221C"/>
    <w:rsid w:val="002A2537"/>
    <w:rsid w:val="002A2583"/>
    <w:rsid w:val="002A296F"/>
    <w:rsid w:val="002A2ED5"/>
    <w:rsid w:val="002A3AFF"/>
    <w:rsid w:val="002A3F2A"/>
    <w:rsid w:val="002A4F74"/>
    <w:rsid w:val="002A5AB0"/>
    <w:rsid w:val="002A5AB7"/>
    <w:rsid w:val="002A5ADD"/>
    <w:rsid w:val="002A6CF9"/>
    <w:rsid w:val="002A6D7B"/>
    <w:rsid w:val="002A6F76"/>
    <w:rsid w:val="002A74AE"/>
    <w:rsid w:val="002A7992"/>
    <w:rsid w:val="002A7AE3"/>
    <w:rsid w:val="002A7C7D"/>
    <w:rsid w:val="002A7E08"/>
    <w:rsid w:val="002A7FB9"/>
    <w:rsid w:val="002B04D6"/>
    <w:rsid w:val="002B064D"/>
    <w:rsid w:val="002B0708"/>
    <w:rsid w:val="002B0875"/>
    <w:rsid w:val="002B0A97"/>
    <w:rsid w:val="002B0BC3"/>
    <w:rsid w:val="002B0BD0"/>
    <w:rsid w:val="002B1F91"/>
    <w:rsid w:val="002B2C34"/>
    <w:rsid w:val="002B2D6E"/>
    <w:rsid w:val="002B3C55"/>
    <w:rsid w:val="002B4659"/>
    <w:rsid w:val="002B4669"/>
    <w:rsid w:val="002B4EFB"/>
    <w:rsid w:val="002B5A1D"/>
    <w:rsid w:val="002B6AD3"/>
    <w:rsid w:val="002B761A"/>
    <w:rsid w:val="002C050B"/>
    <w:rsid w:val="002C1026"/>
    <w:rsid w:val="002C149F"/>
    <w:rsid w:val="002C1704"/>
    <w:rsid w:val="002C1A5C"/>
    <w:rsid w:val="002C2202"/>
    <w:rsid w:val="002C3369"/>
    <w:rsid w:val="002C3C2A"/>
    <w:rsid w:val="002C4C69"/>
    <w:rsid w:val="002C4F3F"/>
    <w:rsid w:val="002C53D3"/>
    <w:rsid w:val="002C58F5"/>
    <w:rsid w:val="002C5DE2"/>
    <w:rsid w:val="002C6123"/>
    <w:rsid w:val="002C70A3"/>
    <w:rsid w:val="002C767D"/>
    <w:rsid w:val="002C7B51"/>
    <w:rsid w:val="002D05BD"/>
    <w:rsid w:val="002D1D30"/>
    <w:rsid w:val="002D23E1"/>
    <w:rsid w:val="002D26DB"/>
    <w:rsid w:val="002D2804"/>
    <w:rsid w:val="002D29DB"/>
    <w:rsid w:val="002D2A4E"/>
    <w:rsid w:val="002D371D"/>
    <w:rsid w:val="002D4795"/>
    <w:rsid w:val="002D5442"/>
    <w:rsid w:val="002D5620"/>
    <w:rsid w:val="002D674D"/>
    <w:rsid w:val="002D6AF6"/>
    <w:rsid w:val="002D6D34"/>
    <w:rsid w:val="002E00D8"/>
    <w:rsid w:val="002E06D8"/>
    <w:rsid w:val="002E0898"/>
    <w:rsid w:val="002E0DB3"/>
    <w:rsid w:val="002E1042"/>
    <w:rsid w:val="002E1124"/>
    <w:rsid w:val="002E1B73"/>
    <w:rsid w:val="002E234F"/>
    <w:rsid w:val="002E2BC1"/>
    <w:rsid w:val="002E3246"/>
    <w:rsid w:val="002E41C5"/>
    <w:rsid w:val="002E4D90"/>
    <w:rsid w:val="002E56DA"/>
    <w:rsid w:val="002E6373"/>
    <w:rsid w:val="002E64D7"/>
    <w:rsid w:val="002F0482"/>
    <w:rsid w:val="002F051F"/>
    <w:rsid w:val="002F0B61"/>
    <w:rsid w:val="002F19CB"/>
    <w:rsid w:val="002F2390"/>
    <w:rsid w:val="002F23F7"/>
    <w:rsid w:val="002F2B0A"/>
    <w:rsid w:val="002F2D43"/>
    <w:rsid w:val="002F2D75"/>
    <w:rsid w:val="002F2DAD"/>
    <w:rsid w:val="002F3934"/>
    <w:rsid w:val="002F3A6B"/>
    <w:rsid w:val="002F3BF4"/>
    <w:rsid w:val="002F3D69"/>
    <w:rsid w:val="002F3E7E"/>
    <w:rsid w:val="002F3F4A"/>
    <w:rsid w:val="002F49CA"/>
    <w:rsid w:val="002F5783"/>
    <w:rsid w:val="002F5A14"/>
    <w:rsid w:val="002F5CA8"/>
    <w:rsid w:val="002F6586"/>
    <w:rsid w:val="002F67D8"/>
    <w:rsid w:val="00300034"/>
    <w:rsid w:val="00301222"/>
    <w:rsid w:val="00302048"/>
    <w:rsid w:val="00302DD4"/>
    <w:rsid w:val="003030BC"/>
    <w:rsid w:val="00303487"/>
    <w:rsid w:val="00303735"/>
    <w:rsid w:val="00303762"/>
    <w:rsid w:val="003038F9"/>
    <w:rsid w:val="00304326"/>
    <w:rsid w:val="003047D5"/>
    <w:rsid w:val="00304AAD"/>
    <w:rsid w:val="00305966"/>
    <w:rsid w:val="00305E50"/>
    <w:rsid w:val="00307253"/>
    <w:rsid w:val="00307B7D"/>
    <w:rsid w:val="00307D90"/>
    <w:rsid w:val="00310054"/>
    <w:rsid w:val="003113F3"/>
    <w:rsid w:val="00311E01"/>
    <w:rsid w:val="00314FCC"/>
    <w:rsid w:val="00315AB2"/>
    <w:rsid w:val="00315B25"/>
    <w:rsid w:val="003160E7"/>
    <w:rsid w:val="003163DA"/>
    <w:rsid w:val="00316697"/>
    <w:rsid w:val="003166D7"/>
    <w:rsid w:val="00317569"/>
    <w:rsid w:val="003206A6"/>
    <w:rsid w:val="00321675"/>
    <w:rsid w:val="00321DC9"/>
    <w:rsid w:val="00322202"/>
    <w:rsid w:val="0032279C"/>
    <w:rsid w:val="00323C70"/>
    <w:rsid w:val="0032412F"/>
    <w:rsid w:val="00324862"/>
    <w:rsid w:val="00324E1D"/>
    <w:rsid w:val="00325663"/>
    <w:rsid w:val="00325A51"/>
    <w:rsid w:val="00325EC7"/>
    <w:rsid w:val="003261C3"/>
    <w:rsid w:val="00326249"/>
    <w:rsid w:val="00326CF3"/>
    <w:rsid w:val="00326D9C"/>
    <w:rsid w:val="003279E3"/>
    <w:rsid w:val="00327B27"/>
    <w:rsid w:val="00327CB7"/>
    <w:rsid w:val="00327FB3"/>
    <w:rsid w:val="0033034F"/>
    <w:rsid w:val="0033091C"/>
    <w:rsid w:val="00331717"/>
    <w:rsid w:val="00331960"/>
    <w:rsid w:val="00332249"/>
    <w:rsid w:val="00332951"/>
    <w:rsid w:val="00333109"/>
    <w:rsid w:val="00333134"/>
    <w:rsid w:val="00333367"/>
    <w:rsid w:val="00333689"/>
    <w:rsid w:val="003338E5"/>
    <w:rsid w:val="00334573"/>
    <w:rsid w:val="003347DF"/>
    <w:rsid w:val="003347EF"/>
    <w:rsid w:val="00334AB3"/>
    <w:rsid w:val="003354BE"/>
    <w:rsid w:val="00335EC3"/>
    <w:rsid w:val="003362CC"/>
    <w:rsid w:val="00336B9A"/>
    <w:rsid w:val="00337152"/>
    <w:rsid w:val="003371D9"/>
    <w:rsid w:val="00337C50"/>
    <w:rsid w:val="00337E9C"/>
    <w:rsid w:val="00337F2C"/>
    <w:rsid w:val="00337FA0"/>
    <w:rsid w:val="00340C69"/>
    <w:rsid w:val="00342143"/>
    <w:rsid w:val="00342C04"/>
    <w:rsid w:val="003437CA"/>
    <w:rsid w:val="003437FA"/>
    <w:rsid w:val="00343A92"/>
    <w:rsid w:val="003440AD"/>
    <w:rsid w:val="00344D8B"/>
    <w:rsid w:val="0034563A"/>
    <w:rsid w:val="00345BD4"/>
    <w:rsid w:val="00345C80"/>
    <w:rsid w:val="00345EEB"/>
    <w:rsid w:val="00346141"/>
    <w:rsid w:val="003464F4"/>
    <w:rsid w:val="0034665F"/>
    <w:rsid w:val="00346C0B"/>
    <w:rsid w:val="00347D08"/>
    <w:rsid w:val="0035014D"/>
    <w:rsid w:val="00350628"/>
    <w:rsid w:val="00351C1F"/>
    <w:rsid w:val="00351FD1"/>
    <w:rsid w:val="00352253"/>
    <w:rsid w:val="003526FA"/>
    <w:rsid w:val="00352B4A"/>
    <w:rsid w:val="00352EFC"/>
    <w:rsid w:val="00354BD7"/>
    <w:rsid w:val="00354DD6"/>
    <w:rsid w:val="00355278"/>
    <w:rsid w:val="003563E7"/>
    <w:rsid w:val="00356907"/>
    <w:rsid w:val="00356CF4"/>
    <w:rsid w:val="003572DA"/>
    <w:rsid w:val="003573F3"/>
    <w:rsid w:val="00357980"/>
    <w:rsid w:val="003600B0"/>
    <w:rsid w:val="0036157D"/>
    <w:rsid w:val="003623D4"/>
    <w:rsid w:val="00362D01"/>
    <w:rsid w:val="00363308"/>
    <w:rsid w:val="00363977"/>
    <w:rsid w:val="003639F9"/>
    <w:rsid w:val="003645F2"/>
    <w:rsid w:val="0036485D"/>
    <w:rsid w:val="00365976"/>
    <w:rsid w:val="00365A0E"/>
    <w:rsid w:val="00365D96"/>
    <w:rsid w:val="00365DDB"/>
    <w:rsid w:val="0036640C"/>
    <w:rsid w:val="00366677"/>
    <w:rsid w:val="00367608"/>
    <w:rsid w:val="00367D40"/>
    <w:rsid w:val="003709F2"/>
    <w:rsid w:val="00372326"/>
    <w:rsid w:val="00373A03"/>
    <w:rsid w:val="00373DB5"/>
    <w:rsid w:val="0037438A"/>
    <w:rsid w:val="00374B16"/>
    <w:rsid w:val="003754F8"/>
    <w:rsid w:val="003758FA"/>
    <w:rsid w:val="003763CC"/>
    <w:rsid w:val="00377A02"/>
    <w:rsid w:val="00380CEE"/>
    <w:rsid w:val="00380D2B"/>
    <w:rsid w:val="0038122C"/>
    <w:rsid w:val="00381E46"/>
    <w:rsid w:val="00382AFB"/>
    <w:rsid w:val="0038355B"/>
    <w:rsid w:val="003836D3"/>
    <w:rsid w:val="00383C1F"/>
    <w:rsid w:val="0038467D"/>
    <w:rsid w:val="00385322"/>
    <w:rsid w:val="00385D08"/>
    <w:rsid w:val="0038689A"/>
    <w:rsid w:val="00390A9B"/>
    <w:rsid w:val="00390EB0"/>
    <w:rsid w:val="00390EE1"/>
    <w:rsid w:val="003917CB"/>
    <w:rsid w:val="00391879"/>
    <w:rsid w:val="00391A02"/>
    <w:rsid w:val="0039257D"/>
    <w:rsid w:val="0039264D"/>
    <w:rsid w:val="0039277E"/>
    <w:rsid w:val="003928BD"/>
    <w:rsid w:val="0039334A"/>
    <w:rsid w:val="0039340C"/>
    <w:rsid w:val="00394021"/>
    <w:rsid w:val="003945C4"/>
    <w:rsid w:val="00395259"/>
    <w:rsid w:val="00395744"/>
    <w:rsid w:val="00395812"/>
    <w:rsid w:val="00395B66"/>
    <w:rsid w:val="00396277"/>
    <w:rsid w:val="003964DF"/>
    <w:rsid w:val="00396BCA"/>
    <w:rsid w:val="00397987"/>
    <w:rsid w:val="003A0162"/>
    <w:rsid w:val="003A0448"/>
    <w:rsid w:val="003A077B"/>
    <w:rsid w:val="003A0BDB"/>
    <w:rsid w:val="003A0E2E"/>
    <w:rsid w:val="003A10D1"/>
    <w:rsid w:val="003A1C58"/>
    <w:rsid w:val="003A2BAB"/>
    <w:rsid w:val="003A3D51"/>
    <w:rsid w:val="003A43D7"/>
    <w:rsid w:val="003A48C2"/>
    <w:rsid w:val="003A4906"/>
    <w:rsid w:val="003A492E"/>
    <w:rsid w:val="003A4E28"/>
    <w:rsid w:val="003A567E"/>
    <w:rsid w:val="003A63CC"/>
    <w:rsid w:val="003A7273"/>
    <w:rsid w:val="003A7F08"/>
    <w:rsid w:val="003B05F5"/>
    <w:rsid w:val="003B0745"/>
    <w:rsid w:val="003B07AE"/>
    <w:rsid w:val="003B0CCE"/>
    <w:rsid w:val="003B0CD2"/>
    <w:rsid w:val="003B0D0E"/>
    <w:rsid w:val="003B0E31"/>
    <w:rsid w:val="003B1611"/>
    <w:rsid w:val="003B4E1C"/>
    <w:rsid w:val="003B5D36"/>
    <w:rsid w:val="003B6AFB"/>
    <w:rsid w:val="003B738E"/>
    <w:rsid w:val="003B7505"/>
    <w:rsid w:val="003B783B"/>
    <w:rsid w:val="003B7F3C"/>
    <w:rsid w:val="003B7FF0"/>
    <w:rsid w:val="003C08D0"/>
    <w:rsid w:val="003C1021"/>
    <w:rsid w:val="003C1089"/>
    <w:rsid w:val="003C1BC1"/>
    <w:rsid w:val="003C1C6E"/>
    <w:rsid w:val="003C2217"/>
    <w:rsid w:val="003C2246"/>
    <w:rsid w:val="003C25FF"/>
    <w:rsid w:val="003C2CF0"/>
    <w:rsid w:val="003C2F88"/>
    <w:rsid w:val="003C3074"/>
    <w:rsid w:val="003C33EF"/>
    <w:rsid w:val="003C39AA"/>
    <w:rsid w:val="003C4106"/>
    <w:rsid w:val="003C4793"/>
    <w:rsid w:val="003C4C29"/>
    <w:rsid w:val="003C5787"/>
    <w:rsid w:val="003C697A"/>
    <w:rsid w:val="003C6DCC"/>
    <w:rsid w:val="003C70D9"/>
    <w:rsid w:val="003C757D"/>
    <w:rsid w:val="003C76EB"/>
    <w:rsid w:val="003C772C"/>
    <w:rsid w:val="003C7CD0"/>
    <w:rsid w:val="003C7DCE"/>
    <w:rsid w:val="003C7E0D"/>
    <w:rsid w:val="003D0A42"/>
    <w:rsid w:val="003D0B04"/>
    <w:rsid w:val="003D0BF3"/>
    <w:rsid w:val="003D24EB"/>
    <w:rsid w:val="003D2F28"/>
    <w:rsid w:val="003D47DB"/>
    <w:rsid w:val="003D4B46"/>
    <w:rsid w:val="003D4DF0"/>
    <w:rsid w:val="003D4E0E"/>
    <w:rsid w:val="003D66A8"/>
    <w:rsid w:val="003D744B"/>
    <w:rsid w:val="003E04F6"/>
    <w:rsid w:val="003E0740"/>
    <w:rsid w:val="003E0B72"/>
    <w:rsid w:val="003E1402"/>
    <w:rsid w:val="003E1439"/>
    <w:rsid w:val="003E150D"/>
    <w:rsid w:val="003E175B"/>
    <w:rsid w:val="003E183C"/>
    <w:rsid w:val="003E20EE"/>
    <w:rsid w:val="003E27D9"/>
    <w:rsid w:val="003E285D"/>
    <w:rsid w:val="003E2B04"/>
    <w:rsid w:val="003E393A"/>
    <w:rsid w:val="003E3F0C"/>
    <w:rsid w:val="003E470C"/>
    <w:rsid w:val="003E4BEA"/>
    <w:rsid w:val="003E523D"/>
    <w:rsid w:val="003E5997"/>
    <w:rsid w:val="003E5D0C"/>
    <w:rsid w:val="003E6443"/>
    <w:rsid w:val="003E6D87"/>
    <w:rsid w:val="003E75AC"/>
    <w:rsid w:val="003F1216"/>
    <w:rsid w:val="003F14C0"/>
    <w:rsid w:val="003F15E4"/>
    <w:rsid w:val="003F1FB3"/>
    <w:rsid w:val="003F21F7"/>
    <w:rsid w:val="003F2513"/>
    <w:rsid w:val="003F2868"/>
    <w:rsid w:val="003F3365"/>
    <w:rsid w:val="003F34BB"/>
    <w:rsid w:val="003F3C8E"/>
    <w:rsid w:val="003F49F1"/>
    <w:rsid w:val="003F5D36"/>
    <w:rsid w:val="003F615E"/>
    <w:rsid w:val="003F6AFA"/>
    <w:rsid w:val="003F6BC5"/>
    <w:rsid w:val="003F7980"/>
    <w:rsid w:val="0040053F"/>
    <w:rsid w:val="00400E91"/>
    <w:rsid w:val="004014F9"/>
    <w:rsid w:val="00401D57"/>
    <w:rsid w:val="004021D6"/>
    <w:rsid w:val="00402229"/>
    <w:rsid w:val="0040255E"/>
    <w:rsid w:val="00402D1E"/>
    <w:rsid w:val="00403586"/>
    <w:rsid w:val="00403870"/>
    <w:rsid w:val="00404122"/>
    <w:rsid w:val="0040476A"/>
    <w:rsid w:val="00404C09"/>
    <w:rsid w:val="00404FCD"/>
    <w:rsid w:val="0040575E"/>
    <w:rsid w:val="0040582C"/>
    <w:rsid w:val="00405B38"/>
    <w:rsid w:val="004063DA"/>
    <w:rsid w:val="0040766F"/>
    <w:rsid w:val="004076BD"/>
    <w:rsid w:val="004078E7"/>
    <w:rsid w:val="00407E55"/>
    <w:rsid w:val="00410CDB"/>
    <w:rsid w:val="00411B06"/>
    <w:rsid w:val="004135B5"/>
    <w:rsid w:val="00413A88"/>
    <w:rsid w:val="00413C65"/>
    <w:rsid w:val="00413FE8"/>
    <w:rsid w:val="00415C5C"/>
    <w:rsid w:val="00415D8F"/>
    <w:rsid w:val="00415EC8"/>
    <w:rsid w:val="004164A1"/>
    <w:rsid w:val="004167F3"/>
    <w:rsid w:val="00416972"/>
    <w:rsid w:val="00417C44"/>
    <w:rsid w:val="00421648"/>
    <w:rsid w:val="00421D8C"/>
    <w:rsid w:val="00421FCE"/>
    <w:rsid w:val="00422C95"/>
    <w:rsid w:val="004230FE"/>
    <w:rsid w:val="004234AE"/>
    <w:rsid w:val="0042373E"/>
    <w:rsid w:val="004238F9"/>
    <w:rsid w:val="004240E6"/>
    <w:rsid w:val="00424996"/>
    <w:rsid w:val="004252A3"/>
    <w:rsid w:val="004253C4"/>
    <w:rsid w:val="00425446"/>
    <w:rsid w:val="004257F1"/>
    <w:rsid w:val="004275B3"/>
    <w:rsid w:val="0042781F"/>
    <w:rsid w:val="00427BC2"/>
    <w:rsid w:val="00427F23"/>
    <w:rsid w:val="0043083F"/>
    <w:rsid w:val="004315ED"/>
    <w:rsid w:val="00432F63"/>
    <w:rsid w:val="00433778"/>
    <w:rsid w:val="004342E8"/>
    <w:rsid w:val="004342EB"/>
    <w:rsid w:val="004348BF"/>
    <w:rsid w:val="0043508C"/>
    <w:rsid w:val="00435428"/>
    <w:rsid w:val="00435582"/>
    <w:rsid w:val="004362E4"/>
    <w:rsid w:val="004363C4"/>
    <w:rsid w:val="00437461"/>
    <w:rsid w:val="004378BF"/>
    <w:rsid w:val="004402E9"/>
    <w:rsid w:val="0044031D"/>
    <w:rsid w:val="00440578"/>
    <w:rsid w:val="0044074B"/>
    <w:rsid w:val="00440826"/>
    <w:rsid w:val="00440FBC"/>
    <w:rsid w:val="0044105F"/>
    <w:rsid w:val="00441BB7"/>
    <w:rsid w:val="004422DA"/>
    <w:rsid w:val="00442828"/>
    <w:rsid w:val="00442BAD"/>
    <w:rsid w:val="00444251"/>
    <w:rsid w:val="00445B07"/>
    <w:rsid w:val="0044603D"/>
    <w:rsid w:val="00446068"/>
    <w:rsid w:val="0044697F"/>
    <w:rsid w:val="00446EA9"/>
    <w:rsid w:val="00447A20"/>
    <w:rsid w:val="00450478"/>
    <w:rsid w:val="00450649"/>
    <w:rsid w:val="00450663"/>
    <w:rsid w:val="00450B4D"/>
    <w:rsid w:val="004510A8"/>
    <w:rsid w:val="00451262"/>
    <w:rsid w:val="004516AF"/>
    <w:rsid w:val="00451974"/>
    <w:rsid w:val="00452692"/>
    <w:rsid w:val="00452DA6"/>
    <w:rsid w:val="00453732"/>
    <w:rsid w:val="00453938"/>
    <w:rsid w:val="0045435B"/>
    <w:rsid w:val="004547CA"/>
    <w:rsid w:val="00454CFD"/>
    <w:rsid w:val="00454F29"/>
    <w:rsid w:val="004555D9"/>
    <w:rsid w:val="00455D25"/>
    <w:rsid w:val="0045636B"/>
    <w:rsid w:val="0045746C"/>
    <w:rsid w:val="0046025D"/>
    <w:rsid w:val="00460FC8"/>
    <w:rsid w:val="00460FF8"/>
    <w:rsid w:val="004612BC"/>
    <w:rsid w:val="0046181B"/>
    <w:rsid w:val="0046293B"/>
    <w:rsid w:val="00462AAE"/>
    <w:rsid w:val="00462FA1"/>
    <w:rsid w:val="0046306A"/>
    <w:rsid w:val="004636E3"/>
    <w:rsid w:val="00463DC9"/>
    <w:rsid w:val="00465666"/>
    <w:rsid w:val="00465EBC"/>
    <w:rsid w:val="0046725B"/>
    <w:rsid w:val="004708B5"/>
    <w:rsid w:val="004709C7"/>
    <w:rsid w:val="004709E2"/>
    <w:rsid w:val="00470FA6"/>
    <w:rsid w:val="00472013"/>
    <w:rsid w:val="004739CD"/>
    <w:rsid w:val="00473BBA"/>
    <w:rsid w:val="0047413F"/>
    <w:rsid w:val="004741CB"/>
    <w:rsid w:val="0047453F"/>
    <w:rsid w:val="00475971"/>
    <w:rsid w:val="0047639E"/>
    <w:rsid w:val="004767AE"/>
    <w:rsid w:val="0047693A"/>
    <w:rsid w:val="00476D03"/>
    <w:rsid w:val="004778B9"/>
    <w:rsid w:val="00477967"/>
    <w:rsid w:val="00480091"/>
    <w:rsid w:val="004806B6"/>
    <w:rsid w:val="00481C76"/>
    <w:rsid w:val="00481F8A"/>
    <w:rsid w:val="00482079"/>
    <w:rsid w:val="004820CF"/>
    <w:rsid w:val="00482E85"/>
    <w:rsid w:val="00483C86"/>
    <w:rsid w:val="00483DCC"/>
    <w:rsid w:val="00484A30"/>
    <w:rsid w:val="00484F52"/>
    <w:rsid w:val="00485C73"/>
    <w:rsid w:val="00485EEE"/>
    <w:rsid w:val="004864ED"/>
    <w:rsid w:val="004867F7"/>
    <w:rsid w:val="00486C20"/>
    <w:rsid w:val="00486C3A"/>
    <w:rsid w:val="00487225"/>
    <w:rsid w:val="00487396"/>
    <w:rsid w:val="00487448"/>
    <w:rsid w:val="0048765E"/>
    <w:rsid w:val="004877E9"/>
    <w:rsid w:val="004878E6"/>
    <w:rsid w:val="004900FA"/>
    <w:rsid w:val="00490308"/>
    <w:rsid w:val="0049091D"/>
    <w:rsid w:val="00490954"/>
    <w:rsid w:val="00490D03"/>
    <w:rsid w:val="00490F41"/>
    <w:rsid w:val="00491422"/>
    <w:rsid w:val="0049180B"/>
    <w:rsid w:val="004919F0"/>
    <w:rsid w:val="00491B8B"/>
    <w:rsid w:val="004921BC"/>
    <w:rsid w:val="004927F5"/>
    <w:rsid w:val="004932B0"/>
    <w:rsid w:val="00493DBD"/>
    <w:rsid w:val="004943C8"/>
    <w:rsid w:val="00494501"/>
    <w:rsid w:val="00495C71"/>
    <w:rsid w:val="00496379"/>
    <w:rsid w:val="004967AF"/>
    <w:rsid w:val="004977B5"/>
    <w:rsid w:val="004A01EA"/>
    <w:rsid w:val="004A0CEA"/>
    <w:rsid w:val="004A1797"/>
    <w:rsid w:val="004A1ECA"/>
    <w:rsid w:val="004A2B48"/>
    <w:rsid w:val="004A316C"/>
    <w:rsid w:val="004A438D"/>
    <w:rsid w:val="004A44DA"/>
    <w:rsid w:val="004A4502"/>
    <w:rsid w:val="004A4540"/>
    <w:rsid w:val="004A4A9C"/>
    <w:rsid w:val="004A5506"/>
    <w:rsid w:val="004A6D21"/>
    <w:rsid w:val="004B0136"/>
    <w:rsid w:val="004B09B2"/>
    <w:rsid w:val="004B1010"/>
    <w:rsid w:val="004B1146"/>
    <w:rsid w:val="004B1CF6"/>
    <w:rsid w:val="004B1FD0"/>
    <w:rsid w:val="004B2264"/>
    <w:rsid w:val="004B2A34"/>
    <w:rsid w:val="004B2E1C"/>
    <w:rsid w:val="004B2E50"/>
    <w:rsid w:val="004B34DB"/>
    <w:rsid w:val="004B34EF"/>
    <w:rsid w:val="004B3938"/>
    <w:rsid w:val="004B4225"/>
    <w:rsid w:val="004B4A07"/>
    <w:rsid w:val="004B5090"/>
    <w:rsid w:val="004B55C1"/>
    <w:rsid w:val="004B5FED"/>
    <w:rsid w:val="004B630C"/>
    <w:rsid w:val="004B66A8"/>
    <w:rsid w:val="004B68B1"/>
    <w:rsid w:val="004C01CD"/>
    <w:rsid w:val="004C15BE"/>
    <w:rsid w:val="004C161B"/>
    <w:rsid w:val="004C1C4D"/>
    <w:rsid w:val="004C228F"/>
    <w:rsid w:val="004C3508"/>
    <w:rsid w:val="004C4367"/>
    <w:rsid w:val="004C563E"/>
    <w:rsid w:val="004C6967"/>
    <w:rsid w:val="004C746A"/>
    <w:rsid w:val="004C74A1"/>
    <w:rsid w:val="004C77BF"/>
    <w:rsid w:val="004C7C43"/>
    <w:rsid w:val="004D007B"/>
    <w:rsid w:val="004D0C5F"/>
    <w:rsid w:val="004D108A"/>
    <w:rsid w:val="004D1A98"/>
    <w:rsid w:val="004D1E4B"/>
    <w:rsid w:val="004D1EFD"/>
    <w:rsid w:val="004D2978"/>
    <w:rsid w:val="004D2AAA"/>
    <w:rsid w:val="004D355C"/>
    <w:rsid w:val="004D3630"/>
    <w:rsid w:val="004D38C3"/>
    <w:rsid w:val="004D3E02"/>
    <w:rsid w:val="004D48B8"/>
    <w:rsid w:val="004D4A31"/>
    <w:rsid w:val="004D4A7E"/>
    <w:rsid w:val="004D4B74"/>
    <w:rsid w:val="004D53E0"/>
    <w:rsid w:val="004D61CD"/>
    <w:rsid w:val="004D643A"/>
    <w:rsid w:val="004D7512"/>
    <w:rsid w:val="004E00B0"/>
    <w:rsid w:val="004E1AC7"/>
    <w:rsid w:val="004E1D12"/>
    <w:rsid w:val="004E1EAA"/>
    <w:rsid w:val="004E2685"/>
    <w:rsid w:val="004E27F5"/>
    <w:rsid w:val="004E28CF"/>
    <w:rsid w:val="004E299F"/>
    <w:rsid w:val="004E2B9B"/>
    <w:rsid w:val="004E2CF4"/>
    <w:rsid w:val="004E474C"/>
    <w:rsid w:val="004E5526"/>
    <w:rsid w:val="004E6578"/>
    <w:rsid w:val="004E70E7"/>
    <w:rsid w:val="004E79F2"/>
    <w:rsid w:val="004F0642"/>
    <w:rsid w:val="004F10DC"/>
    <w:rsid w:val="004F1281"/>
    <w:rsid w:val="004F1EBE"/>
    <w:rsid w:val="004F266F"/>
    <w:rsid w:val="004F3A1C"/>
    <w:rsid w:val="004F437C"/>
    <w:rsid w:val="004F45E6"/>
    <w:rsid w:val="004F4EFA"/>
    <w:rsid w:val="004F5292"/>
    <w:rsid w:val="004F56BA"/>
    <w:rsid w:val="004F5C66"/>
    <w:rsid w:val="004F5DB3"/>
    <w:rsid w:val="004F66CC"/>
    <w:rsid w:val="004F6A5C"/>
    <w:rsid w:val="004F74A9"/>
    <w:rsid w:val="004F7C08"/>
    <w:rsid w:val="00500471"/>
    <w:rsid w:val="005014DA"/>
    <w:rsid w:val="00503E9C"/>
    <w:rsid w:val="00504344"/>
    <w:rsid w:val="005043E0"/>
    <w:rsid w:val="005056AF"/>
    <w:rsid w:val="005060D0"/>
    <w:rsid w:val="005064C1"/>
    <w:rsid w:val="005067AD"/>
    <w:rsid w:val="00507E36"/>
    <w:rsid w:val="0051094B"/>
    <w:rsid w:val="00510B09"/>
    <w:rsid w:val="00510CD6"/>
    <w:rsid w:val="0051138E"/>
    <w:rsid w:val="005113E5"/>
    <w:rsid w:val="00513958"/>
    <w:rsid w:val="00513D5C"/>
    <w:rsid w:val="005143A6"/>
    <w:rsid w:val="005148FE"/>
    <w:rsid w:val="00514F7A"/>
    <w:rsid w:val="005151D1"/>
    <w:rsid w:val="00516015"/>
    <w:rsid w:val="005165FB"/>
    <w:rsid w:val="00516A30"/>
    <w:rsid w:val="00516B29"/>
    <w:rsid w:val="00517386"/>
    <w:rsid w:val="005176D3"/>
    <w:rsid w:val="00517DFA"/>
    <w:rsid w:val="0052072C"/>
    <w:rsid w:val="00521414"/>
    <w:rsid w:val="00522D8D"/>
    <w:rsid w:val="00523A08"/>
    <w:rsid w:val="00524447"/>
    <w:rsid w:val="00525416"/>
    <w:rsid w:val="005255BA"/>
    <w:rsid w:val="00525829"/>
    <w:rsid w:val="005258CF"/>
    <w:rsid w:val="005258DC"/>
    <w:rsid w:val="0052687E"/>
    <w:rsid w:val="0052689F"/>
    <w:rsid w:val="0052766A"/>
    <w:rsid w:val="00527790"/>
    <w:rsid w:val="005279AE"/>
    <w:rsid w:val="00527B36"/>
    <w:rsid w:val="005306F7"/>
    <w:rsid w:val="0053209C"/>
    <w:rsid w:val="00533B83"/>
    <w:rsid w:val="0053574F"/>
    <w:rsid w:val="00535953"/>
    <w:rsid w:val="00535B3F"/>
    <w:rsid w:val="00535F5B"/>
    <w:rsid w:val="00536019"/>
    <w:rsid w:val="00536276"/>
    <w:rsid w:val="00536449"/>
    <w:rsid w:val="00536526"/>
    <w:rsid w:val="00536A24"/>
    <w:rsid w:val="0053706F"/>
    <w:rsid w:val="00537083"/>
    <w:rsid w:val="00537139"/>
    <w:rsid w:val="005376FC"/>
    <w:rsid w:val="00537D5C"/>
    <w:rsid w:val="00540A35"/>
    <w:rsid w:val="00540B74"/>
    <w:rsid w:val="0054114D"/>
    <w:rsid w:val="0054132C"/>
    <w:rsid w:val="0054195D"/>
    <w:rsid w:val="00541AF2"/>
    <w:rsid w:val="00541CF6"/>
    <w:rsid w:val="00541E44"/>
    <w:rsid w:val="00542295"/>
    <w:rsid w:val="0054258A"/>
    <w:rsid w:val="00544491"/>
    <w:rsid w:val="0054486F"/>
    <w:rsid w:val="00544F08"/>
    <w:rsid w:val="005452D5"/>
    <w:rsid w:val="00545527"/>
    <w:rsid w:val="00546953"/>
    <w:rsid w:val="00546E53"/>
    <w:rsid w:val="00547B26"/>
    <w:rsid w:val="00550881"/>
    <w:rsid w:val="00550F61"/>
    <w:rsid w:val="005510EA"/>
    <w:rsid w:val="00551549"/>
    <w:rsid w:val="0055169A"/>
    <w:rsid w:val="00552217"/>
    <w:rsid w:val="0055239F"/>
    <w:rsid w:val="0055272B"/>
    <w:rsid w:val="0055355A"/>
    <w:rsid w:val="00553B0D"/>
    <w:rsid w:val="00553FA3"/>
    <w:rsid w:val="005540EE"/>
    <w:rsid w:val="00554D72"/>
    <w:rsid w:val="00554E3E"/>
    <w:rsid w:val="00555144"/>
    <w:rsid w:val="00555522"/>
    <w:rsid w:val="00555583"/>
    <w:rsid w:val="00555C2E"/>
    <w:rsid w:val="00555F40"/>
    <w:rsid w:val="005562D1"/>
    <w:rsid w:val="00556518"/>
    <w:rsid w:val="0055694A"/>
    <w:rsid w:val="00556E31"/>
    <w:rsid w:val="00556FE3"/>
    <w:rsid w:val="00557378"/>
    <w:rsid w:val="00557A15"/>
    <w:rsid w:val="005615DA"/>
    <w:rsid w:val="00561716"/>
    <w:rsid w:val="00561C77"/>
    <w:rsid w:val="00562103"/>
    <w:rsid w:val="00562417"/>
    <w:rsid w:val="00563077"/>
    <w:rsid w:val="005632BF"/>
    <w:rsid w:val="005639D4"/>
    <w:rsid w:val="005641AC"/>
    <w:rsid w:val="005644B1"/>
    <w:rsid w:val="00564CA8"/>
    <w:rsid w:val="005654A8"/>
    <w:rsid w:val="00565B69"/>
    <w:rsid w:val="00566426"/>
    <w:rsid w:val="00566B02"/>
    <w:rsid w:val="00566FA1"/>
    <w:rsid w:val="005671ED"/>
    <w:rsid w:val="00567201"/>
    <w:rsid w:val="00567226"/>
    <w:rsid w:val="00567585"/>
    <w:rsid w:val="00567CA2"/>
    <w:rsid w:val="00570292"/>
    <w:rsid w:val="00570963"/>
    <w:rsid w:val="00570C3C"/>
    <w:rsid w:val="0057177B"/>
    <w:rsid w:val="00571C8F"/>
    <w:rsid w:val="005722C8"/>
    <w:rsid w:val="005723B3"/>
    <w:rsid w:val="005729AE"/>
    <w:rsid w:val="00572A72"/>
    <w:rsid w:val="00572DE1"/>
    <w:rsid w:val="00573A8B"/>
    <w:rsid w:val="0057402A"/>
    <w:rsid w:val="00574142"/>
    <w:rsid w:val="00574A9F"/>
    <w:rsid w:val="0057528B"/>
    <w:rsid w:val="005755A8"/>
    <w:rsid w:val="00575842"/>
    <w:rsid w:val="005775D4"/>
    <w:rsid w:val="00577F86"/>
    <w:rsid w:val="0058066F"/>
    <w:rsid w:val="005807EC"/>
    <w:rsid w:val="00580C1B"/>
    <w:rsid w:val="0058130E"/>
    <w:rsid w:val="005814EE"/>
    <w:rsid w:val="005819A4"/>
    <w:rsid w:val="00581E62"/>
    <w:rsid w:val="00581EA4"/>
    <w:rsid w:val="00582424"/>
    <w:rsid w:val="00582FF0"/>
    <w:rsid w:val="00583280"/>
    <w:rsid w:val="005834F4"/>
    <w:rsid w:val="00583AD0"/>
    <w:rsid w:val="00583B7D"/>
    <w:rsid w:val="00583CB2"/>
    <w:rsid w:val="00583FEB"/>
    <w:rsid w:val="005844F6"/>
    <w:rsid w:val="00584548"/>
    <w:rsid w:val="005845AA"/>
    <w:rsid w:val="005866D7"/>
    <w:rsid w:val="00586EFC"/>
    <w:rsid w:val="0059102D"/>
    <w:rsid w:val="0059178D"/>
    <w:rsid w:val="005921DA"/>
    <w:rsid w:val="005924C0"/>
    <w:rsid w:val="00592987"/>
    <w:rsid w:val="0059481A"/>
    <w:rsid w:val="00594D22"/>
    <w:rsid w:val="00595111"/>
    <w:rsid w:val="0059536E"/>
    <w:rsid w:val="0059594D"/>
    <w:rsid w:val="00595D2A"/>
    <w:rsid w:val="00595DA2"/>
    <w:rsid w:val="00596995"/>
    <w:rsid w:val="005974B3"/>
    <w:rsid w:val="00597EC1"/>
    <w:rsid w:val="005A1431"/>
    <w:rsid w:val="005A1446"/>
    <w:rsid w:val="005A1920"/>
    <w:rsid w:val="005A1DE6"/>
    <w:rsid w:val="005A289F"/>
    <w:rsid w:val="005A2C85"/>
    <w:rsid w:val="005A2DD6"/>
    <w:rsid w:val="005A3187"/>
    <w:rsid w:val="005A37B8"/>
    <w:rsid w:val="005A4DD8"/>
    <w:rsid w:val="005A5C54"/>
    <w:rsid w:val="005A637B"/>
    <w:rsid w:val="005A69BA"/>
    <w:rsid w:val="005A6EA6"/>
    <w:rsid w:val="005A71EB"/>
    <w:rsid w:val="005A7549"/>
    <w:rsid w:val="005A76EC"/>
    <w:rsid w:val="005A7AA3"/>
    <w:rsid w:val="005A7BB3"/>
    <w:rsid w:val="005A7F5B"/>
    <w:rsid w:val="005B0E56"/>
    <w:rsid w:val="005B119B"/>
    <w:rsid w:val="005B1310"/>
    <w:rsid w:val="005B1F6E"/>
    <w:rsid w:val="005B204F"/>
    <w:rsid w:val="005B2139"/>
    <w:rsid w:val="005B2D1F"/>
    <w:rsid w:val="005B3005"/>
    <w:rsid w:val="005B3C17"/>
    <w:rsid w:val="005B47B1"/>
    <w:rsid w:val="005B4BB1"/>
    <w:rsid w:val="005B4BBA"/>
    <w:rsid w:val="005B4C5B"/>
    <w:rsid w:val="005B5151"/>
    <w:rsid w:val="005B544C"/>
    <w:rsid w:val="005B62B3"/>
    <w:rsid w:val="005B74FF"/>
    <w:rsid w:val="005C0029"/>
    <w:rsid w:val="005C044D"/>
    <w:rsid w:val="005C1E1B"/>
    <w:rsid w:val="005C2550"/>
    <w:rsid w:val="005C2A2E"/>
    <w:rsid w:val="005C2D4A"/>
    <w:rsid w:val="005C2DDA"/>
    <w:rsid w:val="005C2F2A"/>
    <w:rsid w:val="005C3761"/>
    <w:rsid w:val="005C4D79"/>
    <w:rsid w:val="005C5AD3"/>
    <w:rsid w:val="005C618B"/>
    <w:rsid w:val="005C68C3"/>
    <w:rsid w:val="005C68DB"/>
    <w:rsid w:val="005C7867"/>
    <w:rsid w:val="005C7A75"/>
    <w:rsid w:val="005C7BEF"/>
    <w:rsid w:val="005D011C"/>
    <w:rsid w:val="005D020E"/>
    <w:rsid w:val="005D1AF6"/>
    <w:rsid w:val="005D1DF5"/>
    <w:rsid w:val="005D1FE9"/>
    <w:rsid w:val="005D20FE"/>
    <w:rsid w:val="005D246E"/>
    <w:rsid w:val="005D26A1"/>
    <w:rsid w:val="005D3DCC"/>
    <w:rsid w:val="005D5985"/>
    <w:rsid w:val="005D5E5F"/>
    <w:rsid w:val="005D61C2"/>
    <w:rsid w:val="005D6482"/>
    <w:rsid w:val="005D67B2"/>
    <w:rsid w:val="005D6948"/>
    <w:rsid w:val="005D6FCA"/>
    <w:rsid w:val="005E0482"/>
    <w:rsid w:val="005E04CE"/>
    <w:rsid w:val="005E11BE"/>
    <w:rsid w:val="005E1927"/>
    <w:rsid w:val="005E1C86"/>
    <w:rsid w:val="005E1FAB"/>
    <w:rsid w:val="005E2477"/>
    <w:rsid w:val="005E26DB"/>
    <w:rsid w:val="005E2ECB"/>
    <w:rsid w:val="005E463C"/>
    <w:rsid w:val="005E4D8B"/>
    <w:rsid w:val="005E59C8"/>
    <w:rsid w:val="005E5A53"/>
    <w:rsid w:val="005E5B7F"/>
    <w:rsid w:val="005E6E36"/>
    <w:rsid w:val="005E71C7"/>
    <w:rsid w:val="005E73A2"/>
    <w:rsid w:val="005E786B"/>
    <w:rsid w:val="005F0A31"/>
    <w:rsid w:val="005F1011"/>
    <w:rsid w:val="005F148E"/>
    <w:rsid w:val="005F1553"/>
    <w:rsid w:val="005F1B8A"/>
    <w:rsid w:val="005F2286"/>
    <w:rsid w:val="005F238E"/>
    <w:rsid w:val="005F23AE"/>
    <w:rsid w:val="005F25BE"/>
    <w:rsid w:val="005F2985"/>
    <w:rsid w:val="005F2999"/>
    <w:rsid w:val="005F2C8E"/>
    <w:rsid w:val="005F2F1B"/>
    <w:rsid w:val="005F34E8"/>
    <w:rsid w:val="005F3801"/>
    <w:rsid w:val="005F4732"/>
    <w:rsid w:val="005F4C75"/>
    <w:rsid w:val="005F5E29"/>
    <w:rsid w:val="005F5EAB"/>
    <w:rsid w:val="005F6773"/>
    <w:rsid w:val="005F6D88"/>
    <w:rsid w:val="005F7601"/>
    <w:rsid w:val="0060024E"/>
    <w:rsid w:val="00601D3E"/>
    <w:rsid w:val="006021C9"/>
    <w:rsid w:val="00602AD2"/>
    <w:rsid w:val="00602D88"/>
    <w:rsid w:val="00603A81"/>
    <w:rsid w:val="00603C57"/>
    <w:rsid w:val="00603F27"/>
    <w:rsid w:val="0060477C"/>
    <w:rsid w:val="006052C5"/>
    <w:rsid w:val="00606C7D"/>
    <w:rsid w:val="00606CEC"/>
    <w:rsid w:val="0060753E"/>
    <w:rsid w:val="00607C02"/>
    <w:rsid w:val="00607EE7"/>
    <w:rsid w:val="006100C8"/>
    <w:rsid w:val="00610904"/>
    <w:rsid w:val="00610DE7"/>
    <w:rsid w:val="0061114A"/>
    <w:rsid w:val="00612268"/>
    <w:rsid w:val="006122F1"/>
    <w:rsid w:val="00612C46"/>
    <w:rsid w:val="0061307C"/>
    <w:rsid w:val="006132F5"/>
    <w:rsid w:val="00613ED5"/>
    <w:rsid w:val="00613F97"/>
    <w:rsid w:val="00614607"/>
    <w:rsid w:val="0061535D"/>
    <w:rsid w:val="006156D1"/>
    <w:rsid w:val="006159B9"/>
    <w:rsid w:val="00615C96"/>
    <w:rsid w:val="00617A0C"/>
    <w:rsid w:val="006200FA"/>
    <w:rsid w:val="00620EB3"/>
    <w:rsid w:val="006214EA"/>
    <w:rsid w:val="006215C2"/>
    <w:rsid w:val="0062268E"/>
    <w:rsid w:val="00622D84"/>
    <w:rsid w:val="006237E4"/>
    <w:rsid w:val="00623B7B"/>
    <w:rsid w:val="00624774"/>
    <w:rsid w:val="0062484E"/>
    <w:rsid w:val="00624FC3"/>
    <w:rsid w:val="00625058"/>
    <w:rsid w:val="006254B3"/>
    <w:rsid w:val="006257C3"/>
    <w:rsid w:val="00625BCA"/>
    <w:rsid w:val="00626279"/>
    <w:rsid w:val="00626537"/>
    <w:rsid w:val="0062682B"/>
    <w:rsid w:val="00626DB7"/>
    <w:rsid w:val="00627920"/>
    <w:rsid w:val="00627A6B"/>
    <w:rsid w:val="006304DC"/>
    <w:rsid w:val="0063184B"/>
    <w:rsid w:val="00632430"/>
    <w:rsid w:val="0063262F"/>
    <w:rsid w:val="00632742"/>
    <w:rsid w:val="00632CB5"/>
    <w:rsid w:val="00632EC3"/>
    <w:rsid w:val="00633E1C"/>
    <w:rsid w:val="006343B0"/>
    <w:rsid w:val="00634689"/>
    <w:rsid w:val="00634C40"/>
    <w:rsid w:val="00634FCD"/>
    <w:rsid w:val="00635226"/>
    <w:rsid w:val="00635527"/>
    <w:rsid w:val="00635875"/>
    <w:rsid w:val="00635D33"/>
    <w:rsid w:val="00636863"/>
    <w:rsid w:val="00636C54"/>
    <w:rsid w:val="006373A7"/>
    <w:rsid w:val="00637CC7"/>
    <w:rsid w:val="006400FF"/>
    <w:rsid w:val="006409D5"/>
    <w:rsid w:val="006412C0"/>
    <w:rsid w:val="006412C8"/>
    <w:rsid w:val="006416DB"/>
    <w:rsid w:val="00641707"/>
    <w:rsid w:val="00642AA2"/>
    <w:rsid w:val="00642E59"/>
    <w:rsid w:val="00643460"/>
    <w:rsid w:val="006442CD"/>
    <w:rsid w:val="0064484D"/>
    <w:rsid w:val="00644B2C"/>
    <w:rsid w:val="00644CAB"/>
    <w:rsid w:val="006459AF"/>
    <w:rsid w:val="006465B5"/>
    <w:rsid w:val="006507E8"/>
    <w:rsid w:val="0065084A"/>
    <w:rsid w:val="00651193"/>
    <w:rsid w:val="006512BE"/>
    <w:rsid w:val="006517D3"/>
    <w:rsid w:val="00651DA6"/>
    <w:rsid w:val="00652025"/>
    <w:rsid w:val="00652215"/>
    <w:rsid w:val="006528F5"/>
    <w:rsid w:val="00652BCC"/>
    <w:rsid w:val="006534AC"/>
    <w:rsid w:val="0065391F"/>
    <w:rsid w:val="00653E67"/>
    <w:rsid w:val="00654740"/>
    <w:rsid w:val="00654ABC"/>
    <w:rsid w:val="00655C93"/>
    <w:rsid w:val="00655F60"/>
    <w:rsid w:val="006560D0"/>
    <w:rsid w:val="00656BA8"/>
    <w:rsid w:val="00656E8B"/>
    <w:rsid w:val="00657370"/>
    <w:rsid w:val="00657958"/>
    <w:rsid w:val="0066011F"/>
    <w:rsid w:val="006609EB"/>
    <w:rsid w:val="00660C4D"/>
    <w:rsid w:val="00660F6C"/>
    <w:rsid w:val="00661314"/>
    <w:rsid w:val="00661510"/>
    <w:rsid w:val="00662F37"/>
    <w:rsid w:val="00663087"/>
    <w:rsid w:val="00663991"/>
    <w:rsid w:val="006639AD"/>
    <w:rsid w:val="00664BAE"/>
    <w:rsid w:val="00665AB4"/>
    <w:rsid w:val="00666918"/>
    <w:rsid w:val="0067021E"/>
    <w:rsid w:val="00670435"/>
    <w:rsid w:val="00670687"/>
    <w:rsid w:val="006707A7"/>
    <w:rsid w:val="00670AD8"/>
    <w:rsid w:val="00670C20"/>
    <w:rsid w:val="00670D57"/>
    <w:rsid w:val="00671200"/>
    <w:rsid w:val="00671253"/>
    <w:rsid w:val="006712D1"/>
    <w:rsid w:val="0067153C"/>
    <w:rsid w:val="00671753"/>
    <w:rsid w:val="00671A03"/>
    <w:rsid w:val="006732BB"/>
    <w:rsid w:val="00673668"/>
    <w:rsid w:val="006736AB"/>
    <w:rsid w:val="00673F29"/>
    <w:rsid w:val="006741FA"/>
    <w:rsid w:val="00674255"/>
    <w:rsid w:val="0067488B"/>
    <w:rsid w:val="00674A6E"/>
    <w:rsid w:val="00674D4F"/>
    <w:rsid w:val="0067603A"/>
    <w:rsid w:val="00676D38"/>
    <w:rsid w:val="006776AE"/>
    <w:rsid w:val="00677820"/>
    <w:rsid w:val="00677ABA"/>
    <w:rsid w:val="00677C67"/>
    <w:rsid w:val="006801F8"/>
    <w:rsid w:val="0068048D"/>
    <w:rsid w:val="006807A9"/>
    <w:rsid w:val="00680A52"/>
    <w:rsid w:val="00680E85"/>
    <w:rsid w:val="0068128B"/>
    <w:rsid w:val="00681577"/>
    <w:rsid w:val="00681AA3"/>
    <w:rsid w:val="00681D3C"/>
    <w:rsid w:val="006820BB"/>
    <w:rsid w:val="00682310"/>
    <w:rsid w:val="00682777"/>
    <w:rsid w:val="00682980"/>
    <w:rsid w:val="00683F3E"/>
    <w:rsid w:val="006843ED"/>
    <w:rsid w:val="00684505"/>
    <w:rsid w:val="00684F5D"/>
    <w:rsid w:val="006856B8"/>
    <w:rsid w:val="006859BB"/>
    <w:rsid w:val="00685CA1"/>
    <w:rsid w:val="00685FCC"/>
    <w:rsid w:val="006861BE"/>
    <w:rsid w:val="00686607"/>
    <w:rsid w:val="006869DD"/>
    <w:rsid w:val="00687389"/>
    <w:rsid w:val="00687596"/>
    <w:rsid w:val="0068767C"/>
    <w:rsid w:val="00687B7F"/>
    <w:rsid w:val="0069084D"/>
    <w:rsid w:val="00690924"/>
    <w:rsid w:val="00691843"/>
    <w:rsid w:val="006925CA"/>
    <w:rsid w:val="0069278F"/>
    <w:rsid w:val="006929A4"/>
    <w:rsid w:val="0069337A"/>
    <w:rsid w:val="00693528"/>
    <w:rsid w:val="00693A78"/>
    <w:rsid w:val="00693AEE"/>
    <w:rsid w:val="0069438D"/>
    <w:rsid w:val="0069528E"/>
    <w:rsid w:val="0069541B"/>
    <w:rsid w:val="0069627A"/>
    <w:rsid w:val="006964D6"/>
    <w:rsid w:val="006979AB"/>
    <w:rsid w:val="006979C7"/>
    <w:rsid w:val="006A0317"/>
    <w:rsid w:val="006A072E"/>
    <w:rsid w:val="006A1744"/>
    <w:rsid w:val="006A17D1"/>
    <w:rsid w:val="006A21BF"/>
    <w:rsid w:val="006A33C7"/>
    <w:rsid w:val="006A3DB1"/>
    <w:rsid w:val="006A4D8F"/>
    <w:rsid w:val="006A526D"/>
    <w:rsid w:val="006A56C4"/>
    <w:rsid w:val="006A5726"/>
    <w:rsid w:val="006A574C"/>
    <w:rsid w:val="006A640B"/>
    <w:rsid w:val="006A6CB0"/>
    <w:rsid w:val="006A7969"/>
    <w:rsid w:val="006B18A2"/>
    <w:rsid w:val="006B1D50"/>
    <w:rsid w:val="006B3033"/>
    <w:rsid w:val="006B48AF"/>
    <w:rsid w:val="006B4AC7"/>
    <w:rsid w:val="006B50A6"/>
    <w:rsid w:val="006B6A38"/>
    <w:rsid w:val="006C01A6"/>
    <w:rsid w:val="006C0543"/>
    <w:rsid w:val="006C09B6"/>
    <w:rsid w:val="006C1695"/>
    <w:rsid w:val="006C1996"/>
    <w:rsid w:val="006C2076"/>
    <w:rsid w:val="006C35BD"/>
    <w:rsid w:val="006C3B1E"/>
    <w:rsid w:val="006C3DA3"/>
    <w:rsid w:val="006C4C1F"/>
    <w:rsid w:val="006C56C3"/>
    <w:rsid w:val="006C5CFA"/>
    <w:rsid w:val="006C5EB8"/>
    <w:rsid w:val="006C6474"/>
    <w:rsid w:val="006C66E7"/>
    <w:rsid w:val="006C6847"/>
    <w:rsid w:val="006C6C3C"/>
    <w:rsid w:val="006C729F"/>
    <w:rsid w:val="006C7499"/>
    <w:rsid w:val="006C7F77"/>
    <w:rsid w:val="006D15B0"/>
    <w:rsid w:val="006D191E"/>
    <w:rsid w:val="006D2981"/>
    <w:rsid w:val="006D4245"/>
    <w:rsid w:val="006D4C43"/>
    <w:rsid w:val="006D5185"/>
    <w:rsid w:val="006D530B"/>
    <w:rsid w:val="006D55A8"/>
    <w:rsid w:val="006D635C"/>
    <w:rsid w:val="006D6822"/>
    <w:rsid w:val="006D754B"/>
    <w:rsid w:val="006E00D0"/>
    <w:rsid w:val="006E021E"/>
    <w:rsid w:val="006E0430"/>
    <w:rsid w:val="006E04EF"/>
    <w:rsid w:val="006E0AB8"/>
    <w:rsid w:val="006E1163"/>
    <w:rsid w:val="006E180E"/>
    <w:rsid w:val="006E2B24"/>
    <w:rsid w:val="006E35DC"/>
    <w:rsid w:val="006E3A52"/>
    <w:rsid w:val="006E4120"/>
    <w:rsid w:val="006E4923"/>
    <w:rsid w:val="006E4968"/>
    <w:rsid w:val="006E4F2A"/>
    <w:rsid w:val="006E5079"/>
    <w:rsid w:val="006E59D3"/>
    <w:rsid w:val="006E5F4E"/>
    <w:rsid w:val="006E6802"/>
    <w:rsid w:val="006E6B80"/>
    <w:rsid w:val="006E73B0"/>
    <w:rsid w:val="006F1267"/>
    <w:rsid w:val="006F13F1"/>
    <w:rsid w:val="006F14B2"/>
    <w:rsid w:val="006F179B"/>
    <w:rsid w:val="006F28A2"/>
    <w:rsid w:val="006F2D72"/>
    <w:rsid w:val="006F39AE"/>
    <w:rsid w:val="006F3CFC"/>
    <w:rsid w:val="006F447E"/>
    <w:rsid w:val="006F4C99"/>
    <w:rsid w:val="006F4D90"/>
    <w:rsid w:val="006F4E24"/>
    <w:rsid w:val="006F59C8"/>
    <w:rsid w:val="006F5C22"/>
    <w:rsid w:val="006F6A1D"/>
    <w:rsid w:val="006F6A99"/>
    <w:rsid w:val="006F7814"/>
    <w:rsid w:val="006F7B9B"/>
    <w:rsid w:val="006F7DEC"/>
    <w:rsid w:val="006F7E4D"/>
    <w:rsid w:val="00700530"/>
    <w:rsid w:val="007008CF"/>
    <w:rsid w:val="00701347"/>
    <w:rsid w:val="0070191F"/>
    <w:rsid w:val="00701DC1"/>
    <w:rsid w:val="007021B0"/>
    <w:rsid w:val="00703511"/>
    <w:rsid w:val="007045BB"/>
    <w:rsid w:val="007048F8"/>
    <w:rsid w:val="00704BD8"/>
    <w:rsid w:val="00704C73"/>
    <w:rsid w:val="00704F82"/>
    <w:rsid w:val="007054CF"/>
    <w:rsid w:val="00705AA2"/>
    <w:rsid w:val="00705B6D"/>
    <w:rsid w:val="00705B90"/>
    <w:rsid w:val="0070681B"/>
    <w:rsid w:val="00706957"/>
    <w:rsid w:val="00706B0D"/>
    <w:rsid w:val="00706B27"/>
    <w:rsid w:val="00706FF7"/>
    <w:rsid w:val="0070710E"/>
    <w:rsid w:val="0070718C"/>
    <w:rsid w:val="007071BF"/>
    <w:rsid w:val="0070730B"/>
    <w:rsid w:val="007074D4"/>
    <w:rsid w:val="007079E7"/>
    <w:rsid w:val="00707CBE"/>
    <w:rsid w:val="00707D40"/>
    <w:rsid w:val="00710000"/>
    <w:rsid w:val="00711017"/>
    <w:rsid w:val="00711267"/>
    <w:rsid w:val="0071176F"/>
    <w:rsid w:val="00712AF9"/>
    <w:rsid w:val="00713C2A"/>
    <w:rsid w:val="00714762"/>
    <w:rsid w:val="007149F6"/>
    <w:rsid w:val="007151D3"/>
    <w:rsid w:val="007157C7"/>
    <w:rsid w:val="00715EDF"/>
    <w:rsid w:val="00716DC1"/>
    <w:rsid w:val="0071742C"/>
    <w:rsid w:val="0071780D"/>
    <w:rsid w:val="00717BCE"/>
    <w:rsid w:val="00720569"/>
    <w:rsid w:val="007212E9"/>
    <w:rsid w:val="0072153A"/>
    <w:rsid w:val="0072165E"/>
    <w:rsid w:val="0072167A"/>
    <w:rsid w:val="00721D1D"/>
    <w:rsid w:val="007225F7"/>
    <w:rsid w:val="00722C24"/>
    <w:rsid w:val="00722C61"/>
    <w:rsid w:val="00723080"/>
    <w:rsid w:val="007234A6"/>
    <w:rsid w:val="00723F38"/>
    <w:rsid w:val="0072417D"/>
    <w:rsid w:val="00724E39"/>
    <w:rsid w:val="00724F1F"/>
    <w:rsid w:val="00725274"/>
    <w:rsid w:val="0072595B"/>
    <w:rsid w:val="00725BD2"/>
    <w:rsid w:val="00725D6D"/>
    <w:rsid w:val="00726205"/>
    <w:rsid w:val="007263D7"/>
    <w:rsid w:val="00726482"/>
    <w:rsid w:val="00726961"/>
    <w:rsid w:val="00726B4C"/>
    <w:rsid w:val="00727119"/>
    <w:rsid w:val="007305D4"/>
    <w:rsid w:val="00730F18"/>
    <w:rsid w:val="0073107B"/>
    <w:rsid w:val="00731B59"/>
    <w:rsid w:val="00731B67"/>
    <w:rsid w:val="007323A1"/>
    <w:rsid w:val="00732588"/>
    <w:rsid w:val="00732699"/>
    <w:rsid w:val="007328A6"/>
    <w:rsid w:val="007331C6"/>
    <w:rsid w:val="0073351D"/>
    <w:rsid w:val="0073388D"/>
    <w:rsid w:val="00733CDA"/>
    <w:rsid w:val="00733DBA"/>
    <w:rsid w:val="00734BC5"/>
    <w:rsid w:val="00734D97"/>
    <w:rsid w:val="00735001"/>
    <w:rsid w:val="00735E0E"/>
    <w:rsid w:val="00735F5B"/>
    <w:rsid w:val="007361BB"/>
    <w:rsid w:val="00736EF8"/>
    <w:rsid w:val="00736F59"/>
    <w:rsid w:val="00737080"/>
    <w:rsid w:val="0073746D"/>
    <w:rsid w:val="00737E44"/>
    <w:rsid w:val="007402C1"/>
    <w:rsid w:val="0074040E"/>
    <w:rsid w:val="007405AD"/>
    <w:rsid w:val="007405F8"/>
    <w:rsid w:val="0074089E"/>
    <w:rsid w:val="007417D8"/>
    <w:rsid w:val="00741FBE"/>
    <w:rsid w:val="00742C44"/>
    <w:rsid w:val="00742C98"/>
    <w:rsid w:val="0074356B"/>
    <w:rsid w:val="00743988"/>
    <w:rsid w:val="00743B46"/>
    <w:rsid w:val="007442F4"/>
    <w:rsid w:val="007459D2"/>
    <w:rsid w:val="0074635B"/>
    <w:rsid w:val="0074645D"/>
    <w:rsid w:val="00746712"/>
    <w:rsid w:val="00746C68"/>
    <w:rsid w:val="00747754"/>
    <w:rsid w:val="00747D1F"/>
    <w:rsid w:val="007501EE"/>
    <w:rsid w:val="00750561"/>
    <w:rsid w:val="0075062D"/>
    <w:rsid w:val="00750C00"/>
    <w:rsid w:val="00750FB1"/>
    <w:rsid w:val="00751300"/>
    <w:rsid w:val="0075177D"/>
    <w:rsid w:val="007526E1"/>
    <w:rsid w:val="00752C8C"/>
    <w:rsid w:val="00752F94"/>
    <w:rsid w:val="00753143"/>
    <w:rsid w:val="00753802"/>
    <w:rsid w:val="007539ED"/>
    <w:rsid w:val="00753B04"/>
    <w:rsid w:val="00753CB0"/>
    <w:rsid w:val="00753CC8"/>
    <w:rsid w:val="0075511F"/>
    <w:rsid w:val="00755786"/>
    <w:rsid w:val="007558CC"/>
    <w:rsid w:val="00755B6F"/>
    <w:rsid w:val="007569A0"/>
    <w:rsid w:val="0075743E"/>
    <w:rsid w:val="00757571"/>
    <w:rsid w:val="00757846"/>
    <w:rsid w:val="0075787D"/>
    <w:rsid w:val="007578FE"/>
    <w:rsid w:val="00757C78"/>
    <w:rsid w:val="00757E21"/>
    <w:rsid w:val="00760131"/>
    <w:rsid w:val="007605B6"/>
    <w:rsid w:val="00760B06"/>
    <w:rsid w:val="00760CAB"/>
    <w:rsid w:val="00760EF8"/>
    <w:rsid w:val="00761507"/>
    <w:rsid w:val="00761863"/>
    <w:rsid w:val="0076197E"/>
    <w:rsid w:val="00761ACE"/>
    <w:rsid w:val="00761BA4"/>
    <w:rsid w:val="00764B4F"/>
    <w:rsid w:val="00764C0F"/>
    <w:rsid w:val="007653E0"/>
    <w:rsid w:val="00765559"/>
    <w:rsid w:val="007656D0"/>
    <w:rsid w:val="00765B58"/>
    <w:rsid w:val="00766744"/>
    <w:rsid w:val="0076711E"/>
    <w:rsid w:val="00770328"/>
    <w:rsid w:val="007715F1"/>
    <w:rsid w:val="00771FA9"/>
    <w:rsid w:val="007721AD"/>
    <w:rsid w:val="00772589"/>
    <w:rsid w:val="00772CD5"/>
    <w:rsid w:val="00772CFF"/>
    <w:rsid w:val="00773A8F"/>
    <w:rsid w:val="00773DFA"/>
    <w:rsid w:val="007745FE"/>
    <w:rsid w:val="00774A76"/>
    <w:rsid w:val="00774A8D"/>
    <w:rsid w:val="0077527F"/>
    <w:rsid w:val="00775721"/>
    <w:rsid w:val="0077593B"/>
    <w:rsid w:val="00775A45"/>
    <w:rsid w:val="00775B75"/>
    <w:rsid w:val="007766DA"/>
    <w:rsid w:val="00776CC3"/>
    <w:rsid w:val="00777174"/>
    <w:rsid w:val="007772CE"/>
    <w:rsid w:val="007778CD"/>
    <w:rsid w:val="00777E04"/>
    <w:rsid w:val="00780542"/>
    <w:rsid w:val="00780633"/>
    <w:rsid w:val="00780654"/>
    <w:rsid w:val="0078148C"/>
    <w:rsid w:val="00781ACA"/>
    <w:rsid w:val="00781C32"/>
    <w:rsid w:val="00782BF1"/>
    <w:rsid w:val="00783B9C"/>
    <w:rsid w:val="0078505B"/>
    <w:rsid w:val="0078590B"/>
    <w:rsid w:val="0078592C"/>
    <w:rsid w:val="00786767"/>
    <w:rsid w:val="00787034"/>
    <w:rsid w:val="0078740B"/>
    <w:rsid w:val="00787507"/>
    <w:rsid w:val="00787B47"/>
    <w:rsid w:val="00787EE9"/>
    <w:rsid w:val="00790393"/>
    <w:rsid w:val="00790C08"/>
    <w:rsid w:val="00791724"/>
    <w:rsid w:val="007919B4"/>
    <w:rsid w:val="00791BC8"/>
    <w:rsid w:val="00791CE4"/>
    <w:rsid w:val="00792268"/>
    <w:rsid w:val="007924A3"/>
    <w:rsid w:val="00792C7B"/>
    <w:rsid w:val="00793327"/>
    <w:rsid w:val="00793971"/>
    <w:rsid w:val="007939AA"/>
    <w:rsid w:val="007939CC"/>
    <w:rsid w:val="00793C72"/>
    <w:rsid w:val="00794013"/>
    <w:rsid w:val="00794A88"/>
    <w:rsid w:val="007958B4"/>
    <w:rsid w:val="00795A93"/>
    <w:rsid w:val="00795BED"/>
    <w:rsid w:val="00796ECC"/>
    <w:rsid w:val="00797013"/>
    <w:rsid w:val="007979E3"/>
    <w:rsid w:val="007A01AD"/>
    <w:rsid w:val="007A13AE"/>
    <w:rsid w:val="007A1685"/>
    <w:rsid w:val="007A184A"/>
    <w:rsid w:val="007A32DA"/>
    <w:rsid w:val="007A3D8A"/>
    <w:rsid w:val="007A559F"/>
    <w:rsid w:val="007A572D"/>
    <w:rsid w:val="007A6057"/>
    <w:rsid w:val="007A6213"/>
    <w:rsid w:val="007A667A"/>
    <w:rsid w:val="007A6E32"/>
    <w:rsid w:val="007A7135"/>
    <w:rsid w:val="007B0287"/>
    <w:rsid w:val="007B039D"/>
    <w:rsid w:val="007B08EA"/>
    <w:rsid w:val="007B0C3C"/>
    <w:rsid w:val="007B1E26"/>
    <w:rsid w:val="007B2450"/>
    <w:rsid w:val="007B3F3A"/>
    <w:rsid w:val="007B4853"/>
    <w:rsid w:val="007B499E"/>
    <w:rsid w:val="007B4D01"/>
    <w:rsid w:val="007B4E2C"/>
    <w:rsid w:val="007B52B7"/>
    <w:rsid w:val="007B5797"/>
    <w:rsid w:val="007B5D5A"/>
    <w:rsid w:val="007B609F"/>
    <w:rsid w:val="007B6905"/>
    <w:rsid w:val="007B6AE5"/>
    <w:rsid w:val="007B6F1E"/>
    <w:rsid w:val="007B7669"/>
    <w:rsid w:val="007B76DB"/>
    <w:rsid w:val="007B76ED"/>
    <w:rsid w:val="007C0F28"/>
    <w:rsid w:val="007C137C"/>
    <w:rsid w:val="007C2D07"/>
    <w:rsid w:val="007C38A6"/>
    <w:rsid w:val="007C3AD4"/>
    <w:rsid w:val="007C4D49"/>
    <w:rsid w:val="007C5153"/>
    <w:rsid w:val="007C59B6"/>
    <w:rsid w:val="007C70AC"/>
    <w:rsid w:val="007C7602"/>
    <w:rsid w:val="007C7E86"/>
    <w:rsid w:val="007D025C"/>
    <w:rsid w:val="007D0F10"/>
    <w:rsid w:val="007D1109"/>
    <w:rsid w:val="007D2292"/>
    <w:rsid w:val="007D22C9"/>
    <w:rsid w:val="007D370D"/>
    <w:rsid w:val="007D3BBA"/>
    <w:rsid w:val="007D47A6"/>
    <w:rsid w:val="007D55C9"/>
    <w:rsid w:val="007D620C"/>
    <w:rsid w:val="007D7216"/>
    <w:rsid w:val="007D7394"/>
    <w:rsid w:val="007D78B0"/>
    <w:rsid w:val="007D7FB3"/>
    <w:rsid w:val="007E0517"/>
    <w:rsid w:val="007E2108"/>
    <w:rsid w:val="007E230F"/>
    <w:rsid w:val="007E3504"/>
    <w:rsid w:val="007E377B"/>
    <w:rsid w:val="007E37AA"/>
    <w:rsid w:val="007E3B4A"/>
    <w:rsid w:val="007E3C59"/>
    <w:rsid w:val="007E3D0F"/>
    <w:rsid w:val="007E40ED"/>
    <w:rsid w:val="007E4212"/>
    <w:rsid w:val="007E4713"/>
    <w:rsid w:val="007E61A6"/>
    <w:rsid w:val="007E67BC"/>
    <w:rsid w:val="007E6EDE"/>
    <w:rsid w:val="007E70D1"/>
    <w:rsid w:val="007E7869"/>
    <w:rsid w:val="007E7B0C"/>
    <w:rsid w:val="007F086F"/>
    <w:rsid w:val="007F0B9A"/>
    <w:rsid w:val="007F1DD0"/>
    <w:rsid w:val="007F1E48"/>
    <w:rsid w:val="007F2CDE"/>
    <w:rsid w:val="007F3D24"/>
    <w:rsid w:val="007F40D7"/>
    <w:rsid w:val="007F4AF0"/>
    <w:rsid w:val="007F5336"/>
    <w:rsid w:val="007F57BD"/>
    <w:rsid w:val="007F5964"/>
    <w:rsid w:val="007F5969"/>
    <w:rsid w:val="007F64E1"/>
    <w:rsid w:val="007F652B"/>
    <w:rsid w:val="007F7ED3"/>
    <w:rsid w:val="0080168E"/>
    <w:rsid w:val="00801A45"/>
    <w:rsid w:val="00802E96"/>
    <w:rsid w:val="00802ED9"/>
    <w:rsid w:val="0080304F"/>
    <w:rsid w:val="00804132"/>
    <w:rsid w:val="00804747"/>
    <w:rsid w:val="00804937"/>
    <w:rsid w:val="00805326"/>
    <w:rsid w:val="00805930"/>
    <w:rsid w:val="00805E29"/>
    <w:rsid w:val="0080656E"/>
    <w:rsid w:val="0080658B"/>
    <w:rsid w:val="00806982"/>
    <w:rsid w:val="00806ADB"/>
    <w:rsid w:val="00807C77"/>
    <w:rsid w:val="00810178"/>
    <w:rsid w:val="00810513"/>
    <w:rsid w:val="00810613"/>
    <w:rsid w:val="00810916"/>
    <w:rsid w:val="00810C57"/>
    <w:rsid w:val="008114F1"/>
    <w:rsid w:val="0081155C"/>
    <w:rsid w:val="00811843"/>
    <w:rsid w:val="0081204C"/>
    <w:rsid w:val="00812835"/>
    <w:rsid w:val="00814570"/>
    <w:rsid w:val="00814A33"/>
    <w:rsid w:val="00814FDF"/>
    <w:rsid w:val="0081504A"/>
    <w:rsid w:val="00815B7C"/>
    <w:rsid w:val="00815C96"/>
    <w:rsid w:val="00816318"/>
    <w:rsid w:val="0081654D"/>
    <w:rsid w:val="00816688"/>
    <w:rsid w:val="00817041"/>
    <w:rsid w:val="0081711A"/>
    <w:rsid w:val="0081714C"/>
    <w:rsid w:val="00817AB3"/>
    <w:rsid w:val="00817B7F"/>
    <w:rsid w:val="008202AA"/>
    <w:rsid w:val="00820494"/>
    <w:rsid w:val="00820673"/>
    <w:rsid w:val="00820819"/>
    <w:rsid w:val="00820BC2"/>
    <w:rsid w:val="00820C4E"/>
    <w:rsid w:val="00821279"/>
    <w:rsid w:val="00822077"/>
    <w:rsid w:val="00822425"/>
    <w:rsid w:val="00822A66"/>
    <w:rsid w:val="00822E4D"/>
    <w:rsid w:val="00822EF8"/>
    <w:rsid w:val="008233C8"/>
    <w:rsid w:val="00824DDF"/>
    <w:rsid w:val="00825E72"/>
    <w:rsid w:val="008260E6"/>
    <w:rsid w:val="00826725"/>
    <w:rsid w:val="0082789B"/>
    <w:rsid w:val="00827BC7"/>
    <w:rsid w:val="00830297"/>
    <w:rsid w:val="0083040E"/>
    <w:rsid w:val="00830764"/>
    <w:rsid w:val="00830BFB"/>
    <w:rsid w:val="00830E97"/>
    <w:rsid w:val="008319F8"/>
    <w:rsid w:val="00831CD5"/>
    <w:rsid w:val="00832222"/>
    <w:rsid w:val="008323FD"/>
    <w:rsid w:val="00832B66"/>
    <w:rsid w:val="008335BE"/>
    <w:rsid w:val="00833E45"/>
    <w:rsid w:val="00834169"/>
    <w:rsid w:val="00835DF5"/>
    <w:rsid w:val="00835F9F"/>
    <w:rsid w:val="008362A3"/>
    <w:rsid w:val="008362D8"/>
    <w:rsid w:val="008362E8"/>
    <w:rsid w:val="008377E0"/>
    <w:rsid w:val="0084011E"/>
    <w:rsid w:val="008404CB"/>
    <w:rsid w:val="00840746"/>
    <w:rsid w:val="00840772"/>
    <w:rsid w:val="008412AE"/>
    <w:rsid w:val="00841C98"/>
    <w:rsid w:val="008420A1"/>
    <w:rsid w:val="00842900"/>
    <w:rsid w:val="00843222"/>
    <w:rsid w:val="00845007"/>
    <w:rsid w:val="00845304"/>
    <w:rsid w:val="00845575"/>
    <w:rsid w:val="008456AE"/>
    <w:rsid w:val="00845AF0"/>
    <w:rsid w:val="00845D39"/>
    <w:rsid w:val="00845F45"/>
    <w:rsid w:val="008460DB"/>
    <w:rsid w:val="008463F0"/>
    <w:rsid w:val="00846423"/>
    <w:rsid w:val="00846AC8"/>
    <w:rsid w:val="00846F1F"/>
    <w:rsid w:val="00846F23"/>
    <w:rsid w:val="00850BB6"/>
    <w:rsid w:val="008517C1"/>
    <w:rsid w:val="0085188F"/>
    <w:rsid w:val="00853B06"/>
    <w:rsid w:val="00853E88"/>
    <w:rsid w:val="00853F3C"/>
    <w:rsid w:val="00854418"/>
    <w:rsid w:val="00854745"/>
    <w:rsid w:val="00854D52"/>
    <w:rsid w:val="008554ED"/>
    <w:rsid w:val="00855CAD"/>
    <w:rsid w:val="008564AE"/>
    <w:rsid w:val="008571B4"/>
    <w:rsid w:val="00857779"/>
    <w:rsid w:val="00860AA8"/>
    <w:rsid w:val="00862378"/>
    <w:rsid w:val="00862901"/>
    <w:rsid w:val="00862CB4"/>
    <w:rsid w:val="00862DC7"/>
    <w:rsid w:val="00863FE6"/>
    <w:rsid w:val="00864430"/>
    <w:rsid w:val="00864B82"/>
    <w:rsid w:val="00864B89"/>
    <w:rsid w:val="00865555"/>
    <w:rsid w:val="00865B9E"/>
    <w:rsid w:val="00867069"/>
    <w:rsid w:val="00867772"/>
    <w:rsid w:val="00867A96"/>
    <w:rsid w:val="00867B7C"/>
    <w:rsid w:val="00870340"/>
    <w:rsid w:val="00870363"/>
    <w:rsid w:val="00870E32"/>
    <w:rsid w:val="0087169B"/>
    <w:rsid w:val="008729F5"/>
    <w:rsid w:val="00872E3F"/>
    <w:rsid w:val="00873668"/>
    <w:rsid w:val="0087380D"/>
    <w:rsid w:val="008742F5"/>
    <w:rsid w:val="00874718"/>
    <w:rsid w:val="00875906"/>
    <w:rsid w:val="0087598A"/>
    <w:rsid w:val="00875FB6"/>
    <w:rsid w:val="00876B75"/>
    <w:rsid w:val="0087798E"/>
    <w:rsid w:val="00880293"/>
    <w:rsid w:val="00880328"/>
    <w:rsid w:val="00880698"/>
    <w:rsid w:val="00881215"/>
    <w:rsid w:val="0088154B"/>
    <w:rsid w:val="00881766"/>
    <w:rsid w:val="00881C19"/>
    <w:rsid w:val="0088216D"/>
    <w:rsid w:val="008821EC"/>
    <w:rsid w:val="00882844"/>
    <w:rsid w:val="008828BF"/>
    <w:rsid w:val="00883017"/>
    <w:rsid w:val="00883844"/>
    <w:rsid w:val="00885B30"/>
    <w:rsid w:val="00886767"/>
    <w:rsid w:val="0088684A"/>
    <w:rsid w:val="00886915"/>
    <w:rsid w:val="008871C9"/>
    <w:rsid w:val="00887919"/>
    <w:rsid w:val="00887E6C"/>
    <w:rsid w:val="00887FA4"/>
    <w:rsid w:val="00890A2A"/>
    <w:rsid w:val="008916D5"/>
    <w:rsid w:val="00891B70"/>
    <w:rsid w:val="00891C7E"/>
    <w:rsid w:val="008923BB"/>
    <w:rsid w:val="00892494"/>
    <w:rsid w:val="00892624"/>
    <w:rsid w:val="00892C4F"/>
    <w:rsid w:val="0089356C"/>
    <w:rsid w:val="00893B0C"/>
    <w:rsid w:val="0089541C"/>
    <w:rsid w:val="00895900"/>
    <w:rsid w:val="0089616C"/>
    <w:rsid w:val="00896BC3"/>
    <w:rsid w:val="00896C3E"/>
    <w:rsid w:val="008971F0"/>
    <w:rsid w:val="00897319"/>
    <w:rsid w:val="00897F51"/>
    <w:rsid w:val="00897FBA"/>
    <w:rsid w:val="008A0593"/>
    <w:rsid w:val="008A0A9E"/>
    <w:rsid w:val="008A0DBF"/>
    <w:rsid w:val="008A21D4"/>
    <w:rsid w:val="008A327A"/>
    <w:rsid w:val="008A3C73"/>
    <w:rsid w:val="008A3FF0"/>
    <w:rsid w:val="008A4C70"/>
    <w:rsid w:val="008A5867"/>
    <w:rsid w:val="008A615F"/>
    <w:rsid w:val="008A61BA"/>
    <w:rsid w:val="008A64EC"/>
    <w:rsid w:val="008A6811"/>
    <w:rsid w:val="008A6D36"/>
    <w:rsid w:val="008B090C"/>
    <w:rsid w:val="008B095F"/>
    <w:rsid w:val="008B1E28"/>
    <w:rsid w:val="008B29DE"/>
    <w:rsid w:val="008B4416"/>
    <w:rsid w:val="008B4D2B"/>
    <w:rsid w:val="008B530B"/>
    <w:rsid w:val="008B5539"/>
    <w:rsid w:val="008B76A8"/>
    <w:rsid w:val="008B79E3"/>
    <w:rsid w:val="008B7D6E"/>
    <w:rsid w:val="008B7E6B"/>
    <w:rsid w:val="008C0B7D"/>
    <w:rsid w:val="008C1B03"/>
    <w:rsid w:val="008C1C4B"/>
    <w:rsid w:val="008C1DF0"/>
    <w:rsid w:val="008C349D"/>
    <w:rsid w:val="008C3953"/>
    <w:rsid w:val="008C3AC9"/>
    <w:rsid w:val="008C3AF1"/>
    <w:rsid w:val="008C3B17"/>
    <w:rsid w:val="008C57E1"/>
    <w:rsid w:val="008C5ED5"/>
    <w:rsid w:val="008C5FEF"/>
    <w:rsid w:val="008C6D76"/>
    <w:rsid w:val="008C739D"/>
    <w:rsid w:val="008C76AC"/>
    <w:rsid w:val="008D10BC"/>
    <w:rsid w:val="008D1641"/>
    <w:rsid w:val="008D1920"/>
    <w:rsid w:val="008D2081"/>
    <w:rsid w:val="008D2BFE"/>
    <w:rsid w:val="008D2E48"/>
    <w:rsid w:val="008D41FF"/>
    <w:rsid w:val="008D4C32"/>
    <w:rsid w:val="008D500E"/>
    <w:rsid w:val="008D55C8"/>
    <w:rsid w:val="008D5603"/>
    <w:rsid w:val="008D57D3"/>
    <w:rsid w:val="008D5A06"/>
    <w:rsid w:val="008D6D81"/>
    <w:rsid w:val="008E12F2"/>
    <w:rsid w:val="008E19AE"/>
    <w:rsid w:val="008E21FC"/>
    <w:rsid w:val="008E25F6"/>
    <w:rsid w:val="008E28DC"/>
    <w:rsid w:val="008E30E8"/>
    <w:rsid w:val="008E33C2"/>
    <w:rsid w:val="008E3764"/>
    <w:rsid w:val="008E4D58"/>
    <w:rsid w:val="008E5322"/>
    <w:rsid w:val="008E54AA"/>
    <w:rsid w:val="008E5858"/>
    <w:rsid w:val="008E6426"/>
    <w:rsid w:val="008E6A4D"/>
    <w:rsid w:val="008E6F6B"/>
    <w:rsid w:val="008E71C4"/>
    <w:rsid w:val="008E729B"/>
    <w:rsid w:val="008E7419"/>
    <w:rsid w:val="008E765C"/>
    <w:rsid w:val="008E7A8E"/>
    <w:rsid w:val="008F00CF"/>
    <w:rsid w:val="008F0D15"/>
    <w:rsid w:val="008F1975"/>
    <w:rsid w:val="008F24DA"/>
    <w:rsid w:val="008F38AD"/>
    <w:rsid w:val="008F4B5D"/>
    <w:rsid w:val="008F585A"/>
    <w:rsid w:val="008F5B3A"/>
    <w:rsid w:val="008F664C"/>
    <w:rsid w:val="008F6DE9"/>
    <w:rsid w:val="008F70D6"/>
    <w:rsid w:val="008F7504"/>
    <w:rsid w:val="008F7511"/>
    <w:rsid w:val="008F7DFF"/>
    <w:rsid w:val="008F7E11"/>
    <w:rsid w:val="0090032E"/>
    <w:rsid w:val="009005DA"/>
    <w:rsid w:val="00900B48"/>
    <w:rsid w:val="00900F47"/>
    <w:rsid w:val="0090113B"/>
    <w:rsid w:val="00901658"/>
    <w:rsid w:val="00902070"/>
    <w:rsid w:val="00902EF2"/>
    <w:rsid w:val="00904516"/>
    <w:rsid w:val="00905956"/>
    <w:rsid w:val="00905C3E"/>
    <w:rsid w:val="00905CA5"/>
    <w:rsid w:val="00906350"/>
    <w:rsid w:val="0090697D"/>
    <w:rsid w:val="00906EF5"/>
    <w:rsid w:val="00906FE4"/>
    <w:rsid w:val="00907253"/>
    <w:rsid w:val="00907FBE"/>
    <w:rsid w:val="009100A0"/>
    <w:rsid w:val="00910383"/>
    <w:rsid w:val="00910585"/>
    <w:rsid w:val="00910CA0"/>
    <w:rsid w:val="00911AC8"/>
    <w:rsid w:val="00912112"/>
    <w:rsid w:val="00912774"/>
    <w:rsid w:val="00913025"/>
    <w:rsid w:val="009145F8"/>
    <w:rsid w:val="00914B56"/>
    <w:rsid w:val="0091585A"/>
    <w:rsid w:val="00915B50"/>
    <w:rsid w:val="00916C75"/>
    <w:rsid w:val="00916D0D"/>
    <w:rsid w:val="00916DB9"/>
    <w:rsid w:val="00920D66"/>
    <w:rsid w:val="00921AE6"/>
    <w:rsid w:val="00921E58"/>
    <w:rsid w:val="00922130"/>
    <w:rsid w:val="00922AE0"/>
    <w:rsid w:val="00922CA1"/>
    <w:rsid w:val="00923B53"/>
    <w:rsid w:val="00924226"/>
    <w:rsid w:val="00924DCB"/>
    <w:rsid w:val="009264D4"/>
    <w:rsid w:val="00926577"/>
    <w:rsid w:val="00926911"/>
    <w:rsid w:val="009302DA"/>
    <w:rsid w:val="00930C0A"/>
    <w:rsid w:val="00930C91"/>
    <w:rsid w:val="009334F9"/>
    <w:rsid w:val="00933AAC"/>
    <w:rsid w:val="00933B5E"/>
    <w:rsid w:val="00933CA2"/>
    <w:rsid w:val="00933EF5"/>
    <w:rsid w:val="00933FE9"/>
    <w:rsid w:val="009354EA"/>
    <w:rsid w:val="00935BB3"/>
    <w:rsid w:val="00936AFE"/>
    <w:rsid w:val="0093701B"/>
    <w:rsid w:val="00937742"/>
    <w:rsid w:val="00937938"/>
    <w:rsid w:val="00937B33"/>
    <w:rsid w:val="00937FB8"/>
    <w:rsid w:val="00940076"/>
    <w:rsid w:val="0094068B"/>
    <w:rsid w:val="00940C90"/>
    <w:rsid w:val="0094193E"/>
    <w:rsid w:val="0094294D"/>
    <w:rsid w:val="009431B8"/>
    <w:rsid w:val="009432A6"/>
    <w:rsid w:val="00943482"/>
    <w:rsid w:val="009436D0"/>
    <w:rsid w:val="0094420E"/>
    <w:rsid w:val="00944403"/>
    <w:rsid w:val="009449D8"/>
    <w:rsid w:val="009449E6"/>
    <w:rsid w:val="009458AF"/>
    <w:rsid w:val="0094667B"/>
    <w:rsid w:val="00946AB0"/>
    <w:rsid w:val="00946C0B"/>
    <w:rsid w:val="00946C4D"/>
    <w:rsid w:val="00947D4D"/>
    <w:rsid w:val="00947F51"/>
    <w:rsid w:val="00950B56"/>
    <w:rsid w:val="00950D6E"/>
    <w:rsid w:val="00951AD1"/>
    <w:rsid w:val="00951C95"/>
    <w:rsid w:val="00951E60"/>
    <w:rsid w:val="00952223"/>
    <w:rsid w:val="00952522"/>
    <w:rsid w:val="00952A5D"/>
    <w:rsid w:val="00952CC6"/>
    <w:rsid w:val="00953FC0"/>
    <w:rsid w:val="009542A4"/>
    <w:rsid w:val="00954361"/>
    <w:rsid w:val="00954B2B"/>
    <w:rsid w:val="00956167"/>
    <w:rsid w:val="009563A7"/>
    <w:rsid w:val="00956F67"/>
    <w:rsid w:val="0095703A"/>
    <w:rsid w:val="00957579"/>
    <w:rsid w:val="009607AD"/>
    <w:rsid w:val="00960BB6"/>
    <w:rsid w:val="009617CB"/>
    <w:rsid w:val="00961C0B"/>
    <w:rsid w:val="00962332"/>
    <w:rsid w:val="00962544"/>
    <w:rsid w:val="00962797"/>
    <w:rsid w:val="00963296"/>
    <w:rsid w:val="009634EF"/>
    <w:rsid w:val="009635D8"/>
    <w:rsid w:val="00963D0A"/>
    <w:rsid w:val="00965040"/>
    <w:rsid w:val="0096507D"/>
    <w:rsid w:val="009655C2"/>
    <w:rsid w:val="00965EB6"/>
    <w:rsid w:val="0096634E"/>
    <w:rsid w:val="009664D0"/>
    <w:rsid w:val="00966C44"/>
    <w:rsid w:val="00966C59"/>
    <w:rsid w:val="00967A55"/>
    <w:rsid w:val="00970B82"/>
    <w:rsid w:val="0097117D"/>
    <w:rsid w:val="00971183"/>
    <w:rsid w:val="00972F57"/>
    <w:rsid w:val="00973B6F"/>
    <w:rsid w:val="00973C28"/>
    <w:rsid w:val="00973EFD"/>
    <w:rsid w:val="0097524F"/>
    <w:rsid w:val="0097530A"/>
    <w:rsid w:val="00975388"/>
    <w:rsid w:val="00975935"/>
    <w:rsid w:val="00975B36"/>
    <w:rsid w:val="00975C78"/>
    <w:rsid w:val="00976AF1"/>
    <w:rsid w:val="00977DB2"/>
    <w:rsid w:val="00980E7F"/>
    <w:rsid w:val="0098119C"/>
    <w:rsid w:val="009813E1"/>
    <w:rsid w:val="0098169F"/>
    <w:rsid w:val="0098285F"/>
    <w:rsid w:val="00982D15"/>
    <w:rsid w:val="0098313D"/>
    <w:rsid w:val="009838E5"/>
    <w:rsid w:val="009839BC"/>
    <w:rsid w:val="009844A0"/>
    <w:rsid w:val="009844F2"/>
    <w:rsid w:val="009846B2"/>
    <w:rsid w:val="009853E1"/>
    <w:rsid w:val="00985553"/>
    <w:rsid w:val="00985565"/>
    <w:rsid w:val="00985A53"/>
    <w:rsid w:val="009865B1"/>
    <w:rsid w:val="0098673C"/>
    <w:rsid w:val="00986790"/>
    <w:rsid w:val="00986D1A"/>
    <w:rsid w:val="00986EBC"/>
    <w:rsid w:val="009901F8"/>
    <w:rsid w:val="00990644"/>
    <w:rsid w:val="00990A72"/>
    <w:rsid w:val="00991E3D"/>
    <w:rsid w:val="0099208A"/>
    <w:rsid w:val="00992336"/>
    <w:rsid w:val="00992B14"/>
    <w:rsid w:val="00992C87"/>
    <w:rsid w:val="00992E0D"/>
    <w:rsid w:val="0099392E"/>
    <w:rsid w:val="00993EC1"/>
    <w:rsid w:val="00994473"/>
    <w:rsid w:val="00994C86"/>
    <w:rsid w:val="009950AC"/>
    <w:rsid w:val="00995FA2"/>
    <w:rsid w:val="0099634D"/>
    <w:rsid w:val="0099663F"/>
    <w:rsid w:val="009970D5"/>
    <w:rsid w:val="00997429"/>
    <w:rsid w:val="0099759E"/>
    <w:rsid w:val="009A0CF8"/>
    <w:rsid w:val="009A11A8"/>
    <w:rsid w:val="009A1311"/>
    <w:rsid w:val="009A1541"/>
    <w:rsid w:val="009A1699"/>
    <w:rsid w:val="009A1B8D"/>
    <w:rsid w:val="009A21F5"/>
    <w:rsid w:val="009A2427"/>
    <w:rsid w:val="009A2A12"/>
    <w:rsid w:val="009A31CE"/>
    <w:rsid w:val="009A3532"/>
    <w:rsid w:val="009A3B33"/>
    <w:rsid w:val="009A3BFD"/>
    <w:rsid w:val="009A3E43"/>
    <w:rsid w:val="009A4722"/>
    <w:rsid w:val="009A4990"/>
    <w:rsid w:val="009A4B13"/>
    <w:rsid w:val="009A5686"/>
    <w:rsid w:val="009A6274"/>
    <w:rsid w:val="009A714F"/>
    <w:rsid w:val="009A7185"/>
    <w:rsid w:val="009A7CE1"/>
    <w:rsid w:val="009B010D"/>
    <w:rsid w:val="009B02C1"/>
    <w:rsid w:val="009B0FF8"/>
    <w:rsid w:val="009B204D"/>
    <w:rsid w:val="009B2D30"/>
    <w:rsid w:val="009B31C6"/>
    <w:rsid w:val="009B3845"/>
    <w:rsid w:val="009B3EF3"/>
    <w:rsid w:val="009B433E"/>
    <w:rsid w:val="009B4B3E"/>
    <w:rsid w:val="009B56C1"/>
    <w:rsid w:val="009B56D3"/>
    <w:rsid w:val="009B627B"/>
    <w:rsid w:val="009B6344"/>
    <w:rsid w:val="009B6F51"/>
    <w:rsid w:val="009B7045"/>
    <w:rsid w:val="009B7D54"/>
    <w:rsid w:val="009C0D67"/>
    <w:rsid w:val="009C2F29"/>
    <w:rsid w:val="009C31BF"/>
    <w:rsid w:val="009C344A"/>
    <w:rsid w:val="009C3634"/>
    <w:rsid w:val="009C3F5B"/>
    <w:rsid w:val="009C42EF"/>
    <w:rsid w:val="009C4C25"/>
    <w:rsid w:val="009C4E7E"/>
    <w:rsid w:val="009C5025"/>
    <w:rsid w:val="009C5178"/>
    <w:rsid w:val="009C5495"/>
    <w:rsid w:val="009C549E"/>
    <w:rsid w:val="009C5638"/>
    <w:rsid w:val="009C6987"/>
    <w:rsid w:val="009C6DFB"/>
    <w:rsid w:val="009C70C8"/>
    <w:rsid w:val="009C7C9A"/>
    <w:rsid w:val="009D05C4"/>
    <w:rsid w:val="009D0639"/>
    <w:rsid w:val="009D117D"/>
    <w:rsid w:val="009D147A"/>
    <w:rsid w:val="009D14A7"/>
    <w:rsid w:val="009D16C1"/>
    <w:rsid w:val="009D253D"/>
    <w:rsid w:val="009D2D3E"/>
    <w:rsid w:val="009D34DA"/>
    <w:rsid w:val="009D3579"/>
    <w:rsid w:val="009D3A68"/>
    <w:rsid w:val="009D4344"/>
    <w:rsid w:val="009D4689"/>
    <w:rsid w:val="009D47D5"/>
    <w:rsid w:val="009D4EDF"/>
    <w:rsid w:val="009D4F2B"/>
    <w:rsid w:val="009D571B"/>
    <w:rsid w:val="009D596B"/>
    <w:rsid w:val="009D5DBA"/>
    <w:rsid w:val="009D5E26"/>
    <w:rsid w:val="009D5E6E"/>
    <w:rsid w:val="009D623E"/>
    <w:rsid w:val="009E0BA3"/>
    <w:rsid w:val="009E17A4"/>
    <w:rsid w:val="009E1E7F"/>
    <w:rsid w:val="009E1FBE"/>
    <w:rsid w:val="009E20B3"/>
    <w:rsid w:val="009E254C"/>
    <w:rsid w:val="009E2645"/>
    <w:rsid w:val="009E3203"/>
    <w:rsid w:val="009E3207"/>
    <w:rsid w:val="009E3A4A"/>
    <w:rsid w:val="009E4843"/>
    <w:rsid w:val="009E4FA5"/>
    <w:rsid w:val="009E528F"/>
    <w:rsid w:val="009E5987"/>
    <w:rsid w:val="009E5ACD"/>
    <w:rsid w:val="009E5E67"/>
    <w:rsid w:val="009E7D67"/>
    <w:rsid w:val="009F0688"/>
    <w:rsid w:val="009F0AC8"/>
    <w:rsid w:val="009F114F"/>
    <w:rsid w:val="009F120C"/>
    <w:rsid w:val="009F1BAF"/>
    <w:rsid w:val="009F209A"/>
    <w:rsid w:val="009F22BA"/>
    <w:rsid w:val="009F263A"/>
    <w:rsid w:val="009F26FF"/>
    <w:rsid w:val="009F37F7"/>
    <w:rsid w:val="009F3CED"/>
    <w:rsid w:val="009F3DB7"/>
    <w:rsid w:val="009F4063"/>
    <w:rsid w:val="009F40BE"/>
    <w:rsid w:val="009F4A16"/>
    <w:rsid w:val="009F4CCE"/>
    <w:rsid w:val="009F6210"/>
    <w:rsid w:val="009F6336"/>
    <w:rsid w:val="009F6A50"/>
    <w:rsid w:val="009F6C28"/>
    <w:rsid w:val="00A00402"/>
    <w:rsid w:val="00A013B8"/>
    <w:rsid w:val="00A01612"/>
    <w:rsid w:val="00A02181"/>
    <w:rsid w:val="00A031D7"/>
    <w:rsid w:val="00A05248"/>
    <w:rsid w:val="00A0765F"/>
    <w:rsid w:val="00A07A35"/>
    <w:rsid w:val="00A07BDE"/>
    <w:rsid w:val="00A10148"/>
    <w:rsid w:val="00A10429"/>
    <w:rsid w:val="00A10684"/>
    <w:rsid w:val="00A10F69"/>
    <w:rsid w:val="00A11DA0"/>
    <w:rsid w:val="00A12B2B"/>
    <w:rsid w:val="00A1336A"/>
    <w:rsid w:val="00A13795"/>
    <w:rsid w:val="00A13AA6"/>
    <w:rsid w:val="00A13BA6"/>
    <w:rsid w:val="00A15C61"/>
    <w:rsid w:val="00A16305"/>
    <w:rsid w:val="00A165BF"/>
    <w:rsid w:val="00A1685F"/>
    <w:rsid w:val="00A16D7D"/>
    <w:rsid w:val="00A17AC6"/>
    <w:rsid w:val="00A202E5"/>
    <w:rsid w:val="00A205FD"/>
    <w:rsid w:val="00A208E9"/>
    <w:rsid w:val="00A20C57"/>
    <w:rsid w:val="00A20D0C"/>
    <w:rsid w:val="00A21897"/>
    <w:rsid w:val="00A21D3F"/>
    <w:rsid w:val="00A22344"/>
    <w:rsid w:val="00A22D04"/>
    <w:rsid w:val="00A22F7A"/>
    <w:rsid w:val="00A2347D"/>
    <w:rsid w:val="00A23832"/>
    <w:rsid w:val="00A24BA4"/>
    <w:rsid w:val="00A2588D"/>
    <w:rsid w:val="00A25BC4"/>
    <w:rsid w:val="00A25BFA"/>
    <w:rsid w:val="00A26E52"/>
    <w:rsid w:val="00A2710B"/>
    <w:rsid w:val="00A27B3C"/>
    <w:rsid w:val="00A27DDE"/>
    <w:rsid w:val="00A27FA2"/>
    <w:rsid w:val="00A317B3"/>
    <w:rsid w:val="00A32B8D"/>
    <w:rsid w:val="00A32C91"/>
    <w:rsid w:val="00A32D65"/>
    <w:rsid w:val="00A3345B"/>
    <w:rsid w:val="00A33A0E"/>
    <w:rsid w:val="00A343AC"/>
    <w:rsid w:val="00A349B8"/>
    <w:rsid w:val="00A34ABF"/>
    <w:rsid w:val="00A3512F"/>
    <w:rsid w:val="00A359A7"/>
    <w:rsid w:val="00A361DB"/>
    <w:rsid w:val="00A367BD"/>
    <w:rsid w:val="00A37A0D"/>
    <w:rsid w:val="00A408DB"/>
    <w:rsid w:val="00A41B86"/>
    <w:rsid w:val="00A42042"/>
    <w:rsid w:val="00A42332"/>
    <w:rsid w:val="00A426A6"/>
    <w:rsid w:val="00A42829"/>
    <w:rsid w:val="00A42EFD"/>
    <w:rsid w:val="00A45663"/>
    <w:rsid w:val="00A45795"/>
    <w:rsid w:val="00A45ED7"/>
    <w:rsid w:val="00A466A5"/>
    <w:rsid w:val="00A46818"/>
    <w:rsid w:val="00A470B8"/>
    <w:rsid w:val="00A50999"/>
    <w:rsid w:val="00A50BD9"/>
    <w:rsid w:val="00A5112B"/>
    <w:rsid w:val="00A51224"/>
    <w:rsid w:val="00A524B3"/>
    <w:rsid w:val="00A52F9B"/>
    <w:rsid w:val="00A53055"/>
    <w:rsid w:val="00A54C90"/>
    <w:rsid w:val="00A55468"/>
    <w:rsid w:val="00A556B6"/>
    <w:rsid w:val="00A556E0"/>
    <w:rsid w:val="00A55831"/>
    <w:rsid w:val="00A55EE1"/>
    <w:rsid w:val="00A5641D"/>
    <w:rsid w:val="00A57BA0"/>
    <w:rsid w:val="00A60944"/>
    <w:rsid w:val="00A618E7"/>
    <w:rsid w:val="00A61A04"/>
    <w:rsid w:val="00A61A50"/>
    <w:rsid w:val="00A61E3E"/>
    <w:rsid w:val="00A621DF"/>
    <w:rsid w:val="00A628E9"/>
    <w:rsid w:val="00A62BF4"/>
    <w:rsid w:val="00A63420"/>
    <w:rsid w:val="00A634C7"/>
    <w:rsid w:val="00A637E9"/>
    <w:rsid w:val="00A63D84"/>
    <w:rsid w:val="00A6472A"/>
    <w:rsid w:val="00A64A4E"/>
    <w:rsid w:val="00A66140"/>
    <w:rsid w:val="00A67D9C"/>
    <w:rsid w:val="00A703F9"/>
    <w:rsid w:val="00A70C76"/>
    <w:rsid w:val="00A72EC3"/>
    <w:rsid w:val="00A7387A"/>
    <w:rsid w:val="00A754F7"/>
    <w:rsid w:val="00A765FC"/>
    <w:rsid w:val="00A772F7"/>
    <w:rsid w:val="00A777D5"/>
    <w:rsid w:val="00A809F9"/>
    <w:rsid w:val="00A815F6"/>
    <w:rsid w:val="00A822AF"/>
    <w:rsid w:val="00A8284D"/>
    <w:rsid w:val="00A82BC3"/>
    <w:rsid w:val="00A82EF8"/>
    <w:rsid w:val="00A82F92"/>
    <w:rsid w:val="00A84238"/>
    <w:rsid w:val="00A84B83"/>
    <w:rsid w:val="00A84F3F"/>
    <w:rsid w:val="00A8586B"/>
    <w:rsid w:val="00A86656"/>
    <w:rsid w:val="00A86927"/>
    <w:rsid w:val="00A86A0C"/>
    <w:rsid w:val="00A86F5A"/>
    <w:rsid w:val="00A87FBB"/>
    <w:rsid w:val="00A90054"/>
    <w:rsid w:val="00A900A5"/>
    <w:rsid w:val="00A9039C"/>
    <w:rsid w:val="00A906F0"/>
    <w:rsid w:val="00A907D9"/>
    <w:rsid w:val="00A908DC"/>
    <w:rsid w:val="00A91DC3"/>
    <w:rsid w:val="00A92219"/>
    <w:rsid w:val="00A92874"/>
    <w:rsid w:val="00A92A87"/>
    <w:rsid w:val="00A92B8A"/>
    <w:rsid w:val="00A92BD0"/>
    <w:rsid w:val="00A92F41"/>
    <w:rsid w:val="00A930D6"/>
    <w:rsid w:val="00A93278"/>
    <w:rsid w:val="00A939A3"/>
    <w:rsid w:val="00A94B9A"/>
    <w:rsid w:val="00A94D5D"/>
    <w:rsid w:val="00A95C3E"/>
    <w:rsid w:val="00A95D61"/>
    <w:rsid w:val="00A9624D"/>
    <w:rsid w:val="00A9642D"/>
    <w:rsid w:val="00A9676C"/>
    <w:rsid w:val="00A96FFD"/>
    <w:rsid w:val="00A971E4"/>
    <w:rsid w:val="00A975AC"/>
    <w:rsid w:val="00AA033C"/>
    <w:rsid w:val="00AA06F9"/>
    <w:rsid w:val="00AA0977"/>
    <w:rsid w:val="00AA1C3E"/>
    <w:rsid w:val="00AA2076"/>
    <w:rsid w:val="00AA31CB"/>
    <w:rsid w:val="00AA4D3B"/>
    <w:rsid w:val="00AA5331"/>
    <w:rsid w:val="00AA5496"/>
    <w:rsid w:val="00AA5594"/>
    <w:rsid w:val="00AA5651"/>
    <w:rsid w:val="00AA5871"/>
    <w:rsid w:val="00AA62F8"/>
    <w:rsid w:val="00AA7039"/>
    <w:rsid w:val="00AA72C4"/>
    <w:rsid w:val="00AA75D5"/>
    <w:rsid w:val="00AB03A4"/>
    <w:rsid w:val="00AB14F7"/>
    <w:rsid w:val="00AB1507"/>
    <w:rsid w:val="00AB1B4B"/>
    <w:rsid w:val="00AB1B63"/>
    <w:rsid w:val="00AB1FFD"/>
    <w:rsid w:val="00AB2340"/>
    <w:rsid w:val="00AB249E"/>
    <w:rsid w:val="00AB24B3"/>
    <w:rsid w:val="00AB3A79"/>
    <w:rsid w:val="00AB4167"/>
    <w:rsid w:val="00AB4292"/>
    <w:rsid w:val="00AB43D9"/>
    <w:rsid w:val="00AB57B8"/>
    <w:rsid w:val="00AB5C82"/>
    <w:rsid w:val="00AB64C9"/>
    <w:rsid w:val="00AB70F9"/>
    <w:rsid w:val="00AB7EBA"/>
    <w:rsid w:val="00AC0158"/>
    <w:rsid w:val="00AC041C"/>
    <w:rsid w:val="00AC051F"/>
    <w:rsid w:val="00AC09BA"/>
    <w:rsid w:val="00AC152F"/>
    <w:rsid w:val="00AC1C15"/>
    <w:rsid w:val="00AC36AB"/>
    <w:rsid w:val="00AC3CAA"/>
    <w:rsid w:val="00AC467F"/>
    <w:rsid w:val="00AC4734"/>
    <w:rsid w:val="00AC47B5"/>
    <w:rsid w:val="00AC48ED"/>
    <w:rsid w:val="00AC5746"/>
    <w:rsid w:val="00AC6104"/>
    <w:rsid w:val="00AC66EB"/>
    <w:rsid w:val="00AC781A"/>
    <w:rsid w:val="00AC7E3A"/>
    <w:rsid w:val="00AD0746"/>
    <w:rsid w:val="00AD1080"/>
    <w:rsid w:val="00AD12EE"/>
    <w:rsid w:val="00AD1511"/>
    <w:rsid w:val="00AD1675"/>
    <w:rsid w:val="00AD168E"/>
    <w:rsid w:val="00AD27B9"/>
    <w:rsid w:val="00AD322C"/>
    <w:rsid w:val="00AD470E"/>
    <w:rsid w:val="00AD6590"/>
    <w:rsid w:val="00AD6796"/>
    <w:rsid w:val="00AD6C22"/>
    <w:rsid w:val="00AD6D65"/>
    <w:rsid w:val="00AD6FC1"/>
    <w:rsid w:val="00AD70E7"/>
    <w:rsid w:val="00AD7359"/>
    <w:rsid w:val="00AD7A1F"/>
    <w:rsid w:val="00AD7FB4"/>
    <w:rsid w:val="00AE00B1"/>
    <w:rsid w:val="00AE028C"/>
    <w:rsid w:val="00AE0794"/>
    <w:rsid w:val="00AE0F16"/>
    <w:rsid w:val="00AE2054"/>
    <w:rsid w:val="00AE252B"/>
    <w:rsid w:val="00AE2746"/>
    <w:rsid w:val="00AE28CE"/>
    <w:rsid w:val="00AE2908"/>
    <w:rsid w:val="00AE2C16"/>
    <w:rsid w:val="00AE2ECF"/>
    <w:rsid w:val="00AE3A94"/>
    <w:rsid w:val="00AE5256"/>
    <w:rsid w:val="00AE5D60"/>
    <w:rsid w:val="00AE6D1A"/>
    <w:rsid w:val="00AE7254"/>
    <w:rsid w:val="00AF00CD"/>
    <w:rsid w:val="00AF04EA"/>
    <w:rsid w:val="00AF0F4C"/>
    <w:rsid w:val="00AF1295"/>
    <w:rsid w:val="00AF15CE"/>
    <w:rsid w:val="00AF198E"/>
    <w:rsid w:val="00AF2714"/>
    <w:rsid w:val="00AF280D"/>
    <w:rsid w:val="00AF28F2"/>
    <w:rsid w:val="00AF2996"/>
    <w:rsid w:val="00AF433A"/>
    <w:rsid w:val="00AF52F3"/>
    <w:rsid w:val="00AF53F8"/>
    <w:rsid w:val="00AF5A34"/>
    <w:rsid w:val="00AF6089"/>
    <w:rsid w:val="00AF65AB"/>
    <w:rsid w:val="00AF76C4"/>
    <w:rsid w:val="00AF7714"/>
    <w:rsid w:val="00AF77A4"/>
    <w:rsid w:val="00AF7F15"/>
    <w:rsid w:val="00B00AFE"/>
    <w:rsid w:val="00B01347"/>
    <w:rsid w:val="00B01F12"/>
    <w:rsid w:val="00B039F7"/>
    <w:rsid w:val="00B040EE"/>
    <w:rsid w:val="00B04660"/>
    <w:rsid w:val="00B0499A"/>
    <w:rsid w:val="00B04C0F"/>
    <w:rsid w:val="00B04F86"/>
    <w:rsid w:val="00B066B1"/>
    <w:rsid w:val="00B06C9E"/>
    <w:rsid w:val="00B06D7D"/>
    <w:rsid w:val="00B07789"/>
    <w:rsid w:val="00B07F98"/>
    <w:rsid w:val="00B104B7"/>
    <w:rsid w:val="00B1068A"/>
    <w:rsid w:val="00B111C0"/>
    <w:rsid w:val="00B121B5"/>
    <w:rsid w:val="00B122D0"/>
    <w:rsid w:val="00B12F3C"/>
    <w:rsid w:val="00B130EB"/>
    <w:rsid w:val="00B139B2"/>
    <w:rsid w:val="00B155AC"/>
    <w:rsid w:val="00B157A2"/>
    <w:rsid w:val="00B161D6"/>
    <w:rsid w:val="00B16214"/>
    <w:rsid w:val="00B16258"/>
    <w:rsid w:val="00B16D1B"/>
    <w:rsid w:val="00B17152"/>
    <w:rsid w:val="00B17E6A"/>
    <w:rsid w:val="00B207EE"/>
    <w:rsid w:val="00B21B79"/>
    <w:rsid w:val="00B21F6C"/>
    <w:rsid w:val="00B22759"/>
    <w:rsid w:val="00B234AD"/>
    <w:rsid w:val="00B235D9"/>
    <w:rsid w:val="00B2393D"/>
    <w:rsid w:val="00B254B3"/>
    <w:rsid w:val="00B25B08"/>
    <w:rsid w:val="00B25BC3"/>
    <w:rsid w:val="00B25EDF"/>
    <w:rsid w:val="00B26A03"/>
    <w:rsid w:val="00B27689"/>
    <w:rsid w:val="00B276EA"/>
    <w:rsid w:val="00B27934"/>
    <w:rsid w:val="00B27FB9"/>
    <w:rsid w:val="00B304B0"/>
    <w:rsid w:val="00B30B8C"/>
    <w:rsid w:val="00B31D48"/>
    <w:rsid w:val="00B325F0"/>
    <w:rsid w:val="00B32C1F"/>
    <w:rsid w:val="00B33508"/>
    <w:rsid w:val="00B33C36"/>
    <w:rsid w:val="00B35805"/>
    <w:rsid w:val="00B36E86"/>
    <w:rsid w:val="00B37ABC"/>
    <w:rsid w:val="00B40920"/>
    <w:rsid w:val="00B40FB7"/>
    <w:rsid w:val="00B42EEC"/>
    <w:rsid w:val="00B4344C"/>
    <w:rsid w:val="00B43A3E"/>
    <w:rsid w:val="00B44398"/>
    <w:rsid w:val="00B44C67"/>
    <w:rsid w:val="00B4516B"/>
    <w:rsid w:val="00B45391"/>
    <w:rsid w:val="00B45605"/>
    <w:rsid w:val="00B45CFE"/>
    <w:rsid w:val="00B4656B"/>
    <w:rsid w:val="00B47731"/>
    <w:rsid w:val="00B47A72"/>
    <w:rsid w:val="00B50678"/>
    <w:rsid w:val="00B5071E"/>
    <w:rsid w:val="00B50A51"/>
    <w:rsid w:val="00B50AC4"/>
    <w:rsid w:val="00B5140C"/>
    <w:rsid w:val="00B516E0"/>
    <w:rsid w:val="00B5176D"/>
    <w:rsid w:val="00B51A3A"/>
    <w:rsid w:val="00B51A4A"/>
    <w:rsid w:val="00B51ACB"/>
    <w:rsid w:val="00B525A3"/>
    <w:rsid w:val="00B526DE"/>
    <w:rsid w:val="00B52BAD"/>
    <w:rsid w:val="00B53E2C"/>
    <w:rsid w:val="00B547D7"/>
    <w:rsid w:val="00B54D43"/>
    <w:rsid w:val="00B555AF"/>
    <w:rsid w:val="00B55676"/>
    <w:rsid w:val="00B56BFE"/>
    <w:rsid w:val="00B5708F"/>
    <w:rsid w:val="00B601C4"/>
    <w:rsid w:val="00B60590"/>
    <w:rsid w:val="00B60C2D"/>
    <w:rsid w:val="00B60F13"/>
    <w:rsid w:val="00B61442"/>
    <w:rsid w:val="00B61CA2"/>
    <w:rsid w:val="00B61E4B"/>
    <w:rsid w:val="00B62A1A"/>
    <w:rsid w:val="00B62CEF"/>
    <w:rsid w:val="00B63184"/>
    <w:rsid w:val="00B6341E"/>
    <w:rsid w:val="00B63691"/>
    <w:rsid w:val="00B63D46"/>
    <w:rsid w:val="00B64747"/>
    <w:rsid w:val="00B64FE9"/>
    <w:rsid w:val="00B6512E"/>
    <w:rsid w:val="00B65A07"/>
    <w:rsid w:val="00B6643B"/>
    <w:rsid w:val="00B6763D"/>
    <w:rsid w:val="00B67932"/>
    <w:rsid w:val="00B67D05"/>
    <w:rsid w:val="00B67ED4"/>
    <w:rsid w:val="00B70592"/>
    <w:rsid w:val="00B705D6"/>
    <w:rsid w:val="00B709C3"/>
    <w:rsid w:val="00B71E4D"/>
    <w:rsid w:val="00B725D8"/>
    <w:rsid w:val="00B72800"/>
    <w:rsid w:val="00B73A64"/>
    <w:rsid w:val="00B74399"/>
    <w:rsid w:val="00B754F9"/>
    <w:rsid w:val="00B75592"/>
    <w:rsid w:val="00B769CC"/>
    <w:rsid w:val="00B76C9F"/>
    <w:rsid w:val="00B76F98"/>
    <w:rsid w:val="00B80510"/>
    <w:rsid w:val="00B80A66"/>
    <w:rsid w:val="00B80C43"/>
    <w:rsid w:val="00B81719"/>
    <w:rsid w:val="00B81B4C"/>
    <w:rsid w:val="00B82353"/>
    <w:rsid w:val="00B82788"/>
    <w:rsid w:val="00B833C0"/>
    <w:rsid w:val="00B839C5"/>
    <w:rsid w:val="00B83B08"/>
    <w:rsid w:val="00B83F90"/>
    <w:rsid w:val="00B86458"/>
    <w:rsid w:val="00B865EB"/>
    <w:rsid w:val="00B86B47"/>
    <w:rsid w:val="00B87F67"/>
    <w:rsid w:val="00B900DD"/>
    <w:rsid w:val="00B9013F"/>
    <w:rsid w:val="00B902A8"/>
    <w:rsid w:val="00B903F9"/>
    <w:rsid w:val="00B90616"/>
    <w:rsid w:val="00B929EA"/>
    <w:rsid w:val="00B92AED"/>
    <w:rsid w:val="00B93206"/>
    <w:rsid w:val="00B93AC9"/>
    <w:rsid w:val="00B93D07"/>
    <w:rsid w:val="00B93F7D"/>
    <w:rsid w:val="00B94D1F"/>
    <w:rsid w:val="00B95344"/>
    <w:rsid w:val="00B956BB"/>
    <w:rsid w:val="00B95BED"/>
    <w:rsid w:val="00B95DEF"/>
    <w:rsid w:val="00B962F5"/>
    <w:rsid w:val="00B96BEA"/>
    <w:rsid w:val="00B970F4"/>
    <w:rsid w:val="00B97571"/>
    <w:rsid w:val="00B978D6"/>
    <w:rsid w:val="00B97BF6"/>
    <w:rsid w:val="00BA0296"/>
    <w:rsid w:val="00BA0384"/>
    <w:rsid w:val="00BA04F2"/>
    <w:rsid w:val="00BA08DB"/>
    <w:rsid w:val="00BA08F5"/>
    <w:rsid w:val="00BA0D0F"/>
    <w:rsid w:val="00BA1395"/>
    <w:rsid w:val="00BA1980"/>
    <w:rsid w:val="00BA2494"/>
    <w:rsid w:val="00BA35CA"/>
    <w:rsid w:val="00BA39FA"/>
    <w:rsid w:val="00BA3E5A"/>
    <w:rsid w:val="00BA413A"/>
    <w:rsid w:val="00BA429D"/>
    <w:rsid w:val="00BA4A29"/>
    <w:rsid w:val="00BA4F8E"/>
    <w:rsid w:val="00BA524B"/>
    <w:rsid w:val="00BA5420"/>
    <w:rsid w:val="00BA5ACC"/>
    <w:rsid w:val="00BA5B50"/>
    <w:rsid w:val="00BA5B9C"/>
    <w:rsid w:val="00BA5E6D"/>
    <w:rsid w:val="00BA5F3B"/>
    <w:rsid w:val="00BA6CF9"/>
    <w:rsid w:val="00BA6D69"/>
    <w:rsid w:val="00BA76D1"/>
    <w:rsid w:val="00BA7A56"/>
    <w:rsid w:val="00BA7D8A"/>
    <w:rsid w:val="00BB013C"/>
    <w:rsid w:val="00BB0665"/>
    <w:rsid w:val="00BB111E"/>
    <w:rsid w:val="00BB1374"/>
    <w:rsid w:val="00BB1631"/>
    <w:rsid w:val="00BB27F6"/>
    <w:rsid w:val="00BB295C"/>
    <w:rsid w:val="00BB2B3C"/>
    <w:rsid w:val="00BB2BF6"/>
    <w:rsid w:val="00BB2F23"/>
    <w:rsid w:val="00BB3824"/>
    <w:rsid w:val="00BB397F"/>
    <w:rsid w:val="00BB3C75"/>
    <w:rsid w:val="00BB4405"/>
    <w:rsid w:val="00BB4AB6"/>
    <w:rsid w:val="00BB53D5"/>
    <w:rsid w:val="00BB549C"/>
    <w:rsid w:val="00BB57EB"/>
    <w:rsid w:val="00BB58F5"/>
    <w:rsid w:val="00BB5976"/>
    <w:rsid w:val="00BB5C51"/>
    <w:rsid w:val="00BB5FB3"/>
    <w:rsid w:val="00BB6874"/>
    <w:rsid w:val="00BB6A89"/>
    <w:rsid w:val="00BB7086"/>
    <w:rsid w:val="00BB7FB7"/>
    <w:rsid w:val="00BC05D0"/>
    <w:rsid w:val="00BC0CCB"/>
    <w:rsid w:val="00BC10D5"/>
    <w:rsid w:val="00BC13EC"/>
    <w:rsid w:val="00BC15A8"/>
    <w:rsid w:val="00BC1623"/>
    <w:rsid w:val="00BC1828"/>
    <w:rsid w:val="00BC36A5"/>
    <w:rsid w:val="00BC3D34"/>
    <w:rsid w:val="00BC4A66"/>
    <w:rsid w:val="00BC4C4C"/>
    <w:rsid w:val="00BC51BE"/>
    <w:rsid w:val="00BC54D1"/>
    <w:rsid w:val="00BC54D3"/>
    <w:rsid w:val="00BC5690"/>
    <w:rsid w:val="00BC5A50"/>
    <w:rsid w:val="00BC670E"/>
    <w:rsid w:val="00BC779F"/>
    <w:rsid w:val="00BD0135"/>
    <w:rsid w:val="00BD0141"/>
    <w:rsid w:val="00BD0677"/>
    <w:rsid w:val="00BD0BA2"/>
    <w:rsid w:val="00BD1239"/>
    <w:rsid w:val="00BD1352"/>
    <w:rsid w:val="00BD18B1"/>
    <w:rsid w:val="00BD25DE"/>
    <w:rsid w:val="00BD298D"/>
    <w:rsid w:val="00BD3DA8"/>
    <w:rsid w:val="00BD476F"/>
    <w:rsid w:val="00BD494D"/>
    <w:rsid w:val="00BD521D"/>
    <w:rsid w:val="00BD557F"/>
    <w:rsid w:val="00BD65CF"/>
    <w:rsid w:val="00BD66BA"/>
    <w:rsid w:val="00BD77BD"/>
    <w:rsid w:val="00BE02B7"/>
    <w:rsid w:val="00BE05BB"/>
    <w:rsid w:val="00BE092D"/>
    <w:rsid w:val="00BE0B76"/>
    <w:rsid w:val="00BE17CB"/>
    <w:rsid w:val="00BE2AD1"/>
    <w:rsid w:val="00BE3027"/>
    <w:rsid w:val="00BE3409"/>
    <w:rsid w:val="00BE35BC"/>
    <w:rsid w:val="00BE4F4A"/>
    <w:rsid w:val="00BE5C47"/>
    <w:rsid w:val="00BE66BC"/>
    <w:rsid w:val="00BE6C8F"/>
    <w:rsid w:val="00BE6EDD"/>
    <w:rsid w:val="00BF01E3"/>
    <w:rsid w:val="00BF0671"/>
    <w:rsid w:val="00BF0C64"/>
    <w:rsid w:val="00BF14BF"/>
    <w:rsid w:val="00BF2026"/>
    <w:rsid w:val="00BF26FA"/>
    <w:rsid w:val="00BF2761"/>
    <w:rsid w:val="00BF3EE9"/>
    <w:rsid w:val="00BF4FD3"/>
    <w:rsid w:val="00BF5352"/>
    <w:rsid w:val="00BF5483"/>
    <w:rsid w:val="00BF7046"/>
    <w:rsid w:val="00BF754A"/>
    <w:rsid w:val="00BF7A4A"/>
    <w:rsid w:val="00C00239"/>
    <w:rsid w:val="00C007D0"/>
    <w:rsid w:val="00C00CF2"/>
    <w:rsid w:val="00C00EA7"/>
    <w:rsid w:val="00C011E8"/>
    <w:rsid w:val="00C012C6"/>
    <w:rsid w:val="00C0181E"/>
    <w:rsid w:val="00C02D59"/>
    <w:rsid w:val="00C02FE3"/>
    <w:rsid w:val="00C0350D"/>
    <w:rsid w:val="00C0401E"/>
    <w:rsid w:val="00C04044"/>
    <w:rsid w:val="00C04A49"/>
    <w:rsid w:val="00C04BCB"/>
    <w:rsid w:val="00C0527B"/>
    <w:rsid w:val="00C054D1"/>
    <w:rsid w:val="00C05EC1"/>
    <w:rsid w:val="00C0719E"/>
    <w:rsid w:val="00C07CCC"/>
    <w:rsid w:val="00C10734"/>
    <w:rsid w:val="00C109F9"/>
    <w:rsid w:val="00C10D7D"/>
    <w:rsid w:val="00C1133A"/>
    <w:rsid w:val="00C114C6"/>
    <w:rsid w:val="00C11FD5"/>
    <w:rsid w:val="00C1288E"/>
    <w:rsid w:val="00C12D33"/>
    <w:rsid w:val="00C12E8F"/>
    <w:rsid w:val="00C13808"/>
    <w:rsid w:val="00C14799"/>
    <w:rsid w:val="00C16645"/>
    <w:rsid w:val="00C166B5"/>
    <w:rsid w:val="00C168F4"/>
    <w:rsid w:val="00C16CC3"/>
    <w:rsid w:val="00C17D50"/>
    <w:rsid w:val="00C17F6F"/>
    <w:rsid w:val="00C20698"/>
    <w:rsid w:val="00C2075F"/>
    <w:rsid w:val="00C208FB"/>
    <w:rsid w:val="00C20CE8"/>
    <w:rsid w:val="00C20F9E"/>
    <w:rsid w:val="00C2162C"/>
    <w:rsid w:val="00C21C33"/>
    <w:rsid w:val="00C226E2"/>
    <w:rsid w:val="00C22EF9"/>
    <w:rsid w:val="00C232F7"/>
    <w:rsid w:val="00C235A3"/>
    <w:rsid w:val="00C23F70"/>
    <w:rsid w:val="00C24B1D"/>
    <w:rsid w:val="00C25756"/>
    <w:rsid w:val="00C267C7"/>
    <w:rsid w:val="00C26D8B"/>
    <w:rsid w:val="00C2762A"/>
    <w:rsid w:val="00C305AE"/>
    <w:rsid w:val="00C308D1"/>
    <w:rsid w:val="00C317EC"/>
    <w:rsid w:val="00C320D8"/>
    <w:rsid w:val="00C3352F"/>
    <w:rsid w:val="00C338B1"/>
    <w:rsid w:val="00C33F83"/>
    <w:rsid w:val="00C34124"/>
    <w:rsid w:val="00C3419C"/>
    <w:rsid w:val="00C34F2E"/>
    <w:rsid w:val="00C3649B"/>
    <w:rsid w:val="00C36A70"/>
    <w:rsid w:val="00C36BA3"/>
    <w:rsid w:val="00C3780E"/>
    <w:rsid w:val="00C37ADC"/>
    <w:rsid w:val="00C37AEA"/>
    <w:rsid w:val="00C37E14"/>
    <w:rsid w:val="00C40B00"/>
    <w:rsid w:val="00C40E98"/>
    <w:rsid w:val="00C4161D"/>
    <w:rsid w:val="00C4248A"/>
    <w:rsid w:val="00C429AB"/>
    <w:rsid w:val="00C42AAC"/>
    <w:rsid w:val="00C4301B"/>
    <w:rsid w:val="00C43A2A"/>
    <w:rsid w:val="00C440CD"/>
    <w:rsid w:val="00C440EA"/>
    <w:rsid w:val="00C45611"/>
    <w:rsid w:val="00C45646"/>
    <w:rsid w:val="00C45688"/>
    <w:rsid w:val="00C45A88"/>
    <w:rsid w:val="00C45B8F"/>
    <w:rsid w:val="00C46CDE"/>
    <w:rsid w:val="00C46E6C"/>
    <w:rsid w:val="00C47A80"/>
    <w:rsid w:val="00C504FB"/>
    <w:rsid w:val="00C50894"/>
    <w:rsid w:val="00C50E29"/>
    <w:rsid w:val="00C515CC"/>
    <w:rsid w:val="00C517DD"/>
    <w:rsid w:val="00C51C18"/>
    <w:rsid w:val="00C51D3C"/>
    <w:rsid w:val="00C521B5"/>
    <w:rsid w:val="00C54007"/>
    <w:rsid w:val="00C540DD"/>
    <w:rsid w:val="00C54293"/>
    <w:rsid w:val="00C54A10"/>
    <w:rsid w:val="00C54D88"/>
    <w:rsid w:val="00C55BC6"/>
    <w:rsid w:val="00C569DB"/>
    <w:rsid w:val="00C574CB"/>
    <w:rsid w:val="00C57AE2"/>
    <w:rsid w:val="00C60CE0"/>
    <w:rsid w:val="00C61C65"/>
    <w:rsid w:val="00C61EC0"/>
    <w:rsid w:val="00C62A78"/>
    <w:rsid w:val="00C62E11"/>
    <w:rsid w:val="00C62E1A"/>
    <w:rsid w:val="00C63934"/>
    <w:rsid w:val="00C64803"/>
    <w:rsid w:val="00C66469"/>
    <w:rsid w:val="00C66808"/>
    <w:rsid w:val="00C669C6"/>
    <w:rsid w:val="00C66DA0"/>
    <w:rsid w:val="00C67365"/>
    <w:rsid w:val="00C67DC0"/>
    <w:rsid w:val="00C67FB7"/>
    <w:rsid w:val="00C706A5"/>
    <w:rsid w:val="00C7070E"/>
    <w:rsid w:val="00C70B0C"/>
    <w:rsid w:val="00C7150B"/>
    <w:rsid w:val="00C71D23"/>
    <w:rsid w:val="00C71E52"/>
    <w:rsid w:val="00C71E99"/>
    <w:rsid w:val="00C723B6"/>
    <w:rsid w:val="00C72F05"/>
    <w:rsid w:val="00C743EB"/>
    <w:rsid w:val="00C7466C"/>
    <w:rsid w:val="00C74FFA"/>
    <w:rsid w:val="00C754DB"/>
    <w:rsid w:val="00C75BF2"/>
    <w:rsid w:val="00C75D21"/>
    <w:rsid w:val="00C76808"/>
    <w:rsid w:val="00C76F27"/>
    <w:rsid w:val="00C77089"/>
    <w:rsid w:val="00C77686"/>
    <w:rsid w:val="00C77FBB"/>
    <w:rsid w:val="00C803F4"/>
    <w:rsid w:val="00C80414"/>
    <w:rsid w:val="00C808CA"/>
    <w:rsid w:val="00C8162D"/>
    <w:rsid w:val="00C816B7"/>
    <w:rsid w:val="00C81A1A"/>
    <w:rsid w:val="00C81E05"/>
    <w:rsid w:val="00C82018"/>
    <w:rsid w:val="00C82208"/>
    <w:rsid w:val="00C82695"/>
    <w:rsid w:val="00C83BFE"/>
    <w:rsid w:val="00C8443C"/>
    <w:rsid w:val="00C84739"/>
    <w:rsid w:val="00C857C8"/>
    <w:rsid w:val="00C859FB"/>
    <w:rsid w:val="00C860C6"/>
    <w:rsid w:val="00C861C2"/>
    <w:rsid w:val="00C87059"/>
    <w:rsid w:val="00C87A4C"/>
    <w:rsid w:val="00C907E6"/>
    <w:rsid w:val="00C91088"/>
    <w:rsid w:val="00C91793"/>
    <w:rsid w:val="00C92734"/>
    <w:rsid w:val="00C92EA5"/>
    <w:rsid w:val="00C933E4"/>
    <w:rsid w:val="00C947D9"/>
    <w:rsid w:val="00C94B02"/>
    <w:rsid w:val="00C95788"/>
    <w:rsid w:val="00C95D53"/>
    <w:rsid w:val="00C969EC"/>
    <w:rsid w:val="00C97430"/>
    <w:rsid w:val="00CA0D9E"/>
    <w:rsid w:val="00CA16DA"/>
    <w:rsid w:val="00CA2855"/>
    <w:rsid w:val="00CA364A"/>
    <w:rsid w:val="00CA43DB"/>
    <w:rsid w:val="00CA442C"/>
    <w:rsid w:val="00CA4F3F"/>
    <w:rsid w:val="00CA5FBB"/>
    <w:rsid w:val="00CA655E"/>
    <w:rsid w:val="00CA658C"/>
    <w:rsid w:val="00CA6EB4"/>
    <w:rsid w:val="00CA7780"/>
    <w:rsid w:val="00CA7A05"/>
    <w:rsid w:val="00CA7DA8"/>
    <w:rsid w:val="00CB05A8"/>
    <w:rsid w:val="00CB09BB"/>
    <w:rsid w:val="00CB0C05"/>
    <w:rsid w:val="00CB0CF7"/>
    <w:rsid w:val="00CB1503"/>
    <w:rsid w:val="00CB21CE"/>
    <w:rsid w:val="00CB2F06"/>
    <w:rsid w:val="00CB3A69"/>
    <w:rsid w:val="00CB42EE"/>
    <w:rsid w:val="00CB496F"/>
    <w:rsid w:val="00CB4C21"/>
    <w:rsid w:val="00CB5762"/>
    <w:rsid w:val="00CB5F17"/>
    <w:rsid w:val="00CB6A81"/>
    <w:rsid w:val="00CB75BA"/>
    <w:rsid w:val="00CB77DE"/>
    <w:rsid w:val="00CC010A"/>
    <w:rsid w:val="00CC0553"/>
    <w:rsid w:val="00CC0729"/>
    <w:rsid w:val="00CC0B89"/>
    <w:rsid w:val="00CC1A92"/>
    <w:rsid w:val="00CC1FD4"/>
    <w:rsid w:val="00CC26B6"/>
    <w:rsid w:val="00CC323F"/>
    <w:rsid w:val="00CC36DC"/>
    <w:rsid w:val="00CC3786"/>
    <w:rsid w:val="00CC3D5C"/>
    <w:rsid w:val="00CC4134"/>
    <w:rsid w:val="00CC45DF"/>
    <w:rsid w:val="00CC5A83"/>
    <w:rsid w:val="00CC6756"/>
    <w:rsid w:val="00CC6896"/>
    <w:rsid w:val="00CC704A"/>
    <w:rsid w:val="00CC770F"/>
    <w:rsid w:val="00CD05CB"/>
    <w:rsid w:val="00CD0D7C"/>
    <w:rsid w:val="00CD0D93"/>
    <w:rsid w:val="00CD0ED7"/>
    <w:rsid w:val="00CD1415"/>
    <w:rsid w:val="00CD152B"/>
    <w:rsid w:val="00CD1A2A"/>
    <w:rsid w:val="00CD1B07"/>
    <w:rsid w:val="00CD2033"/>
    <w:rsid w:val="00CD20DF"/>
    <w:rsid w:val="00CD24E1"/>
    <w:rsid w:val="00CD2A7A"/>
    <w:rsid w:val="00CD325C"/>
    <w:rsid w:val="00CD3A94"/>
    <w:rsid w:val="00CD3BA7"/>
    <w:rsid w:val="00CD4474"/>
    <w:rsid w:val="00CD4798"/>
    <w:rsid w:val="00CD47ED"/>
    <w:rsid w:val="00CD493A"/>
    <w:rsid w:val="00CD4BA5"/>
    <w:rsid w:val="00CD538A"/>
    <w:rsid w:val="00CD5813"/>
    <w:rsid w:val="00CD585D"/>
    <w:rsid w:val="00CD5BA5"/>
    <w:rsid w:val="00CD6695"/>
    <w:rsid w:val="00CD6D67"/>
    <w:rsid w:val="00CD7CDB"/>
    <w:rsid w:val="00CE085F"/>
    <w:rsid w:val="00CE27A7"/>
    <w:rsid w:val="00CE2A4D"/>
    <w:rsid w:val="00CE3909"/>
    <w:rsid w:val="00CE3C25"/>
    <w:rsid w:val="00CE3D10"/>
    <w:rsid w:val="00CE3D75"/>
    <w:rsid w:val="00CE3E83"/>
    <w:rsid w:val="00CE45BC"/>
    <w:rsid w:val="00CE4763"/>
    <w:rsid w:val="00CE5051"/>
    <w:rsid w:val="00CE597A"/>
    <w:rsid w:val="00CE6415"/>
    <w:rsid w:val="00CE6A6A"/>
    <w:rsid w:val="00CE6ADB"/>
    <w:rsid w:val="00CE6E15"/>
    <w:rsid w:val="00CE6F0B"/>
    <w:rsid w:val="00CE76C6"/>
    <w:rsid w:val="00CE7836"/>
    <w:rsid w:val="00CE7CDF"/>
    <w:rsid w:val="00CF009D"/>
    <w:rsid w:val="00CF03DC"/>
    <w:rsid w:val="00CF06E7"/>
    <w:rsid w:val="00CF07AA"/>
    <w:rsid w:val="00CF0F47"/>
    <w:rsid w:val="00CF17C0"/>
    <w:rsid w:val="00CF2F79"/>
    <w:rsid w:val="00CF31F9"/>
    <w:rsid w:val="00CF32E7"/>
    <w:rsid w:val="00CF3BD7"/>
    <w:rsid w:val="00CF4B95"/>
    <w:rsid w:val="00CF4CBE"/>
    <w:rsid w:val="00CF4CC2"/>
    <w:rsid w:val="00CF6101"/>
    <w:rsid w:val="00CF6478"/>
    <w:rsid w:val="00CF68D1"/>
    <w:rsid w:val="00CF7186"/>
    <w:rsid w:val="00CF745F"/>
    <w:rsid w:val="00CF7B86"/>
    <w:rsid w:val="00D0043F"/>
    <w:rsid w:val="00D00661"/>
    <w:rsid w:val="00D011B6"/>
    <w:rsid w:val="00D01320"/>
    <w:rsid w:val="00D01FEC"/>
    <w:rsid w:val="00D024FF"/>
    <w:rsid w:val="00D03131"/>
    <w:rsid w:val="00D0316D"/>
    <w:rsid w:val="00D03292"/>
    <w:rsid w:val="00D03AC9"/>
    <w:rsid w:val="00D03B3C"/>
    <w:rsid w:val="00D04C54"/>
    <w:rsid w:val="00D0517C"/>
    <w:rsid w:val="00D05CD5"/>
    <w:rsid w:val="00D06124"/>
    <w:rsid w:val="00D066F8"/>
    <w:rsid w:val="00D06A89"/>
    <w:rsid w:val="00D06B15"/>
    <w:rsid w:val="00D072B7"/>
    <w:rsid w:val="00D078E2"/>
    <w:rsid w:val="00D07DEF"/>
    <w:rsid w:val="00D07E6F"/>
    <w:rsid w:val="00D10783"/>
    <w:rsid w:val="00D10EEA"/>
    <w:rsid w:val="00D11091"/>
    <w:rsid w:val="00D1152B"/>
    <w:rsid w:val="00D11684"/>
    <w:rsid w:val="00D1193D"/>
    <w:rsid w:val="00D11E37"/>
    <w:rsid w:val="00D129E7"/>
    <w:rsid w:val="00D12A60"/>
    <w:rsid w:val="00D13111"/>
    <w:rsid w:val="00D13F8F"/>
    <w:rsid w:val="00D14AB6"/>
    <w:rsid w:val="00D14B07"/>
    <w:rsid w:val="00D17FF5"/>
    <w:rsid w:val="00D2032A"/>
    <w:rsid w:val="00D204A8"/>
    <w:rsid w:val="00D2051C"/>
    <w:rsid w:val="00D20B5B"/>
    <w:rsid w:val="00D213BF"/>
    <w:rsid w:val="00D213D9"/>
    <w:rsid w:val="00D225A6"/>
    <w:rsid w:val="00D226EF"/>
    <w:rsid w:val="00D22B2A"/>
    <w:rsid w:val="00D22FE3"/>
    <w:rsid w:val="00D230D7"/>
    <w:rsid w:val="00D2310A"/>
    <w:rsid w:val="00D257CD"/>
    <w:rsid w:val="00D25951"/>
    <w:rsid w:val="00D262E8"/>
    <w:rsid w:val="00D26587"/>
    <w:rsid w:val="00D27298"/>
    <w:rsid w:val="00D2762B"/>
    <w:rsid w:val="00D279B4"/>
    <w:rsid w:val="00D30287"/>
    <w:rsid w:val="00D306CE"/>
    <w:rsid w:val="00D30BC0"/>
    <w:rsid w:val="00D3178E"/>
    <w:rsid w:val="00D319D7"/>
    <w:rsid w:val="00D31F73"/>
    <w:rsid w:val="00D31F79"/>
    <w:rsid w:val="00D32222"/>
    <w:rsid w:val="00D343B7"/>
    <w:rsid w:val="00D35891"/>
    <w:rsid w:val="00D358C3"/>
    <w:rsid w:val="00D35CE2"/>
    <w:rsid w:val="00D36004"/>
    <w:rsid w:val="00D371FE"/>
    <w:rsid w:val="00D37676"/>
    <w:rsid w:val="00D409BF"/>
    <w:rsid w:val="00D40ACA"/>
    <w:rsid w:val="00D40D7E"/>
    <w:rsid w:val="00D40E6A"/>
    <w:rsid w:val="00D41380"/>
    <w:rsid w:val="00D41419"/>
    <w:rsid w:val="00D4142A"/>
    <w:rsid w:val="00D41E1A"/>
    <w:rsid w:val="00D42219"/>
    <w:rsid w:val="00D42D64"/>
    <w:rsid w:val="00D43403"/>
    <w:rsid w:val="00D435B3"/>
    <w:rsid w:val="00D43E98"/>
    <w:rsid w:val="00D440B2"/>
    <w:rsid w:val="00D442BB"/>
    <w:rsid w:val="00D4461E"/>
    <w:rsid w:val="00D44FD5"/>
    <w:rsid w:val="00D454AC"/>
    <w:rsid w:val="00D4556E"/>
    <w:rsid w:val="00D45755"/>
    <w:rsid w:val="00D45B0A"/>
    <w:rsid w:val="00D45FB5"/>
    <w:rsid w:val="00D46261"/>
    <w:rsid w:val="00D468F9"/>
    <w:rsid w:val="00D46C96"/>
    <w:rsid w:val="00D4756D"/>
    <w:rsid w:val="00D502C9"/>
    <w:rsid w:val="00D50B2D"/>
    <w:rsid w:val="00D5231B"/>
    <w:rsid w:val="00D52AE9"/>
    <w:rsid w:val="00D52C6E"/>
    <w:rsid w:val="00D52F7F"/>
    <w:rsid w:val="00D536B3"/>
    <w:rsid w:val="00D55C0F"/>
    <w:rsid w:val="00D55EE8"/>
    <w:rsid w:val="00D55F80"/>
    <w:rsid w:val="00D5637A"/>
    <w:rsid w:val="00D56B5D"/>
    <w:rsid w:val="00D57DF0"/>
    <w:rsid w:val="00D6073B"/>
    <w:rsid w:val="00D61055"/>
    <w:rsid w:val="00D61168"/>
    <w:rsid w:val="00D61350"/>
    <w:rsid w:val="00D6143F"/>
    <w:rsid w:val="00D6165E"/>
    <w:rsid w:val="00D61D5C"/>
    <w:rsid w:val="00D620A7"/>
    <w:rsid w:val="00D6210E"/>
    <w:rsid w:val="00D637D7"/>
    <w:rsid w:val="00D641C3"/>
    <w:rsid w:val="00D64D65"/>
    <w:rsid w:val="00D652D1"/>
    <w:rsid w:val="00D66260"/>
    <w:rsid w:val="00D664B7"/>
    <w:rsid w:val="00D668EE"/>
    <w:rsid w:val="00D67023"/>
    <w:rsid w:val="00D67491"/>
    <w:rsid w:val="00D67854"/>
    <w:rsid w:val="00D67B1C"/>
    <w:rsid w:val="00D7014F"/>
    <w:rsid w:val="00D710AB"/>
    <w:rsid w:val="00D711ED"/>
    <w:rsid w:val="00D7148E"/>
    <w:rsid w:val="00D71495"/>
    <w:rsid w:val="00D72153"/>
    <w:rsid w:val="00D7257F"/>
    <w:rsid w:val="00D72ADC"/>
    <w:rsid w:val="00D7311D"/>
    <w:rsid w:val="00D7323C"/>
    <w:rsid w:val="00D73DCE"/>
    <w:rsid w:val="00D73EBB"/>
    <w:rsid w:val="00D73F99"/>
    <w:rsid w:val="00D748F5"/>
    <w:rsid w:val="00D765C2"/>
    <w:rsid w:val="00D76B98"/>
    <w:rsid w:val="00D77552"/>
    <w:rsid w:val="00D77E26"/>
    <w:rsid w:val="00D80F73"/>
    <w:rsid w:val="00D8140F"/>
    <w:rsid w:val="00D81BE0"/>
    <w:rsid w:val="00D81C27"/>
    <w:rsid w:val="00D81C36"/>
    <w:rsid w:val="00D829CF"/>
    <w:rsid w:val="00D83265"/>
    <w:rsid w:val="00D83BEC"/>
    <w:rsid w:val="00D83E17"/>
    <w:rsid w:val="00D84712"/>
    <w:rsid w:val="00D8485D"/>
    <w:rsid w:val="00D85A1E"/>
    <w:rsid w:val="00D86706"/>
    <w:rsid w:val="00D86770"/>
    <w:rsid w:val="00D87F4A"/>
    <w:rsid w:val="00D90780"/>
    <w:rsid w:val="00D910C5"/>
    <w:rsid w:val="00D910D8"/>
    <w:rsid w:val="00D912A0"/>
    <w:rsid w:val="00D919A7"/>
    <w:rsid w:val="00D91D77"/>
    <w:rsid w:val="00D91FD9"/>
    <w:rsid w:val="00D94451"/>
    <w:rsid w:val="00D94604"/>
    <w:rsid w:val="00D94CE7"/>
    <w:rsid w:val="00D94D2F"/>
    <w:rsid w:val="00D95295"/>
    <w:rsid w:val="00D96251"/>
    <w:rsid w:val="00D96B1E"/>
    <w:rsid w:val="00D96E30"/>
    <w:rsid w:val="00D977F0"/>
    <w:rsid w:val="00DA1E70"/>
    <w:rsid w:val="00DA36C1"/>
    <w:rsid w:val="00DA3773"/>
    <w:rsid w:val="00DA4C7F"/>
    <w:rsid w:val="00DA4F99"/>
    <w:rsid w:val="00DA5049"/>
    <w:rsid w:val="00DA6FE4"/>
    <w:rsid w:val="00DB01E4"/>
    <w:rsid w:val="00DB06D6"/>
    <w:rsid w:val="00DB2776"/>
    <w:rsid w:val="00DB2966"/>
    <w:rsid w:val="00DB312F"/>
    <w:rsid w:val="00DB3B65"/>
    <w:rsid w:val="00DB4349"/>
    <w:rsid w:val="00DB4C57"/>
    <w:rsid w:val="00DB4EE3"/>
    <w:rsid w:val="00DB4F2B"/>
    <w:rsid w:val="00DB5A3F"/>
    <w:rsid w:val="00DB678F"/>
    <w:rsid w:val="00DB704D"/>
    <w:rsid w:val="00DC019F"/>
    <w:rsid w:val="00DC134E"/>
    <w:rsid w:val="00DC13B8"/>
    <w:rsid w:val="00DC1515"/>
    <w:rsid w:val="00DC189B"/>
    <w:rsid w:val="00DC2481"/>
    <w:rsid w:val="00DC2538"/>
    <w:rsid w:val="00DC28A9"/>
    <w:rsid w:val="00DC2986"/>
    <w:rsid w:val="00DC3C9E"/>
    <w:rsid w:val="00DC41C9"/>
    <w:rsid w:val="00DC4292"/>
    <w:rsid w:val="00DC43D3"/>
    <w:rsid w:val="00DC46AC"/>
    <w:rsid w:val="00DC50EF"/>
    <w:rsid w:val="00DC51E0"/>
    <w:rsid w:val="00DC54FC"/>
    <w:rsid w:val="00DC590C"/>
    <w:rsid w:val="00DC6822"/>
    <w:rsid w:val="00DC7130"/>
    <w:rsid w:val="00DC71B6"/>
    <w:rsid w:val="00DC79C1"/>
    <w:rsid w:val="00DC7C78"/>
    <w:rsid w:val="00DD0CBA"/>
    <w:rsid w:val="00DD10CA"/>
    <w:rsid w:val="00DD1CB1"/>
    <w:rsid w:val="00DD1ED6"/>
    <w:rsid w:val="00DD3041"/>
    <w:rsid w:val="00DD3143"/>
    <w:rsid w:val="00DD381B"/>
    <w:rsid w:val="00DD5E5A"/>
    <w:rsid w:val="00DD6F0C"/>
    <w:rsid w:val="00DE0492"/>
    <w:rsid w:val="00DE0746"/>
    <w:rsid w:val="00DE0C84"/>
    <w:rsid w:val="00DE100D"/>
    <w:rsid w:val="00DE22BA"/>
    <w:rsid w:val="00DE23F4"/>
    <w:rsid w:val="00DE27E3"/>
    <w:rsid w:val="00DE387C"/>
    <w:rsid w:val="00DE4AE6"/>
    <w:rsid w:val="00DE4EDA"/>
    <w:rsid w:val="00DE4FAB"/>
    <w:rsid w:val="00DE5CAA"/>
    <w:rsid w:val="00DE6246"/>
    <w:rsid w:val="00DE624F"/>
    <w:rsid w:val="00DE65EB"/>
    <w:rsid w:val="00DE6D4B"/>
    <w:rsid w:val="00DE77EB"/>
    <w:rsid w:val="00DE7866"/>
    <w:rsid w:val="00DF03FD"/>
    <w:rsid w:val="00DF0848"/>
    <w:rsid w:val="00DF0C25"/>
    <w:rsid w:val="00DF1165"/>
    <w:rsid w:val="00DF15D6"/>
    <w:rsid w:val="00DF22CB"/>
    <w:rsid w:val="00DF2E9A"/>
    <w:rsid w:val="00DF348B"/>
    <w:rsid w:val="00DF3896"/>
    <w:rsid w:val="00DF4860"/>
    <w:rsid w:val="00DF48D6"/>
    <w:rsid w:val="00DF5000"/>
    <w:rsid w:val="00DF551D"/>
    <w:rsid w:val="00DF601E"/>
    <w:rsid w:val="00DF69AD"/>
    <w:rsid w:val="00DF73E1"/>
    <w:rsid w:val="00DF798E"/>
    <w:rsid w:val="00E00410"/>
    <w:rsid w:val="00E00F2F"/>
    <w:rsid w:val="00E011D8"/>
    <w:rsid w:val="00E0177B"/>
    <w:rsid w:val="00E01BA5"/>
    <w:rsid w:val="00E01DB2"/>
    <w:rsid w:val="00E01EC5"/>
    <w:rsid w:val="00E01ED8"/>
    <w:rsid w:val="00E0395D"/>
    <w:rsid w:val="00E03976"/>
    <w:rsid w:val="00E03ACE"/>
    <w:rsid w:val="00E03F69"/>
    <w:rsid w:val="00E04D49"/>
    <w:rsid w:val="00E04F90"/>
    <w:rsid w:val="00E05003"/>
    <w:rsid w:val="00E05075"/>
    <w:rsid w:val="00E0523D"/>
    <w:rsid w:val="00E055A7"/>
    <w:rsid w:val="00E06F0E"/>
    <w:rsid w:val="00E07795"/>
    <w:rsid w:val="00E07F41"/>
    <w:rsid w:val="00E103EC"/>
    <w:rsid w:val="00E109DD"/>
    <w:rsid w:val="00E10DD6"/>
    <w:rsid w:val="00E115AA"/>
    <w:rsid w:val="00E1161B"/>
    <w:rsid w:val="00E11C90"/>
    <w:rsid w:val="00E11CB6"/>
    <w:rsid w:val="00E1266D"/>
    <w:rsid w:val="00E1360C"/>
    <w:rsid w:val="00E13631"/>
    <w:rsid w:val="00E146EA"/>
    <w:rsid w:val="00E14D53"/>
    <w:rsid w:val="00E158E0"/>
    <w:rsid w:val="00E158FB"/>
    <w:rsid w:val="00E15A1B"/>
    <w:rsid w:val="00E16C2D"/>
    <w:rsid w:val="00E17515"/>
    <w:rsid w:val="00E17D5F"/>
    <w:rsid w:val="00E20214"/>
    <w:rsid w:val="00E20F7E"/>
    <w:rsid w:val="00E20FC1"/>
    <w:rsid w:val="00E21148"/>
    <w:rsid w:val="00E21241"/>
    <w:rsid w:val="00E212C1"/>
    <w:rsid w:val="00E212C8"/>
    <w:rsid w:val="00E21A85"/>
    <w:rsid w:val="00E23119"/>
    <w:rsid w:val="00E23BB0"/>
    <w:rsid w:val="00E23CEB"/>
    <w:rsid w:val="00E25412"/>
    <w:rsid w:val="00E25766"/>
    <w:rsid w:val="00E26498"/>
    <w:rsid w:val="00E26E61"/>
    <w:rsid w:val="00E26EBA"/>
    <w:rsid w:val="00E26FCD"/>
    <w:rsid w:val="00E2760D"/>
    <w:rsid w:val="00E2796D"/>
    <w:rsid w:val="00E27C37"/>
    <w:rsid w:val="00E27DC4"/>
    <w:rsid w:val="00E307A5"/>
    <w:rsid w:val="00E30E8D"/>
    <w:rsid w:val="00E30F91"/>
    <w:rsid w:val="00E31540"/>
    <w:rsid w:val="00E31BD4"/>
    <w:rsid w:val="00E31D60"/>
    <w:rsid w:val="00E31DEB"/>
    <w:rsid w:val="00E31E04"/>
    <w:rsid w:val="00E32C88"/>
    <w:rsid w:val="00E32E0D"/>
    <w:rsid w:val="00E32F34"/>
    <w:rsid w:val="00E331BC"/>
    <w:rsid w:val="00E33B88"/>
    <w:rsid w:val="00E357B9"/>
    <w:rsid w:val="00E35D02"/>
    <w:rsid w:val="00E3659F"/>
    <w:rsid w:val="00E368DC"/>
    <w:rsid w:val="00E36941"/>
    <w:rsid w:val="00E37634"/>
    <w:rsid w:val="00E3783E"/>
    <w:rsid w:val="00E40352"/>
    <w:rsid w:val="00E40503"/>
    <w:rsid w:val="00E4065D"/>
    <w:rsid w:val="00E40E52"/>
    <w:rsid w:val="00E40F53"/>
    <w:rsid w:val="00E42A72"/>
    <w:rsid w:val="00E42BDA"/>
    <w:rsid w:val="00E43283"/>
    <w:rsid w:val="00E440A5"/>
    <w:rsid w:val="00E44226"/>
    <w:rsid w:val="00E44359"/>
    <w:rsid w:val="00E44E67"/>
    <w:rsid w:val="00E456B3"/>
    <w:rsid w:val="00E45E43"/>
    <w:rsid w:val="00E45F38"/>
    <w:rsid w:val="00E462D5"/>
    <w:rsid w:val="00E465DA"/>
    <w:rsid w:val="00E470B4"/>
    <w:rsid w:val="00E473B5"/>
    <w:rsid w:val="00E47476"/>
    <w:rsid w:val="00E4780C"/>
    <w:rsid w:val="00E47D16"/>
    <w:rsid w:val="00E50155"/>
    <w:rsid w:val="00E51C30"/>
    <w:rsid w:val="00E525E0"/>
    <w:rsid w:val="00E5290C"/>
    <w:rsid w:val="00E531D5"/>
    <w:rsid w:val="00E54A6C"/>
    <w:rsid w:val="00E600DF"/>
    <w:rsid w:val="00E60359"/>
    <w:rsid w:val="00E60544"/>
    <w:rsid w:val="00E612E2"/>
    <w:rsid w:val="00E61D60"/>
    <w:rsid w:val="00E61D77"/>
    <w:rsid w:val="00E63A52"/>
    <w:rsid w:val="00E63A8C"/>
    <w:rsid w:val="00E640FB"/>
    <w:rsid w:val="00E6499C"/>
    <w:rsid w:val="00E652D2"/>
    <w:rsid w:val="00E66B3E"/>
    <w:rsid w:val="00E672CA"/>
    <w:rsid w:val="00E67713"/>
    <w:rsid w:val="00E67A8F"/>
    <w:rsid w:val="00E67FDB"/>
    <w:rsid w:val="00E70083"/>
    <w:rsid w:val="00E708C4"/>
    <w:rsid w:val="00E70A99"/>
    <w:rsid w:val="00E70F12"/>
    <w:rsid w:val="00E71260"/>
    <w:rsid w:val="00E71A00"/>
    <w:rsid w:val="00E71A72"/>
    <w:rsid w:val="00E71F5A"/>
    <w:rsid w:val="00E72040"/>
    <w:rsid w:val="00E73266"/>
    <w:rsid w:val="00E7362E"/>
    <w:rsid w:val="00E73BEE"/>
    <w:rsid w:val="00E7497F"/>
    <w:rsid w:val="00E74EB7"/>
    <w:rsid w:val="00E74F75"/>
    <w:rsid w:val="00E74FAC"/>
    <w:rsid w:val="00E77D1A"/>
    <w:rsid w:val="00E77E7B"/>
    <w:rsid w:val="00E807A4"/>
    <w:rsid w:val="00E81E6E"/>
    <w:rsid w:val="00E833FB"/>
    <w:rsid w:val="00E834CB"/>
    <w:rsid w:val="00E83B35"/>
    <w:rsid w:val="00E83E37"/>
    <w:rsid w:val="00E85553"/>
    <w:rsid w:val="00E85599"/>
    <w:rsid w:val="00E858BF"/>
    <w:rsid w:val="00E85E8E"/>
    <w:rsid w:val="00E866FA"/>
    <w:rsid w:val="00E86781"/>
    <w:rsid w:val="00E86D32"/>
    <w:rsid w:val="00E86F58"/>
    <w:rsid w:val="00E9015E"/>
    <w:rsid w:val="00E90228"/>
    <w:rsid w:val="00E90A35"/>
    <w:rsid w:val="00E90D36"/>
    <w:rsid w:val="00E90DEB"/>
    <w:rsid w:val="00E91472"/>
    <w:rsid w:val="00E919C4"/>
    <w:rsid w:val="00E91EB6"/>
    <w:rsid w:val="00E92533"/>
    <w:rsid w:val="00E9279B"/>
    <w:rsid w:val="00E92877"/>
    <w:rsid w:val="00E92DF7"/>
    <w:rsid w:val="00E92E1F"/>
    <w:rsid w:val="00E931FD"/>
    <w:rsid w:val="00E93BAF"/>
    <w:rsid w:val="00E96CD7"/>
    <w:rsid w:val="00E96CE1"/>
    <w:rsid w:val="00E96D5B"/>
    <w:rsid w:val="00E974B4"/>
    <w:rsid w:val="00EA0105"/>
    <w:rsid w:val="00EA09E7"/>
    <w:rsid w:val="00EA1527"/>
    <w:rsid w:val="00EA155C"/>
    <w:rsid w:val="00EA184A"/>
    <w:rsid w:val="00EA1A67"/>
    <w:rsid w:val="00EA202B"/>
    <w:rsid w:val="00EA2489"/>
    <w:rsid w:val="00EA24E1"/>
    <w:rsid w:val="00EA2D83"/>
    <w:rsid w:val="00EA2F13"/>
    <w:rsid w:val="00EA390B"/>
    <w:rsid w:val="00EA3DAE"/>
    <w:rsid w:val="00EA43E6"/>
    <w:rsid w:val="00EA4C73"/>
    <w:rsid w:val="00EA4E73"/>
    <w:rsid w:val="00EA4FC2"/>
    <w:rsid w:val="00EA5385"/>
    <w:rsid w:val="00EA5942"/>
    <w:rsid w:val="00EA5F46"/>
    <w:rsid w:val="00EA5F5A"/>
    <w:rsid w:val="00EA6BF3"/>
    <w:rsid w:val="00EA701F"/>
    <w:rsid w:val="00EA7634"/>
    <w:rsid w:val="00EA7872"/>
    <w:rsid w:val="00EB0018"/>
    <w:rsid w:val="00EB3833"/>
    <w:rsid w:val="00EB38C3"/>
    <w:rsid w:val="00EB3E55"/>
    <w:rsid w:val="00EB3F8C"/>
    <w:rsid w:val="00EB487A"/>
    <w:rsid w:val="00EB4A26"/>
    <w:rsid w:val="00EB5207"/>
    <w:rsid w:val="00EB57EC"/>
    <w:rsid w:val="00EB5DA7"/>
    <w:rsid w:val="00EB681B"/>
    <w:rsid w:val="00EB77B4"/>
    <w:rsid w:val="00EB7B0E"/>
    <w:rsid w:val="00EC0161"/>
    <w:rsid w:val="00EC0CCA"/>
    <w:rsid w:val="00EC0F57"/>
    <w:rsid w:val="00EC0F95"/>
    <w:rsid w:val="00EC0FBE"/>
    <w:rsid w:val="00EC1219"/>
    <w:rsid w:val="00EC179A"/>
    <w:rsid w:val="00EC1939"/>
    <w:rsid w:val="00EC3AE9"/>
    <w:rsid w:val="00EC3B18"/>
    <w:rsid w:val="00EC571F"/>
    <w:rsid w:val="00EC625F"/>
    <w:rsid w:val="00EC65F8"/>
    <w:rsid w:val="00EC66C1"/>
    <w:rsid w:val="00EC6F63"/>
    <w:rsid w:val="00EC7347"/>
    <w:rsid w:val="00EC781B"/>
    <w:rsid w:val="00EC7C83"/>
    <w:rsid w:val="00EC7EE1"/>
    <w:rsid w:val="00ED2369"/>
    <w:rsid w:val="00ED28B7"/>
    <w:rsid w:val="00ED2D3A"/>
    <w:rsid w:val="00ED2EC7"/>
    <w:rsid w:val="00ED2F49"/>
    <w:rsid w:val="00ED437C"/>
    <w:rsid w:val="00ED4AD0"/>
    <w:rsid w:val="00ED4AF9"/>
    <w:rsid w:val="00ED520B"/>
    <w:rsid w:val="00ED548B"/>
    <w:rsid w:val="00ED5DE6"/>
    <w:rsid w:val="00ED60CA"/>
    <w:rsid w:val="00ED62F3"/>
    <w:rsid w:val="00ED6883"/>
    <w:rsid w:val="00ED7CD9"/>
    <w:rsid w:val="00EE0741"/>
    <w:rsid w:val="00EE1571"/>
    <w:rsid w:val="00EE1BA7"/>
    <w:rsid w:val="00EE1C1B"/>
    <w:rsid w:val="00EE1F56"/>
    <w:rsid w:val="00EE2309"/>
    <w:rsid w:val="00EE230A"/>
    <w:rsid w:val="00EE2E91"/>
    <w:rsid w:val="00EE3648"/>
    <w:rsid w:val="00EE4395"/>
    <w:rsid w:val="00EE4665"/>
    <w:rsid w:val="00EE4781"/>
    <w:rsid w:val="00EE4EF4"/>
    <w:rsid w:val="00EE53EE"/>
    <w:rsid w:val="00EE53F7"/>
    <w:rsid w:val="00EE56FB"/>
    <w:rsid w:val="00EE63E0"/>
    <w:rsid w:val="00EE6846"/>
    <w:rsid w:val="00EE78F1"/>
    <w:rsid w:val="00EE7A68"/>
    <w:rsid w:val="00EE7E61"/>
    <w:rsid w:val="00EF012C"/>
    <w:rsid w:val="00EF0B58"/>
    <w:rsid w:val="00EF12B1"/>
    <w:rsid w:val="00EF135B"/>
    <w:rsid w:val="00EF1497"/>
    <w:rsid w:val="00EF2174"/>
    <w:rsid w:val="00EF2C98"/>
    <w:rsid w:val="00EF3A1E"/>
    <w:rsid w:val="00EF41B8"/>
    <w:rsid w:val="00EF431F"/>
    <w:rsid w:val="00EF4EFB"/>
    <w:rsid w:val="00EF50F4"/>
    <w:rsid w:val="00EF5207"/>
    <w:rsid w:val="00EF5FED"/>
    <w:rsid w:val="00EF6B30"/>
    <w:rsid w:val="00EF6C97"/>
    <w:rsid w:val="00EF6DC9"/>
    <w:rsid w:val="00EF6FBB"/>
    <w:rsid w:val="00EF73B9"/>
    <w:rsid w:val="00F008A8"/>
    <w:rsid w:val="00F0145B"/>
    <w:rsid w:val="00F02219"/>
    <w:rsid w:val="00F03AAE"/>
    <w:rsid w:val="00F03F7E"/>
    <w:rsid w:val="00F03FB7"/>
    <w:rsid w:val="00F04251"/>
    <w:rsid w:val="00F043BF"/>
    <w:rsid w:val="00F04455"/>
    <w:rsid w:val="00F044AB"/>
    <w:rsid w:val="00F04741"/>
    <w:rsid w:val="00F05149"/>
    <w:rsid w:val="00F055ED"/>
    <w:rsid w:val="00F0645E"/>
    <w:rsid w:val="00F06688"/>
    <w:rsid w:val="00F06952"/>
    <w:rsid w:val="00F06E9A"/>
    <w:rsid w:val="00F073FC"/>
    <w:rsid w:val="00F0760A"/>
    <w:rsid w:val="00F0773E"/>
    <w:rsid w:val="00F07E15"/>
    <w:rsid w:val="00F10221"/>
    <w:rsid w:val="00F102B2"/>
    <w:rsid w:val="00F10690"/>
    <w:rsid w:val="00F10DB4"/>
    <w:rsid w:val="00F12626"/>
    <w:rsid w:val="00F129AB"/>
    <w:rsid w:val="00F12D06"/>
    <w:rsid w:val="00F139DB"/>
    <w:rsid w:val="00F13D54"/>
    <w:rsid w:val="00F14263"/>
    <w:rsid w:val="00F142A8"/>
    <w:rsid w:val="00F14823"/>
    <w:rsid w:val="00F15029"/>
    <w:rsid w:val="00F15C06"/>
    <w:rsid w:val="00F167B9"/>
    <w:rsid w:val="00F16DC9"/>
    <w:rsid w:val="00F1761E"/>
    <w:rsid w:val="00F20494"/>
    <w:rsid w:val="00F20A62"/>
    <w:rsid w:val="00F22217"/>
    <w:rsid w:val="00F224AD"/>
    <w:rsid w:val="00F228DA"/>
    <w:rsid w:val="00F22C81"/>
    <w:rsid w:val="00F23563"/>
    <w:rsid w:val="00F23A46"/>
    <w:rsid w:val="00F23BCE"/>
    <w:rsid w:val="00F23E3C"/>
    <w:rsid w:val="00F255B2"/>
    <w:rsid w:val="00F26190"/>
    <w:rsid w:val="00F26976"/>
    <w:rsid w:val="00F26AF2"/>
    <w:rsid w:val="00F26BEA"/>
    <w:rsid w:val="00F2710F"/>
    <w:rsid w:val="00F2753D"/>
    <w:rsid w:val="00F275F7"/>
    <w:rsid w:val="00F278E3"/>
    <w:rsid w:val="00F30073"/>
    <w:rsid w:val="00F303E6"/>
    <w:rsid w:val="00F30B96"/>
    <w:rsid w:val="00F30DEB"/>
    <w:rsid w:val="00F314CF"/>
    <w:rsid w:val="00F315E8"/>
    <w:rsid w:val="00F316CA"/>
    <w:rsid w:val="00F316F5"/>
    <w:rsid w:val="00F318D8"/>
    <w:rsid w:val="00F32317"/>
    <w:rsid w:val="00F32A94"/>
    <w:rsid w:val="00F33E42"/>
    <w:rsid w:val="00F33EE1"/>
    <w:rsid w:val="00F347B7"/>
    <w:rsid w:val="00F34A35"/>
    <w:rsid w:val="00F356D3"/>
    <w:rsid w:val="00F36526"/>
    <w:rsid w:val="00F36904"/>
    <w:rsid w:val="00F36A97"/>
    <w:rsid w:val="00F36FFA"/>
    <w:rsid w:val="00F37629"/>
    <w:rsid w:val="00F400A7"/>
    <w:rsid w:val="00F403F3"/>
    <w:rsid w:val="00F4042D"/>
    <w:rsid w:val="00F40662"/>
    <w:rsid w:val="00F40A22"/>
    <w:rsid w:val="00F416EA"/>
    <w:rsid w:val="00F41ED5"/>
    <w:rsid w:val="00F422B3"/>
    <w:rsid w:val="00F43384"/>
    <w:rsid w:val="00F43ABA"/>
    <w:rsid w:val="00F43CAC"/>
    <w:rsid w:val="00F43E52"/>
    <w:rsid w:val="00F441ED"/>
    <w:rsid w:val="00F44693"/>
    <w:rsid w:val="00F44A0A"/>
    <w:rsid w:val="00F457BE"/>
    <w:rsid w:val="00F45E19"/>
    <w:rsid w:val="00F46658"/>
    <w:rsid w:val="00F470B1"/>
    <w:rsid w:val="00F4761B"/>
    <w:rsid w:val="00F476E1"/>
    <w:rsid w:val="00F50031"/>
    <w:rsid w:val="00F503C3"/>
    <w:rsid w:val="00F50D19"/>
    <w:rsid w:val="00F513A5"/>
    <w:rsid w:val="00F5316E"/>
    <w:rsid w:val="00F53834"/>
    <w:rsid w:val="00F538C7"/>
    <w:rsid w:val="00F540BB"/>
    <w:rsid w:val="00F54396"/>
    <w:rsid w:val="00F54A92"/>
    <w:rsid w:val="00F5501F"/>
    <w:rsid w:val="00F55B9F"/>
    <w:rsid w:val="00F562AD"/>
    <w:rsid w:val="00F5731E"/>
    <w:rsid w:val="00F578BA"/>
    <w:rsid w:val="00F60043"/>
    <w:rsid w:val="00F6051D"/>
    <w:rsid w:val="00F60B96"/>
    <w:rsid w:val="00F60F98"/>
    <w:rsid w:val="00F60FEA"/>
    <w:rsid w:val="00F611BD"/>
    <w:rsid w:val="00F61C14"/>
    <w:rsid w:val="00F61D43"/>
    <w:rsid w:val="00F6211A"/>
    <w:rsid w:val="00F62659"/>
    <w:rsid w:val="00F639B6"/>
    <w:rsid w:val="00F64686"/>
    <w:rsid w:val="00F64AD5"/>
    <w:rsid w:val="00F65148"/>
    <w:rsid w:val="00F65E98"/>
    <w:rsid w:val="00F664D1"/>
    <w:rsid w:val="00F66E86"/>
    <w:rsid w:val="00F66FA5"/>
    <w:rsid w:val="00F67472"/>
    <w:rsid w:val="00F67561"/>
    <w:rsid w:val="00F7014D"/>
    <w:rsid w:val="00F703AD"/>
    <w:rsid w:val="00F708F7"/>
    <w:rsid w:val="00F71451"/>
    <w:rsid w:val="00F71963"/>
    <w:rsid w:val="00F72748"/>
    <w:rsid w:val="00F738FD"/>
    <w:rsid w:val="00F73A56"/>
    <w:rsid w:val="00F75A53"/>
    <w:rsid w:val="00F76971"/>
    <w:rsid w:val="00F7716B"/>
    <w:rsid w:val="00F77E72"/>
    <w:rsid w:val="00F80BFA"/>
    <w:rsid w:val="00F81445"/>
    <w:rsid w:val="00F81462"/>
    <w:rsid w:val="00F81A63"/>
    <w:rsid w:val="00F8259C"/>
    <w:rsid w:val="00F8284A"/>
    <w:rsid w:val="00F82C06"/>
    <w:rsid w:val="00F83A93"/>
    <w:rsid w:val="00F83B4F"/>
    <w:rsid w:val="00F84570"/>
    <w:rsid w:val="00F84F8D"/>
    <w:rsid w:val="00F8550D"/>
    <w:rsid w:val="00F87111"/>
    <w:rsid w:val="00F87352"/>
    <w:rsid w:val="00F8735A"/>
    <w:rsid w:val="00F90BD0"/>
    <w:rsid w:val="00F90C8D"/>
    <w:rsid w:val="00F91185"/>
    <w:rsid w:val="00F91330"/>
    <w:rsid w:val="00F913C0"/>
    <w:rsid w:val="00F91BBA"/>
    <w:rsid w:val="00F92BF5"/>
    <w:rsid w:val="00F931B5"/>
    <w:rsid w:val="00F93D42"/>
    <w:rsid w:val="00F94041"/>
    <w:rsid w:val="00F948FB"/>
    <w:rsid w:val="00F950F4"/>
    <w:rsid w:val="00F95389"/>
    <w:rsid w:val="00F9557F"/>
    <w:rsid w:val="00F95A76"/>
    <w:rsid w:val="00F96910"/>
    <w:rsid w:val="00F9703B"/>
    <w:rsid w:val="00F978A0"/>
    <w:rsid w:val="00F97CE5"/>
    <w:rsid w:val="00F97E46"/>
    <w:rsid w:val="00F97FD4"/>
    <w:rsid w:val="00FA0D9E"/>
    <w:rsid w:val="00FA113B"/>
    <w:rsid w:val="00FA1176"/>
    <w:rsid w:val="00FA1CD5"/>
    <w:rsid w:val="00FA1D67"/>
    <w:rsid w:val="00FA2120"/>
    <w:rsid w:val="00FA2711"/>
    <w:rsid w:val="00FA286D"/>
    <w:rsid w:val="00FA2CAA"/>
    <w:rsid w:val="00FA4CD1"/>
    <w:rsid w:val="00FA4E79"/>
    <w:rsid w:val="00FA5B20"/>
    <w:rsid w:val="00FA6409"/>
    <w:rsid w:val="00FA6558"/>
    <w:rsid w:val="00FA6C05"/>
    <w:rsid w:val="00FB11BD"/>
    <w:rsid w:val="00FB14F3"/>
    <w:rsid w:val="00FB175E"/>
    <w:rsid w:val="00FB2255"/>
    <w:rsid w:val="00FB22CE"/>
    <w:rsid w:val="00FB2EB8"/>
    <w:rsid w:val="00FB3725"/>
    <w:rsid w:val="00FB3C25"/>
    <w:rsid w:val="00FB42E7"/>
    <w:rsid w:val="00FB43EC"/>
    <w:rsid w:val="00FB4E5D"/>
    <w:rsid w:val="00FB54A1"/>
    <w:rsid w:val="00FB6E1A"/>
    <w:rsid w:val="00FB724B"/>
    <w:rsid w:val="00FB740B"/>
    <w:rsid w:val="00FB7DD2"/>
    <w:rsid w:val="00FC0AF1"/>
    <w:rsid w:val="00FC1A73"/>
    <w:rsid w:val="00FC202E"/>
    <w:rsid w:val="00FC22F4"/>
    <w:rsid w:val="00FC26BE"/>
    <w:rsid w:val="00FC2761"/>
    <w:rsid w:val="00FC2AC2"/>
    <w:rsid w:val="00FC3669"/>
    <w:rsid w:val="00FC3BE7"/>
    <w:rsid w:val="00FC3D1B"/>
    <w:rsid w:val="00FC4954"/>
    <w:rsid w:val="00FC53D2"/>
    <w:rsid w:val="00FC728C"/>
    <w:rsid w:val="00FC744D"/>
    <w:rsid w:val="00FC77D6"/>
    <w:rsid w:val="00FC7B2B"/>
    <w:rsid w:val="00FD00E8"/>
    <w:rsid w:val="00FD06D1"/>
    <w:rsid w:val="00FD1BC8"/>
    <w:rsid w:val="00FD2264"/>
    <w:rsid w:val="00FD2349"/>
    <w:rsid w:val="00FD236F"/>
    <w:rsid w:val="00FD27AA"/>
    <w:rsid w:val="00FD2F6D"/>
    <w:rsid w:val="00FD31B2"/>
    <w:rsid w:val="00FD3DAB"/>
    <w:rsid w:val="00FD3E42"/>
    <w:rsid w:val="00FD5509"/>
    <w:rsid w:val="00FD55A9"/>
    <w:rsid w:val="00FD78E0"/>
    <w:rsid w:val="00FD7A2D"/>
    <w:rsid w:val="00FD7AD2"/>
    <w:rsid w:val="00FD7EBA"/>
    <w:rsid w:val="00FE16F9"/>
    <w:rsid w:val="00FE1F31"/>
    <w:rsid w:val="00FE252F"/>
    <w:rsid w:val="00FE32CB"/>
    <w:rsid w:val="00FE3D48"/>
    <w:rsid w:val="00FE5419"/>
    <w:rsid w:val="00FE5E12"/>
    <w:rsid w:val="00FE6411"/>
    <w:rsid w:val="00FE6A99"/>
    <w:rsid w:val="00FE765E"/>
    <w:rsid w:val="00FF1AA5"/>
    <w:rsid w:val="00FF1C9F"/>
    <w:rsid w:val="00FF2468"/>
    <w:rsid w:val="00FF2837"/>
    <w:rsid w:val="00FF4F49"/>
    <w:rsid w:val="00FF5066"/>
    <w:rsid w:val="00FF50D0"/>
    <w:rsid w:val="00FF58FF"/>
    <w:rsid w:val="00FF64B7"/>
    <w:rsid w:val="00FF6686"/>
    <w:rsid w:val="00FF6EBC"/>
    <w:rsid w:val="00FF7179"/>
    <w:rsid w:val="00FF75B3"/>
    <w:rsid w:val="00FF7917"/>
  </w:rsids>
  <m:mathPr>
    <m:mathFont m:val="Cambria Math"/>
    <m:brkBin m:val="before"/>
    <m:brkBinSub m:val="--"/>
    <m:smallFrac m:val="0"/>
    <m:dispDef/>
    <m:lMargin m:val="0"/>
    <m:rMargin m:val="0"/>
    <m:defJc m:val="centerGroup"/>
    <m:wrapIndent m:val="1440"/>
    <m:intLim m:val="subSup"/>
    <m:naryLim m:val="undOvr"/>
  </m:mathPr>
  <w:themeFontLang w:val="en-GB" w:eastAsia="ko-KR"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2958B"/>
  <w15:docId w15:val="{577B1073-E76B-467C-A198-6BB4F7D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F15"/>
    <w:pPr>
      <w:widowControl w:val="0"/>
      <w:autoSpaceDE w:val="0"/>
      <w:autoSpaceDN w:val="0"/>
    </w:pPr>
    <w:rPr>
      <w:rFonts w:eastAsia="Times New Roman"/>
      <w:sz w:val="22"/>
      <w:szCs w:val="22"/>
      <w:lang w:eastAsia="en-US"/>
    </w:rPr>
  </w:style>
  <w:style w:type="paragraph" w:styleId="Heading1">
    <w:name w:val="heading 1"/>
    <w:basedOn w:val="Normal"/>
    <w:next w:val="Normal"/>
    <w:link w:val="Heading1Char"/>
    <w:uiPriority w:val="9"/>
    <w:qFormat/>
    <w:rsid w:val="00EE7A68"/>
    <w:pPr>
      <w:keepNext/>
      <w:numPr>
        <w:numId w:val="21"/>
      </w:numPr>
      <w:spacing w:before="120" w:line="360" w:lineRule="auto"/>
      <w:outlineLvl w:val="0"/>
    </w:pPr>
    <w:rPr>
      <w:rFonts w:eastAsia="DotumChe"/>
      <w:b/>
      <w:sz w:val="24"/>
    </w:rPr>
  </w:style>
  <w:style w:type="paragraph" w:styleId="Heading2">
    <w:name w:val="heading 2"/>
    <w:basedOn w:val="Normal"/>
    <w:next w:val="Normal"/>
    <w:link w:val="Heading2Char"/>
    <w:autoRedefine/>
    <w:qFormat/>
    <w:rsid w:val="00157836"/>
    <w:pPr>
      <w:widowControl/>
      <w:numPr>
        <w:ilvl w:val="1"/>
        <w:numId w:val="21"/>
      </w:numPr>
      <w:spacing w:after="120"/>
      <w:jc w:val="both"/>
      <w:outlineLvl w:val="1"/>
    </w:pPr>
    <w:rPr>
      <w:i/>
      <w:sz w:val="24"/>
      <w:szCs w:val="24"/>
    </w:rPr>
  </w:style>
  <w:style w:type="paragraph" w:styleId="Heading3">
    <w:name w:val="heading 3"/>
    <w:basedOn w:val="Normal"/>
    <w:next w:val="Normal"/>
    <w:link w:val="Heading3Char"/>
    <w:autoRedefine/>
    <w:qFormat/>
    <w:rsid w:val="00EE7A68"/>
    <w:pPr>
      <w:keepNext/>
      <w:numPr>
        <w:ilvl w:val="2"/>
        <w:numId w:val="21"/>
      </w:numPr>
      <w:spacing w:before="120" w:after="120"/>
      <w:jc w:val="both"/>
      <w:outlineLvl w:val="2"/>
    </w:pPr>
    <w:rPr>
      <w:rFonts w:eastAsia="Malgun Gothic"/>
      <w:bCs/>
      <w:i/>
      <w:sz w:val="24"/>
      <w:szCs w:val="24"/>
      <w:lang w:eastAsia="ko-KR"/>
    </w:rPr>
  </w:style>
  <w:style w:type="paragraph" w:styleId="Heading4">
    <w:name w:val="heading 4"/>
    <w:basedOn w:val="Normal"/>
    <w:next w:val="Normal"/>
    <w:link w:val="Heading4Char"/>
    <w:autoRedefine/>
    <w:qFormat/>
    <w:rsid w:val="00BE3409"/>
    <w:pPr>
      <w:keepNext/>
      <w:numPr>
        <w:ilvl w:val="3"/>
        <w:numId w:val="21"/>
      </w:numPr>
      <w:spacing w:before="240" w:line="360" w:lineRule="auto"/>
      <w:outlineLvl w:val="3"/>
    </w:pPr>
    <w:rPr>
      <w:rFonts w:eastAsiaTheme="minorEastAsia"/>
      <w:i/>
      <w:lang w:eastAsia="ko-KR"/>
    </w:rPr>
  </w:style>
  <w:style w:type="paragraph" w:styleId="Heading5">
    <w:name w:val="heading 5"/>
    <w:basedOn w:val="Normal"/>
    <w:next w:val="Normal"/>
    <w:qFormat/>
    <w:rsid w:val="000E4154"/>
    <w:pPr>
      <w:numPr>
        <w:ilvl w:val="4"/>
        <w:numId w:val="21"/>
      </w:numPr>
      <w:tabs>
        <w:tab w:val="left" w:pos="851"/>
      </w:tabs>
      <w:spacing w:before="240" w:line="360" w:lineRule="auto"/>
      <w:outlineLvl w:val="4"/>
    </w:pPr>
    <w:rPr>
      <w:rFonts w:ascii="Arial Narrow" w:hAnsi="Arial Narrow"/>
      <w:b/>
    </w:rPr>
  </w:style>
  <w:style w:type="paragraph" w:styleId="Heading6">
    <w:name w:val="heading 6"/>
    <w:basedOn w:val="Normal"/>
    <w:next w:val="Normal"/>
    <w:link w:val="Heading6Char"/>
    <w:uiPriority w:val="9"/>
    <w:semiHidden/>
    <w:unhideWhenUsed/>
    <w:qFormat/>
    <w:rsid w:val="008E71C4"/>
    <w:pPr>
      <w:widowControl/>
      <w:numPr>
        <w:ilvl w:val="5"/>
        <w:numId w:val="21"/>
      </w:numPr>
      <w:autoSpaceDE/>
      <w:autoSpaceDN/>
      <w:spacing w:before="240" w:after="60"/>
      <w:outlineLvl w:val="5"/>
    </w:pPr>
    <w:rPr>
      <w:rFonts w:ascii="Calibri" w:hAnsi="Calibri"/>
      <w:b/>
      <w:bCs/>
    </w:rPr>
  </w:style>
  <w:style w:type="paragraph" w:styleId="Heading7">
    <w:name w:val="heading 7"/>
    <w:basedOn w:val="Normal"/>
    <w:next w:val="Normal"/>
    <w:qFormat/>
    <w:rsid w:val="000E4154"/>
    <w:pPr>
      <w:numPr>
        <w:ilvl w:val="6"/>
        <w:numId w:val="21"/>
      </w:numPr>
      <w:spacing w:before="240" w:line="360" w:lineRule="auto"/>
      <w:outlineLvl w:val="6"/>
    </w:pPr>
    <w:rPr>
      <w:rFonts w:ascii="Arial" w:hAnsi="Arial"/>
    </w:rPr>
  </w:style>
  <w:style w:type="paragraph" w:styleId="Heading8">
    <w:name w:val="heading 8"/>
    <w:basedOn w:val="Normal"/>
    <w:next w:val="Normal"/>
    <w:qFormat/>
    <w:rsid w:val="000E4154"/>
    <w:pPr>
      <w:numPr>
        <w:ilvl w:val="7"/>
        <w:numId w:val="21"/>
      </w:numPr>
      <w:spacing w:before="240" w:line="360" w:lineRule="auto"/>
      <w:outlineLvl w:val="7"/>
    </w:pPr>
    <w:rPr>
      <w:rFonts w:ascii="Arial" w:hAnsi="Arial"/>
      <w:i/>
    </w:rPr>
  </w:style>
  <w:style w:type="paragraph" w:styleId="Heading9">
    <w:name w:val="heading 9"/>
    <w:basedOn w:val="Normal"/>
    <w:next w:val="Normal"/>
    <w:qFormat/>
    <w:rsid w:val="000E4154"/>
    <w:pPr>
      <w:numPr>
        <w:ilvl w:val="8"/>
        <w:numId w:val="21"/>
      </w:numPr>
      <w:spacing w:before="240" w:line="36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E4154"/>
    <w:pPr>
      <w:snapToGrid w:val="0"/>
    </w:pPr>
    <w:rPr>
      <w:sz w:val="18"/>
    </w:rPr>
  </w:style>
  <w:style w:type="paragraph" w:customStyle="1" w:styleId="Itemheading">
    <w:name w:val="Item heading"/>
    <w:basedOn w:val="Normal"/>
    <w:autoRedefine/>
    <w:rsid w:val="000E4154"/>
    <w:pPr>
      <w:snapToGrid w:val="0"/>
      <w:spacing w:line="360" w:lineRule="auto"/>
    </w:pPr>
    <w:rPr>
      <w:rFonts w:ascii="Arial Narrow" w:hAnsi="Arial Narrow"/>
      <w:u w:val="single"/>
    </w:rPr>
  </w:style>
  <w:style w:type="character" w:customStyle="1" w:styleId="Table">
    <w:name w:val="Table"/>
    <w:rsid w:val="000E4154"/>
    <w:rPr>
      <w:rFonts w:ascii="Arial Narrow" w:hAnsi="Arial Narrow"/>
      <w:sz w:val="20"/>
    </w:rPr>
  </w:style>
  <w:style w:type="paragraph" w:customStyle="1" w:styleId="Style1">
    <w:name w:val="Style1"/>
    <w:basedOn w:val="Normal"/>
    <w:qFormat/>
    <w:rsid w:val="00B2393D"/>
    <w:pPr>
      <w:spacing w:line="360" w:lineRule="auto"/>
    </w:pPr>
    <w:rPr>
      <w:szCs w:val="24"/>
    </w:rPr>
  </w:style>
  <w:style w:type="paragraph" w:styleId="DocumentMap">
    <w:name w:val="Document Map"/>
    <w:basedOn w:val="Normal"/>
    <w:semiHidden/>
    <w:rsid w:val="000E4154"/>
    <w:pPr>
      <w:shd w:val="clear" w:color="auto" w:fill="000080"/>
    </w:pPr>
    <w:rPr>
      <w:rFonts w:ascii="Tahoma" w:hAnsi="Tahoma"/>
    </w:rPr>
  </w:style>
  <w:style w:type="character" w:styleId="FootnoteReference">
    <w:name w:val="footnote reference"/>
    <w:uiPriority w:val="99"/>
    <w:semiHidden/>
    <w:rsid w:val="000E4154"/>
    <w:rPr>
      <w:vertAlign w:val="superscript"/>
    </w:rPr>
  </w:style>
  <w:style w:type="paragraph" w:styleId="Footer">
    <w:name w:val="footer"/>
    <w:basedOn w:val="Normal"/>
    <w:rsid w:val="000E4154"/>
    <w:pPr>
      <w:tabs>
        <w:tab w:val="center" w:pos="4320"/>
        <w:tab w:val="right" w:pos="8640"/>
      </w:tabs>
    </w:pPr>
  </w:style>
  <w:style w:type="character" w:styleId="PageNumber">
    <w:name w:val="page number"/>
    <w:basedOn w:val="DefaultParagraphFont"/>
    <w:rsid w:val="000E4154"/>
  </w:style>
  <w:style w:type="paragraph" w:styleId="Caption">
    <w:name w:val="caption"/>
    <w:basedOn w:val="Normal"/>
    <w:next w:val="Normal"/>
    <w:autoRedefine/>
    <w:qFormat/>
    <w:rsid w:val="00BD77BD"/>
    <w:pPr>
      <w:ind w:right="-471"/>
      <w:jc w:val="center"/>
    </w:pPr>
    <w:rPr>
      <w:b/>
    </w:rPr>
  </w:style>
  <w:style w:type="paragraph" w:customStyle="1" w:styleId="StyleHeading1Justified">
    <w:name w:val="Style Heading 1 + Justified"/>
    <w:basedOn w:val="Heading1"/>
    <w:autoRedefine/>
    <w:rsid w:val="000E4154"/>
    <w:pPr>
      <w:numPr>
        <w:numId w:val="0"/>
      </w:numPr>
      <w:spacing w:before="60" w:line="240" w:lineRule="auto"/>
      <w:jc w:val="center"/>
    </w:pPr>
    <w:rPr>
      <w:b w:val="0"/>
      <w:szCs w:val="24"/>
    </w:rPr>
  </w:style>
  <w:style w:type="character" w:styleId="CommentReference">
    <w:name w:val="annotation reference"/>
    <w:uiPriority w:val="99"/>
    <w:semiHidden/>
    <w:rsid w:val="000E4154"/>
    <w:rPr>
      <w:sz w:val="18"/>
    </w:rPr>
  </w:style>
  <w:style w:type="paragraph" w:styleId="CommentText">
    <w:name w:val="annotation text"/>
    <w:basedOn w:val="Normal"/>
    <w:link w:val="CommentTextChar"/>
    <w:rsid w:val="00DF15D6"/>
    <w:pPr>
      <w:spacing w:line="360" w:lineRule="auto"/>
    </w:pPr>
    <w:rPr>
      <w:rFonts w:ascii="Tahoma" w:hAnsi="Tahoma"/>
    </w:rPr>
  </w:style>
  <w:style w:type="paragraph" w:customStyle="1" w:styleId="Questionnaireitems">
    <w:name w:val="Questionnaire items"/>
    <w:basedOn w:val="Normal"/>
    <w:autoRedefine/>
    <w:rsid w:val="000E4154"/>
    <w:pPr>
      <w:snapToGrid w:val="0"/>
      <w:spacing w:line="360" w:lineRule="auto"/>
    </w:pPr>
  </w:style>
  <w:style w:type="paragraph" w:styleId="BalloonText">
    <w:name w:val="Balloon Text"/>
    <w:basedOn w:val="Normal"/>
    <w:link w:val="BalloonTextChar"/>
    <w:uiPriority w:val="99"/>
    <w:semiHidden/>
    <w:rsid w:val="00DF15D6"/>
    <w:rPr>
      <w:rFonts w:ascii="Tahoma" w:hAnsi="Tahoma" w:cs="Courier New"/>
      <w:szCs w:val="16"/>
    </w:rPr>
  </w:style>
  <w:style w:type="paragraph" w:customStyle="1" w:styleId="Style12ptBoldCentered">
    <w:name w:val="Style 12 pt Bold Centered"/>
    <w:basedOn w:val="Normal"/>
    <w:rsid w:val="000E4154"/>
    <w:pPr>
      <w:jc w:val="center"/>
    </w:pPr>
    <w:rPr>
      <w:b/>
      <w:bCs/>
    </w:rPr>
  </w:style>
  <w:style w:type="paragraph" w:customStyle="1" w:styleId="Bullets">
    <w:name w:val="Bullets"/>
    <w:basedOn w:val="Normal"/>
    <w:rsid w:val="000E4154"/>
    <w:pPr>
      <w:numPr>
        <w:numId w:val="2"/>
      </w:numPr>
      <w:spacing w:after="120"/>
      <w:ind w:left="357" w:hanging="357"/>
    </w:pPr>
  </w:style>
  <w:style w:type="paragraph" w:styleId="TOC1">
    <w:name w:val="toc 1"/>
    <w:basedOn w:val="Normal"/>
    <w:next w:val="Normal"/>
    <w:autoRedefine/>
    <w:semiHidden/>
    <w:rsid w:val="000E4154"/>
    <w:pPr>
      <w:spacing w:before="120" w:after="120"/>
    </w:pPr>
    <w:rPr>
      <w:b/>
      <w:bCs/>
      <w:caps/>
    </w:rPr>
  </w:style>
  <w:style w:type="paragraph" w:styleId="TOC2">
    <w:name w:val="toc 2"/>
    <w:basedOn w:val="Normal"/>
    <w:next w:val="Normal"/>
    <w:autoRedefine/>
    <w:semiHidden/>
    <w:rsid w:val="000E4154"/>
    <w:pPr>
      <w:ind w:left="200"/>
    </w:pPr>
    <w:rPr>
      <w:smallCaps/>
    </w:rPr>
  </w:style>
  <w:style w:type="paragraph" w:styleId="TOC3">
    <w:name w:val="toc 3"/>
    <w:basedOn w:val="Normal"/>
    <w:next w:val="Normal"/>
    <w:autoRedefine/>
    <w:semiHidden/>
    <w:rsid w:val="000E4154"/>
    <w:pPr>
      <w:ind w:left="400"/>
    </w:pPr>
    <w:rPr>
      <w:i/>
      <w:iCs/>
    </w:rPr>
  </w:style>
  <w:style w:type="paragraph" w:styleId="TOC4">
    <w:name w:val="toc 4"/>
    <w:basedOn w:val="Normal"/>
    <w:next w:val="Normal"/>
    <w:autoRedefine/>
    <w:semiHidden/>
    <w:rsid w:val="000E4154"/>
    <w:pPr>
      <w:ind w:left="600"/>
    </w:pPr>
    <w:rPr>
      <w:sz w:val="18"/>
      <w:szCs w:val="18"/>
    </w:rPr>
  </w:style>
  <w:style w:type="paragraph" w:styleId="TOC5">
    <w:name w:val="toc 5"/>
    <w:basedOn w:val="Normal"/>
    <w:next w:val="Normal"/>
    <w:autoRedefine/>
    <w:semiHidden/>
    <w:rsid w:val="000E4154"/>
    <w:pPr>
      <w:ind w:left="800"/>
    </w:pPr>
    <w:rPr>
      <w:sz w:val="18"/>
      <w:szCs w:val="18"/>
    </w:rPr>
  </w:style>
  <w:style w:type="paragraph" w:styleId="TOC6">
    <w:name w:val="toc 6"/>
    <w:basedOn w:val="Normal"/>
    <w:next w:val="Normal"/>
    <w:autoRedefine/>
    <w:semiHidden/>
    <w:rsid w:val="000E4154"/>
    <w:pPr>
      <w:ind w:left="1000"/>
    </w:pPr>
    <w:rPr>
      <w:sz w:val="18"/>
      <w:szCs w:val="18"/>
    </w:rPr>
  </w:style>
  <w:style w:type="paragraph" w:styleId="TOC7">
    <w:name w:val="toc 7"/>
    <w:basedOn w:val="Normal"/>
    <w:next w:val="Normal"/>
    <w:autoRedefine/>
    <w:semiHidden/>
    <w:rsid w:val="000E4154"/>
    <w:pPr>
      <w:ind w:left="1200"/>
    </w:pPr>
    <w:rPr>
      <w:sz w:val="18"/>
      <w:szCs w:val="18"/>
    </w:rPr>
  </w:style>
  <w:style w:type="paragraph" w:styleId="TOC8">
    <w:name w:val="toc 8"/>
    <w:basedOn w:val="Normal"/>
    <w:next w:val="Normal"/>
    <w:autoRedefine/>
    <w:semiHidden/>
    <w:rsid w:val="000E4154"/>
    <w:pPr>
      <w:ind w:left="1400"/>
    </w:pPr>
    <w:rPr>
      <w:sz w:val="18"/>
      <w:szCs w:val="18"/>
    </w:rPr>
  </w:style>
  <w:style w:type="paragraph" w:styleId="TOC9">
    <w:name w:val="toc 9"/>
    <w:basedOn w:val="Normal"/>
    <w:next w:val="Normal"/>
    <w:autoRedefine/>
    <w:semiHidden/>
    <w:rsid w:val="000E4154"/>
    <w:pPr>
      <w:ind w:left="1600"/>
    </w:pPr>
    <w:rPr>
      <w:sz w:val="18"/>
      <w:szCs w:val="18"/>
    </w:rPr>
  </w:style>
  <w:style w:type="character" w:styleId="Hyperlink">
    <w:name w:val="Hyperlink"/>
    <w:uiPriority w:val="99"/>
    <w:rsid w:val="000E4154"/>
    <w:rPr>
      <w:color w:val="0000FF"/>
      <w:u w:val="single"/>
    </w:rPr>
  </w:style>
  <w:style w:type="paragraph" w:styleId="Header">
    <w:name w:val="header"/>
    <w:basedOn w:val="Normal"/>
    <w:rsid w:val="000E4154"/>
    <w:pPr>
      <w:tabs>
        <w:tab w:val="center" w:pos="4153"/>
        <w:tab w:val="right" w:pos="8306"/>
      </w:tabs>
    </w:pPr>
  </w:style>
  <w:style w:type="character" w:styleId="FollowedHyperlink">
    <w:name w:val="FollowedHyperlink"/>
    <w:rsid w:val="000E4154"/>
    <w:rPr>
      <w:color w:val="800080"/>
      <w:u w:val="single"/>
    </w:rPr>
  </w:style>
  <w:style w:type="paragraph" w:styleId="CommentSubject">
    <w:name w:val="annotation subject"/>
    <w:basedOn w:val="CommentText"/>
    <w:next w:val="CommentText"/>
    <w:semiHidden/>
    <w:rsid w:val="000E4154"/>
    <w:pPr>
      <w:spacing w:line="240" w:lineRule="auto"/>
      <w:jc w:val="both"/>
    </w:pPr>
    <w:rPr>
      <w:b/>
      <w:bCs/>
    </w:rPr>
  </w:style>
  <w:style w:type="paragraph" w:styleId="Date">
    <w:name w:val="Date"/>
    <w:basedOn w:val="Normal"/>
    <w:next w:val="Normal"/>
    <w:rsid w:val="009D05C4"/>
  </w:style>
  <w:style w:type="paragraph" w:styleId="HTMLPreformatted">
    <w:name w:val="HTML Preformatted"/>
    <w:basedOn w:val="Normal"/>
    <w:rsid w:val="000E4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rPr>
  </w:style>
  <w:style w:type="table" w:styleId="TableGrid">
    <w:name w:val="Table Grid"/>
    <w:basedOn w:val="TableNormal"/>
    <w:uiPriority w:val="39"/>
    <w:rsid w:val="00D664B7"/>
    <w:pPr>
      <w:widowControl w:val="0"/>
      <w:wordWrap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CF9"/>
    <w:rPr>
      <w:i/>
      <w:iCs/>
    </w:rPr>
  </w:style>
  <w:style w:type="paragraph" w:styleId="NormalWeb">
    <w:name w:val="Normal (Web)"/>
    <w:basedOn w:val="Normal"/>
    <w:uiPriority w:val="99"/>
    <w:unhideWhenUsed/>
    <w:rsid w:val="005F4C75"/>
    <w:pPr>
      <w:widowControl/>
      <w:spacing w:before="100" w:beforeAutospacing="1" w:after="100" w:afterAutospacing="1"/>
    </w:pPr>
    <w:rPr>
      <w:szCs w:val="24"/>
      <w:lang w:eastAsia="en-GB"/>
    </w:rPr>
  </w:style>
  <w:style w:type="paragraph" w:styleId="NoSpacing">
    <w:name w:val="No Spacing"/>
    <w:link w:val="NoSpacingChar"/>
    <w:uiPriority w:val="1"/>
    <w:qFormat/>
    <w:rsid w:val="00105CAD"/>
    <w:rPr>
      <w:rFonts w:ascii="Calibri" w:eastAsia="Times New Roman" w:hAnsi="Calibri"/>
      <w:sz w:val="22"/>
      <w:szCs w:val="22"/>
      <w:lang w:val="en-US" w:eastAsia="en-US"/>
    </w:rPr>
  </w:style>
  <w:style w:type="character" w:customStyle="1" w:styleId="NoSpacingChar">
    <w:name w:val="No Spacing Char"/>
    <w:link w:val="NoSpacing"/>
    <w:uiPriority w:val="1"/>
    <w:rsid w:val="00105CAD"/>
    <w:rPr>
      <w:rFonts w:ascii="Calibri" w:eastAsia="Times New Roman" w:hAnsi="Calibri"/>
      <w:sz w:val="22"/>
      <w:szCs w:val="22"/>
      <w:lang w:val="en-US" w:eastAsia="en-US" w:bidi="ar-SA"/>
    </w:rPr>
  </w:style>
  <w:style w:type="character" w:customStyle="1" w:styleId="Heading4Char">
    <w:name w:val="Heading 4 Char"/>
    <w:link w:val="Heading4"/>
    <w:rsid w:val="00BE3409"/>
    <w:rPr>
      <w:rFonts w:eastAsiaTheme="minorEastAsia"/>
      <w:i/>
      <w:sz w:val="22"/>
      <w:szCs w:val="22"/>
    </w:rPr>
  </w:style>
  <w:style w:type="character" w:customStyle="1" w:styleId="CommentTextChar">
    <w:name w:val="Comment Text Char"/>
    <w:link w:val="CommentText"/>
    <w:rsid w:val="00DF15D6"/>
    <w:rPr>
      <w:rFonts w:ascii="Tahoma" w:eastAsia="BatangChe" w:hAnsi="Tahoma"/>
      <w:kern w:val="2"/>
    </w:rPr>
  </w:style>
  <w:style w:type="paragraph" w:customStyle="1" w:styleId="Style">
    <w:name w:val="Style"/>
    <w:basedOn w:val="Caption"/>
    <w:autoRedefine/>
    <w:rsid w:val="000B3DF1"/>
    <w:rPr>
      <w:bCs/>
      <w:i/>
      <w:iCs/>
    </w:rPr>
  </w:style>
  <w:style w:type="paragraph" w:styleId="Revision">
    <w:name w:val="Revision"/>
    <w:hidden/>
    <w:uiPriority w:val="99"/>
    <w:semiHidden/>
    <w:rsid w:val="000B3DF1"/>
    <w:rPr>
      <w:rFonts w:eastAsia="BatangChe"/>
      <w:kern w:val="2"/>
    </w:rPr>
  </w:style>
  <w:style w:type="paragraph" w:styleId="ListParagraph">
    <w:name w:val="List Paragraph"/>
    <w:basedOn w:val="Normal"/>
    <w:uiPriority w:val="34"/>
    <w:qFormat/>
    <w:rsid w:val="0073107B"/>
    <w:pPr>
      <w:ind w:left="720"/>
      <w:contextualSpacing/>
    </w:pPr>
  </w:style>
  <w:style w:type="character" w:customStyle="1" w:styleId="fontstylehellgrau">
    <w:name w:val="fontstyle_hell_grau"/>
    <w:basedOn w:val="DefaultParagraphFont"/>
    <w:rsid w:val="00CF009D"/>
  </w:style>
  <w:style w:type="paragraph" w:customStyle="1" w:styleId="a">
    <w:name w:val="바탕글"/>
    <w:rsid w:val="00221DF8"/>
    <w:pPr>
      <w:widowControl w:val="0"/>
      <w:autoSpaceDE w:val="0"/>
      <w:autoSpaceDN w:val="0"/>
      <w:adjustRightInd w:val="0"/>
      <w:spacing w:line="259" w:lineRule="auto"/>
      <w:textAlignment w:val="baseline"/>
    </w:pPr>
    <w:rPr>
      <w:rFonts w:ascii="BatangChe" w:eastAsia="BatangChe"/>
      <w:color w:val="000000"/>
      <w:lang w:val="en-US"/>
    </w:rPr>
  </w:style>
  <w:style w:type="paragraph" w:styleId="BodyText">
    <w:name w:val="Body Text"/>
    <w:basedOn w:val="Normal"/>
    <w:link w:val="BodyTextChar"/>
    <w:autoRedefine/>
    <w:unhideWhenUsed/>
    <w:qFormat/>
    <w:rsid w:val="00566B02"/>
    <w:pPr>
      <w:widowControl/>
      <w:autoSpaceDE/>
      <w:autoSpaceDN/>
      <w:spacing w:before="60" w:after="60" w:line="480" w:lineRule="auto"/>
      <w:ind w:right="11" w:firstLine="720"/>
      <w:jc w:val="both"/>
    </w:pPr>
    <w:rPr>
      <w:color w:val="000000"/>
      <w:lang w:eastAsia="en-IE"/>
    </w:rPr>
  </w:style>
  <w:style w:type="character" w:customStyle="1" w:styleId="BodyTextChar">
    <w:name w:val="Body Text Char"/>
    <w:basedOn w:val="DefaultParagraphFont"/>
    <w:link w:val="BodyText"/>
    <w:rsid w:val="00566B02"/>
    <w:rPr>
      <w:rFonts w:eastAsia="Times New Roman"/>
      <w:color w:val="000000"/>
      <w:sz w:val="22"/>
      <w:szCs w:val="22"/>
      <w:lang w:eastAsia="en-IE"/>
    </w:rPr>
  </w:style>
  <w:style w:type="paragraph" w:customStyle="1" w:styleId="TableParagraph">
    <w:name w:val="Table Paragraph"/>
    <w:basedOn w:val="Normal"/>
    <w:uiPriority w:val="1"/>
    <w:qFormat/>
    <w:rsid w:val="0042781F"/>
  </w:style>
  <w:style w:type="character" w:customStyle="1" w:styleId="Heading3Char">
    <w:name w:val="Heading 3 Char"/>
    <w:basedOn w:val="DefaultParagraphFont"/>
    <w:link w:val="Heading3"/>
    <w:rsid w:val="00EE7A68"/>
    <w:rPr>
      <w:rFonts w:eastAsia="Malgun Gothic"/>
      <w:bCs/>
      <w:i/>
      <w:sz w:val="24"/>
      <w:szCs w:val="24"/>
    </w:rPr>
  </w:style>
  <w:style w:type="character" w:customStyle="1" w:styleId="Heading6Char">
    <w:name w:val="Heading 6 Char"/>
    <w:basedOn w:val="DefaultParagraphFont"/>
    <w:link w:val="Heading6"/>
    <w:uiPriority w:val="9"/>
    <w:semiHidden/>
    <w:rsid w:val="008E71C4"/>
    <w:rPr>
      <w:rFonts w:ascii="Calibri" w:eastAsia="Times New Roman" w:hAnsi="Calibri"/>
      <w:b/>
      <w:bCs/>
      <w:sz w:val="22"/>
      <w:szCs w:val="22"/>
      <w:lang w:eastAsia="en-US"/>
    </w:rPr>
  </w:style>
  <w:style w:type="paragraph" w:customStyle="1" w:styleId="Affiliation">
    <w:name w:val="Affiliation"/>
    <w:basedOn w:val="Normal"/>
    <w:uiPriority w:val="99"/>
    <w:rsid w:val="008E71C4"/>
    <w:pPr>
      <w:widowControl/>
      <w:autoSpaceDE/>
      <w:autoSpaceDN/>
      <w:spacing w:after="240" w:line="280" w:lineRule="exact"/>
      <w:jc w:val="center"/>
    </w:pPr>
    <w:rPr>
      <w:sz w:val="20"/>
      <w:szCs w:val="20"/>
      <w:lang w:val="en-IE"/>
    </w:rPr>
  </w:style>
  <w:style w:type="character" w:styleId="PlaceholderText">
    <w:name w:val="Placeholder Text"/>
    <w:basedOn w:val="DefaultParagraphFont"/>
    <w:uiPriority w:val="99"/>
    <w:semiHidden/>
    <w:rsid w:val="00A556B6"/>
    <w:rPr>
      <w:color w:val="808080"/>
    </w:rPr>
  </w:style>
  <w:style w:type="paragraph" w:customStyle="1" w:styleId="Body">
    <w:name w:val="Body"/>
    <w:basedOn w:val="FootnoteText"/>
    <w:link w:val="BodyChar"/>
    <w:rsid w:val="00DC134E"/>
    <w:pPr>
      <w:widowControl/>
      <w:autoSpaceDE/>
      <w:autoSpaceDN/>
      <w:spacing w:after="120" w:line="360" w:lineRule="auto"/>
      <w:jc w:val="both"/>
    </w:pPr>
    <w:rPr>
      <w:sz w:val="24"/>
    </w:rPr>
  </w:style>
  <w:style w:type="character" w:customStyle="1" w:styleId="BodyChar">
    <w:name w:val="Body Char"/>
    <w:link w:val="Body"/>
    <w:rsid w:val="00DC134E"/>
    <w:rPr>
      <w:rFonts w:eastAsia="Times New Roman"/>
      <w:sz w:val="24"/>
      <w:szCs w:val="22"/>
      <w:lang w:eastAsia="en-US"/>
    </w:rPr>
  </w:style>
  <w:style w:type="character" w:customStyle="1" w:styleId="Heading1Char">
    <w:name w:val="Heading 1 Char"/>
    <w:basedOn w:val="DefaultParagraphFont"/>
    <w:link w:val="Heading1"/>
    <w:uiPriority w:val="9"/>
    <w:rsid w:val="00C67365"/>
    <w:rPr>
      <w:rFonts w:eastAsia="DotumChe"/>
      <w:b/>
      <w:sz w:val="24"/>
      <w:szCs w:val="22"/>
      <w:lang w:eastAsia="en-US"/>
    </w:rPr>
  </w:style>
  <w:style w:type="character" w:customStyle="1" w:styleId="Heading2Char">
    <w:name w:val="Heading 2 Char"/>
    <w:basedOn w:val="DefaultParagraphFont"/>
    <w:link w:val="Heading2"/>
    <w:rsid w:val="00157836"/>
    <w:rPr>
      <w:rFonts w:eastAsia="Times New Roman"/>
      <w:i/>
      <w:sz w:val="24"/>
      <w:szCs w:val="24"/>
      <w:lang w:eastAsia="en-US"/>
    </w:rPr>
  </w:style>
  <w:style w:type="character" w:customStyle="1" w:styleId="FootnoteTextChar">
    <w:name w:val="Footnote Text Char"/>
    <w:basedOn w:val="DefaultParagraphFont"/>
    <w:link w:val="FootnoteText"/>
    <w:uiPriority w:val="99"/>
    <w:semiHidden/>
    <w:rsid w:val="00810C57"/>
    <w:rPr>
      <w:rFonts w:eastAsia="Times New Roman"/>
      <w:sz w:val="18"/>
      <w:szCs w:val="22"/>
      <w:lang w:eastAsia="en-US"/>
    </w:rPr>
  </w:style>
  <w:style w:type="character" w:styleId="EndnoteReference">
    <w:name w:val="endnote reference"/>
    <w:basedOn w:val="DefaultParagraphFont"/>
    <w:semiHidden/>
    <w:unhideWhenUsed/>
    <w:rsid w:val="00366677"/>
    <w:rPr>
      <w:vertAlign w:val="superscript"/>
    </w:rPr>
  </w:style>
  <w:style w:type="character" w:customStyle="1" w:styleId="UnresolvedMention1">
    <w:name w:val="Unresolved Mention1"/>
    <w:basedOn w:val="DefaultParagraphFont"/>
    <w:uiPriority w:val="99"/>
    <w:semiHidden/>
    <w:unhideWhenUsed/>
    <w:rsid w:val="00D94CE7"/>
    <w:rPr>
      <w:color w:val="605E5C"/>
      <w:shd w:val="clear" w:color="auto" w:fill="E1DFDD"/>
    </w:rPr>
  </w:style>
  <w:style w:type="character" w:styleId="Strong">
    <w:name w:val="Strong"/>
    <w:basedOn w:val="DefaultParagraphFont"/>
    <w:uiPriority w:val="22"/>
    <w:qFormat/>
    <w:rsid w:val="005921DA"/>
    <w:rPr>
      <w:b/>
      <w:bCs/>
    </w:rPr>
  </w:style>
  <w:style w:type="character" w:customStyle="1" w:styleId="1">
    <w:name w:val="확인되지 않은 멘션1"/>
    <w:basedOn w:val="DefaultParagraphFont"/>
    <w:uiPriority w:val="99"/>
    <w:semiHidden/>
    <w:unhideWhenUsed/>
    <w:rsid w:val="006807A9"/>
    <w:rPr>
      <w:color w:val="605E5C"/>
      <w:shd w:val="clear" w:color="auto" w:fill="E1DFDD"/>
    </w:rPr>
  </w:style>
  <w:style w:type="character" w:customStyle="1" w:styleId="BalloonTextChar">
    <w:name w:val="Balloon Text Char"/>
    <w:basedOn w:val="DefaultParagraphFont"/>
    <w:link w:val="BalloonText"/>
    <w:uiPriority w:val="99"/>
    <w:semiHidden/>
    <w:rsid w:val="00E9015E"/>
    <w:rPr>
      <w:rFonts w:ascii="Tahoma" w:eastAsia="Times New Roman" w:hAnsi="Tahoma" w:cs="Courier New"/>
      <w:sz w:val="22"/>
      <w:szCs w:val="16"/>
      <w:lang w:eastAsia="en-US"/>
    </w:rPr>
  </w:style>
  <w:style w:type="table" w:customStyle="1" w:styleId="TableGrid1">
    <w:name w:val="Table Grid1"/>
    <w:basedOn w:val="TableNormal"/>
    <w:next w:val="TableGrid"/>
    <w:uiPriority w:val="59"/>
    <w:rsid w:val="00E9015E"/>
    <w:pPr>
      <w:jc w:val="both"/>
    </w:pPr>
    <w:rPr>
      <w:rFonts w:asciiTheme="minorHAnsi" w:eastAsiaTheme="minorEastAsia" w:hAnsiTheme="minorHAnsi" w:cstheme="minorBidi"/>
      <w:kern w:val="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0210">
      <w:bodyDiv w:val="1"/>
      <w:marLeft w:val="0"/>
      <w:marRight w:val="0"/>
      <w:marTop w:val="0"/>
      <w:marBottom w:val="0"/>
      <w:divBdr>
        <w:top w:val="none" w:sz="0" w:space="0" w:color="auto"/>
        <w:left w:val="none" w:sz="0" w:space="0" w:color="auto"/>
        <w:bottom w:val="none" w:sz="0" w:space="0" w:color="auto"/>
        <w:right w:val="none" w:sz="0" w:space="0" w:color="auto"/>
      </w:divBdr>
    </w:div>
    <w:div w:id="53282066">
      <w:bodyDiv w:val="1"/>
      <w:marLeft w:val="0"/>
      <w:marRight w:val="0"/>
      <w:marTop w:val="0"/>
      <w:marBottom w:val="0"/>
      <w:divBdr>
        <w:top w:val="none" w:sz="0" w:space="0" w:color="auto"/>
        <w:left w:val="none" w:sz="0" w:space="0" w:color="auto"/>
        <w:bottom w:val="none" w:sz="0" w:space="0" w:color="auto"/>
        <w:right w:val="none" w:sz="0" w:space="0" w:color="auto"/>
      </w:divBdr>
    </w:div>
    <w:div w:id="91752452">
      <w:bodyDiv w:val="1"/>
      <w:marLeft w:val="0"/>
      <w:marRight w:val="0"/>
      <w:marTop w:val="0"/>
      <w:marBottom w:val="0"/>
      <w:divBdr>
        <w:top w:val="none" w:sz="0" w:space="0" w:color="auto"/>
        <w:left w:val="none" w:sz="0" w:space="0" w:color="auto"/>
        <w:bottom w:val="none" w:sz="0" w:space="0" w:color="auto"/>
        <w:right w:val="none" w:sz="0" w:space="0" w:color="auto"/>
      </w:divBdr>
    </w:div>
    <w:div w:id="104229321">
      <w:bodyDiv w:val="1"/>
      <w:marLeft w:val="0"/>
      <w:marRight w:val="0"/>
      <w:marTop w:val="0"/>
      <w:marBottom w:val="0"/>
      <w:divBdr>
        <w:top w:val="none" w:sz="0" w:space="0" w:color="auto"/>
        <w:left w:val="none" w:sz="0" w:space="0" w:color="auto"/>
        <w:bottom w:val="none" w:sz="0" w:space="0" w:color="auto"/>
        <w:right w:val="none" w:sz="0" w:space="0" w:color="auto"/>
      </w:divBdr>
      <w:divsChild>
        <w:div w:id="581910404">
          <w:marLeft w:val="0"/>
          <w:marRight w:val="0"/>
          <w:marTop w:val="0"/>
          <w:marBottom w:val="0"/>
          <w:divBdr>
            <w:top w:val="none" w:sz="0" w:space="0" w:color="auto"/>
            <w:left w:val="none" w:sz="0" w:space="0" w:color="auto"/>
            <w:bottom w:val="none" w:sz="0" w:space="0" w:color="auto"/>
            <w:right w:val="none" w:sz="0" w:space="0" w:color="auto"/>
          </w:divBdr>
        </w:div>
        <w:div w:id="982079614">
          <w:marLeft w:val="0"/>
          <w:marRight w:val="0"/>
          <w:marTop w:val="0"/>
          <w:marBottom w:val="0"/>
          <w:divBdr>
            <w:top w:val="none" w:sz="0" w:space="0" w:color="auto"/>
            <w:left w:val="none" w:sz="0" w:space="0" w:color="auto"/>
            <w:bottom w:val="none" w:sz="0" w:space="0" w:color="auto"/>
            <w:right w:val="none" w:sz="0" w:space="0" w:color="auto"/>
          </w:divBdr>
        </w:div>
        <w:div w:id="1127815912">
          <w:marLeft w:val="0"/>
          <w:marRight w:val="0"/>
          <w:marTop w:val="0"/>
          <w:marBottom w:val="0"/>
          <w:divBdr>
            <w:top w:val="none" w:sz="0" w:space="0" w:color="auto"/>
            <w:left w:val="none" w:sz="0" w:space="0" w:color="auto"/>
            <w:bottom w:val="none" w:sz="0" w:space="0" w:color="auto"/>
            <w:right w:val="none" w:sz="0" w:space="0" w:color="auto"/>
          </w:divBdr>
        </w:div>
        <w:div w:id="1401439808">
          <w:marLeft w:val="0"/>
          <w:marRight w:val="0"/>
          <w:marTop w:val="0"/>
          <w:marBottom w:val="0"/>
          <w:divBdr>
            <w:top w:val="none" w:sz="0" w:space="0" w:color="auto"/>
            <w:left w:val="none" w:sz="0" w:space="0" w:color="auto"/>
            <w:bottom w:val="none" w:sz="0" w:space="0" w:color="auto"/>
            <w:right w:val="none" w:sz="0" w:space="0" w:color="auto"/>
          </w:divBdr>
        </w:div>
        <w:div w:id="1493453285">
          <w:marLeft w:val="0"/>
          <w:marRight w:val="0"/>
          <w:marTop w:val="0"/>
          <w:marBottom w:val="0"/>
          <w:divBdr>
            <w:top w:val="none" w:sz="0" w:space="0" w:color="auto"/>
            <w:left w:val="none" w:sz="0" w:space="0" w:color="auto"/>
            <w:bottom w:val="none" w:sz="0" w:space="0" w:color="auto"/>
            <w:right w:val="none" w:sz="0" w:space="0" w:color="auto"/>
          </w:divBdr>
        </w:div>
        <w:div w:id="2038697029">
          <w:marLeft w:val="0"/>
          <w:marRight w:val="0"/>
          <w:marTop w:val="0"/>
          <w:marBottom w:val="0"/>
          <w:divBdr>
            <w:top w:val="none" w:sz="0" w:space="0" w:color="auto"/>
            <w:left w:val="none" w:sz="0" w:space="0" w:color="auto"/>
            <w:bottom w:val="none" w:sz="0" w:space="0" w:color="auto"/>
            <w:right w:val="none" w:sz="0" w:space="0" w:color="auto"/>
          </w:divBdr>
        </w:div>
      </w:divsChild>
    </w:div>
    <w:div w:id="211310526">
      <w:bodyDiv w:val="1"/>
      <w:marLeft w:val="0"/>
      <w:marRight w:val="0"/>
      <w:marTop w:val="0"/>
      <w:marBottom w:val="0"/>
      <w:divBdr>
        <w:top w:val="none" w:sz="0" w:space="0" w:color="auto"/>
        <w:left w:val="none" w:sz="0" w:space="0" w:color="auto"/>
        <w:bottom w:val="none" w:sz="0" w:space="0" w:color="auto"/>
        <w:right w:val="none" w:sz="0" w:space="0" w:color="auto"/>
      </w:divBdr>
    </w:div>
    <w:div w:id="261492305">
      <w:bodyDiv w:val="1"/>
      <w:marLeft w:val="0"/>
      <w:marRight w:val="0"/>
      <w:marTop w:val="0"/>
      <w:marBottom w:val="0"/>
      <w:divBdr>
        <w:top w:val="none" w:sz="0" w:space="0" w:color="auto"/>
        <w:left w:val="none" w:sz="0" w:space="0" w:color="auto"/>
        <w:bottom w:val="none" w:sz="0" w:space="0" w:color="auto"/>
        <w:right w:val="none" w:sz="0" w:space="0" w:color="auto"/>
      </w:divBdr>
    </w:div>
    <w:div w:id="281884866">
      <w:bodyDiv w:val="1"/>
      <w:marLeft w:val="0"/>
      <w:marRight w:val="0"/>
      <w:marTop w:val="0"/>
      <w:marBottom w:val="0"/>
      <w:divBdr>
        <w:top w:val="none" w:sz="0" w:space="0" w:color="auto"/>
        <w:left w:val="none" w:sz="0" w:space="0" w:color="auto"/>
        <w:bottom w:val="none" w:sz="0" w:space="0" w:color="auto"/>
        <w:right w:val="none" w:sz="0" w:space="0" w:color="auto"/>
      </w:divBdr>
      <w:divsChild>
        <w:div w:id="2143423582">
          <w:marLeft w:val="0"/>
          <w:marRight w:val="0"/>
          <w:marTop w:val="0"/>
          <w:marBottom w:val="0"/>
          <w:divBdr>
            <w:top w:val="none" w:sz="0" w:space="0" w:color="auto"/>
            <w:left w:val="none" w:sz="0" w:space="0" w:color="auto"/>
            <w:bottom w:val="none" w:sz="0" w:space="0" w:color="auto"/>
            <w:right w:val="none" w:sz="0" w:space="0" w:color="auto"/>
          </w:divBdr>
        </w:div>
      </w:divsChild>
    </w:div>
    <w:div w:id="312178880">
      <w:bodyDiv w:val="1"/>
      <w:marLeft w:val="0"/>
      <w:marRight w:val="0"/>
      <w:marTop w:val="0"/>
      <w:marBottom w:val="0"/>
      <w:divBdr>
        <w:top w:val="none" w:sz="0" w:space="0" w:color="auto"/>
        <w:left w:val="none" w:sz="0" w:space="0" w:color="auto"/>
        <w:bottom w:val="none" w:sz="0" w:space="0" w:color="auto"/>
        <w:right w:val="none" w:sz="0" w:space="0" w:color="auto"/>
      </w:divBdr>
    </w:div>
    <w:div w:id="404181120">
      <w:bodyDiv w:val="1"/>
      <w:marLeft w:val="0"/>
      <w:marRight w:val="0"/>
      <w:marTop w:val="0"/>
      <w:marBottom w:val="0"/>
      <w:divBdr>
        <w:top w:val="none" w:sz="0" w:space="0" w:color="auto"/>
        <w:left w:val="none" w:sz="0" w:space="0" w:color="auto"/>
        <w:bottom w:val="none" w:sz="0" w:space="0" w:color="auto"/>
        <w:right w:val="none" w:sz="0" w:space="0" w:color="auto"/>
      </w:divBdr>
    </w:div>
    <w:div w:id="461047049">
      <w:bodyDiv w:val="1"/>
      <w:marLeft w:val="0"/>
      <w:marRight w:val="0"/>
      <w:marTop w:val="0"/>
      <w:marBottom w:val="0"/>
      <w:divBdr>
        <w:top w:val="none" w:sz="0" w:space="0" w:color="auto"/>
        <w:left w:val="none" w:sz="0" w:space="0" w:color="auto"/>
        <w:bottom w:val="none" w:sz="0" w:space="0" w:color="auto"/>
        <w:right w:val="none" w:sz="0" w:space="0" w:color="auto"/>
      </w:divBdr>
    </w:div>
    <w:div w:id="465584442">
      <w:bodyDiv w:val="1"/>
      <w:marLeft w:val="0"/>
      <w:marRight w:val="0"/>
      <w:marTop w:val="0"/>
      <w:marBottom w:val="0"/>
      <w:divBdr>
        <w:top w:val="none" w:sz="0" w:space="0" w:color="auto"/>
        <w:left w:val="none" w:sz="0" w:space="0" w:color="auto"/>
        <w:bottom w:val="none" w:sz="0" w:space="0" w:color="auto"/>
        <w:right w:val="none" w:sz="0" w:space="0" w:color="auto"/>
      </w:divBdr>
      <w:divsChild>
        <w:div w:id="497353125">
          <w:marLeft w:val="0"/>
          <w:marRight w:val="0"/>
          <w:marTop w:val="0"/>
          <w:marBottom w:val="0"/>
          <w:divBdr>
            <w:top w:val="none" w:sz="0" w:space="0" w:color="auto"/>
            <w:left w:val="none" w:sz="0" w:space="0" w:color="auto"/>
            <w:bottom w:val="none" w:sz="0" w:space="0" w:color="auto"/>
            <w:right w:val="none" w:sz="0" w:space="0" w:color="auto"/>
          </w:divBdr>
        </w:div>
      </w:divsChild>
    </w:div>
    <w:div w:id="483395172">
      <w:bodyDiv w:val="1"/>
      <w:marLeft w:val="0"/>
      <w:marRight w:val="0"/>
      <w:marTop w:val="0"/>
      <w:marBottom w:val="0"/>
      <w:divBdr>
        <w:top w:val="none" w:sz="0" w:space="0" w:color="auto"/>
        <w:left w:val="none" w:sz="0" w:space="0" w:color="auto"/>
        <w:bottom w:val="none" w:sz="0" w:space="0" w:color="auto"/>
        <w:right w:val="none" w:sz="0" w:space="0" w:color="auto"/>
      </w:divBdr>
      <w:divsChild>
        <w:div w:id="220406907">
          <w:marLeft w:val="0"/>
          <w:marRight w:val="0"/>
          <w:marTop w:val="0"/>
          <w:marBottom w:val="0"/>
          <w:divBdr>
            <w:top w:val="none" w:sz="0" w:space="0" w:color="auto"/>
            <w:left w:val="none" w:sz="0" w:space="0" w:color="auto"/>
            <w:bottom w:val="none" w:sz="0" w:space="0" w:color="auto"/>
            <w:right w:val="none" w:sz="0" w:space="0" w:color="auto"/>
          </w:divBdr>
        </w:div>
      </w:divsChild>
    </w:div>
    <w:div w:id="522477367">
      <w:bodyDiv w:val="1"/>
      <w:marLeft w:val="0"/>
      <w:marRight w:val="0"/>
      <w:marTop w:val="0"/>
      <w:marBottom w:val="0"/>
      <w:divBdr>
        <w:top w:val="none" w:sz="0" w:space="0" w:color="auto"/>
        <w:left w:val="none" w:sz="0" w:space="0" w:color="auto"/>
        <w:bottom w:val="none" w:sz="0" w:space="0" w:color="auto"/>
        <w:right w:val="none" w:sz="0" w:space="0" w:color="auto"/>
      </w:divBdr>
    </w:div>
    <w:div w:id="557982762">
      <w:bodyDiv w:val="1"/>
      <w:marLeft w:val="0"/>
      <w:marRight w:val="0"/>
      <w:marTop w:val="0"/>
      <w:marBottom w:val="0"/>
      <w:divBdr>
        <w:top w:val="none" w:sz="0" w:space="0" w:color="auto"/>
        <w:left w:val="none" w:sz="0" w:space="0" w:color="auto"/>
        <w:bottom w:val="none" w:sz="0" w:space="0" w:color="auto"/>
        <w:right w:val="none" w:sz="0" w:space="0" w:color="auto"/>
      </w:divBdr>
      <w:divsChild>
        <w:div w:id="14306173">
          <w:marLeft w:val="0"/>
          <w:marRight w:val="0"/>
          <w:marTop w:val="0"/>
          <w:marBottom w:val="0"/>
          <w:divBdr>
            <w:top w:val="none" w:sz="0" w:space="0" w:color="auto"/>
            <w:left w:val="none" w:sz="0" w:space="0" w:color="auto"/>
            <w:bottom w:val="none" w:sz="0" w:space="0" w:color="auto"/>
            <w:right w:val="none" w:sz="0" w:space="0" w:color="auto"/>
          </w:divBdr>
        </w:div>
      </w:divsChild>
    </w:div>
    <w:div w:id="594751827">
      <w:bodyDiv w:val="1"/>
      <w:marLeft w:val="0"/>
      <w:marRight w:val="0"/>
      <w:marTop w:val="0"/>
      <w:marBottom w:val="0"/>
      <w:divBdr>
        <w:top w:val="none" w:sz="0" w:space="0" w:color="auto"/>
        <w:left w:val="none" w:sz="0" w:space="0" w:color="auto"/>
        <w:bottom w:val="none" w:sz="0" w:space="0" w:color="auto"/>
        <w:right w:val="none" w:sz="0" w:space="0" w:color="auto"/>
      </w:divBdr>
      <w:divsChild>
        <w:div w:id="773597628">
          <w:marLeft w:val="0"/>
          <w:marRight w:val="0"/>
          <w:marTop w:val="0"/>
          <w:marBottom w:val="0"/>
          <w:divBdr>
            <w:top w:val="none" w:sz="0" w:space="0" w:color="auto"/>
            <w:left w:val="none" w:sz="0" w:space="0" w:color="auto"/>
            <w:bottom w:val="none" w:sz="0" w:space="0" w:color="auto"/>
            <w:right w:val="none" w:sz="0" w:space="0" w:color="auto"/>
          </w:divBdr>
        </w:div>
      </w:divsChild>
    </w:div>
    <w:div w:id="663899905">
      <w:bodyDiv w:val="1"/>
      <w:marLeft w:val="0"/>
      <w:marRight w:val="0"/>
      <w:marTop w:val="0"/>
      <w:marBottom w:val="0"/>
      <w:divBdr>
        <w:top w:val="none" w:sz="0" w:space="0" w:color="auto"/>
        <w:left w:val="none" w:sz="0" w:space="0" w:color="auto"/>
        <w:bottom w:val="none" w:sz="0" w:space="0" w:color="auto"/>
        <w:right w:val="none" w:sz="0" w:space="0" w:color="auto"/>
      </w:divBdr>
    </w:div>
    <w:div w:id="688028317">
      <w:bodyDiv w:val="1"/>
      <w:marLeft w:val="0"/>
      <w:marRight w:val="0"/>
      <w:marTop w:val="0"/>
      <w:marBottom w:val="0"/>
      <w:divBdr>
        <w:top w:val="none" w:sz="0" w:space="0" w:color="auto"/>
        <w:left w:val="none" w:sz="0" w:space="0" w:color="auto"/>
        <w:bottom w:val="none" w:sz="0" w:space="0" w:color="auto"/>
        <w:right w:val="none" w:sz="0" w:space="0" w:color="auto"/>
      </w:divBdr>
      <w:divsChild>
        <w:div w:id="1580209731">
          <w:marLeft w:val="0"/>
          <w:marRight w:val="0"/>
          <w:marTop w:val="0"/>
          <w:marBottom w:val="0"/>
          <w:divBdr>
            <w:top w:val="none" w:sz="0" w:space="0" w:color="auto"/>
            <w:left w:val="none" w:sz="0" w:space="0" w:color="auto"/>
            <w:bottom w:val="none" w:sz="0" w:space="0" w:color="auto"/>
            <w:right w:val="none" w:sz="0" w:space="0" w:color="auto"/>
          </w:divBdr>
          <w:divsChild>
            <w:div w:id="70085882">
              <w:marLeft w:val="0"/>
              <w:marRight w:val="0"/>
              <w:marTop w:val="0"/>
              <w:marBottom w:val="0"/>
              <w:divBdr>
                <w:top w:val="none" w:sz="0" w:space="0" w:color="auto"/>
                <w:left w:val="none" w:sz="0" w:space="0" w:color="auto"/>
                <w:bottom w:val="none" w:sz="0" w:space="0" w:color="auto"/>
                <w:right w:val="none" w:sz="0" w:space="0" w:color="auto"/>
              </w:divBdr>
              <w:divsChild>
                <w:div w:id="7137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3589">
      <w:bodyDiv w:val="1"/>
      <w:marLeft w:val="0"/>
      <w:marRight w:val="0"/>
      <w:marTop w:val="0"/>
      <w:marBottom w:val="0"/>
      <w:divBdr>
        <w:top w:val="none" w:sz="0" w:space="0" w:color="auto"/>
        <w:left w:val="none" w:sz="0" w:space="0" w:color="auto"/>
        <w:bottom w:val="none" w:sz="0" w:space="0" w:color="auto"/>
        <w:right w:val="none" w:sz="0" w:space="0" w:color="auto"/>
      </w:divBdr>
      <w:divsChild>
        <w:div w:id="469174931">
          <w:marLeft w:val="0"/>
          <w:marRight w:val="0"/>
          <w:marTop w:val="0"/>
          <w:marBottom w:val="0"/>
          <w:divBdr>
            <w:top w:val="none" w:sz="0" w:space="0" w:color="auto"/>
            <w:left w:val="none" w:sz="0" w:space="0" w:color="auto"/>
            <w:bottom w:val="none" w:sz="0" w:space="0" w:color="auto"/>
            <w:right w:val="none" w:sz="0" w:space="0" w:color="auto"/>
          </w:divBdr>
          <w:divsChild>
            <w:div w:id="1623421253">
              <w:marLeft w:val="0"/>
              <w:marRight w:val="0"/>
              <w:marTop w:val="0"/>
              <w:marBottom w:val="0"/>
              <w:divBdr>
                <w:top w:val="none" w:sz="0" w:space="0" w:color="auto"/>
                <w:left w:val="none" w:sz="0" w:space="0" w:color="auto"/>
                <w:bottom w:val="none" w:sz="0" w:space="0" w:color="auto"/>
                <w:right w:val="none" w:sz="0" w:space="0" w:color="auto"/>
              </w:divBdr>
              <w:divsChild>
                <w:div w:id="4830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7977">
      <w:bodyDiv w:val="1"/>
      <w:marLeft w:val="0"/>
      <w:marRight w:val="0"/>
      <w:marTop w:val="0"/>
      <w:marBottom w:val="0"/>
      <w:divBdr>
        <w:top w:val="none" w:sz="0" w:space="0" w:color="auto"/>
        <w:left w:val="none" w:sz="0" w:space="0" w:color="auto"/>
        <w:bottom w:val="none" w:sz="0" w:space="0" w:color="auto"/>
        <w:right w:val="none" w:sz="0" w:space="0" w:color="auto"/>
      </w:divBdr>
      <w:divsChild>
        <w:div w:id="1085423759">
          <w:marLeft w:val="0"/>
          <w:marRight w:val="0"/>
          <w:marTop w:val="0"/>
          <w:marBottom w:val="0"/>
          <w:divBdr>
            <w:top w:val="none" w:sz="0" w:space="0" w:color="auto"/>
            <w:left w:val="none" w:sz="0" w:space="0" w:color="auto"/>
            <w:bottom w:val="none" w:sz="0" w:space="0" w:color="auto"/>
            <w:right w:val="none" w:sz="0" w:space="0" w:color="auto"/>
          </w:divBdr>
        </w:div>
      </w:divsChild>
    </w:div>
    <w:div w:id="971180965">
      <w:bodyDiv w:val="1"/>
      <w:marLeft w:val="0"/>
      <w:marRight w:val="0"/>
      <w:marTop w:val="0"/>
      <w:marBottom w:val="0"/>
      <w:divBdr>
        <w:top w:val="none" w:sz="0" w:space="0" w:color="auto"/>
        <w:left w:val="none" w:sz="0" w:space="0" w:color="auto"/>
        <w:bottom w:val="none" w:sz="0" w:space="0" w:color="auto"/>
        <w:right w:val="none" w:sz="0" w:space="0" w:color="auto"/>
      </w:divBdr>
    </w:div>
    <w:div w:id="1002510655">
      <w:bodyDiv w:val="1"/>
      <w:marLeft w:val="0"/>
      <w:marRight w:val="0"/>
      <w:marTop w:val="0"/>
      <w:marBottom w:val="0"/>
      <w:divBdr>
        <w:top w:val="none" w:sz="0" w:space="0" w:color="auto"/>
        <w:left w:val="none" w:sz="0" w:space="0" w:color="auto"/>
        <w:bottom w:val="none" w:sz="0" w:space="0" w:color="auto"/>
        <w:right w:val="none" w:sz="0" w:space="0" w:color="auto"/>
      </w:divBdr>
    </w:div>
    <w:div w:id="1077631311">
      <w:bodyDiv w:val="1"/>
      <w:marLeft w:val="0"/>
      <w:marRight w:val="0"/>
      <w:marTop w:val="0"/>
      <w:marBottom w:val="0"/>
      <w:divBdr>
        <w:top w:val="none" w:sz="0" w:space="0" w:color="auto"/>
        <w:left w:val="none" w:sz="0" w:space="0" w:color="auto"/>
        <w:bottom w:val="none" w:sz="0" w:space="0" w:color="auto"/>
        <w:right w:val="none" w:sz="0" w:space="0" w:color="auto"/>
      </w:divBdr>
    </w:div>
    <w:div w:id="1142310903">
      <w:bodyDiv w:val="1"/>
      <w:marLeft w:val="0"/>
      <w:marRight w:val="0"/>
      <w:marTop w:val="0"/>
      <w:marBottom w:val="0"/>
      <w:divBdr>
        <w:top w:val="none" w:sz="0" w:space="0" w:color="auto"/>
        <w:left w:val="none" w:sz="0" w:space="0" w:color="auto"/>
        <w:bottom w:val="none" w:sz="0" w:space="0" w:color="auto"/>
        <w:right w:val="none" w:sz="0" w:space="0" w:color="auto"/>
      </w:divBdr>
    </w:div>
    <w:div w:id="1170095834">
      <w:bodyDiv w:val="1"/>
      <w:marLeft w:val="0"/>
      <w:marRight w:val="0"/>
      <w:marTop w:val="0"/>
      <w:marBottom w:val="0"/>
      <w:divBdr>
        <w:top w:val="none" w:sz="0" w:space="0" w:color="auto"/>
        <w:left w:val="none" w:sz="0" w:space="0" w:color="auto"/>
        <w:bottom w:val="none" w:sz="0" w:space="0" w:color="auto"/>
        <w:right w:val="none" w:sz="0" w:space="0" w:color="auto"/>
      </w:divBdr>
      <w:divsChild>
        <w:div w:id="31469032">
          <w:marLeft w:val="0"/>
          <w:marRight w:val="0"/>
          <w:marTop w:val="0"/>
          <w:marBottom w:val="0"/>
          <w:divBdr>
            <w:top w:val="none" w:sz="0" w:space="0" w:color="auto"/>
            <w:left w:val="none" w:sz="0" w:space="0" w:color="auto"/>
            <w:bottom w:val="none" w:sz="0" w:space="0" w:color="auto"/>
            <w:right w:val="none" w:sz="0" w:space="0" w:color="auto"/>
          </w:divBdr>
        </w:div>
        <w:div w:id="32971326">
          <w:marLeft w:val="0"/>
          <w:marRight w:val="0"/>
          <w:marTop w:val="0"/>
          <w:marBottom w:val="0"/>
          <w:divBdr>
            <w:top w:val="none" w:sz="0" w:space="0" w:color="auto"/>
            <w:left w:val="none" w:sz="0" w:space="0" w:color="auto"/>
            <w:bottom w:val="none" w:sz="0" w:space="0" w:color="auto"/>
            <w:right w:val="none" w:sz="0" w:space="0" w:color="auto"/>
          </w:divBdr>
        </w:div>
        <w:div w:id="55864996">
          <w:marLeft w:val="0"/>
          <w:marRight w:val="0"/>
          <w:marTop w:val="0"/>
          <w:marBottom w:val="0"/>
          <w:divBdr>
            <w:top w:val="none" w:sz="0" w:space="0" w:color="auto"/>
            <w:left w:val="none" w:sz="0" w:space="0" w:color="auto"/>
            <w:bottom w:val="none" w:sz="0" w:space="0" w:color="auto"/>
            <w:right w:val="none" w:sz="0" w:space="0" w:color="auto"/>
          </w:divBdr>
        </w:div>
        <w:div w:id="94717888">
          <w:marLeft w:val="0"/>
          <w:marRight w:val="0"/>
          <w:marTop w:val="0"/>
          <w:marBottom w:val="0"/>
          <w:divBdr>
            <w:top w:val="none" w:sz="0" w:space="0" w:color="auto"/>
            <w:left w:val="none" w:sz="0" w:space="0" w:color="auto"/>
            <w:bottom w:val="none" w:sz="0" w:space="0" w:color="auto"/>
            <w:right w:val="none" w:sz="0" w:space="0" w:color="auto"/>
          </w:divBdr>
        </w:div>
        <w:div w:id="303389755">
          <w:marLeft w:val="0"/>
          <w:marRight w:val="0"/>
          <w:marTop w:val="0"/>
          <w:marBottom w:val="0"/>
          <w:divBdr>
            <w:top w:val="none" w:sz="0" w:space="0" w:color="auto"/>
            <w:left w:val="none" w:sz="0" w:space="0" w:color="auto"/>
            <w:bottom w:val="none" w:sz="0" w:space="0" w:color="auto"/>
            <w:right w:val="none" w:sz="0" w:space="0" w:color="auto"/>
          </w:divBdr>
        </w:div>
        <w:div w:id="430398106">
          <w:marLeft w:val="0"/>
          <w:marRight w:val="0"/>
          <w:marTop w:val="0"/>
          <w:marBottom w:val="0"/>
          <w:divBdr>
            <w:top w:val="none" w:sz="0" w:space="0" w:color="auto"/>
            <w:left w:val="none" w:sz="0" w:space="0" w:color="auto"/>
            <w:bottom w:val="none" w:sz="0" w:space="0" w:color="auto"/>
            <w:right w:val="none" w:sz="0" w:space="0" w:color="auto"/>
          </w:divBdr>
        </w:div>
        <w:div w:id="596527287">
          <w:marLeft w:val="0"/>
          <w:marRight w:val="0"/>
          <w:marTop w:val="0"/>
          <w:marBottom w:val="0"/>
          <w:divBdr>
            <w:top w:val="none" w:sz="0" w:space="0" w:color="auto"/>
            <w:left w:val="none" w:sz="0" w:space="0" w:color="auto"/>
            <w:bottom w:val="none" w:sz="0" w:space="0" w:color="auto"/>
            <w:right w:val="none" w:sz="0" w:space="0" w:color="auto"/>
          </w:divBdr>
        </w:div>
        <w:div w:id="691957276">
          <w:marLeft w:val="0"/>
          <w:marRight w:val="0"/>
          <w:marTop w:val="0"/>
          <w:marBottom w:val="0"/>
          <w:divBdr>
            <w:top w:val="none" w:sz="0" w:space="0" w:color="auto"/>
            <w:left w:val="none" w:sz="0" w:space="0" w:color="auto"/>
            <w:bottom w:val="none" w:sz="0" w:space="0" w:color="auto"/>
            <w:right w:val="none" w:sz="0" w:space="0" w:color="auto"/>
          </w:divBdr>
        </w:div>
        <w:div w:id="881602170">
          <w:marLeft w:val="0"/>
          <w:marRight w:val="0"/>
          <w:marTop w:val="0"/>
          <w:marBottom w:val="0"/>
          <w:divBdr>
            <w:top w:val="none" w:sz="0" w:space="0" w:color="auto"/>
            <w:left w:val="none" w:sz="0" w:space="0" w:color="auto"/>
            <w:bottom w:val="none" w:sz="0" w:space="0" w:color="auto"/>
            <w:right w:val="none" w:sz="0" w:space="0" w:color="auto"/>
          </w:divBdr>
        </w:div>
        <w:div w:id="1047411642">
          <w:marLeft w:val="0"/>
          <w:marRight w:val="0"/>
          <w:marTop w:val="0"/>
          <w:marBottom w:val="0"/>
          <w:divBdr>
            <w:top w:val="none" w:sz="0" w:space="0" w:color="auto"/>
            <w:left w:val="none" w:sz="0" w:space="0" w:color="auto"/>
            <w:bottom w:val="none" w:sz="0" w:space="0" w:color="auto"/>
            <w:right w:val="none" w:sz="0" w:space="0" w:color="auto"/>
          </w:divBdr>
        </w:div>
        <w:div w:id="1051340485">
          <w:marLeft w:val="0"/>
          <w:marRight w:val="0"/>
          <w:marTop w:val="0"/>
          <w:marBottom w:val="0"/>
          <w:divBdr>
            <w:top w:val="none" w:sz="0" w:space="0" w:color="auto"/>
            <w:left w:val="none" w:sz="0" w:space="0" w:color="auto"/>
            <w:bottom w:val="none" w:sz="0" w:space="0" w:color="auto"/>
            <w:right w:val="none" w:sz="0" w:space="0" w:color="auto"/>
          </w:divBdr>
        </w:div>
        <w:div w:id="1137648281">
          <w:marLeft w:val="0"/>
          <w:marRight w:val="0"/>
          <w:marTop w:val="0"/>
          <w:marBottom w:val="0"/>
          <w:divBdr>
            <w:top w:val="none" w:sz="0" w:space="0" w:color="auto"/>
            <w:left w:val="none" w:sz="0" w:space="0" w:color="auto"/>
            <w:bottom w:val="none" w:sz="0" w:space="0" w:color="auto"/>
            <w:right w:val="none" w:sz="0" w:space="0" w:color="auto"/>
          </w:divBdr>
        </w:div>
        <w:div w:id="1185560472">
          <w:marLeft w:val="0"/>
          <w:marRight w:val="0"/>
          <w:marTop w:val="0"/>
          <w:marBottom w:val="0"/>
          <w:divBdr>
            <w:top w:val="none" w:sz="0" w:space="0" w:color="auto"/>
            <w:left w:val="none" w:sz="0" w:space="0" w:color="auto"/>
            <w:bottom w:val="none" w:sz="0" w:space="0" w:color="auto"/>
            <w:right w:val="none" w:sz="0" w:space="0" w:color="auto"/>
          </w:divBdr>
        </w:div>
        <w:div w:id="1283222783">
          <w:marLeft w:val="0"/>
          <w:marRight w:val="0"/>
          <w:marTop w:val="0"/>
          <w:marBottom w:val="0"/>
          <w:divBdr>
            <w:top w:val="none" w:sz="0" w:space="0" w:color="auto"/>
            <w:left w:val="none" w:sz="0" w:space="0" w:color="auto"/>
            <w:bottom w:val="none" w:sz="0" w:space="0" w:color="auto"/>
            <w:right w:val="none" w:sz="0" w:space="0" w:color="auto"/>
          </w:divBdr>
        </w:div>
        <w:div w:id="1309552661">
          <w:marLeft w:val="0"/>
          <w:marRight w:val="0"/>
          <w:marTop w:val="0"/>
          <w:marBottom w:val="0"/>
          <w:divBdr>
            <w:top w:val="none" w:sz="0" w:space="0" w:color="auto"/>
            <w:left w:val="none" w:sz="0" w:space="0" w:color="auto"/>
            <w:bottom w:val="none" w:sz="0" w:space="0" w:color="auto"/>
            <w:right w:val="none" w:sz="0" w:space="0" w:color="auto"/>
          </w:divBdr>
        </w:div>
        <w:div w:id="1311786155">
          <w:marLeft w:val="0"/>
          <w:marRight w:val="0"/>
          <w:marTop w:val="0"/>
          <w:marBottom w:val="0"/>
          <w:divBdr>
            <w:top w:val="none" w:sz="0" w:space="0" w:color="auto"/>
            <w:left w:val="none" w:sz="0" w:space="0" w:color="auto"/>
            <w:bottom w:val="none" w:sz="0" w:space="0" w:color="auto"/>
            <w:right w:val="none" w:sz="0" w:space="0" w:color="auto"/>
          </w:divBdr>
        </w:div>
        <w:div w:id="1364287131">
          <w:marLeft w:val="0"/>
          <w:marRight w:val="0"/>
          <w:marTop w:val="0"/>
          <w:marBottom w:val="0"/>
          <w:divBdr>
            <w:top w:val="none" w:sz="0" w:space="0" w:color="auto"/>
            <w:left w:val="none" w:sz="0" w:space="0" w:color="auto"/>
            <w:bottom w:val="none" w:sz="0" w:space="0" w:color="auto"/>
            <w:right w:val="none" w:sz="0" w:space="0" w:color="auto"/>
          </w:divBdr>
        </w:div>
        <w:div w:id="1378117802">
          <w:marLeft w:val="0"/>
          <w:marRight w:val="0"/>
          <w:marTop w:val="0"/>
          <w:marBottom w:val="0"/>
          <w:divBdr>
            <w:top w:val="none" w:sz="0" w:space="0" w:color="auto"/>
            <w:left w:val="none" w:sz="0" w:space="0" w:color="auto"/>
            <w:bottom w:val="none" w:sz="0" w:space="0" w:color="auto"/>
            <w:right w:val="none" w:sz="0" w:space="0" w:color="auto"/>
          </w:divBdr>
        </w:div>
        <w:div w:id="1395473034">
          <w:marLeft w:val="0"/>
          <w:marRight w:val="0"/>
          <w:marTop w:val="0"/>
          <w:marBottom w:val="0"/>
          <w:divBdr>
            <w:top w:val="none" w:sz="0" w:space="0" w:color="auto"/>
            <w:left w:val="none" w:sz="0" w:space="0" w:color="auto"/>
            <w:bottom w:val="none" w:sz="0" w:space="0" w:color="auto"/>
            <w:right w:val="none" w:sz="0" w:space="0" w:color="auto"/>
          </w:divBdr>
        </w:div>
        <w:div w:id="1484199806">
          <w:marLeft w:val="0"/>
          <w:marRight w:val="0"/>
          <w:marTop w:val="0"/>
          <w:marBottom w:val="0"/>
          <w:divBdr>
            <w:top w:val="none" w:sz="0" w:space="0" w:color="auto"/>
            <w:left w:val="none" w:sz="0" w:space="0" w:color="auto"/>
            <w:bottom w:val="none" w:sz="0" w:space="0" w:color="auto"/>
            <w:right w:val="none" w:sz="0" w:space="0" w:color="auto"/>
          </w:divBdr>
        </w:div>
        <w:div w:id="1588005350">
          <w:marLeft w:val="0"/>
          <w:marRight w:val="0"/>
          <w:marTop w:val="0"/>
          <w:marBottom w:val="0"/>
          <w:divBdr>
            <w:top w:val="none" w:sz="0" w:space="0" w:color="auto"/>
            <w:left w:val="none" w:sz="0" w:space="0" w:color="auto"/>
            <w:bottom w:val="none" w:sz="0" w:space="0" w:color="auto"/>
            <w:right w:val="none" w:sz="0" w:space="0" w:color="auto"/>
          </w:divBdr>
        </w:div>
        <w:div w:id="1651400725">
          <w:marLeft w:val="0"/>
          <w:marRight w:val="0"/>
          <w:marTop w:val="0"/>
          <w:marBottom w:val="0"/>
          <w:divBdr>
            <w:top w:val="none" w:sz="0" w:space="0" w:color="auto"/>
            <w:left w:val="none" w:sz="0" w:space="0" w:color="auto"/>
            <w:bottom w:val="none" w:sz="0" w:space="0" w:color="auto"/>
            <w:right w:val="none" w:sz="0" w:space="0" w:color="auto"/>
          </w:divBdr>
        </w:div>
        <w:div w:id="1656105927">
          <w:marLeft w:val="0"/>
          <w:marRight w:val="0"/>
          <w:marTop w:val="0"/>
          <w:marBottom w:val="0"/>
          <w:divBdr>
            <w:top w:val="none" w:sz="0" w:space="0" w:color="auto"/>
            <w:left w:val="none" w:sz="0" w:space="0" w:color="auto"/>
            <w:bottom w:val="none" w:sz="0" w:space="0" w:color="auto"/>
            <w:right w:val="none" w:sz="0" w:space="0" w:color="auto"/>
          </w:divBdr>
        </w:div>
        <w:div w:id="1689482550">
          <w:marLeft w:val="0"/>
          <w:marRight w:val="0"/>
          <w:marTop w:val="0"/>
          <w:marBottom w:val="0"/>
          <w:divBdr>
            <w:top w:val="none" w:sz="0" w:space="0" w:color="auto"/>
            <w:left w:val="none" w:sz="0" w:space="0" w:color="auto"/>
            <w:bottom w:val="none" w:sz="0" w:space="0" w:color="auto"/>
            <w:right w:val="none" w:sz="0" w:space="0" w:color="auto"/>
          </w:divBdr>
        </w:div>
        <w:div w:id="1738167391">
          <w:marLeft w:val="0"/>
          <w:marRight w:val="0"/>
          <w:marTop w:val="0"/>
          <w:marBottom w:val="0"/>
          <w:divBdr>
            <w:top w:val="none" w:sz="0" w:space="0" w:color="auto"/>
            <w:left w:val="none" w:sz="0" w:space="0" w:color="auto"/>
            <w:bottom w:val="none" w:sz="0" w:space="0" w:color="auto"/>
            <w:right w:val="none" w:sz="0" w:space="0" w:color="auto"/>
          </w:divBdr>
        </w:div>
        <w:div w:id="1799297609">
          <w:marLeft w:val="0"/>
          <w:marRight w:val="0"/>
          <w:marTop w:val="0"/>
          <w:marBottom w:val="0"/>
          <w:divBdr>
            <w:top w:val="none" w:sz="0" w:space="0" w:color="auto"/>
            <w:left w:val="none" w:sz="0" w:space="0" w:color="auto"/>
            <w:bottom w:val="none" w:sz="0" w:space="0" w:color="auto"/>
            <w:right w:val="none" w:sz="0" w:space="0" w:color="auto"/>
          </w:divBdr>
        </w:div>
        <w:div w:id="1863015192">
          <w:marLeft w:val="0"/>
          <w:marRight w:val="0"/>
          <w:marTop w:val="0"/>
          <w:marBottom w:val="0"/>
          <w:divBdr>
            <w:top w:val="none" w:sz="0" w:space="0" w:color="auto"/>
            <w:left w:val="none" w:sz="0" w:space="0" w:color="auto"/>
            <w:bottom w:val="none" w:sz="0" w:space="0" w:color="auto"/>
            <w:right w:val="none" w:sz="0" w:space="0" w:color="auto"/>
          </w:divBdr>
        </w:div>
        <w:div w:id="1954942205">
          <w:marLeft w:val="0"/>
          <w:marRight w:val="0"/>
          <w:marTop w:val="0"/>
          <w:marBottom w:val="0"/>
          <w:divBdr>
            <w:top w:val="none" w:sz="0" w:space="0" w:color="auto"/>
            <w:left w:val="none" w:sz="0" w:space="0" w:color="auto"/>
            <w:bottom w:val="none" w:sz="0" w:space="0" w:color="auto"/>
            <w:right w:val="none" w:sz="0" w:space="0" w:color="auto"/>
          </w:divBdr>
        </w:div>
        <w:div w:id="1957565475">
          <w:marLeft w:val="0"/>
          <w:marRight w:val="0"/>
          <w:marTop w:val="0"/>
          <w:marBottom w:val="0"/>
          <w:divBdr>
            <w:top w:val="none" w:sz="0" w:space="0" w:color="auto"/>
            <w:left w:val="none" w:sz="0" w:space="0" w:color="auto"/>
            <w:bottom w:val="none" w:sz="0" w:space="0" w:color="auto"/>
            <w:right w:val="none" w:sz="0" w:space="0" w:color="auto"/>
          </w:divBdr>
        </w:div>
        <w:div w:id="2111853387">
          <w:marLeft w:val="0"/>
          <w:marRight w:val="0"/>
          <w:marTop w:val="0"/>
          <w:marBottom w:val="0"/>
          <w:divBdr>
            <w:top w:val="none" w:sz="0" w:space="0" w:color="auto"/>
            <w:left w:val="none" w:sz="0" w:space="0" w:color="auto"/>
            <w:bottom w:val="none" w:sz="0" w:space="0" w:color="auto"/>
            <w:right w:val="none" w:sz="0" w:space="0" w:color="auto"/>
          </w:divBdr>
        </w:div>
      </w:divsChild>
    </w:div>
    <w:div w:id="1199465271">
      <w:bodyDiv w:val="1"/>
      <w:marLeft w:val="0"/>
      <w:marRight w:val="0"/>
      <w:marTop w:val="0"/>
      <w:marBottom w:val="0"/>
      <w:divBdr>
        <w:top w:val="none" w:sz="0" w:space="0" w:color="auto"/>
        <w:left w:val="none" w:sz="0" w:space="0" w:color="auto"/>
        <w:bottom w:val="none" w:sz="0" w:space="0" w:color="auto"/>
        <w:right w:val="none" w:sz="0" w:space="0" w:color="auto"/>
      </w:divBdr>
    </w:div>
    <w:div w:id="1234505451">
      <w:bodyDiv w:val="1"/>
      <w:marLeft w:val="0"/>
      <w:marRight w:val="0"/>
      <w:marTop w:val="0"/>
      <w:marBottom w:val="0"/>
      <w:divBdr>
        <w:top w:val="none" w:sz="0" w:space="0" w:color="auto"/>
        <w:left w:val="none" w:sz="0" w:space="0" w:color="auto"/>
        <w:bottom w:val="none" w:sz="0" w:space="0" w:color="auto"/>
        <w:right w:val="none" w:sz="0" w:space="0" w:color="auto"/>
      </w:divBdr>
    </w:div>
    <w:div w:id="1269892063">
      <w:bodyDiv w:val="1"/>
      <w:marLeft w:val="0"/>
      <w:marRight w:val="0"/>
      <w:marTop w:val="0"/>
      <w:marBottom w:val="0"/>
      <w:divBdr>
        <w:top w:val="none" w:sz="0" w:space="0" w:color="auto"/>
        <w:left w:val="none" w:sz="0" w:space="0" w:color="auto"/>
        <w:bottom w:val="none" w:sz="0" w:space="0" w:color="auto"/>
        <w:right w:val="none" w:sz="0" w:space="0" w:color="auto"/>
      </w:divBdr>
    </w:div>
    <w:div w:id="128057451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6">
          <w:marLeft w:val="0"/>
          <w:marRight w:val="0"/>
          <w:marTop w:val="0"/>
          <w:marBottom w:val="0"/>
          <w:divBdr>
            <w:top w:val="none" w:sz="0" w:space="0" w:color="auto"/>
            <w:left w:val="none" w:sz="0" w:space="0" w:color="auto"/>
            <w:bottom w:val="none" w:sz="0" w:space="0" w:color="auto"/>
            <w:right w:val="none" w:sz="0" w:space="0" w:color="auto"/>
          </w:divBdr>
        </w:div>
      </w:divsChild>
    </w:div>
    <w:div w:id="1311978482">
      <w:bodyDiv w:val="1"/>
      <w:marLeft w:val="0"/>
      <w:marRight w:val="0"/>
      <w:marTop w:val="0"/>
      <w:marBottom w:val="0"/>
      <w:divBdr>
        <w:top w:val="none" w:sz="0" w:space="0" w:color="auto"/>
        <w:left w:val="none" w:sz="0" w:space="0" w:color="auto"/>
        <w:bottom w:val="none" w:sz="0" w:space="0" w:color="auto"/>
        <w:right w:val="none" w:sz="0" w:space="0" w:color="auto"/>
      </w:divBdr>
      <w:divsChild>
        <w:div w:id="238028172">
          <w:marLeft w:val="0"/>
          <w:marRight w:val="0"/>
          <w:marTop w:val="0"/>
          <w:marBottom w:val="0"/>
          <w:divBdr>
            <w:top w:val="none" w:sz="0" w:space="0" w:color="auto"/>
            <w:left w:val="none" w:sz="0" w:space="0" w:color="auto"/>
            <w:bottom w:val="none" w:sz="0" w:space="0" w:color="auto"/>
            <w:right w:val="none" w:sz="0" w:space="0" w:color="auto"/>
          </w:divBdr>
        </w:div>
      </w:divsChild>
    </w:div>
    <w:div w:id="1326740839">
      <w:bodyDiv w:val="1"/>
      <w:marLeft w:val="0"/>
      <w:marRight w:val="0"/>
      <w:marTop w:val="0"/>
      <w:marBottom w:val="0"/>
      <w:divBdr>
        <w:top w:val="none" w:sz="0" w:space="0" w:color="auto"/>
        <w:left w:val="none" w:sz="0" w:space="0" w:color="auto"/>
        <w:bottom w:val="none" w:sz="0" w:space="0" w:color="auto"/>
        <w:right w:val="none" w:sz="0" w:space="0" w:color="auto"/>
      </w:divBdr>
    </w:div>
    <w:div w:id="1368142311">
      <w:bodyDiv w:val="1"/>
      <w:marLeft w:val="0"/>
      <w:marRight w:val="0"/>
      <w:marTop w:val="0"/>
      <w:marBottom w:val="0"/>
      <w:divBdr>
        <w:top w:val="none" w:sz="0" w:space="0" w:color="auto"/>
        <w:left w:val="none" w:sz="0" w:space="0" w:color="auto"/>
        <w:bottom w:val="none" w:sz="0" w:space="0" w:color="auto"/>
        <w:right w:val="none" w:sz="0" w:space="0" w:color="auto"/>
      </w:divBdr>
    </w:div>
    <w:div w:id="1409230418">
      <w:bodyDiv w:val="1"/>
      <w:marLeft w:val="0"/>
      <w:marRight w:val="0"/>
      <w:marTop w:val="0"/>
      <w:marBottom w:val="0"/>
      <w:divBdr>
        <w:top w:val="none" w:sz="0" w:space="0" w:color="auto"/>
        <w:left w:val="none" w:sz="0" w:space="0" w:color="auto"/>
        <w:bottom w:val="none" w:sz="0" w:space="0" w:color="auto"/>
        <w:right w:val="none" w:sz="0" w:space="0" w:color="auto"/>
      </w:divBdr>
    </w:div>
    <w:div w:id="1413115424">
      <w:bodyDiv w:val="1"/>
      <w:marLeft w:val="0"/>
      <w:marRight w:val="0"/>
      <w:marTop w:val="0"/>
      <w:marBottom w:val="0"/>
      <w:divBdr>
        <w:top w:val="none" w:sz="0" w:space="0" w:color="auto"/>
        <w:left w:val="none" w:sz="0" w:space="0" w:color="auto"/>
        <w:bottom w:val="none" w:sz="0" w:space="0" w:color="auto"/>
        <w:right w:val="none" w:sz="0" w:space="0" w:color="auto"/>
      </w:divBdr>
      <w:divsChild>
        <w:div w:id="1692491548">
          <w:marLeft w:val="0"/>
          <w:marRight w:val="0"/>
          <w:marTop w:val="0"/>
          <w:marBottom w:val="0"/>
          <w:divBdr>
            <w:top w:val="none" w:sz="0" w:space="0" w:color="auto"/>
            <w:left w:val="none" w:sz="0" w:space="0" w:color="auto"/>
            <w:bottom w:val="none" w:sz="0" w:space="0" w:color="auto"/>
            <w:right w:val="none" w:sz="0" w:space="0" w:color="auto"/>
          </w:divBdr>
        </w:div>
      </w:divsChild>
    </w:div>
    <w:div w:id="1489518785">
      <w:bodyDiv w:val="1"/>
      <w:marLeft w:val="0"/>
      <w:marRight w:val="0"/>
      <w:marTop w:val="0"/>
      <w:marBottom w:val="0"/>
      <w:divBdr>
        <w:top w:val="none" w:sz="0" w:space="0" w:color="auto"/>
        <w:left w:val="none" w:sz="0" w:space="0" w:color="auto"/>
        <w:bottom w:val="none" w:sz="0" w:space="0" w:color="auto"/>
        <w:right w:val="none" w:sz="0" w:space="0" w:color="auto"/>
      </w:divBdr>
    </w:div>
    <w:div w:id="1525900832">
      <w:bodyDiv w:val="1"/>
      <w:marLeft w:val="0"/>
      <w:marRight w:val="0"/>
      <w:marTop w:val="0"/>
      <w:marBottom w:val="0"/>
      <w:divBdr>
        <w:top w:val="none" w:sz="0" w:space="0" w:color="auto"/>
        <w:left w:val="none" w:sz="0" w:space="0" w:color="auto"/>
        <w:bottom w:val="none" w:sz="0" w:space="0" w:color="auto"/>
        <w:right w:val="none" w:sz="0" w:space="0" w:color="auto"/>
      </w:divBdr>
      <w:divsChild>
        <w:div w:id="784613389">
          <w:marLeft w:val="0"/>
          <w:marRight w:val="0"/>
          <w:marTop w:val="0"/>
          <w:marBottom w:val="0"/>
          <w:divBdr>
            <w:top w:val="none" w:sz="0" w:space="0" w:color="auto"/>
            <w:left w:val="none" w:sz="0" w:space="0" w:color="auto"/>
            <w:bottom w:val="none" w:sz="0" w:space="0" w:color="auto"/>
            <w:right w:val="none" w:sz="0" w:space="0" w:color="auto"/>
          </w:divBdr>
        </w:div>
        <w:div w:id="1037196054">
          <w:marLeft w:val="0"/>
          <w:marRight w:val="0"/>
          <w:marTop w:val="0"/>
          <w:marBottom w:val="0"/>
          <w:divBdr>
            <w:top w:val="none" w:sz="0" w:space="0" w:color="auto"/>
            <w:left w:val="none" w:sz="0" w:space="0" w:color="auto"/>
            <w:bottom w:val="none" w:sz="0" w:space="0" w:color="auto"/>
            <w:right w:val="none" w:sz="0" w:space="0" w:color="auto"/>
          </w:divBdr>
        </w:div>
        <w:div w:id="1213419659">
          <w:marLeft w:val="0"/>
          <w:marRight w:val="0"/>
          <w:marTop w:val="0"/>
          <w:marBottom w:val="0"/>
          <w:divBdr>
            <w:top w:val="none" w:sz="0" w:space="0" w:color="auto"/>
            <w:left w:val="none" w:sz="0" w:space="0" w:color="auto"/>
            <w:bottom w:val="none" w:sz="0" w:space="0" w:color="auto"/>
            <w:right w:val="none" w:sz="0" w:space="0" w:color="auto"/>
          </w:divBdr>
        </w:div>
        <w:div w:id="1754273798">
          <w:marLeft w:val="0"/>
          <w:marRight w:val="0"/>
          <w:marTop w:val="0"/>
          <w:marBottom w:val="0"/>
          <w:divBdr>
            <w:top w:val="none" w:sz="0" w:space="0" w:color="auto"/>
            <w:left w:val="none" w:sz="0" w:space="0" w:color="auto"/>
            <w:bottom w:val="none" w:sz="0" w:space="0" w:color="auto"/>
            <w:right w:val="none" w:sz="0" w:space="0" w:color="auto"/>
          </w:divBdr>
        </w:div>
        <w:div w:id="2002927696">
          <w:marLeft w:val="0"/>
          <w:marRight w:val="0"/>
          <w:marTop w:val="0"/>
          <w:marBottom w:val="0"/>
          <w:divBdr>
            <w:top w:val="none" w:sz="0" w:space="0" w:color="auto"/>
            <w:left w:val="none" w:sz="0" w:space="0" w:color="auto"/>
            <w:bottom w:val="none" w:sz="0" w:space="0" w:color="auto"/>
            <w:right w:val="none" w:sz="0" w:space="0" w:color="auto"/>
          </w:divBdr>
        </w:div>
        <w:div w:id="2085448820">
          <w:marLeft w:val="0"/>
          <w:marRight w:val="0"/>
          <w:marTop w:val="0"/>
          <w:marBottom w:val="0"/>
          <w:divBdr>
            <w:top w:val="none" w:sz="0" w:space="0" w:color="auto"/>
            <w:left w:val="none" w:sz="0" w:space="0" w:color="auto"/>
            <w:bottom w:val="none" w:sz="0" w:space="0" w:color="auto"/>
            <w:right w:val="none" w:sz="0" w:space="0" w:color="auto"/>
          </w:divBdr>
        </w:div>
      </w:divsChild>
    </w:div>
    <w:div w:id="1690181249">
      <w:bodyDiv w:val="1"/>
      <w:marLeft w:val="0"/>
      <w:marRight w:val="0"/>
      <w:marTop w:val="0"/>
      <w:marBottom w:val="0"/>
      <w:divBdr>
        <w:top w:val="none" w:sz="0" w:space="0" w:color="auto"/>
        <w:left w:val="none" w:sz="0" w:space="0" w:color="auto"/>
        <w:bottom w:val="none" w:sz="0" w:space="0" w:color="auto"/>
        <w:right w:val="none" w:sz="0" w:space="0" w:color="auto"/>
      </w:divBdr>
    </w:div>
    <w:div w:id="1871720919">
      <w:bodyDiv w:val="1"/>
      <w:marLeft w:val="0"/>
      <w:marRight w:val="0"/>
      <w:marTop w:val="0"/>
      <w:marBottom w:val="0"/>
      <w:divBdr>
        <w:top w:val="none" w:sz="0" w:space="0" w:color="auto"/>
        <w:left w:val="none" w:sz="0" w:space="0" w:color="auto"/>
        <w:bottom w:val="none" w:sz="0" w:space="0" w:color="auto"/>
        <w:right w:val="none" w:sz="0" w:space="0" w:color="auto"/>
      </w:divBdr>
    </w:div>
    <w:div w:id="1877423804">
      <w:bodyDiv w:val="1"/>
      <w:marLeft w:val="0"/>
      <w:marRight w:val="0"/>
      <w:marTop w:val="0"/>
      <w:marBottom w:val="0"/>
      <w:divBdr>
        <w:top w:val="none" w:sz="0" w:space="0" w:color="auto"/>
        <w:left w:val="none" w:sz="0" w:space="0" w:color="auto"/>
        <w:bottom w:val="none" w:sz="0" w:space="0" w:color="auto"/>
        <w:right w:val="none" w:sz="0" w:space="0" w:color="auto"/>
      </w:divBdr>
      <w:divsChild>
        <w:div w:id="58794669">
          <w:marLeft w:val="0"/>
          <w:marRight w:val="0"/>
          <w:marTop w:val="0"/>
          <w:marBottom w:val="0"/>
          <w:divBdr>
            <w:top w:val="none" w:sz="0" w:space="0" w:color="auto"/>
            <w:left w:val="none" w:sz="0" w:space="0" w:color="auto"/>
            <w:bottom w:val="none" w:sz="0" w:space="0" w:color="auto"/>
            <w:right w:val="none" w:sz="0" w:space="0" w:color="auto"/>
          </w:divBdr>
          <w:divsChild>
            <w:div w:id="1408108418">
              <w:marLeft w:val="0"/>
              <w:marRight w:val="0"/>
              <w:marTop w:val="0"/>
              <w:marBottom w:val="0"/>
              <w:divBdr>
                <w:top w:val="none" w:sz="0" w:space="0" w:color="auto"/>
                <w:left w:val="none" w:sz="0" w:space="0" w:color="auto"/>
                <w:bottom w:val="none" w:sz="0" w:space="0" w:color="auto"/>
                <w:right w:val="none" w:sz="0" w:space="0" w:color="auto"/>
              </w:divBdr>
            </w:div>
          </w:divsChild>
        </w:div>
        <w:div w:id="1739016533">
          <w:marLeft w:val="0"/>
          <w:marRight w:val="0"/>
          <w:marTop w:val="0"/>
          <w:marBottom w:val="0"/>
          <w:divBdr>
            <w:top w:val="none" w:sz="0" w:space="0" w:color="auto"/>
            <w:left w:val="none" w:sz="0" w:space="0" w:color="auto"/>
            <w:bottom w:val="none" w:sz="0" w:space="0" w:color="auto"/>
            <w:right w:val="none" w:sz="0" w:space="0" w:color="auto"/>
          </w:divBdr>
        </w:div>
      </w:divsChild>
    </w:div>
    <w:div w:id="1896433149">
      <w:bodyDiv w:val="1"/>
      <w:marLeft w:val="0"/>
      <w:marRight w:val="0"/>
      <w:marTop w:val="0"/>
      <w:marBottom w:val="0"/>
      <w:divBdr>
        <w:top w:val="none" w:sz="0" w:space="0" w:color="auto"/>
        <w:left w:val="none" w:sz="0" w:space="0" w:color="auto"/>
        <w:bottom w:val="none" w:sz="0" w:space="0" w:color="auto"/>
        <w:right w:val="none" w:sz="0" w:space="0" w:color="auto"/>
      </w:divBdr>
    </w:div>
    <w:div w:id="1898710543">
      <w:bodyDiv w:val="1"/>
      <w:marLeft w:val="0"/>
      <w:marRight w:val="0"/>
      <w:marTop w:val="0"/>
      <w:marBottom w:val="0"/>
      <w:divBdr>
        <w:top w:val="none" w:sz="0" w:space="0" w:color="auto"/>
        <w:left w:val="none" w:sz="0" w:space="0" w:color="auto"/>
        <w:bottom w:val="none" w:sz="0" w:space="0" w:color="auto"/>
        <w:right w:val="none" w:sz="0" w:space="0" w:color="auto"/>
      </w:divBdr>
      <w:divsChild>
        <w:div w:id="72512339">
          <w:marLeft w:val="562"/>
          <w:marRight w:val="0"/>
          <w:marTop w:val="96"/>
          <w:marBottom w:val="0"/>
          <w:divBdr>
            <w:top w:val="none" w:sz="0" w:space="0" w:color="auto"/>
            <w:left w:val="none" w:sz="0" w:space="0" w:color="auto"/>
            <w:bottom w:val="none" w:sz="0" w:space="0" w:color="auto"/>
            <w:right w:val="none" w:sz="0" w:space="0" w:color="auto"/>
          </w:divBdr>
        </w:div>
        <w:div w:id="159927416">
          <w:marLeft w:val="562"/>
          <w:marRight w:val="0"/>
          <w:marTop w:val="96"/>
          <w:marBottom w:val="0"/>
          <w:divBdr>
            <w:top w:val="none" w:sz="0" w:space="0" w:color="auto"/>
            <w:left w:val="none" w:sz="0" w:space="0" w:color="auto"/>
            <w:bottom w:val="none" w:sz="0" w:space="0" w:color="auto"/>
            <w:right w:val="none" w:sz="0" w:space="0" w:color="auto"/>
          </w:divBdr>
        </w:div>
        <w:div w:id="1116563707">
          <w:marLeft w:val="562"/>
          <w:marRight w:val="0"/>
          <w:marTop w:val="96"/>
          <w:marBottom w:val="0"/>
          <w:divBdr>
            <w:top w:val="none" w:sz="0" w:space="0" w:color="auto"/>
            <w:left w:val="none" w:sz="0" w:space="0" w:color="auto"/>
            <w:bottom w:val="none" w:sz="0" w:space="0" w:color="auto"/>
            <w:right w:val="none" w:sz="0" w:space="0" w:color="auto"/>
          </w:divBdr>
        </w:div>
        <w:div w:id="1891263127">
          <w:marLeft w:val="562"/>
          <w:marRight w:val="0"/>
          <w:marTop w:val="96"/>
          <w:marBottom w:val="0"/>
          <w:divBdr>
            <w:top w:val="none" w:sz="0" w:space="0" w:color="auto"/>
            <w:left w:val="none" w:sz="0" w:space="0" w:color="auto"/>
            <w:bottom w:val="none" w:sz="0" w:space="0" w:color="auto"/>
            <w:right w:val="none" w:sz="0" w:space="0" w:color="auto"/>
          </w:divBdr>
        </w:div>
      </w:divsChild>
    </w:div>
    <w:div w:id="1911767672">
      <w:bodyDiv w:val="1"/>
      <w:marLeft w:val="0"/>
      <w:marRight w:val="0"/>
      <w:marTop w:val="0"/>
      <w:marBottom w:val="0"/>
      <w:divBdr>
        <w:top w:val="none" w:sz="0" w:space="0" w:color="auto"/>
        <w:left w:val="none" w:sz="0" w:space="0" w:color="auto"/>
        <w:bottom w:val="none" w:sz="0" w:space="0" w:color="auto"/>
        <w:right w:val="none" w:sz="0" w:space="0" w:color="auto"/>
      </w:divBdr>
    </w:div>
    <w:div w:id="1984650227">
      <w:bodyDiv w:val="1"/>
      <w:marLeft w:val="0"/>
      <w:marRight w:val="0"/>
      <w:marTop w:val="0"/>
      <w:marBottom w:val="0"/>
      <w:divBdr>
        <w:top w:val="none" w:sz="0" w:space="0" w:color="auto"/>
        <w:left w:val="none" w:sz="0" w:space="0" w:color="auto"/>
        <w:bottom w:val="none" w:sz="0" w:space="0" w:color="auto"/>
        <w:right w:val="none" w:sz="0" w:space="0" w:color="auto"/>
      </w:divBdr>
      <w:divsChild>
        <w:div w:id="357782227">
          <w:marLeft w:val="0"/>
          <w:marRight w:val="0"/>
          <w:marTop w:val="0"/>
          <w:marBottom w:val="0"/>
          <w:divBdr>
            <w:top w:val="none" w:sz="0" w:space="0" w:color="auto"/>
            <w:left w:val="none" w:sz="0" w:space="0" w:color="auto"/>
            <w:bottom w:val="none" w:sz="0" w:space="0" w:color="auto"/>
            <w:right w:val="none" w:sz="0" w:space="0" w:color="auto"/>
          </w:divBdr>
          <w:divsChild>
            <w:div w:id="1590231117">
              <w:marLeft w:val="0"/>
              <w:marRight w:val="0"/>
              <w:marTop w:val="0"/>
              <w:marBottom w:val="0"/>
              <w:divBdr>
                <w:top w:val="none" w:sz="0" w:space="0" w:color="auto"/>
                <w:left w:val="none" w:sz="0" w:space="0" w:color="auto"/>
                <w:bottom w:val="none" w:sz="0" w:space="0" w:color="auto"/>
                <w:right w:val="none" w:sz="0" w:space="0" w:color="auto"/>
              </w:divBdr>
              <w:divsChild>
                <w:div w:id="2026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33726">
      <w:bodyDiv w:val="1"/>
      <w:marLeft w:val="0"/>
      <w:marRight w:val="0"/>
      <w:marTop w:val="0"/>
      <w:marBottom w:val="0"/>
      <w:divBdr>
        <w:top w:val="none" w:sz="0" w:space="0" w:color="auto"/>
        <w:left w:val="none" w:sz="0" w:space="0" w:color="auto"/>
        <w:bottom w:val="none" w:sz="0" w:space="0" w:color="auto"/>
        <w:right w:val="none" w:sz="0" w:space="0" w:color="auto"/>
      </w:divBdr>
    </w:div>
    <w:div w:id="2135516772">
      <w:bodyDiv w:val="1"/>
      <w:marLeft w:val="0"/>
      <w:marRight w:val="0"/>
      <w:marTop w:val="0"/>
      <w:marBottom w:val="0"/>
      <w:divBdr>
        <w:top w:val="none" w:sz="0" w:space="0" w:color="auto"/>
        <w:left w:val="none" w:sz="0" w:space="0" w:color="auto"/>
        <w:bottom w:val="none" w:sz="0" w:space="0" w:color="auto"/>
        <w:right w:val="none" w:sz="0" w:space="0" w:color="auto"/>
      </w:divBdr>
      <w:divsChild>
        <w:div w:id="334380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kisline.com" TargetMode="External"/><Relationship Id="rId2" Type="http://schemas.openxmlformats.org/officeDocument/2006/relationships/hyperlink" Target="http://www.kedkorea.com" TargetMode="External"/><Relationship Id="rId1" Type="http://schemas.openxmlformats.org/officeDocument/2006/relationships/hyperlink" Target="http://www.mss.go.k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m228\Documents\Custom%20Office%20Templates\Academic%20wri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77F61-8098-421D-9BDE-10C135C7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Academic writing.dotx</Template>
  <TotalTime>2</TotalTime>
  <Pages>35</Pages>
  <Words>81303</Words>
  <Characters>463431</Characters>
  <Application>Microsoft Office Word</Application>
  <DocSecurity>0</DocSecurity>
  <Lines>3861</Lines>
  <Paragraphs>1087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 Data Collection (Survey Methods)</vt:lpstr>
      <vt:lpstr>1 Data Collection (Survey Methods)</vt:lpstr>
    </vt:vector>
  </TitlesOfParts>
  <Company>City University</Company>
  <LinksUpToDate>false</LinksUpToDate>
  <CharactersWithSpaces>543647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Data Collection (Survey Methods)</dc:title>
  <dc:creator>Son, Byung-Gak</dc:creator>
  <cp:lastModifiedBy>Byung-Gak Son</cp:lastModifiedBy>
  <cp:revision>2</cp:revision>
  <cp:lastPrinted>2020-05-18T15:36:00Z</cp:lastPrinted>
  <dcterms:created xsi:type="dcterms:W3CDTF">2021-06-21T13:22:00Z</dcterms:created>
  <dcterms:modified xsi:type="dcterms:W3CDTF">2021-06-21T13:22:00Z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49cf9439-a18b-3c77-ac0a-f8fd90d47205</vt:lpwstr>
  </property>
  <property fmtid="{D5CDD505-2E9C-101B-9397-08002B2CF9AE}" pid="4" name="Mendeley Recent Style Id 0_1">
    <vt:lpwstr>http://www.zotero.org/styles/academy-of-management-journal</vt:lpwstr>
  </property>
  <property fmtid="{D5CDD505-2E9C-101B-9397-08002B2CF9AE}" pid="5" name="Mendeley Recent Style Name 0_1">
    <vt:lpwstr>Academy of Management Journal</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http://www.zotero.org/styles/emerald-harvard</vt:lpwstr>
  </property>
  <property fmtid="{D5CDD505-2E9C-101B-9397-08002B2CF9AE}" pid="15" name="Mendeley Recent Style Name 5_1">
    <vt:lpwstr>Emerald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http://www.zotero.org/styles/emerald-harvard</vt:lpwstr>
  </property>
  <property fmtid="{D5CDD505-2E9C-101B-9397-08002B2CF9AE}" pid="25" name="NSCPROP_SA">
    <vt:lpwstr>C:\Users\user\OneDrive\19\Digital Transformation\Draft\Darkside digitalisation 13 10 2020 Son .docx</vt:lpwstr>
  </property>
</Properties>
</file>