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B76EC" w14:textId="326F5C55" w:rsidR="00F37F65" w:rsidRPr="00D06F2B" w:rsidRDefault="00D91172" w:rsidP="00AC05D8">
      <w:pPr>
        <w:jc w:val="center"/>
        <w:rPr>
          <w:rFonts w:ascii="Garamond" w:hAnsi="Garamond"/>
          <w:b/>
          <w:bCs/>
          <w:sz w:val="40"/>
          <w:szCs w:val="40"/>
          <w:lang w:val="en-US"/>
        </w:rPr>
      </w:pPr>
      <w:bookmarkStart w:id="0" w:name="_Hlk66899643"/>
      <w:bookmarkEnd w:id="0"/>
      <w:r w:rsidRPr="00D06F2B">
        <w:rPr>
          <w:rFonts w:ascii="Garamond" w:hAnsi="Garamond"/>
          <w:b/>
          <w:bCs/>
          <w:sz w:val="40"/>
          <w:szCs w:val="40"/>
          <w:lang w:val="en-US"/>
        </w:rPr>
        <w:t>A</w:t>
      </w:r>
      <w:r w:rsidR="00F95FEE" w:rsidRPr="00D06F2B">
        <w:rPr>
          <w:rFonts w:ascii="Garamond" w:hAnsi="Garamond"/>
          <w:b/>
          <w:bCs/>
          <w:sz w:val="40"/>
          <w:szCs w:val="40"/>
          <w:lang w:val="en-US"/>
        </w:rPr>
        <w:t xml:space="preserve">nalyst </w:t>
      </w:r>
      <w:r w:rsidR="003576F8" w:rsidRPr="00D06F2B">
        <w:rPr>
          <w:rFonts w:ascii="Garamond" w:hAnsi="Garamond"/>
          <w:b/>
          <w:bCs/>
          <w:sz w:val="40"/>
          <w:szCs w:val="40"/>
          <w:lang w:val="en-US"/>
        </w:rPr>
        <w:t>research activity</w:t>
      </w:r>
      <w:r w:rsidR="00F95FEE" w:rsidRPr="00D06F2B">
        <w:rPr>
          <w:rFonts w:ascii="Garamond" w:hAnsi="Garamond"/>
          <w:b/>
          <w:bCs/>
          <w:sz w:val="40"/>
          <w:szCs w:val="40"/>
          <w:lang w:val="en-US"/>
        </w:rPr>
        <w:t xml:space="preserve"> during </w:t>
      </w:r>
      <w:r w:rsidR="00EE0603" w:rsidRPr="00D06F2B">
        <w:rPr>
          <w:rFonts w:ascii="Garamond" w:hAnsi="Garamond"/>
          <w:b/>
          <w:bCs/>
          <w:sz w:val="40"/>
          <w:szCs w:val="40"/>
          <w:lang w:val="en-US"/>
        </w:rPr>
        <w:t xml:space="preserve">tail-risk events: the case of the </w:t>
      </w:r>
      <w:r w:rsidR="00F95FEE" w:rsidRPr="00D06F2B">
        <w:rPr>
          <w:rFonts w:ascii="Garamond" w:hAnsi="Garamond"/>
          <w:b/>
          <w:bCs/>
          <w:sz w:val="40"/>
          <w:szCs w:val="40"/>
          <w:lang w:val="en-US"/>
        </w:rPr>
        <w:t>C</w:t>
      </w:r>
      <w:r w:rsidR="00021E80" w:rsidRPr="00D06F2B">
        <w:rPr>
          <w:rFonts w:ascii="Garamond" w:hAnsi="Garamond"/>
          <w:b/>
          <w:bCs/>
          <w:sz w:val="40"/>
          <w:szCs w:val="40"/>
          <w:lang w:val="en-US"/>
        </w:rPr>
        <w:t>OVID</w:t>
      </w:r>
      <w:r w:rsidR="00F95FEE" w:rsidRPr="00D06F2B">
        <w:rPr>
          <w:rFonts w:ascii="Garamond" w:hAnsi="Garamond"/>
          <w:b/>
          <w:bCs/>
          <w:sz w:val="40"/>
          <w:szCs w:val="40"/>
          <w:lang w:val="en-US"/>
        </w:rPr>
        <w:t>-19 pandemic</w:t>
      </w:r>
    </w:p>
    <w:p w14:paraId="4DF27636" w14:textId="601D3561" w:rsidR="00F95FEE" w:rsidRPr="00D06F2B" w:rsidRDefault="00F95FEE">
      <w:pPr>
        <w:rPr>
          <w:rFonts w:ascii="Garamond" w:hAnsi="Garamond"/>
          <w:sz w:val="24"/>
          <w:szCs w:val="24"/>
          <w:lang w:val="en-US"/>
        </w:rPr>
      </w:pPr>
    </w:p>
    <w:p w14:paraId="5B95B529" w14:textId="77777777" w:rsidR="00EE0603" w:rsidRPr="00D06F2B" w:rsidRDefault="00EE0603">
      <w:pPr>
        <w:rPr>
          <w:rFonts w:ascii="Garamond" w:hAnsi="Garamond"/>
          <w:sz w:val="24"/>
          <w:szCs w:val="24"/>
          <w:lang w:val="en-US"/>
        </w:rPr>
      </w:pPr>
    </w:p>
    <w:p w14:paraId="277A4928" w14:textId="77777777" w:rsidR="00AC05D8" w:rsidRPr="00D06F2B" w:rsidRDefault="00AC05D8">
      <w:pPr>
        <w:rPr>
          <w:rFonts w:ascii="Garamond" w:hAnsi="Garamond"/>
          <w:b/>
          <w:bCs/>
          <w:sz w:val="24"/>
          <w:szCs w:val="24"/>
          <w:lang w:val="en-US"/>
        </w:rPr>
      </w:pPr>
    </w:p>
    <w:p w14:paraId="06598D77" w14:textId="59EEAC67" w:rsidR="00F95FEE" w:rsidRPr="00D06F2B" w:rsidRDefault="00807010" w:rsidP="00807010">
      <w:pPr>
        <w:jc w:val="center"/>
        <w:rPr>
          <w:rFonts w:ascii="Garamond" w:hAnsi="Garamond"/>
          <w:b/>
          <w:bCs/>
          <w:sz w:val="24"/>
          <w:szCs w:val="24"/>
          <w:lang w:val="en-US"/>
        </w:rPr>
      </w:pPr>
      <w:r w:rsidRPr="00D06F2B">
        <w:rPr>
          <w:rFonts w:ascii="Garamond" w:hAnsi="Garamond"/>
          <w:b/>
          <w:bCs/>
          <w:sz w:val="24"/>
          <w:szCs w:val="24"/>
          <w:lang w:val="en-US"/>
        </w:rPr>
        <w:t>ABSTRACT</w:t>
      </w:r>
    </w:p>
    <w:p w14:paraId="2FF90BD6" w14:textId="3B5AEA19" w:rsidR="00803478" w:rsidRPr="00D06F2B" w:rsidRDefault="003576F8" w:rsidP="00EE0603">
      <w:pPr>
        <w:ind w:left="567" w:right="573"/>
        <w:rPr>
          <w:rFonts w:ascii="Garamond" w:hAnsi="Garamond"/>
          <w:sz w:val="24"/>
          <w:szCs w:val="24"/>
          <w:lang w:val="en-US"/>
        </w:rPr>
      </w:pPr>
      <w:r w:rsidRPr="00D06F2B">
        <w:rPr>
          <w:rFonts w:ascii="Garamond" w:hAnsi="Garamond"/>
          <w:sz w:val="24"/>
          <w:szCs w:val="24"/>
          <w:lang w:val="en-US"/>
        </w:rPr>
        <w:t>How does</w:t>
      </w:r>
      <w:r w:rsidR="00FF2AA8" w:rsidRPr="00D06F2B">
        <w:rPr>
          <w:rFonts w:ascii="Garamond" w:hAnsi="Garamond"/>
          <w:sz w:val="24"/>
          <w:szCs w:val="24"/>
          <w:lang w:val="en-US"/>
        </w:rPr>
        <w:t xml:space="preserve"> the</w:t>
      </w:r>
      <w:r w:rsidRPr="00D06F2B">
        <w:rPr>
          <w:rFonts w:ascii="Garamond" w:hAnsi="Garamond"/>
          <w:sz w:val="24"/>
          <w:szCs w:val="24"/>
          <w:lang w:val="en-US"/>
        </w:rPr>
        <w:t xml:space="preserve"> analyst </w:t>
      </w:r>
      <w:proofErr w:type="gramStart"/>
      <w:r w:rsidR="00456740" w:rsidRPr="00D06F2B">
        <w:rPr>
          <w:rFonts w:ascii="Garamond" w:hAnsi="Garamond"/>
          <w:sz w:val="24"/>
          <w:szCs w:val="24"/>
          <w:lang w:val="en-US"/>
        </w:rPr>
        <w:t>forecasting</w:t>
      </w:r>
      <w:proofErr w:type="gramEnd"/>
      <w:r w:rsidRPr="00D06F2B">
        <w:rPr>
          <w:rFonts w:ascii="Garamond" w:hAnsi="Garamond"/>
          <w:sz w:val="24"/>
          <w:szCs w:val="24"/>
          <w:lang w:val="en-US"/>
        </w:rPr>
        <w:t xml:space="preserve"> activity and</w:t>
      </w:r>
      <w:r w:rsidR="00456740" w:rsidRPr="00D06F2B">
        <w:rPr>
          <w:rFonts w:ascii="Garamond" w:hAnsi="Garamond"/>
          <w:sz w:val="24"/>
          <w:szCs w:val="24"/>
          <w:lang w:val="en-US"/>
        </w:rPr>
        <w:t xml:space="preserve"> the</w:t>
      </w:r>
      <w:r w:rsidRPr="00D06F2B">
        <w:rPr>
          <w:rFonts w:ascii="Garamond" w:hAnsi="Garamond"/>
          <w:sz w:val="24"/>
          <w:szCs w:val="24"/>
          <w:lang w:val="en-US"/>
        </w:rPr>
        <w:t xml:space="preserve"> </w:t>
      </w:r>
      <w:r w:rsidR="004004AC" w:rsidRPr="00D06F2B">
        <w:rPr>
          <w:rFonts w:ascii="Garamond" w:hAnsi="Garamond"/>
          <w:sz w:val="24"/>
          <w:szCs w:val="24"/>
          <w:lang w:val="en-US"/>
        </w:rPr>
        <w:t>usefulness</w:t>
      </w:r>
      <w:r w:rsidR="00456740" w:rsidRPr="00D06F2B">
        <w:rPr>
          <w:rFonts w:ascii="Garamond" w:hAnsi="Garamond"/>
          <w:sz w:val="24"/>
          <w:szCs w:val="24"/>
          <w:lang w:val="en-US"/>
        </w:rPr>
        <w:t xml:space="preserve"> of </w:t>
      </w:r>
      <w:r w:rsidR="00EE0603" w:rsidRPr="00D06F2B">
        <w:rPr>
          <w:rFonts w:ascii="Garamond" w:hAnsi="Garamond"/>
          <w:sz w:val="24"/>
          <w:szCs w:val="24"/>
          <w:lang w:val="en-US"/>
        </w:rPr>
        <w:t xml:space="preserve">analyst </w:t>
      </w:r>
      <w:r w:rsidR="00456740" w:rsidRPr="00D06F2B">
        <w:rPr>
          <w:rFonts w:ascii="Garamond" w:hAnsi="Garamond"/>
          <w:sz w:val="24"/>
          <w:szCs w:val="24"/>
          <w:lang w:val="en-US"/>
        </w:rPr>
        <w:t>research</w:t>
      </w:r>
      <w:r w:rsidR="004004AC" w:rsidRPr="00D06F2B">
        <w:rPr>
          <w:rFonts w:ascii="Garamond" w:hAnsi="Garamond"/>
          <w:sz w:val="24"/>
          <w:szCs w:val="24"/>
          <w:lang w:val="en-US"/>
        </w:rPr>
        <w:t xml:space="preserve"> </w:t>
      </w:r>
      <w:r w:rsidRPr="00D06F2B">
        <w:rPr>
          <w:rFonts w:ascii="Garamond" w:hAnsi="Garamond"/>
          <w:sz w:val="24"/>
          <w:szCs w:val="24"/>
          <w:lang w:val="en-US"/>
        </w:rPr>
        <w:t xml:space="preserve">change in response to a market-wide tail-risk event? </w:t>
      </w:r>
      <w:r w:rsidR="00456740" w:rsidRPr="00D06F2B">
        <w:rPr>
          <w:rFonts w:ascii="Garamond" w:hAnsi="Garamond"/>
          <w:sz w:val="24"/>
          <w:szCs w:val="24"/>
          <w:lang w:val="en-US"/>
        </w:rPr>
        <w:t>Using</w:t>
      </w:r>
      <w:r w:rsidR="00BA323D" w:rsidRPr="00D06F2B">
        <w:rPr>
          <w:rFonts w:ascii="Garamond" w:hAnsi="Garamond"/>
          <w:sz w:val="24"/>
          <w:szCs w:val="24"/>
          <w:lang w:val="en-US"/>
        </w:rPr>
        <w:t xml:space="preserve"> </w:t>
      </w:r>
      <w:r w:rsidR="00456740" w:rsidRPr="00D06F2B">
        <w:rPr>
          <w:rFonts w:ascii="Garamond" w:hAnsi="Garamond"/>
          <w:sz w:val="24"/>
          <w:szCs w:val="24"/>
          <w:lang w:val="en-US"/>
        </w:rPr>
        <w:t xml:space="preserve">the </w:t>
      </w:r>
      <w:r w:rsidR="00BA323D" w:rsidRPr="00D06F2B">
        <w:rPr>
          <w:rFonts w:ascii="Garamond" w:hAnsi="Garamond"/>
          <w:sz w:val="24"/>
          <w:szCs w:val="24"/>
          <w:lang w:val="en-US"/>
        </w:rPr>
        <w:t>COVID-19 pandemic</w:t>
      </w:r>
      <w:r w:rsidR="00B0560A" w:rsidRPr="00D06F2B">
        <w:rPr>
          <w:rFonts w:ascii="Garamond" w:hAnsi="Garamond"/>
          <w:sz w:val="24"/>
          <w:szCs w:val="24"/>
          <w:lang w:val="en-US"/>
        </w:rPr>
        <w:t xml:space="preserve"> to capture a tail-risk event</w:t>
      </w:r>
      <w:r w:rsidR="00456740" w:rsidRPr="00D06F2B">
        <w:rPr>
          <w:rFonts w:ascii="Garamond" w:hAnsi="Garamond"/>
          <w:sz w:val="24"/>
          <w:szCs w:val="24"/>
          <w:lang w:val="en-US"/>
        </w:rPr>
        <w:t>, we document that a</w:t>
      </w:r>
      <w:r w:rsidR="000C0F0E" w:rsidRPr="00D06F2B">
        <w:rPr>
          <w:rFonts w:ascii="Garamond" w:hAnsi="Garamond"/>
          <w:sz w:val="24"/>
          <w:szCs w:val="24"/>
          <w:lang w:val="en-US"/>
        </w:rPr>
        <w:t xml:space="preserve">nalysts increase their </w:t>
      </w:r>
      <w:r w:rsidR="00F14DD2" w:rsidRPr="00D06F2B">
        <w:rPr>
          <w:rFonts w:ascii="Garamond" w:hAnsi="Garamond"/>
          <w:sz w:val="24"/>
          <w:szCs w:val="24"/>
          <w:lang w:val="en-US"/>
        </w:rPr>
        <w:t xml:space="preserve">research </w:t>
      </w:r>
      <w:r w:rsidR="00995FBA" w:rsidRPr="00D06F2B">
        <w:rPr>
          <w:rFonts w:ascii="Garamond" w:hAnsi="Garamond"/>
          <w:sz w:val="24"/>
          <w:szCs w:val="24"/>
          <w:lang w:val="en-US"/>
        </w:rPr>
        <w:t>activity</w:t>
      </w:r>
      <w:r w:rsidR="000C0F0E" w:rsidRPr="00D06F2B">
        <w:rPr>
          <w:rFonts w:ascii="Garamond" w:hAnsi="Garamond"/>
          <w:sz w:val="24"/>
          <w:szCs w:val="24"/>
          <w:lang w:val="en-US"/>
        </w:rPr>
        <w:t xml:space="preserve"> </w:t>
      </w:r>
      <w:r w:rsidRPr="00D06F2B">
        <w:rPr>
          <w:rFonts w:ascii="Garamond" w:hAnsi="Garamond"/>
          <w:sz w:val="24"/>
          <w:szCs w:val="24"/>
          <w:lang w:val="en-US"/>
        </w:rPr>
        <w:t xml:space="preserve">and </w:t>
      </w:r>
      <w:r w:rsidR="00B0560A" w:rsidRPr="00D06F2B">
        <w:rPr>
          <w:rFonts w:ascii="Garamond" w:hAnsi="Garamond"/>
          <w:sz w:val="24"/>
          <w:szCs w:val="24"/>
          <w:lang w:val="en-US"/>
        </w:rPr>
        <w:t>significantly</w:t>
      </w:r>
      <w:r w:rsidRPr="00D06F2B">
        <w:rPr>
          <w:rFonts w:ascii="Garamond" w:hAnsi="Garamond"/>
          <w:sz w:val="24"/>
          <w:szCs w:val="24"/>
          <w:lang w:val="en-US"/>
        </w:rPr>
        <w:t xml:space="preserve"> revise their forecasts </w:t>
      </w:r>
      <w:r w:rsidR="00B0560A" w:rsidRPr="00D06F2B">
        <w:rPr>
          <w:rFonts w:ascii="Garamond" w:hAnsi="Garamond"/>
          <w:sz w:val="24"/>
          <w:szCs w:val="24"/>
          <w:lang w:val="en-US"/>
        </w:rPr>
        <w:t>during the</w:t>
      </w:r>
      <w:r w:rsidR="000C0F0E" w:rsidRPr="00D06F2B">
        <w:rPr>
          <w:rFonts w:ascii="Garamond" w:hAnsi="Garamond"/>
          <w:sz w:val="24"/>
          <w:szCs w:val="24"/>
          <w:lang w:val="en-US"/>
        </w:rPr>
        <w:t xml:space="preserve"> pandemic compared to </w:t>
      </w:r>
      <w:r w:rsidR="00F14DD2" w:rsidRPr="00D06F2B">
        <w:rPr>
          <w:rFonts w:ascii="Garamond" w:hAnsi="Garamond"/>
          <w:sz w:val="24"/>
          <w:szCs w:val="24"/>
          <w:lang w:val="en-US"/>
        </w:rPr>
        <w:t xml:space="preserve">the </w:t>
      </w:r>
      <w:r w:rsidR="000C0F0E" w:rsidRPr="00D06F2B">
        <w:rPr>
          <w:rFonts w:ascii="Garamond" w:hAnsi="Garamond"/>
          <w:sz w:val="24"/>
          <w:szCs w:val="24"/>
          <w:lang w:val="en-US"/>
        </w:rPr>
        <w:t xml:space="preserve">pre-pandemic </w:t>
      </w:r>
      <w:r w:rsidR="00B0560A" w:rsidRPr="00D06F2B">
        <w:rPr>
          <w:rFonts w:ascii="Garamond" w:hAnsi="Garamond"/>
          <w:sz w:val="24"/>
          <w:szCs w:val="24"/>
          <w:lang w:val="en-US"/>
        </w:rPr>
        <w:t>period</w:t>
      </w:r>
      <w:r w:rsidR="000C0F0E" w:rsidRPr="00D06F2B">
        <w:rPr>
          <w:rFonts w:ascii="Garamond" w:hAnsi="Garamond"/>
          <w:sz w:val="24"/>
          <w:szCs w:val="24"/>
          <w:lang w:val="en-US"/>
        </w:rPr>
        <w:t>.</w:t>
      </w:r>
      <w:r w:rsidRPr="00D06F2B">
        <w:rPr>
          <w:rFonts w:ascii="Garamond" w:hAnsi="Garamond"/>
          <w:sz w:val="24"/>
          <w:szCs w:val="24"/>
          <w:lang w:val="en-US"/>
        </w:rPr>
        <w:t xml:space="preserve"> </w:t>
      </w:r>
      <w:r w:rsidR="00B0560A" w:rsidRPr="00D06F2B">
        <w:rPr>
          <w:rFonts w:ascii="Garamond" w:hAnsi="Garamond"/>
          <w:sz w:val="24"/>
          <w:szCs w:val="24"/>
          <w:lang w:val="en-US"/>
        </w:rPr>
        <w:t>Uncertainty-adjusted f</w:t>
      </w:r>
      <w:r w:rsidRPr="00D06F2B">
        <w:rPr>
          <w:rFonts w:ascii="Garamond" w:hAnsi="Garamond"/>
          <w:sz w:val="24"/>
          <w:szCs w:val="24"/>
          <w:lang w:val="en-US"/>
        </w:rPr>
        <w:t>orecast accuracy decreases</w:t>
      </w:r>
      <w:r w:rsidR="00B0560A" w:rsidRPr="00D06F2B">
        <w:rPr>
          <w:rFonts w:ascii="Garamond" w:hAnsi="Garamond"/>
          <w:sz w:val="24"/>
          <w:szCs w:val="24"/>
          <w:lang w:val="en-US"/>
        </w:rPr>
        <w:t xml:space="preserve"> in the first quarter of 2020 but improves in the reminder of 2020. I</w:t>
      </w:r>
      <w:r w:rsidR="00EE0603" w:rsidRPr="00D06F2B">
        <w:rPr>
          <w:rFonts w:ascii="Garamond" w:hAnsi="Garamond"/>
          <w:sz w:val="24"/>
          <w:szCs w:val="24"/>
          <w:lang w:val="en-US"/>
        </w:rPr>
        <w:t xml:space="preserve">nvestor attention and </w:t>
      </w:r>
      <w:r w:rsidRPr="00D06F2B">
        <w:rPr>
          <w:rFonts w:ascii="Garamond" w:hAnsi="Garamond"/>
          <w:sz w:val="24"/>
          <w:szCs w:val="24"/>
          <w:lang w:val="en-US"/>
        </w:rPr>
        <w:t>p</w:t>
      </w:r>
      <w:r w:rsidR="00D91172" w:rsidRPr="00D06F2B">
        <w:rPr>
          <w:rFonts w:ascii="Garamond" w:hAnsi="Garamond"/>
          <w:sz w:val="24"/>
          <w:szCs w:val="24"/>
          <w:lang w:val="en-US"/>
        </w:rPr>
        <w:t xml:space="preserve">rice reactions to </w:t>
      </w:r>
      <w:r w:rsidRPr="00D06F2B">
        <w:rPr>
          <w:rFonts w:ascii="Garamond" w:hAnsi="Garamond"/>
          <w:sz w:val="24"/>
          <w:szCs w:val="24"/>
          <w:lang w:val="en-US"/>
        </w:rPr>
        <w:t xml:space="preserve">forecast </w:t>
      </w:r>
      <w:r w:rsidR="0058740E" w:rsidRPr="00D06F2B">
        <w:rPr>
          <w:rFonts w:ascii="Garamond" w:hAnsi="Garamond"/>
          <w:sz w:val="24"/>
          <w:szCs w:val="24"/>
          <w:lang w:val="en-US"/>
        </w:rPr>
        <w:t>revisions</w:t>
      </w:r>
      <w:r w:rsidR="00D91172" w:rsidRPr="00D06F2B">
        <w:rPr>
          <w:rFonts w:ascii="Garamond" w:hAnsi="Garamond"/>
          <w:sz w:val="24"/>
          <w:szCs w:val="24"/>
          <w:lang w:val="en-US"/>
        </w:rPr>
        <w:t xml:space="preserve"> are </w:t>
      </w:r>
      <w:r w:rsidR="00DA17B8" w:rsidRPr="00D06F2B">
        <w:rPr>
          <w:rFonts w:ascii="Garamond" w:hAnsi="Garamond"/>
          <w:sz w:val="24"/>
          <w:szCs w:val="24"/>
          <w:lang w:val="en-US"/>
        </w:rPr>
        <w:t>higher</w:t>
      </w:r>
      <w:r w:rsidR="00995FBA" w:rsidRPr="00D06F2B">
        <w:rPr>
          <w:rFonts w:ascii="Garamond" w:hAnsi="Garamond"/>
          <w:sz w:val="24"/>
          <w:szCs w:val="24"/>
          <w:lang w:val="en-US"/>
        </w:rPr>
        <w:t xml:space="preserve"> </w:t>
      </w:r>
      <w:r w:rsidR="00D91172" w:rsidRPr="00D06F2B">
        <w:rPr>
          <w:rFonts w:ascii="Garamond" w:hAnsi="Garamond"/>
          <w:sz w:val="24"/>
          <w:szCs w:val="24"/>
          <w:lang w:val="en-US"/>
        </w:rPr>
        <w:t xml:space="preserve">during </w:t>
      </w:r>
      <w:r w:rsidR="00F75BBE" w:rsidRPr="00D06F2B">
        <w:rPr>
          <w:rFonts w:ascii="Garamond" w:hAnsi="Garamond"/>
          <w:sz w:val="24"/>
          <w:szCs w:val="24"/>
          <w:lang w:val="en-US"/>
        </w:rPr>
        <w:t xml:space="preserve">the </w:t>
      </w:r>
      <w:r w:rsidR="00D91172" w:rsidRPr="00D06F2B">
        <w:rPr>
          <w:rFonts w:ascii="Garamond" w:hAnsi="Garamond"/>
          <w:sz w:val="24"/>
          <w:szCs w:val="24"/>
          <w:lang w:val="en-US"/>
        </w:rPr>
        <w:t>pandemic</w:t>
      </w:r>
      <w:r w:rsidR="00B0560A" w:rsidRPr="00D06F2B">
        <w:rPr>
          <w:rFonts w:ascii="Garamond" w:hAnsi="Garamond"/>
          <w:sz w:val="24"/>
          <w:szCs w:val="24"/>
          <w:lang w:val="en-US"/>
        </w:rPr>
        <w:t xml:space="preserve"> and the</w:t>
      </w:r>
      <w:r w:rsidR="0058740E" w:rsidRPr="00D06F2B">
        <w:rPr>
          <w:rFonts w:ascii="Garamond" w:hAnsi="Garamond"/>
          <w:sz w:val="24"/>
          <w:szCs w:val="24"/>
          <w:lang w:val="en-US"/>
        </w:rPr>
        <w:t xml:space="preserve"> effect is </w:t>
      </w:r>
      <w:r w:rsidRPr="00D06F2B">
        <w:rPr>
          <w:rFonts w:ascii="Garamond" w:hAnsi="Garamond"/>
          <w:sz w:val="24"/>
          <w:szCs w:val="24"/>
          <w:lang w:val="en-US"/>
        </w:rPr>
        <w:t>stronger</w:t>
      </w:r>
      <w:r w:rsidR="0058740E" w:rsidRPr="00D06F2B">
        <w:rPr>
          <w:rFonts w:ascii="Garamond" w:hAnsi="Garamond"/>
          <w:sz w:val="24"/>
          <w:szCs w:val="24"/>
          <w:lang w:val="en-US"/>
        </w:rPr>
        <w:t xml:space="preserve"> </w:t>
      </w:r>
      <w:r w:rsidR="00803478" w:rsidRPr="00D06F2B">
        <w:rPr>
          <w:rFonts w:ascii="Garamond" w:hAnsi="Garamond"/>
          <w:sz w:val="24"/>
          <w:szCs w:val="24"/>
          <w:lang w:val="en-US"/>
        </w:rPr>
        <w:t xml:space="preserve">in periods where investors </w:t>
      </w:r>
      <w:r w:rsidR="00DA17B8" w:rsidRPr="00D06F2B">
        <w:rPr>
          <w:rFonts w:ascii="Garamond" w:hAnsi="Garamond"/>
          <w:sz w:val="24"/>
          <w:szCs w:val="24"/>
          <w:lang w:val="en-US"/>
        </w:rPr>
        <w:t xml:space="preserve">actively search for </w:t>
      </w:r>
      <w:r w:rsidR="007F2D01" w:rsidRPr="00D06F2B">
        <w:rPr>
          <w:rFonts w:ascii="Garamond" w:hAnsi="Garamond"/>
          <w:sz w:val="24"/>
          <w:szCs w:val="24"/>
          <w:lang w:val="en-US"/>
        </w:rPr>
        <w:t>information</w:t>
      </w:r>
      <w:r w:rsidR="0058740E" w:rsidRPr="00D06F2B">
        <w:rPr>
          <w:rFonts w:ascii="Garamond" w:hAnsi="Garamond"/>
          <w:sz w:val="24"/>
          <w:szCs w:val="24"/>
          <w:lang w:val="en-US"/>
        </w:rPr>
        <w:t xml:space="preserve"> about the pandemic</w:t>
      </w:r>
      <w:r w:rsidR="00DA17B8" w:rsidRPr="00D06F2B">
        <w:rPr>
          <w:rFonts w:ascii="Garamond" w:hAnsi="Garamond"/>
          <w:sz w:val="24"/>
          <w:szCs w:val="24"/>
          <w:lang w:val="en-US"/>
        </w:rPr>
        <w:t xml:space="preserve"> </w:t>
      </w:r>
      <w:r w:rsidR="0058740E" w:rsidRPr="00D06F2B">
        <w:rPr>
          <w:rFonts w:ascii="Garamond" w:hAnsi="Garamond"/>
          <w:sz w:val="24"/>
          <w:szCs w:val="24"/>
          <w:lang w:val="en-US"/>
        </w:rPr>
        <w:t>and</w:t>
      </w:r>
      <w:r w:rsidR="009A5242" w:rsidRPr="00D06F2B">
        <w:rPr>
          <w:rFonts w:ascii="Garamond" w:hAnsi="Garamond"/>
          <w:sz w:val="24"/>
          <w:szCs w:val="24"/>
          <w:lang w:val="en-US"/>
        </w:rPr>
        <w:t xml:space="preserve"> the</w:t>
      </w:r>
      <w:r w:rsidR="0058740E" w:rsidRPr="00D06F2B">
        <w:rPr>
          <w:rFonts w:ascii="Garamond" w:hAnsi="Garamond"/>
          <w:sz w:val="24"/>
          <w:szCs w:val="24"/>
          <w:lang w:val="en-US"/>
        </w:rPr>
        <w:t xml:space="preserve"> stock market </w:t>
      </w:r>
      <w:r w:rsidR="00DA17B8" w:rsidRPr="00D06F2B">
        <w:rPr>
          <w:rFonts w:ascii="Garamond" w:hAnsi="Garamond"/>
          <w:sz w:val="24"/>
          <w:szCs w:val="24"/>
          <w:lang w:val="en-US"/>
        </w:rPr>
        <w:t>as captured by google searches</w:t>
      </w:r>
      <w:r w:rsidR="007F2D01" w:rsidRPr="00D06F2B">
        <w:rPr>
          <w:rFonts w:ascii="Garamond" w:hAnsi="Garamond"/>
          <w:sz w:val="24"/>
          <w:szCs w:val="24"/>
          <w:lang w:val="en-US"/>
        </w:rPr>
        <w:t>.</w:t>
      </w:r>
      <w:r w:rsidR="00683E1A" w:rsidRPr="00D06F2B">
        <w:rPr>
          <w:rFonts w:ascii="Garamond" w:hAnsi="Garamond"/>
          <w:sz w:val="24"/>
          <w:szCs w:val="24"/>
          <w:lang w:val="en-US"/>
        </w:rPr>
        <w:t xml:space="preserve"> </w:t>
      </w:r>
      <w:r w:rsidRPr="00D06F2B">
        <w:rPr>
          <w:rFonts w:ascii="Garamond" w:hAnsi="Garamond"/>
          <w:sz w:val="24"/>
          <w:szCs w:val="24"/>
          <w:lang w:val="en-US"/>
        </w:rPr>
        <w:t>During the pandemic, i</w:t>
      </w:r>
      <w:r w:rsidR="00683E1A" w:rsidRPr="00D06F2B">
        <w:rPr>
          <w:rFonts w:ascii="Garamond" w:hAnsi="Garamond"/>
          <w:sz w:val="24"/>
          <w:szCs w:val="24"/>
          <w:lang w:val="en-US"/>
        </w:rPr>
        <w:t>nvestors value analyst</w:t>
      </w:r>
      <w:r w:rsidR="0058740E" w:rsidRPr="00D06F2B">
        <w:rPr>
          <w:rFonts w:ascii="Garamond" w:hAnsi="Garamond"/>
          <w:sz w:val="24"/>
          <w:szCs w:val="24"/>
          <w:lang w:val="en-US"/>
        </w:rPr>
        <w:t xml:space="preserve"> </w:t>
      </w:r>
      <w:r w:rsidRPr="00D06F2B">
        <w:rPr>
          <w:rFonts w:ascii="Garamond" w:hAnsi="Garamond"/>
          <w:sz w:val="24"/>
          <w:szCs w:val="24"/>
          <w:lang w:val="en-US"/>
        </w:rPr>
        <w:t>price d</w:t>
      </w:r>
      <w:r w:rsidR="00683E1A" w:rsidRPr="00D06F2B">
        <w:rPr>
          <w:rFonts w:ascii="Garamond" w:hAnsi="Garamond"/>
          <w:sz w:val="24"/>
          <w:szCs w:val="24"/>
          <w:lang w:val="en-US"/>
        </w:rPr>
        <w:t xml:space="preserve">iscovery </w:t>
      </w:r>
      <w:r w:rsidR="0058740E" w:rsidRPr="00D06F2B">
        <w:rPr>
          <w:rFonts w:ascii="Garamond" w:hAnsi="Garamond"/>
          <w:sz w:val="24"/>
          <w:szCs w:val="24"/>
          <w:lang w:val="en-US"/>
        </w:rPr>
        <w:t xml:space="preserve">role </w:t>
      </w:r>
      <w:r w:rsidRPr="00D06F2B">
        <w:rPr>
          <w:rFonts w:ascii="Garamond" w:hAnsi="Garamond"/>
          <w:sz w:val="24"/>
          <w:szCs w:val="24"/>
          <w:lang w:val="en-US"/>
        </w:rPr>
        <w:t>more t</w:t>
      </w:r>
      <w:r w:rsidR="00683E1A" w:rsidRPr="00D06F2B">
        <w:rPr>
          <w:rFonts w:ascii="Garamond" w:hAnsi="Garamond"/>
          <w:sz w:val="24"/>
          <w:szCs w:val="24"/>
          <w:lang w:val="en-US"/>
        </w:rPr>
        <w:t>han their role in interpreting public information</w:t>
      </w:r>
      <w:r w:rsidR="0058740E" w:rsidRPr="00D06F2B">
        <w:rPr>
          <w:rFonts w:ascii="Garamond" w:hAnsi="Garamond"/>
          <w:sz w:val="24"/>
          <w:szCs w:val="24"/>
          <w:lang w:val="en-US"/>
        </w:rPr>
        <w:t>.</w:t>
      </w:r>
    </w:p>
    <w:p w14:paraId="342DE7AA" w14:textId="77777777" w:rsidR="00EE0603" w:rsidRPr="00D06F2B" w:rsidRDefault="00EE0603" w:rsidP="00EE0603">
      <w:pPr>
        <w:ind w:left="567" w:right="573"/>
        <w:rPr>
          <w:rFonts w:ascii="Garamond" w:hAnsi="Garamond"/>
          <w:sz w:val="24"/>
          <w:szCs w:val="24"/>
          <w:lang w:val="en-US"/>
        </w:rPr>
      </w:pPr>
    </w:p>
    <w:p w14:paraId="5E61FECC" w14:textId="7078BEFC" w:rsidR="00803478" w:rsidRPr="00D06F2B" w:rsidRDefault="00803478" w:rsidP="00803478">
      <w:pPr>
        <w:rPr>
          <w:rFonts w:ascii="Garamond" w:hAnsi="Garamond"/>
          <w:sz w:val="24"/>
          <w:szCs w:val="24"/>
          <w:lang w:val="en-US"/>
        </w:rPr>
      </w:pPr>
    </w:p>
    <w:p w14:paraId="6343B272" w14:textId="220052B5" w:rsidR="00803478" w:rsidRPr="00D06F2B" w:rsidRDefault="00803478" w:rsidP="00803478">
      <w:pPr>
        <w:rPr>
          <w:rFonts w:ascii="Garamond" w:hAnsi="Garamond"/>
          <w:sz w:val="24"/>
          <w:szCs w:val="24"/>
          <w:lang w:val="en-US"/>
        </w:rPr>
      </w:pPr>
      <w:r w:rsidRPr="00D06F2B">
        <w:rPr>
          <w:rFonts w:ascii="Garamond" w:hAnsi="Garamond"/>
          <w:b/>
          <w:bCs/>
          <w:sz w:val="24"/>
          <w:szCs w:val="24"/>
          <w:lang w:val="en-US"/>
        </w:rPr>
        <w:t>Keywords</w:t>
      </w:r>
      <w:r w:rsidRPr="00D06F2B">
        <w:rPr>
          <w:rFonts w:ascii="Garamond" w:hAnsi="Garamond"/>
          <w:sz w:val="24"/>
          <w:szCs w:val="24"/>
          <w:lang w:val="en-US"/>
        </w:rPr>
        <w:t>: COVID-19;</w:t>
      </w:r>
      <w:r w:rsidR="00FC72DB" w:rsidRPr="00D06F2B">
        <w:rPr>
          <w:rFonts w:ascii="Garamond" w:hAnsi="Garamond"/>
          <w:sz w:val="24"/>
          <w:szCs w:val="24"/>
          <w:lang w:val="en-US"/>
        </w:rPr>
        <w:t xml:space="preserve"> Coronavirus;</w:t>
      </w:r>
      <w:r w:rsidRPr="00D06F2B">
        <w:rPr>
          <w:rFonts w:ascii="Garamond" w:hAnsi="Garamond"/>
          <w:sz w:val="24"/>
          <w:szCs w:val="24"/>
          <w:lang w:val="en-US"/>
        </w:rPr>
        <w:t xml:space="preserve"> forecast accuracy; price reactions; </w:t>
      </w:r>
      <w:r w:rsidR="000A0F02" w:rsidRPr="00D06F2B">
        <w:rPr>
          <w:rFonts w:ascii="Garamond" w:hAnsi="Garamond"/>
          <w:sz w:val="24"/>
          <w:szCs w:val="24"/>
          <w:lang w:val="en-US"/>
        </w:rPr>
        <w:t>information</w:t>
      </w:r>
      <w:r w:rsidRPr="00D06F2B">
        <w:rPr>
          <w:rFonts w:ascii="Garamond" w:hAnsi="Garamond"/>
          <w:sz w:val="24"/>
          <w:szCs w:val="24"/>
          <w:lang w:val="en-US"/>
        </w:rPr>
        <w:t xml:space="preserve"> discovery; information intermediation</w:t>
      </w:r>
    </w:p>
    <w:p w14:paraId="7AEB75D0" w14:textId="63772206" w:rsidR="00803478" w:rsidRPr="00D06F2B" w:rsidRDefault="00803478" w:rsidP="00803478">
      <w:pPr>
        <w:rPr>
          <w:rFonts w:ascii="Garamond" w:hAnsi="Garamond"/>
          <w:sz w:val="24"/>
          <w:szCs w:val="24"/>
          <w:lang w:val="en-US"/>
        </w:rPr>
      </w:pPr>
      <w:r w:rsidRPr="00D06F2B">
        <w:rPr>
          <w:rFonts w:ascii="Garamond" w:hAnsi="Garamond"/>
          <w:b/>
          <w:bCs/>
          <w:sz w:val="24"/>
          <w:szCs w:val="24"/>
          <w:lang w:val="en-US"/>
        </w:rPr>
        <w:t>JEL</w:t>
      </w:r>
      <w:r w:rsidRPr="00D06F2B">
        <w:rPr>
          <w:rFonts w:ascii="Garamond" w:hAnsi="Garamond"/>
          <w:sz w:val="24"/>
          <w:szCs w:val="24"/>
          <w:lang w:val="en-US"/>
        </w:rPr>
        <w:t xml:space="preserve">: </w:t>
      </w:r>
      <w:r w:rsidR="00FC72DB" w:rsidRPr="00D06F2B">
        <w:rPr>
          <w:rFonts w:ascii="Garamond" w:hAnsi="Garamond"/>
          <w:sz w:val="24"/>
          <w:szCs w:val="24"/>
          <w:lang w:val="en-US"/>
        </w:rPr>
        <w:t>G01, G14, G32, F14</w:t>
      </w:r>
    </w:p>
    <w:p w14:paraId="2EE02C60" w14:textId="06D77138" w:rsidR="00AC05D8" w:rsidRPr="00D06F2B" w:rsidRDefault="00AC05D8">
      <w:pPr>
        <w:rPr>
          <w:rFonts w:ascii="Garamond" w:hAnsi="Garamond"/>
          <w:sz w:val="24"/>
          <w:szCs w:val="24"/>
          <w:lang w:val="en-US"/>
        </w:rPr>
      </w:pPr>
    </w:p>
    <w:p w14:paraId="00B41F13" w14:textId="77777777" w:rsidR="00AC05D8" w:rsidRPr="00D06F2B" w:rsidRDefault="00AC05D8">
      <w:pPr>
        <w:rPr>
          <w:rFonts w:ascii="Garamond" w:hAnsi="Garamond"/>
          <w:sz w:val="24"/>
          <w:szCs w:val="24"/>
          <w:lang w:val="en-US"/>
        </w:rPr>
      </w:pPr>
      <w:r w:rsidRPr="00D06F2B">
        <w:rPr>
          <w:rFonts w:ascii="Garamond" w:hAnsi="Garamond"/>
          <w:sz w:val="24"/>
          <w:szCs w:val="24"/>
          <w:lang w:val="en-US"/>
        </w:rPr>
        <w:br w:type="page"/>
      </w:r>
    </w:p>
    <w:p w14:paraId="6A781E00" w14:textId="4446937A" w:rsidR="00F95FEE" w:rsidRPr="00D06F2B" w:rsidRDefault="00AC05D8" w:rsidP="002224B7">
      <w:pPr>
        <w:spacing w:after="0" w:line="480" w:lineRule="auto"/>
        <w:rPr>
          <w:rFonts w:ascii="Garamond" w:hAnsi="Garamond"/>
          <w:b/>
          <w:bCs/>
          <w:sz w:val="24"/>
          <w:szCs w:val="24"/>
          <w:lang w:val="en-US"/>
        </w:rPr>
      </w:pPr>
      <w:r w:rsidRPr="00D06F2B">
        <w:rPr>
          <w:rFonts w:ascii="Garamond" w:hAnsi="Garamond"/>
          <w:b/>
          <w:bCs/>
          <w:sz w:val="24"/>
          <w:szCs w:val="24"/>
          <w:lang w:val="en-US"/>
        </w:rPr>
        <w:lastRenderedPageBreak/>
        <w:t>1. Introduction</w:t>
      </w:r>
    </w:p>
    <w:p w14:paraId="6B65E7F6" w14:textId="68DAFE24" w:rsidR="0015379F" w:rsidRPr="00D06F2B" w:rsidRDefault="002A7868" w:rsidP="00B23D1B">
      <w:pPr>
        <w:spacing w:after="0" w:line="480" w:lineRule="auto"/>
        <w:rPr>
          <w:rFonts w:ascii="Garamond" w:hAnsi="Garamond"/>
          <w:sz w:val="24"/>
          <w:szCs w:val="24"/>
          <w:lang w:val="en-US"/>
        </w:rPr>
      </w:pPr>
      <w:r w:rsidRPr="00D06F2B">
        <w:rPr>
          <w:rFonts w:ascii="Garamond" w:hAnsi="Garamond"/>
          <w:sz w:val="24"/>
          <w:szCs w:val="24"/>
          <w:lang w:val="en-US"/>
        </w:rPr>
        <w:t>Tail risk is the chance of a</w:t>
      </w:r>
      <w:r w:rsidR="00B35403" w:rsidRPr="00D06F2B">
        <w:rPr>
          <w:rFonts w:ascii="Garamond" w:hAnsi="Garamond"/>
          <w:sz w:val="24"/>
          <w:szCs w:val="24"/>
          <w:lang w:val="en-US"/>
        </w:rPr>
        <w:t>n abnormally large</w:t>
      </w:r>
      <w:r w:rsidR="00AF1461" w:rsidRPr="00D06F2B">
        <w:rPr>
          <w:rFonts w:ascii="Garamond" w:hAnsi="Garamond"/>
          <w:sz w:val="24"/>
          <w:szCs w:val="24"/>
          <w:lang w:val="en-US"/>
        </w:rPr>
        <w:t xml:space="preserve"> loss in firm value</w:t>
      </w:r>
      <w:r w:rsidRPr="00D06F2B">
        <w:rPr>
          <w:rFonts w:ascii="Garamond" w:hAnsi="Garamond"/>
          <w:sz w:val="24"/>
          <w:szCs w:val="24"/>
          <w:lang w:val="en-US"/>
        </w:rPr>
        <w:t xml:space="preserve"> due to a rare event as predicted by the probability distribution.</w:t>
      </w:r>
      <w:r w:rsidR="00B35403" w:rsidRPr="00D06F2B">
        <w:rPr>
          <w:rStyle w:val="FootnoteReference"/>
          <w:rFonts w:ascii="Garamond" w:hAnsi="Garamond"/>
          <w:sz w:val="24"/>
          <w:szCs w:val="24"/>
          <w:lang w:val="en-US"/>
        </w:rPr>
        <w:footnoteReference w:id="1"/>
      </w:r>
      <w:r w:rsidRPr="00D06F2B">
        <w:rPr>
          <w:rFonts w:ascii="Garamond" w:hAnsi="Garamond"/>
          <w:sz w:val="24"/>
          <w:szCs w:val="24"/>
          <w:lang w:val="en-US"/>
        </w:rPr>
        <w:t xml:space="preserve"> </w:t>
      </w:r>
      <w:r w:rsidR="00B35403" w:rsidRPr="00D06F2B">
        <w:rPr>
          <w:rFonts w:ascii="Garamond" w:hAnsi="Garamond"/>
          <w:sz w:val="24"/>
          <w:szCs w:val="24"/>
          <w:lang w:val="en-US"/>
        </w:rPr>
        <w:t>T</w:t>
      </w:r>
      <w:r w:rsidR="00E1103E" w:rsidRPr="00D06F2B">
        <w:rPr>
          <w:rFonts w:ascii="Garamond" w:hAnsi="Garamond"/>
          <w:sz w:val="24"/>
          <w:szCs w:val="24"/>
          <w:lang w:val="en-US"/>
        </w:rPr>
        <w:t>he rare chance of a tail-risk event occurring means it is</w:t>
      </w:r>
      <w:r w:rsidR="00B35403" w:rsidRPr="00D06F2B">
        <w:rPr>
          <w:rFonts w:ascii="Garamond" w:hAnsi="Garamond"/>
          <w:sz w:val="24"/>
          <w:szCs w:val="24"/>
          <w:lang w:val="en-US"/>
        </w:rPr>
        <w:t xml:space="preserve"> typically</w:t>
      </w:r>
      <w:r w:rsidR="00E1103E" w:rsidRPr="00D06F2B">
        <w:rPr>
          <w:rFonts w:ascii="Garamond" w:hAnsi="Garamond"/>
          <w:sz w:val="24"/>
          <w:szCs w:val="24"/>
          <w:lang w:val="en-US"/>
        </w:rPr>
        <w:t xml:space="preserve"> studied at the </w:t>
      </w:r>
      <w:r w:rsidR="00B80E81" w:rsidRPr="00D06F2B">
        <w:rPr>
          <w:rFonts w:ascii="Garamond" w:hAnsi="Garamond"/>
          <w:sz w:val="24"/>
          <w:szCs w:val="24"/>
          <w:lang w:val="en-US"/>
        </w:rPr>
        <w:t xml:space="preserve">individual firm </w:t>
      </w:r>
      <w:r w:rsidR="00E1103E" w:rsidRPr="00D06F2B">
        <w:rPr>
          <w:rFonts w:ascii="Garamond" w:hAnsi="Garamond"/>
          <w:sz w:val="24"/>
          <w:szCs w:val="24"/>
          <w:lang w:val="en-US"/>
        </w:rPr>
        <w:t>level with most studies looking at the determinants of stock price crash risk</w:t>
      </w:r>
      <w:r w:rsidR="00B80E81" w:rsidRPr="00D06F2B">
        <w:rPr>
          <w:rFonts w:ascii="Garamond" w:hAnsi="Garamond"/>
          <w:sz w:val="24"/>
          <w:szCs w:val="24"/>
          <w:lang w:val="en-US"/>
        </w:rPr>
        <w:t xml:space="preserve"> (</w:t>
      </w:r>
      <w:r w:rsidR="00C91461" w:rsidRPr="00D06F2B">
        <w:rPr>
          <w:rFonts w:ascii="Garamond" w:hAnsi="Garamond"/>
          <w:sz w:val="24"/>
          <w:szCs w:val="24"/>
          <w:lang w:val="en-US"/>
        </w:rPr>
        <w:t xml:space="preserve">Chen, Hong and Stein 2001, Jin and Myers 2006, Hutton, Marcus and </w:t>
      </w:r>
      <w:proofErr w:type="spellStart"/>
      <w:r w:rsidR="00C91461" w:rsidRPr="00D06F2B">
        <w:rPr>
          <w:rFonts w:ascii="Garamond" w:hAnsi="Garamond"/>
          <w:sz w:val="24"/>
          <w:szCs w:val="24"/>
          <w:lang w:val="en-US"/>
        </w:rPr>
        <w:t>Tehranian</w:t>
      </w:r>
      <w:proofErr w:type="spellEnd"/>
      <w:r w:rsidR="00C91461" w:rsidRPr="00D06F2B">
        <w:rPr>
          <w:rFonts w:ascii="Garamond" w:hAnsi="Garamond"/>
          <w:sz w:val="24"/>
          <w:szCs w:val="24"/>
          <w:lang w:val="en-US"/>
        </w:rPr>
        <w:t xml:space="preserve"> 2009, Kim and Zhang 2014</w:t>
      </w:r>
      <w:r w:rsidR="00B80E81" w:rsidRPr="00D06F2B">
        <w:rPr>
          <w:rFonts w:ascii="Garamond" w:hAnsi="Garamond"/>
          <w:sz w:val="24"/>
          <w:szCs w:val="24"/>
          <w:lang w:val="en-US"/>
        </w:rPr>
        <w:t>)</w:t>
      </w:r>
      <w:r w:rsidR="00E1103E" w:rsidRPr="00D06F2B">
        <w:rPr>
          <w:rFonts w:ascii="Garamond" w:hAnsi="Garamond"/>
          <w:sz w:val="24"/>
          <w:szCs w:val="24"/>
          <w:lang w:val="en-US"/>
        </w:rPr>
        <w:t>.</w:t>
      </w:r>
      <w:r w:rsidR="00B35403" w:rsidRPr="00D06F2B">
        <w:rPr>
          <w:rFonts w:ascii="Garamond" w:hAnsi="Garamond"/>
          <w:sz w:val="24"/>
          <w:szCs w:val="24"/>
          <w:lang w:val="en-US"/>
        </w:rPr>
        <w:t xml:space="preserve"> An important literature stream</w:t>
      </w:r>
      <w:r w:rsidR="00B0560A" w:rsidRPr="00D06F2B">
        <w:rPr>
          <w:rFonts w:ascii="Garamond" w:hAnsi="Garamond"/>
          <w:sz w:val="24"/>
          <w:szCs w:val="24"/>
          <w:lang w:val="en-US"/>
        </w:rPr>
        <w:t xml:space="preserve"> in this area</w:t>
      </w:r>
      <w:r w:rsidR="00B35403" w:rsidRPr="00D06F2B">
        <w:rPr>
          <w:rFonts w:ascii="Garamond" w:hAnsi="Garamond"/>
          <w:sz w:val="24"/>
          <w:szCs w:val="24"/>
          <w:lang w:val="en-US"/>
        </w:rPr>
        <w:t xml:space="preserve"> examine</w:t>
      </w:r>
      <w:r w:rsidR="00C91461" w:rsidRPr="00D06F2B">
        <w:rPr>
          <w:rFonts w:ascii="Garamond" w:hAnsi="Garamond"/>
          <w:sz w:val="24"/>
          <w:szCs w:val="24"/>
          <w:lang w:val="en-US"/>
        </w:rPr>
        <w:t>d</w:t>
      </w:r>
      <w:r w:rsidR="00B35403" w:rsidRPr="00D06F2B">
        <w:rPr>
          <w:rFonts w:ascii="Garamond" w:hAnsi="Garamond"/>
          <w:sz w:val="24"/>
          <w:szCs w:val="24"/>
          <w:lang w:val="en-US"/>
        </w:rPr>
        <w:t xml:space="preserve"> whether</w:t>
      </w:r>
      <w:r w:rsidR="00456740" w:rsidRPr="00D06F2B">
        <w:rPr>
          <w:rFonts w:ascii="Garamond" w:hAnsi="Garamond"/>
          <w:sz w:val="24"/>
          <w:szCs w:val="24"/>
          <w:lang w:val="en-US"/>
        </w:rPr>
        <w:t xml:space="preserve"> changes in</w:t>
      </w:r>
      <w:r w:rsidR="00B35403" w:rsidRPr="00D06F2B">
        <w:rPr>
          <w:rFonts w:ascii="Garamond" w:hAnsi="Garamond"/>
          <w:sz w:val="24"/>
          <w:szCs w:val="24"/>
          <w:lang w:val="en-US"/>
        </w:rPr>
        <w:t xml:space="preserve"> analyst coverage predict </w:t>
      </w:r>
      <w:r w:rsidR="00456740" w:rsidRPr="00D06F2B">
        <w:rPr>
          <w:rFonts w:ascii="Garamond" w:hAnsi="Garamond"/>
          <w:sz w:val="24"/>
          <w:szCs w:val="24"/>
          <w:lang w:val="en-US"/>
        </w:rPr>
        <w:t>crash</w:t>
      </w:r>
      <w:r w:rsidR="00B35403" w:rsidRPr="00D06F2B">
        <w:rPr>
          <w:rFonts w:ascii="Garamond" w:hAnsi="Garamond"/>
          <w:sz w:val="24"/>
          <w:szCs w:val="24"/>
          <w:lang w:val="en-US"/>
        </w:rPr>
        <w:t xml:space="preserve"> risk events (Kim, Lu and Yu 2019, Xu, Jiang, Chan and Wu 2016</w:t>
      </w:r>
      <w:r w:rsidR="00363DB5" w:rsidRPr="00D06F2B">
        <w:rPr>
          <w:rFonts w:ascii="Garamond" w:hAnsi="Garamond"/>
          <w:sz w:val="24"/>
          <w:szCs w:val="24"/>
          <w:lang w:val="en-US"/>
        </w:rPr>
        <w:t>)</w:t>
      </w:r>
      <w:r w:rsidR="00AC29BE" w:rsidRPr="00D06F2B">
        <w:rPr>
          <w:rFonts w:ascii="Garamond" w:hAnsi="Garamond"/>
          <w:sz w:val="24"/>
          <w:szCs w:val="24"/>
          <w:lang w:val="en-US"/>
        </w:rPr>
        <w:t>, however, no study to date has examine</w:t>
      </w:r>
      <w:r w:rsidR="0015379F" w:rsidRPr="00D06F2B">
        <w:rPr>
          <w:rFonts w:ascii="Garamond" w:hAnsi="Garamond"/>
          <w:sz w:val="24"/>
          <w:szCs w:val="24"/>
          <w:lang w:val="en-US"/>
        </w:rPr>
        <w:t>d</w:t>
      </w:r>
      <w:r w:rsidR="00AC29BE" w:rsidRPr="00D06F2B">
        <w:rPr>
          <w:rFonts w:ascii="Garamond" w:hAnsi="Garamond"/>
          <w:sz w:val="24"/>
          <w:szCs w:val="24"/>
          <w:lang w:val="en-US"/>
        </w:rPr>
        <w:t xml:space="preserve"> how analyst</w:t>
      </w:r>
      <w:r w:rsidR="0015379F" w:rsidRPr="00D06F2B">
        <w:rPr>
          <w:rFonts w:ascii="Garamond" w:hAnsi="Garamond"/>
          <w:sz w:val="24"/>
          <w:szCs w:val="24"/>
          <w:lang w:val="en-US"/>
        </w:rPr>
        <w:t xml:space="preserve"> research activity and </w:t>
      </w:r>
      <w:r w:rsidR="00C91461" w:rsidRPr="00D06F2B">
        <w:rPr>
          <w:rFonts w:ascii="Garamond" w:hAnsi="Garamond"/>
          <w:sz w:val="24"/>
          <w:szCs w:val="24"/>
          <w:lang w:val="en-US"/>
        </w:rPr>
        <w:t>research usefulness</w:t>
      </w:r>
      <w:r w:rsidR="0015379F" w:rsidRPr="00D06F2B">
        <w:rPr>
          <w:rFonts w:ascii="Garamond" w:hAnsi="Garamond"/>
          <w:sz w:val="24"/>
          <w:szCs w:val="24"/>
          <w:lang w:val="en-US"/>
        </w:rPr>
        <w:t xml:space="preserve"> </w:t>
      </w:r>
      <w:r w:rsidR="00AC29BE" w:rsidRPr="00D06F2B">
        <w:rPr>
          <w:rFonts w:ascii="Garamond" w:hAnsi="Garamond"/>
          <w:sz w:val="24"/>
          <w:szCs w:val="24"/>
          <w:lang w:val="en-US"/>
        </w:rPr>
        <w:t>change in response to a market-wide tail risk event</w:t>
      </w:r>
      <w:r w:rsidR="00B35403" w:rsidRPr="00D06F2B">
        <w:rPr>
          <w:rFonts w:ascii="Garamond" w:hAnsi="Garamond"/>
          <w:sz w:val="24"/>
          <w:szCs w:val="24"/>
          <w:lang w:val="en-US"/>
        </w:rPr>
        <w:t>.</w:t>
      </w:r>
      <w:r w:rsidR="00B80E81" w:rsidRPr="00D06F2B">
        <w:rPr>
          <w:rFonts w:ascii="Garamond" w:hAnsi="Garamond"/>
          <w:sz w:val="24"/>
          <w:szCs w:val="24"/>
          <w:lang w:val="en-US"/>
        </w:rPr>
        <w:t xml:space="preserve"> </w:t>
      </w:r>
      <w:r w:rsidR="00456740" w:rsidRPr="00D06F2B">
        <w:rPr>
          <w:rFonts w:ascii="Garamond" w:hAnsi="Garamond"/>
          <w:sz w:val="24"/>
          <w:szCs w:val="24"/>
          <w:lang w:val="en-US"/>
        </w:rPr>
        <w:t xml:space="preserve">The surge in </w:t>
      </w:r>
      <w:r w:rsidR="00B80E81" w:rsidRPr="00D06F2B">
        <w:rPr>
          <w:rFonts w:ascii="Garamond" w:hAnsi="Garamond"/>
          <w:sz w:val="24"/>
          <w:szCs w:val="24"/>
          <w:lang w:val="en-US"/>
        </w:rPr>
        <w:t xml:space="preserve">uncertainty </w:t>
      </w:r>
      <w:r w:rsidR="00456740" w:rsidRPr="00D06F2B">
        <w:rPr>
          <w:rFonts w:ascii="Garamond" w:hAnsi="Garamond"/>
          <w:sz w:val="24"/>
          <w:szCs w:val="24"/>
          <w:lang w:val="en-US"/>
        </w:rPr>
        <w:t xml:space="preserve">due to the </w:t>
      </w:r>
      <w:r w:rsidR="00EE0603" w:rsidRPr="00D06F2B">
        <w:rPr>
          <w:rFonts w:ascii="Garamond" w:hAnsi="Garamond"/>
          <w:sz w:val="24"/>
          <w:szCs w:val="24"/>
          <w:lang w:val="en-US"/>
        </w:rPr>
        <w:t xml:space="preserve">tail-risk </w:t>
      </w:r>
      <w:r w:rsidR="00B80E81" w:rsidRPr="00D06F2B">
        <w:rPr>
          <w:rFonts w:ascii="Garamond" w:hAnsi="Garamond"/>
          <w:sz w:val="24"/>
          <w:szCs w:val="24"/>
          <w:lang w:val="en-US"/>
        </w:rPr>
        <w:t>shock increases investor demand for information that helps assess firm fundamentals and value</w:t>
      </w:r>
      <w:r w:rsidR="00C91461" w:rsidRPr="00D06F2B">
        <w:rPr>
          <w:rFonts w:ascii="Garamond" w:hAnsi="Garamond"/>
          <w:sz w:val="24"/>
          <w:szCs w:val="24"/>
          <w:lang w:val="en-US"/>
        </w:rPr>
        <w:t xml:space="preserve">, which in turn should incentivize analysts to exert more effort and increase the frequency and </w:t>
      </w:r>
      <w:r w:rsidR="00EE0603" w:rsidRPr="00D06F2B">
        <w:rPr>
          <w:rFonts w:ascii="Garamond" w:hAnsi="Garamond"/>
          <w:sz w:val="24"/>
          <w:szCs w:val="24"/>
          <w:lang w:val="en-US"/>
        </w:rPr>
        <w:t xml:space="preserve">the </w:t>
      </w:r>
      <w:r w:rsidR="00C91461" w:rsidRPr="00D06F2B">
        <w:rPr>
          <w:rFonts w:ascii="Garamond" w:hAnsi="Garamond"/>
          <w:sz w:val="24"/>
          <w:szCs w:val="24"/>
          <w:lang w:val="en-US"/>
        </w:rPr>
        <w:t xml:space="preserve">usefulness of their reports </w:t>
      </w:r>
      <w:r w:rsidR="00B80E81" w:rsidRPr="00D06F2B">
        <w:rPr>
          <w:rFonts w:ascii="Garamond" w:hAnsi="Garamond"/>
          <w:sz w:val="24"/>
          <w:szCs w:val="24"/>
          <w:lang w:val="en-US"/>
        </w:rPr>
        <w:t xml:space="preserve">(Grossman and Stiglitz 1980, Bloom 2009, Pastor and Veronesi 2012, Amiram, Landsman, Owens and </w:t>
      </w:r>
      <w:proofErr w:type="spellStart"/>
      <w:r w:rsidR="00B80E81" w:rsidRPr="00D06F2B">
        <w:rPr>
          <w:rFonts w:ascii="Garamond" w:hAnsi="Garamond"/>
          <w:sz w:val="24"/>
          <w:szCs w:val="24"/>
          <w:lang w:val="en-US"/>
        </w:rPr>
        <w:t>Stubben</w:t>
      </w:r>
      <w:proofErr w:type="spellEnd"/>
      <w:r w:rsidR="00B80E81" w:rsidRPr="00D06F2B">
        <w:rPr>
          <w:rFonts w:ascii="Garamond" w:hAnsi="Garamond"/>
          <w:sz w:val="24"/>
          <w:szCs w:val="24"/>
          <w:lang w:val="en-US"/>
        </w:rPr>
        <w:t xml:space="preserve"> 2018). However, the </w:t>
      </w:r>
      <w:r w:rsidR="0015379F" w:rsidRPr="00D06F2B">
        <w:rPr>
          <w:rFonts w:ascii="Garamond" w:hAnsi="Garamond"/>
          <w:sz w:val="24"/>
          <w:szCs w:val="24"/>
          <w:lang w:val="en-US"/>
        </w:rPr>
        <w:t>unique nature of the tail-risk event means analysts have no prior experience that would guide their analysis leading to potentially noisy and uninformative research</w:t>
      </w:r>
      <w:r w:rsidR="00EE0603" w:rsidRPr="00D06F2B">
        <w:rPr>
          <w:rFonts w:ascii="Garamond" w:hAnsi="Garamond"/>
          <w:sz w:val="24"/>
          <w:szCs w:val="24"/>
          <w:lang w:val="en-US"/>
        </w:rPr>
        <w:t>,</w:t>
      </w:r>
      <w:r w:rsidR="00456740" w:rsidRPr="00D06F2B">
        <w:rPr>
          <w:rFonts w:ascii="Garamond" w:hAnsi="Garamond"/>
          <w:sz w:val="24"/>
          <w:szCs w:val="24"/>
          <w:lang w:val="en-US"/>
        </w:rPr>
        <w:t xml:space="preserve"> and to protect their reputation, analysts may reduce their research production (</w:t>
      </w:r>
      <w:proofErr w:type="spellStart"/>
      <w:r w:rsidR="00474C68" w:rsidRPr="00D06F2B">
        <w:rPr>
          <w:rFonts w:ascii="Garamond" w:hAnsi="Garamond"/>
          <w:sz w:val="24"/>
          <w:szCs w:val="24"/>
          <w:lang w:val="en-US"/>
        </w:rPr>
        <w:t>Ertimur</w:t>
      </w:r>
      <w:proofErr w:type="spellEnd"/>
      <w:r w:rsidR="00474C68" w:rsidRPr="00D06F2B">
        <w:rPr>
          <w:rFonts w:ascii="Garamond" w:hAnsi="Garamond"/>
          <w:sz w:val="24"/>
          <w:szCs w:val="24"/>
          <w:lang w:val="en-US"/>
        </w:rPr>
        <w:t xml:space="preserve">, </w:t>
      </w:r>
      <w:proofErr w:type="spellStart"/>
      <w:r w:rsidR="00474C68" w:rsidRPr="00D06F2B">
        <w:rPr>
          <w:rFonts w:ascii="Garamond" w:hAnsi="Garamond"/>
          <w:sz w:val="24"/>
          <w:szCs w:val="24"/>
          <w:lang w:val="en-US"/>
        </w:rPr>
        <w:t>Mayew</w:t>
      </w:r>
      <w:proofErr w:type="spellEnd"/>
      <w:r w:rsidR="00474C68" w:rsidRPr="00D06F2B">
        <w:rPr>
          <w:rFonts w:ascii="Garamond" w:hAnsi="Garamond"/>
          <w:sz w:val="24"/>
          <w:szCs w:val="24"/>
          <w:lang w:val="en-US"/>
        </w:rPr>
        <w:t xml:space="preserve"> and </w:t>
      </w:r>
      <w:proofErr w:type="spellStart"/>
      <w:r w:rsidR="00474C68" w:rsidRPr="00D06F2B">
        <w:rPr>
          <w:rFonts w:ascii="Garamond" w:hAnsi="Garamond"/>
          <w:sz w:val="24"/>
          <w:szCs w:val="24"/>
          <w:lang w:val="en-US"/>
        </w:rPr>
        <w:t>Stubben</w:t>
      </w:r>
      <w:proofErr w:type="spellEnd"/>
      <w:r w:rsidR="00474C68" w:rsidRPr="00D06F2B">
        <w:rPr>
          <w:rFonts w:ascii="Garamond" w:hAnsi="Garamond"/>
          <w:sz w:val="24"/>
          <w:szCs w:val="24"/>
          <w:lang w:val="en-US"/>
        </w:rPr>
        <w:t xml:space="preserve"> 2011</w:t>
      </w:r>
      <w:r w:rsidR="00456740" w:rsidRPr="00D06F2B">
        <w:rPr>
          <w:rFonts w:ascii="Garamond" w:hAnsi="Garamond"/>
          <w:sz w:val="24"/>
          <w:szCs w:val="24"/>
          <w:lang w:val="en-US"/>
        </w:rPr>
        <w:t>)</w:t>
      </w:r>
      <w:r w:rsidR="0015379F" w:rsidRPr="00D06F2B">
        <w:rPr>
          <w:rFonts w:ascii="Garamond" w:hAnsi="Garamond"/>
          <w:sz w:val="24"/>
          <w:szCs w:val="24"/>
          <w:lang w:val="en-US"/>
        </w:rPr>
        <w:t>. Further,</w:t>
      </w:r>
      <w:r w:rsidR="00283825" w:rsidRPr="00D06F2B">
        <w:rPr>
          <w:rFonts w:ascii="Garamond" w:hAnsi="Garamond"/>
          <w:sz w:val="24"/>
          <w:szCs w:val="24"/>
          <w:lang w:val="en-US"/>
        </w:rPr>
        <w:t xml:space="preserve"> lockdowns and social distancing </w:t>
      </w:r>
      <w:r w:rsidR="00DF0855" w:rsidRPr="00D06F2B">
        <w:rPr>
          <w:rFonts w:ascii="Garamond" w:hAnsi="Garamond"/>
          <w:sz w:val="24"/>
          <w:szCs w:val="24"/>
          <w:lang w:val="en-US"/>
        </w:rPr>
        <w:t xml:space="preserve">restricted analysts’ ability to acquire information through face-to-face meetings with colleagues and managers of firms they followed, which could result in lower quality of outputs. </w:t>
      </w:r>
      <w:r w:rsidR="00EE0603" w:rsidRPr="00D06F2B">
        <w:rPr>
          <w:rFonts w:ascii="Garamond" w:hAnsi="Garamond"/>
          <w:sz w:val="24"/>
          <w:szCs w:val="24"/>
          <w:lang w:val="en-US"/>
        </w:rPr>
        <w:t>T</w:t>
      </w:r>
      <w:r w:rsidR="0015379F" w:rsidRPr="00D06F2B">
        <w:rPr>
          <w:rFonts w:ascii="Garamond" w:hAnsi="Garamond"/>
          <w:sz w:val="24"/>
          <w:szCs w:val="24"/>
          <w:lang w:val="en-US"/>
        </w:rPr>
        <w:t xml:space="preserve">he financial strain on </w:t>
      </w:r>
      <w:r w:rsidR="00474C68" w:rsidRPr="00D06F2B">
        <w:rPr>
          <w:rFonts w:ascii="Garamond" w:hAnsi="Garamond"/>
          <w:sz w:val="24"/>
          <w:szCs w:val="24"/>
          <w:lang w:val="en-US"/>
        </w:rPr>
        <w:t xml:space="preserve">the </w:t>
      </w:r>
      <w:r w:rsidR="0015379F" w:rsidRPr="00D06F2B">
        <w:rPr>
          <w:rFonts w:ascii="Garamond" w:hAnsi="Garamond"/>
          <w:sz w:val="24"/>
          <w:szCs w:val="24"/>
          <w:lang w:val="en-US"/>
        </w:rPr>
        <w:t xml:space="preserve">brokers can </w:t>
      </w:r>
      <w:r w:rsidR="00EE0603" w:rsidRPr="00D06F2B">
        <w:rPr>
          <w:rFonts w:ascii="Garamond" w:hAnsi="Garamond"/>
          <w:sz w:val="24"/>
          <w:szCs w:val="24"/>
          <w:lang w:val="en-US"/>
        </w:rPr>
        <w:t xml:space="preserve">also </w:t>
      </w:r>
      <w:r w:rsidR="0015379F" w:rsidRPr="00D06F2B">
        <w:rPr>
          <w:rFonts w:ascii="Garamond" w:hAnsi="Garamond"/>
          <w:sz w:val="24"/>
          <w:szCs w:val="24"/>
          <w:lang w:val="en-US"/>
        </w:rPr>
        <w:t xml:space="preserve">reduce analyst rewards leading </w:t>
      </w:r>
      <w:r w:rsidR="00B0560A" w:rsidRPr="00D06F2B">
        <w:rPr>
          <w:rFonts w:ascii="Garamond" w:hAnsi="Garamond"/>
          <w:sz w:val="24"/>
          <w:szCs w:val="24"/>
          <w:lang w:val="en-US"/>
        </w:rPr>
        <w:t>to lower</w:t>
      </w:r>
      <w:r w:rsidR="0015379F" w:rsidRPr="00D06F2B">
        <w:rPr>
          <w:rFonts w:ascii="Garamond" w:hAnsi="Garamond"/>
          <w:sz w:val="24"/>
          <w:szCs w:val="24"/>
          <w:lang w:val="en-US"/>
        </w:rPr>
        <w:t xml:space="preserve"> analyst motivation</w:t>
      </w:r>
      <w:r w:rsidR="00B0560A" w:rsidRPr="00D06F2B">
        <w:rPr>
          <w:rFonts w:ascii="Garamond" w:hAnsi="Garamond"/>
          <w:sz w:val="24"/>
          <w:szCs w:val="24"/>
          <w:lang w:val="en-US"/>
        </w:rPr>
        <w:t xml:space="preserve"> for accurate and informative research </w:t>
      </w:r>
      <w:r w:rsidR="0015379F" w:rsidRPr="00D06F2B">
        <w:rPr>
          <w:rFonts w:ascii="Garamond" w:hAnsi="Garamond"/>
          <w:sz w:val="24"/>
          <w:szCs w:val="24"/>
          <w:lang w:val="en-US"/>
        </w:rPr>
        <w:t>(</w:t>
      </w:r>
      <w:proofErr w:type="spellStart"/>
      <w:r w:rsidR="0015379F" w:rsidRPr="00D06F2B">
        <w:rPr>
          <w:rFonts w:ascii="Garamond" w:hAnsi="Garamond"/>
          <w:sz w:val="24"/>
          <w:szCs w:val="24"/>
          <w:lang w:val="en-US"/>
        </w:rPr>
        <w:t>Loh</w:t>
      </w:r>
      <w:proofErr w:type="spellEnd"/>
      <w:r w:rsidR="0015379F" w:rsidRPr="00D06F2B">
        <w:rPr>
          <w:rFonts w:ascii="Garamond" w:hAnsi="Garamond"/>
          <w:sz w:val="24"/>
          <w:szCs w:val="24"/>
          <w:lang w:val="en-US"/>
        </w:rPr>
        <w:t xml:space="preserve"> and </w:t>
      </w:r>
      <w:proofErr w:type="spellStart"/>
      <w:r w:rsidR="0015379F" w:rsidRPr="00D06F2B">
        <w:rPr>
          <w:rFonts w:ascii="Garamond" w:hAnsi="Garamond"/>
          <w:sz w:val="24"/>
          <w:szCs w:val="24"/>
          <w:lang w:val="en-US"/>
        </w:rPr>
        <w:t>Stulz</w:t>
      </w:r>
      <w:proofErr w:type="spellEnd"/>
      <w:r w:rsidR="0015379F" w:rsidRPr="00D06F2B">
        <w:rPr>
          <w:rFonts w:ascii="Garamond" w:hAnsi="Garamond"/>
          <w:sz w:val="24"/>
          <w:szCs w:val="24"/>
          <w:lang w:val="en-US"/>
        </w:rPr>
        <w:t xml:space="preserve"> 2018). </w:t>
      </w:r>
      <w:r w:rsidR="00A77131" w:rsidRPr="00D06F2B">
        <w:rPr>
          <w:rFonts w:ascii="Garamond" w:hAnsi="Garamond"/>
          <w:sz w:val="24"/>
          <w:szCs w:val="24"/>
          <w:lang w:val="en-US"/>
        </w:rPr>
        <w:t xml:space="preserve">Thus, how tail risk events affect analyst research activity and </w:t>
      </w:r>
      <w:r w:rsidR="00D06F2B" w:rsidRPr="00D06F2B">
        <w:rPr>
          <w:rFonts w:ascii="Garamond" w:hAnsi="Garamond"/>
          <w:sz w:val="24"/>
          <w:szCs w:val="24"/>
          <w:lang w:val="en-US"/>
        </w:rPr>
        <w:t>usefulness</w:t>
      </w:r>
      <w:r w:rsidR="00A77131" w:rsidRPr="00D06F2B">
        <w:rPr>
          <w:rFonts w:ascii="Garamond" w:hAnsi="Garamond"/>
          <w:sz w:val="24"/>
          <w:szCs w:val="24"/>
          <w:lang w:val="en-US"/>
        </w:rPr>
        <w:t xml:space="preserve"> of analyst reports is an open question. </w:t>
      </w:r>
    </w:p>
    <w:p w14:paraId="77E92A76" w14:textId="15A483A5" w:rsidR="0091538E" w:rsidRPr="00D06F2B" w:rsidRDefault="0015379F" w:rsidP="0091538E">
      <w:pPr>
        <w:spacing w:after="0" w:line="480" w:lineRule="auto"/>
        <w:ind w:firstLine="720"/>
        <w:rPr>
          <w:rFonts w:ascii="Garamond" w:hAnsi="Garamond"/>
          <w:sz w:val="24"/>
          <w:szCs w:val="24"/>
        </w:rPr>
      </w:pPr>
      <w:r w:rsidRPr="00D06F2B">
        <w:rPr>
          <w:rFonts w:ascii="Garamond" w:hAnsi="Garamond"/>
          <w:sz w:val="24"/>
          <w:szCs w:val="24"/>
          <w:lang w:val="en-US"/>
        </w:rPr>
        <w:lastRenderedPageBreak/>
        <w:t xml:space="preserve">We tackle </w:t>
      </w:r>
      <w:r w:rsidR="00867B57" w:rsidRPr="00D06F2B">
        <w:rPr>
          <w:rFonts w:ascii="Garamond" w:hAnsi="Garamond"/>
          <w:sz w:val="24"/>
          <w:szCs w:val="24"/>
          <w:lang w:val="en-US"/>
        </w:rPr>
        <w:t>our</w:t>
      </w:r>
      <w:r w:rsidRPr="00D06F2B">
        <w:rPr>
          <w:rFonts w:ascii="Garamond" w:hAnsi="Garamond"/>
          <w:sz w:val="24"/>
          <w:szCs w:val="24"/>
          <w:lang w:val="en-US"/>
        </w:rPr>
        <w:t xml:space="preserve"> research question</w:t>
      </w:r>
      <w:r w:rsidR="00867B57" w:rsidRPr="00D06F2B">
        <w:rPr>
          <w:rFonts w:ascii="Garamond" w:hAnsi="Garamond"/>
          <w:sz w:val="24"/>
          <w:szCs w:val="24"/>
          <w:lang w:val="en-US"/>
        </w:rPr>
        <w:t xml:space="preserve"> empirically</w:t>
      </w:r>
      <w:r w:rsidRPr="00D06F2B">
        <w:rPr>
          <w:rFonts w:ascii="Garamond" w:hAnsi="Garamond"/>
          <w:sz w:val="24"/>
          <w:szCs w:val="24"/>
          <w:lang w:val="en-US"/>
        </w:rPr>
        <w:t xml:space="preserve"> by</w:t>
      </w:r>
      <w:r w:rsidR="00A77131" w:rsidRPr="00D06F2B">
        <w:rPr>
          <w:rFonts w:ascii="Garamond" w:hAnsi="Garamond"/>
          <w:sz w:val="24"/>
          <w:szCs w:val="24"/>
          <w:lang w:val="en-US"/>
        </w:rPr>
        <w:t xml:space="preserve"> </w:t>
      </w:r>
      <w:r w:rsidR="00AC29BE" w:rsidRPr="00D06F2B">
        <w:rPr>
          <w:rFonts w:ascii="Garamond" w:hAnsi="Garamond"/>
          <w:sz w:val="24"/>
          <w:szCs w:val="24"/>
          <w:lang w:val="en-US"/>
        </w:rPr>
        <w:t>focusing on analyst research activity in response to</w:t>
      </w:r>
      <w:r w:rsidR="0083794E" w:rsidRPr="00D06F2B">
        <w:rPr>
          <w:rFonts w:ascii="Garamond" w:hAnsi="Garamond"/>
          <w:sz w:val="24"/>
          <w:szCs w:val="24"/>
          <w:lang w:val="en-US"/>
        </w:rPr>
        <w:t xml:space="preserve"> the</w:t>
      </w:r>
      <w:r w:rsidR="00AC29BE" w:rsidRPr="00D06F2B">
        <w:rPr>
          <w:rFonts w:ascii="Garamond" w:hAnsi="Garamond"/>
          <w:sz w:val="24"/>
          <w:szCs w:val="24"/>
          <w:lang w:val="en-US"/>
        </w:rPr>
        <w:t xml:space="preserve"> COVID-19 pandemic</w:t>
      </w:r>
      <w:r w:rsidR="00A77131" w:rsidRPr="00D06F2B">
        <w:rPr>
          <w:rFonts w:ascii="Garamond" w:hAnsi="Garamond"/>
          <w:sz w:val="24"/>
          <w:szCs w:val="24"/>
          <w:lang w:val="en-US"/>
        </w:rPr>
        <w:t xml:space="preserve">, </w:t>
      </w:r>
      <w:r w:rsidR="002A7868" w:rsidRPr="00D06F2B">
        <w:rPr>
          <w:rFonts w:ascii="Garamond" w:hAnsi="Garamond"/>
          <w:sz w:val="24"/>
          <w:szCs w:val="24"/>
          <w:lang w:val="en-US"/>
        </w:rPr>
        <w:t xml:space="preserve">a unique </w:t>
      </w:r>
      <w:r w:rsidR="00867B57" w:rsidRPr="00D06F2B">
        <w:rPr>
          <w:rFonts w:ascii="Garamond" w:hAnsi="Garamond"/>
          <w:sz w:val="24"/>
          <w:szCs w:val="24"/>
          <w:lang w:val="en-US"/>
        </w:rPr>
        <w:t>realization</w:t>
      </w:r>
      <w:r w:rsidR="002A7868" w:rsidRPr="00D06F2B">
        <w:rPr>
          <w:rFonts w:ascii="Garamond" w:hAnsi="Garamond"/>
          <w:sz w:val="24"/>
          <w:szCs w:val="24"/>
          <w:lang w:val="en-US"/>
        </w:rPr>
        <w:t xml:space="preserve"> of a</w:t>
      </w:r>
      <w:r w:rsidR="00F75BBE" w:rsidRPr="00D06F2B">
        <w:rPr>
          <w:rFonts w:ascii="Garamond" w:hAnsi="Garamond"/>
          <w:sz w:val="24"/>
          <w:szCs w:val="24"/>
          <w:lang w:val="en-US"/>
        </w:rPr>
        <w:t xml:space="preserve"> </w:t>
      </w:r>
      <w:r w:rsidR="002A7868" w:rsidRPr="00D06F2B">
        <w:rPr>
          <w:rFonts w:ascii="Garamond" w:hAnsi="Garamond"/>
          <w:sz w:val="24"/>
          <w:szCs w:val="24"/>
          <w:lang w:val="en-US"/>
        </w:rPr>
        <w:t xml:space="preserve">market-wide </w:t>
      </w:r>
      <w:r w:rsidR="00F75BBE" w:rsidRPr="00D06F2B">
        <w:rPr>
          <w:rFonts w:ascii="Garamond" w:hAnsi="Garamond"/>
          <w:sz w:val="24"/>
          <w:szCs w:val="24"/>
          <w:lang w:val="en-US"/>
        </w:rPr>
        <w:t>tail-risk shock</w:t>
      </w:r>
      <w:r w:rsidR="00DC6FF3" w:rsidRPr="00D06F2B">
        <w:rPr>
          <w:rFonts w:ascii="Garamond" w:hAnsi="Garamond"/>
          <w:sz w:val="24"/>
          <w:szCs w:val="24"/>
          <w:lang w:val="en-US"/>
        </w:rPr>
        <w:t>.</w:t>
      </w:r>
      <w:r w:rsidR="002A7868" w:rsidRPr="00D06F2B">
        <w:rPr>
          <w:rStyle w:val="FootnoteReference"/>
          <w:rFonts w:ascii="Garamond" w:hAnsi="Garamond"/>
          <w:sz w:val="24"/>
          <w:szCs w:val="24"/>
          <w:lang w:val="en-US"/>
        </w:rPr>
        <w:footnoteReference w:id="2"/>
      </w:r>
      <w:r w:rsidR="00DC6FF3" w:rsidRPr="00D06F2B">
        <w:rPr>
          <w:rFonts w:ascii="Garamond" w:hAnsi="Garamond"/>
          <w:sz w:val="24"/>
          <w:szCs w:val="24"/>
          <w:lang w:val="en-US"/>
        </w:rPr>
        <w:t xml:space="preserve"> </w:t>
      </w:r>
      <w:r w:rsidR="00A77131" w:rsidRPr="00D06F2B">
        <w:rPr>
          <w:rFonts w:ascii="Garamond" w:hAnsi="Garamond"/>
          <w:sz w:val="24"/>
          <w:szCs w:val="24"/>
          <w:lang w:val="en-US"/>
        </w:rPr>
        <w:t xml:space="preserve">Using the COVID-19 setting has important research and econometric benefits. First, </w:t>
      </w:r>
      <w:r w:rsidR="00474C68" w:rsidRPr="00D06F2B">
        <w:rPr>
          <w:rFonts w:ascii="Garamond" w:hAnsi="Garamond"/>
          <w:sz w:val="24"/>
          <w:szCs w:val="24"/>
          <w:lang w:val="en-US"/>
        </w:rPr>
        <w:t>it</w:t>
      </w:r>
      <w:r w:rsidR="00867B57" w:rsidRPr="00D06F2B">
        <w:rPr>
          <w:rFonts w:ascii="Garamond" w:hAnsi="Garamond"/>
          <w:sz w:val="24"/>
          <w:szCs w:val="24"/>
          <w:lang w:val="en-US"/>
        </w:rPr>
        <w:t xml:space="preserve"> helps us</w:t>
      </w:r>
      <w:r w:rsidR="0091538E" w:rsidRPr="00D06F2B">
        <w:rPr>
          <w:rFonts w:ascii="Garamond" w:hAnsi="Garamond"/>
          <w:sz w:val="24"/>
          <w:szCs w:val="24"/>
          <w:lang w:val="en-US"/>
        </w:rPr>
        <w:t xml:space="preserve"> identif</w:t>
      </w:r>
      <w:r w:rsidR="00867B57" w:rsidRPr="00D06F2B">
        <w:rPr>
          <w:rFonts w:ascii="Garamond" w:hAnsi="Garamond"/>
          <w:sz w:val="24"/>
          <w:szCs w:val="24"/>
          <w:lang w:val="en-US"/>
        </w:rPr>
        <w:t>y</w:t>
      </w:r>
      <w:r w:rsidR="0091538E" w:rsidRPr="00D06F2B">
        <w:rPr>
          <w:rFonts w:ascii="Garamond" w:hAnsi="Garamond"/>
          <w:sz w:val="24"/>
          <w:szCs w:val="24"/>
          <w:lang w:val="en-US"/>
        </w:rPr>
        <w:t xml:space="preserve"> </w:t>
      </w:r>
      <w:r w:rsidR="00474C68" w:rsidRPr="00D06F2B">
        <w:rPr>
          <w:rFonts w:ascii="Garamond" w:hAnsi="Garamond"/>
          <w:sz w:val="24"/>
          <w:szCs w:val="24"/>
          <w:lang w:val="en-US"/>
        </w:rPr>
        <w:t xml:space="preserve">how </w:t>
      </w:r>
      <w:r w:rsidR="0091538E" w:rsidRPr="00D06F2B">
        <w:rPr>
          <w:rFonts w:ascii="Garamond" w:hAnsi="Garamond"/>
          <w:sz w:val="24"/>
          <w:szCs w:val="24"/>
          <w:lang w:val="en-US"/>
        </w:rPr>
        <w:t>analyst</w:t>
      </w:r>
      <w:r w:rsidR="00474C68" w:rsidRPr="00D06F2B">
        <w:rPr>
          <w:rFonts w:ascii="Garamond" w:hAnsi="Garamond"/>
          <w:sz w:val="24"/>
          <w:szCs w:val="24"/>
          <w:lang w:val="en-US"/>
        </w:rPr>
        <w:t>s</w:t>
      </w:r>
      <w:r w:rsidR="0091538E" w:rsidRPr="00D06F2B">
        <w:rPr>
          <w:rFonts w:ascii="Garamond" w:hAnsi="Garamond"/>
          <w:sz w:val="24"/>
          <w:szCs w:val="24"/>
          <w:lang w:val="en-US"/>
        </w:rPr>
        <w:t xml:space="preserve"> </w:t>
      </w:r>
      <w:r w:rsidR="00474C68" w:rsidRPr="00D06F2B">
        <w:rPr>
          <w:rFonts w:ascii="Garamond" w:hAnsi="Garamond"/>
          <w:sz w:val="24"/>
          <w:szCs w:val="24"/>
          <w:lang w:val="en-US"/>
        </w:rPr>
        <w:t>confront</w:t>
      </w:r>
      <w:r w:rsidR="0091538E" w:rsidRPr="00D06F2B">
        <w:rPr>
          <w:rFonts w:ascii="Garamond" w:hAnsi="Garamond"/>
          <w:sz w:val="24"/>
          <w:szCs w:val="24"/>
          <w:lang w:val="en-US"/>
        </w:rPr>
        <w:t xml:space="preserve"> unexpected events, thus speaks</w:t>
      </w:r>
      <w:r w:rsidR="00474C68" w:rsidRPr="00D06F2B">
        <w:rPr>
          <w:rFonts w:ascii="Garamond" w:hAnsi="Garamond"/>
          <w:sz w:val="24"/>
          <w:szCs w:val="24"/>
          <w:lang w:val="en-US"/>
        </w:rPr>
        <w:t xml:space="preserve"> </w:t>
      </w:r>
      <w:r w:rsidR="0091538E" w:rsidRPr="00D06F2B">
        <w:rPr>
          <w:rFonts w:ascii="Garamond" w:hAnsi="Garamond"/>
          <w:sz w:val="24"/>
          <w:szCs w:val="24"/>
          <w:lang w:val="en-US"/>
        </w:rPr>
        <w:t xml:space="preserve">to </w:t>
      </w:r>
      <w:r w:rsidR="00E60165" w:rsidRPr="00D06F2B">
        <w:rPr>
          <w:rFonts w:ascii="Garamond" w:hAnsi="Garamond"/>
          <w:sz w:val="24"/>
          <w:szCs w:val="24"/>
          <w:lang w:val="en-US"/>
        </w:rPr>
        <w:t>analysts’</w:t>
      </w:r>
      <w:r w:rsidR="0091538E" w:rsidRPr="00D06F2B">
        <w:rPr>
          <w:rFonts w:ascii="Garamond" w:hAnsi="Garamond"/>
          <w:sz w:val="24"/>
          <w:szCs w:val="24"/>
          <w:lang w:val="en-US"/>
        </w:rPr>
        <w:t xml:space="preserve"> role as information producers. Previous research</w:t>
      </w:r>
      <w:r w:rsidR="0053270B" w:rsidRPr="00D06F2B">
        <w:rPr>
          <w:rFonts w:ascii="Garamond" w:hAnsi="Garamond"/>
          <w:sz w:val="24"/>
          <w:szCs w:val="24"/>
          <w:lang w:val="en-US"/>
        </w:rPr>
        <w:t xml:space="preserve"> provides conflicting evidence on the</w:t>
      </w:r>
      <w:r w:rsidR="00867B57" w:rsidRPr="00D06F2B">
        <w:rPr>
          <w:rFonts w:ascii="Garamond" w:hAnsi="Garamond"/>
          <w:sz w:val="24"/>
          <w:szCs w:val="24"/>
          <w:lang w:val="en-US"/>
        </w:rPr>
        <w:t xml:space="preserve"> analyst</w:t>
      </w:r>
      <w:r w:rsidR="0053270B" w:rsidRPr="00D06F2B">
        <w:rPr>
          <w:rFonts w:ascii="Garamond" w:hAnsi="Garamond"/>
          <w:sz w:val="24"/>
          <w:szCs w:val="24"/>
          <w:lang w:val="en-US"/>
        </w:rPr>
        <w:t xml:space="preserve"> information discovery role. Early research based on price reaction</w:t>
      </w:r>
      <w:r w:rsidR="00474C68" w:rsidRPr="00D06F2B">
        <w:rPr>
          <w:rFonts w:ascii="Garamond" w:hAnsi="Garamond"/>
          <w:sz w:val="24"/>
          <w:szCs w:val="24"/>
          <w:lang w:val="en-US"/>
        </w:rPr>
        <w:t>s</w:t>
      </w:r>
      <w:r w:rsidR="0053270B" w:rsidRPr="00D06F2B">
        <w:rPr>
          <w:rFonts w:ascii="Garamond" w:hAnsi="Garamond"/>
          <w:sz w:val="24"/>
          <w:szCs w:val="24"/>
          <w:lang w:val="en-US"/>
        </w:rPr>
        <w:t xml:space="preserve"> to analyst forecast announcements suggests they reveal valuable new information (</w:t>
      </w:r>
      <w:proofErr w:type="spellStart"/>
      <w:r w:rsidR="0053270B" w:rsidRPr="00D06F2B">
        <w:rPr>
          <w:rFonts w:ascii="Garamond" w:hAnsi="Garamond"/>
          <w:sz w:val="24"/>
          <w:szCs w:val="24"/>
          <w:lang w:val="en-US"/>
        </w:rPr>
        <w:t>Stickel</w:t>
      </w:r>
      <w:proofErr w:type="spellEnd"/>
      <w:r w:rsidR="0053270B" w:rsidRPr="00D06F2B">
        <w:rPr>
          <w:rFonts w:ascii="Garamond" w:hAnsi="Garamond"/>
          <w:sz w:val="24"/>
          <w:szCs w:val="24"/>
          <w:lang w:val="en-US"/>
        </w:rPr>
        <w:t xml:space="preserve">, 1995; Mikhail et al., 2004). In contrast, </w:t>
      </w:r>
      <w:proofErr w:type="spellStart"/>
      <w:r w:rsidR="0053270B" w:rsidRPr="00D06F2B">
        <w:rPr>
          <w:rFonts w:ascii="Garamond" w:hAnsi="Garamond"/>
          <w:sz w:val="24"/>
          <w:szCs w:val="24"/>
        </w:rPr>
        <w:t>A</w:t>
      </w:r>
      <w:r w:rsidR="00AF72BD" w:rsidRPr="00D06F2B">
        <w:rPr>
          <w:rFonts w:ascii="Garamond" w:hAnsi="Garamond"/>
          <w:sz w:val="24"/>
          <w:szCs w:val="24"/>
        </w:rPr>
        <w:t>l</w:t>
      </w:r>
      <w:r w:rsidR="0053270B" w:rsidRPr="00D06F2B">
        <w:rPr>
          <w:rFonts w:ascii="Garamond" w:hAnsi="Garamond"/>
          <w:sz w:val="24"/>
          <w:szCs w:val="24"/>
        </w:rPr>
        <w:t>t</w:t>
      </w:r>
      <w:r w:rsidR="00AF72BD" w:rsidRPr="00D06F2B">
        <w:rPr>
          <w:rFonts w:ascii="Garamond" w:hAnsi="Garamond"/>
          <w:sz w:val="24"/>
          <w:szCs w:val="24"/>
        </w:rPr>
        <w:t>i</w:t>
      </w:r>
      <w:r w:rsidR="0053270B" w:rsidRPr="00D06F2B">
        <w:rPr>
          <w:rFonts w:ascii="Garamond" w:hAnsi="Garamond"/>
          <w:sz w:val="24"/>
          <w:szCs w:val="24"/>
        </w:rPr>
        <w:t>nk</w:t>
      </w:r>
      <w:r w:rsidR="00AF72BD" w:rsidRPr="00D06F2B">
        <w:rPr>
          <w:rFonts w:ascii="Garamond" w:hAnsi="Garamond"/>
          <w:sz w:val="24"/>
          <w:szCs w:val="24"/>
        </w:rPr>
        <w:t>i</w:t>
      </w:r>
      <w:r w:rsidR="0053270B" w:rsidRPr="00D06F2B">
        <w:rPr>
          <w:rFonts w:ascii="Garamond" w:hAnsi="Garamond"/>
          <w:sz w:val="24"/>
          <w:szCs w:val="24"/>
        </w:rPr>
        <w:t>l</w:t>
      </w:r>
      <w:r w:rsidR="00AF72BD" w:rsidRPr="00D06F2B">
        <w:rPr>
          <w:rFonts w:ascii="Garamond" w:hAnsi="Garamond"/>
          <w:sz w:val="24"/>
          <w:szCs w:val="24"/>
        </w:rPr>
        <w:t>ic</w:t>
      </w:r>
      <w:proofErr w:type="spellEnd"/>
      <w:r w:rsidR="0053270B" w:rsidRPr="00D06F2B">
        <w:rPr>
          <w:rFonts w:ascii="Garamond" w:hAnsi="Garamond"/>
          <w:sz w:val="24"/>
          <w:szCs w:val="24"/>
        </w:rPr>
        <w:t xml:space="preserve"> and Hansen (2009) </w:t>
      </w:r>
      <w:r w:rsidR="00474C68" w:rsidRPr="00D06F2B">
        <w:rPr>
          <w:rFonts w:ascii="Garamond" w:hAnsi="Garamond"/>
          <w:sz w:val="24"/>
          <w:szCs w:val="24"/>
        </w:rPr>
        <w:t>argue</w:t>
      </w:r>
      <w:r w:rsidR="0053270B" w:rsidRPr="00D06F2B">
        <w:rPr>
          <w:rFonts w:ascii="Garamond" w:hAnsi="Garamond"/>
          <w:sz w:val="24"/>
          <w:szCs w:val="24"/>
        </w:rPr>
        <w:t xml:space="preserve"> that </w:t>
      </w:r>
      <w:r w:rsidR="00474C68" w:rsidRPr="00D06F2B">
        <w:rPr>
          <w:rFonts w:ascii="Garamond" w:hAnsi="Garamond"/>
          <w:sz w:val="24"/>
          <w:szCs w:val="24"/>
        </w:rPr>
        <w:t>most</w:t>
      </w:r>
      <w:r w:rsidR="0053270B" w:rsidRPr="00D06F2B">
        <w:rPr>
          <w:rFonts w:ascii="Garamond" w:hAnsi="Garamond"/>
          <w:sz w:val="24"/>
          <w:szCs w:val="24"/>
        </w:rPr>
        <w:t xml:space="preserve"> analyst stock recommendation revisions come closely after corporate news and </w:t>
      </w:r>
      <w:r w:rsidR="00474C68" w:rsidRPr="00D06F2B">
        <w:rPr>
          <w:rFonts w:ascii="Garamond" w:hAnsi="Garamond"/>
          <w:sz w:val="24"/>
          <w:szCs w:val="24"/>
        </w:rPr>
        <w:t xml:space="preserve">that </w:t>
      </w:r>
      <w:r w:rsidR="00AF72BD" w:rsidRPr="00D06F2B">
        <w:rPr>
          <w:rFonts w:ascii="Garamond" w:hAnsi="Garamond"/>
          <w:sz w:val="24"/>
          <w:szCs w:val="24"/>
        </w:rPr>
        <w:t>past</w:t>
      </w:r>
      <w:r w:rsidR="0053270B" w:rsidRPr="00D06F2B">
        <w:rPr>
          <w:rFonts w:ascii="Garamond" w:hAnsi="Garamond"/>
          <w:sz w:val="24"/>
          <w:szCs w:val="24"/>
        </w:rPr>
        <w:t xml:space="preserve"> evidence of price reactions to recommendation revisions is attributable to preceding corporate news.</w:t>
      </w:r>
      <w:r w:rsidR="00395D61" w:rsidRPr="00D06F2B">
        <w:rPr>
          <w:rFonts w:ascii="Garamond" w:hAnsi="Garamond"/>
          <w:sz w:val="24"/>
          <w:szCs w:val="24"/>
        </w:rPr>
        <w:t xml:space="preserve"> They conclude that analysts piggyback on public </w:t>
      </w:r>
      <w:r w:rsidR="00867B57" w:rsidRPr="00D06F2B">
        <w:rPr>
          <w:rFonts w:ascii="Garamond" w:hAnsi="Garamond"/>
          <w:sz w:val="24"/>
          <w:szCs w:val="24"/>
        </w:rPr>
        <w:t>information</w:t>
      </w:r>
      <w:r w:rsidR="00395D61" w:rsidRPr="00D06F2B">
        <w:rPr>
          <w:rFonts w:ascii="Garamond" w:hAnsi="Garamond"/>
          <w:sz w:val="24"/>
          <w:szCs w:val="24"/>
        </w:rPr>
        <w:t xml:space="preserve"> </w:t>
      </w:r>
      <w:r w:rsidR="00AF72BD" w:rsidRPr="00D06F2B">
        <w:rPr>
          <w:rFonts w:ascii="Garamond" w:hAnsi="Garamond"/>
          <w:sz w:val="24"/>
          <w:szCs w:val="24"/>
        </w:rPr>
        <w:t xml:space="preserve">to </w:t>
      </w:r>
      <w:r w:rsidR="00395D61" w:rsidRPr="00D06F2B">
        <w:rPr>
          <w:rFonts w:ascii="Garamond" w:hAnsi="Garamond"/>
          <w:sz w:val="24"/>
          <w:szCs w:val="24"/>
        </w:rPr>
        <w:t>better align their</w:t>
      </w:r>
      <w:r w:rsidR="00AF72BD" w:rsidRPr="00D06F2B">
        <w:rPr>
          <w:rFonts w:ascii="Garamond" w:hAnsi="Garamond"/>
          <w:sz w:val="24"/>
          <w:szCs w:val="24"/>
        </w:rPr>
        <w:t xml:space="preserve"> recommendation</w:t>
      </w:r>
      <w:r w:rsidR="00395D61" w:rsidRPr="00D06F2B">
        <w:rPr>
          <w:rFonts w:ascii="Garamond" w:hAnsi="Garamond"/>
          <w:sz w:val="24"/>
          <w:szCs w:val="24"/>
        </w:rPr>
        <w:t xml:space="preserve"> revisions with recent and future returns, which ‘can improve analyst</w:t>
      </w:r>
      <w:r w:rsidR="00867B57" w:rsidRPr="00D06F2B">
        <w:rPr>
          <w:rFonts w:ascii="Garamond" w:hAnsi="Garamond"/>
          <w:sz w:val="24"/>
          <w:szCs w:val="24"/>
        </w:rPr>
        <w:t xml:space="preserve"> </w:t>
      </w:r>
      <w:r w:rsidR="00395D61" w:rsidRPr="00D06F2B">
        <w:rPr>
          <w:rFonts w:ascii="Garamond" w:hAnsi="Garamond"/>
          <w:sz w:val="24"/>
          <w:szCs w:val="24"/>
        </w:rPr>
        <w:t xml:space="preserve">stock picking reputation and spur trading, boosting brokerage revenues and analyst income, and reducing the chance of </w:t>
      </w:r>
      <w:proofErr w:type="spellStart"/>
      <w:r w:rsidR="00395D61" w:rsidRPr="00D06F2B">
        <w:rPr>
          <w:rFonts w:ascii="Garamond" w:hAnsi="Garamond"/>
          <w:sz w:val="24"/>
          <w:szCs w:val="24"/>
        </w:rPr>
        <w:t>jobloss</w:t>
      </w:r>
      <w:proofErr w:type="spellEnd"/>
      <w:r w:rsidR="00395D61" w:rsidRPr="00D06F2B">
        <w:rPr>
          <w:rFonts w:ascii="Garamond" w:hAnsi="Garamond"/>
          <w:sz w:val="24"/>
          <w:szCs w:val="24"/>
        </w:rPr>
        <w:t>’ (</w:t>
      </w:r>
      <w:proofErr w:type="spellStart"/>
      <w:r w:rsidR="00AF72BD" w:rsidRPr="00D06F2B">
        <w:rPr>
          <w:rFonts w:ascii="Garamond" w:hAnsi="Garamond"/>
          <w:sz w:val="24"/>
          <w:szCs w:val="24"/>
        </w:rPr>
        <w:t>Altinkilic</w:t>
      </w:r>
      <w:proofErr w:type="spellEnd"/>
      <w:r w:rsidR="00AF72BD" w:rsidRPr="00D06F2B">
        <w:rPr>
          <w:rFonts w:ascii="Garamond" w:hAnsi="Garamond"/>
          <w:sz w:val="24"/>
          <w:szCs w:val="24"/>
        </w:rPr>
        <w:t xml:space="preserve"> and Hansen </w:t>
      </w:r>
      <w:r w:rsidR="00395D61" w:rsidRPr="00D06F2B">
        <w:rPr>
          <w:rFonts w:ascii="Garamond" w:hAnsi="Garamond"/>
          <w:sz w:val="24"/>
          <w:szCs w:val="24"/>
        </w:rPr>
        <w:t>2009, p. 18).</w:t>
      </w:r>
      <w:r w:rsidR="00867B57" w:rsidRPr="00D06F2B">
        <w:rPr>
          <w:rFonts w:ascii="Garamond" w:hAnsi="Garamond"/>
          <w:sz w:val="24"/>
          <w:szCs w:val="24"/>
        </w:rPr>
        <w:t xml:space="preserve"> </w:t>
      </w:r>
      <w:r w:rsidR="00C67A40" w:rsidRPr="00D06F2B">
        <w:rPr>
          <w:rFonts w:ascii="Garamond" w:hAnsi="Garamond"/>
          <w:sz w:val="24"/>
          <w:szCs w:val="24"/>
        </w:rPr>
        <w:t xml:space="preserve">However, Aaron, Kang, Ng and </w:t>
      </w:r>
      <w:proofErr w:type="spellStart"/>
      <w:r w:rsidR="00C67A40" w:rsidRPr="00D06F2B">
        <w:rPr>
          <w:rFonts w:ascii="Garamond" w:hAnsi="Garamond"/>
          <w:sz w:val="24"/>
          <w:szCs w:val="24"/>
        </w:rPr>
        <w:t>Rusticus</w:t>
      </w:r>
      <w:proofErr w:type="spellEnd"/>
      <w:r w:rsidR="00C67A40" w:rsidRPr="00D06F2B">
        <w:rPr>
          <w:rFonts w:ascii="Garamond" w:hAnsi="Garamond"/>
          <w:sz w:val="24"/>
          <w:szCs w:val="24"/>
        </w:rPr>
        <w:t xml:space="preserve"> (2021, p.1) report that during the pandemic, ‘[A]most half the firms in our sample withdraw their management earnings guidance instead of maintaining or revising it’, reducing the opportunity to piggyback on corporate news.  </w:t>
      </w:r>
      <w:r w:rsidR="00474C68" w:rsidRPr="00D06F2B">
        <w:rPr>
          <w:rFonts w:ascii="Garamond" w:hAnsi="Garamond"/>
          <w:sz w:val="24"/>
          <w:szCs w:val="24"/>
        </w:rPr>
        <w:t>Our</w:t>
      </w:r>
      <w:r w:rsidR="00867B57" w:rsidRPr="00D06F2B">
        <w:rPr>
          <w:rFonts w:ascii="Garamond" w:hAnsi="Garamond"/>
          <w:sz w:val="24"/>
          <w:szCs w:val="24"/>
        </w:rPr>
        <w:t xml:space="preserve"> research adds </w:t>
      </w:r>
      <w:r w:rsidR="00AF72BD" w:rsidRPr="00D06F2B">
        <w:rPr>
          <w:rFonts w:ascii="Garamond" w:hAnsi="Garamond"/>
          <w:sz w:val="24"/>
          <w:szCs w:val="24"/>
        </w:rPr>
        <w:t>novel</w:t>
      </w:r>
      <w:r w:rsidR="00867B57" w:rsidRPr="00D06F2B">
        <w:rPr>
          <w:rFonts w:ascii="Garamond" w:hAnsi="Garamond"/>
          <w:sz w:val="24"/>
          <w:szCs w:val="24"/>
        </w:rPr>
        <w:t xml:space="preserve"> evidence to the debate on the information production role of </w:t>
      </w:r>
      <w:r w:rsidR="00BA3B7D" w:rsidRPr="00D06F2B">
        <w:rPr>
          <w:rFonts w:ascii="Garamond" w:hAnsi="Garamond"/>
          <w:sz w:val="24"/>
          <w:szCs w:val="24"/>
        </w:rPr>
        <w:t>analysts</w:t>
      </w:r>
      <w:r w:rsidR="00E60165" w:rsidRPr="00D06F2B">
        <w:rPr>
          <w:rFonts w:ascii="Garamond" w:hAnsi="Garamond"/>
          <w:sz w:val="24"/>
          <w:szCs w:val="24"/>
        </w:rPr>
        <w:t xml:space="preserve"> in high uncertainty periods with scarce corporate disclosures</w:t>
      </w:r>
      <w:r w:rsidR="00867B57" w:rsidRPr="00D06F2B">
        <w:rPr>
          <w:rFonts w:ascii="Garamond" w:hAnsi="Garamond"/>
          <w:sz w:val="24"/>
          <w:szCs w:val="24"/>
        </w:rPr>
        <w:t>.</w:t>
      </w:r>
      <w:r w:rsidR="00E60165" w:rsidRPr="00D06F2B">
        <w:rPr>
          <w:rStyle w:val="FootnoteReference"/>
          <w:rFonts w:ascii="Garamond" w:hAnsi="Garamond"/>
          <w:sz w:val="24"/>
          <w:szCs w:val="24"/>
        </w:rPr>
        <w:footnoteReference w:id="3"/>
      </w:r>
      <w:r w:rsidR="00867B57" w:rsidRPr="00D06F2B">
        <w:rPr>
          <w:rFonts w:ascii="Garamond" w:hAnsi="Garamond"/>
          <w:sz w:val="24"/>
          <w:szCs w:val="24"/>
        </w:rPr>
        <w:t xml:space="preserve"> </w:t>
      </w:r>
    </w:p>
    <w:p w14:paraId="17FFA234" w14:textId="718E120E" w:rsidR="00BA3B7D" w:rsidRPr="00D06F2B" w:rsidRDefault="00867B57" w:rsidP="0091538E">
      <w:pPr>
        <w:spacing w:after="0" w:line="480" w:lineRule="auto"/>
        <w:ind w:firstLine="720"/>
        <w:rPr>
          <w:rFonts w:ascii="Garamond" w:hAnsi="Garamond"/>
          <w:sz w:val="24"/>
          <w:szCs w:val="24"/>
        </w:rPr>
      </w:pPr>
      <w:r w:rsidRPr="00D06F2B">
        <w:rPr>
          <w:rFonts w:ascii="Garamond" w:hAnsi="Garamond"/>
          <w:sz w:val="24"/>
          <w:szCs w:val="24"/>
          <w:lang w:val="en-US"/>
        </w:rPr>
        <w:t>Second, we provide new insights to the literature that examines the value of analyst research in economic downturns</w:t>
      </w:r>
      <w:r w:rsidR="00BA3B7D" w:rsidRPr="00D06F2B">
        <w:rPr>
          <w:rFonts w:ascii="Garamond" w:hAnsi="Garamond"/>
          <w:sz w:val="24"/>
          <w:szCs w:val="24"/>
          <w:lang w:val="en-US"/>
        </w:rPr>
        <w:t>, which so far produced mixed results</w:t>
      </w:r>
      <w:r w:rsidRPr="00D06F2B">
        <w:rPr>
          <w:rFonts w:ascii="Garamond" w:hAnsi="Garamond"/>
          <w:sz w:val="24"/>
          <w:szCs w:val="24"/>
          <w:lang w:val="en-US"/>
        </w:rPr>
        <w:t xml:space="preserve">. </w:t>
      </w:r>
      <w:proofErr w:type="spellStart"/>
      <w:r w:rsidR="002A5402" w:rsidRPr="00D06F2B">
        <w:rPr>
          <w:rFonts w:ascii="Garamond" w:hAnsi="Garamond"/>
          <w:sz w:val="24"/>
          <w:szCs w:val="24"/>
        </w:rPr>
        <w:t>Loh</w:t>
      </w:r>
      <w:proofErr w:type="spellEnd"/>
      <w:r w:rsidR="002A5402" w:rsidRPr="00D06F2B">
        <w:rPr>
          <w:rFonts w:ascii="Garamond" w:hAnsi="Garamond"/>
          <w:sz w:val="24"/>
          <w:szCs w:val="24"/>
        </w:rPr>
        <w:t xml:space="preserve"> and </w:t>
      </w:r>
      <w:proofErr w:type="spellStart"/>
      <w:r w:rsidR="002A5402" w:rsidRPr="00D06F2B">
        <w:rPr>
          <w:rFonts w:ascii="Garamond" w:hAnsi="Garamond"/>
          <w:sz w:val="24"/>
          <w:szCs w:val="24"/>
        </w:rPr>
        <w:t>Stulz</w:t>
      </w:r>
      <w:proofErr w:type="spellEnd"/>
      <w:r w:rsidR="002A5402" w:rsidRPr="00D06F2B">
        <w:rPr>
          <w:rFonts w:ascii="Garamond" w:hAnsi="Garamond"/>
          <w:sz w:val="24"/>
          <w:szCs w:val="24"/>
        </w:rPr>
        <w:t xml:space="preserve"> (2018, p.959) report that </w:t>
      </w:r>
      <w:r w:rsidR="002A5402" w:rsidRPr="00D06F2B">
        <w:rPr>
          <w:rFonts w:ascii="Garamond" w:hAnsi="Garamond" w:cs="Arial"/>
          <w:color w:val="1C1D1E"/>
          <w:sz w:val="24"/>
          <w:szCs w:val="24"/>
          <w:shd w:val="clear" w:color="auto" w:fill="FFFFFF"/>
        </w:rPr>
        <w:t>that in bad times,</w:t>
      </w:r>
      <w:r w:rsidR="00D06F2B">
        <w:rPr>
          <w:rFonts w:ascii="Garamond" w:hAnsi="Garamond" w:cs="Arial"/>
          <w:color w:val="1C1D1E"/>
          <w:sz w:val="24"/>
          <w:szCs w:val="24"/>
          <w:shd w:val="clear" w:color="auto" w:fill="FFFFFF"/>
        </w:rPr>
        <w:t xml:space="preserve"> captured by market recessions,</w:t>
      </w:r>
      <w:r w:rsidR="002A5402" w:rsidRPr="00D06F2B">
        <w:rPr>
          <w:rFonts w:ascii="Garamond" w:hAnsi="Garamond" w:cs="Arial"/>
          <w:color w:val="1C1D1E"/>
          <w:sz w:val="24"/>
          <w:szCs w:val="24"/>
          <w:shd w:val="clear" w:color="auto" w:fill="FFFFFF"/>
        </w:rPr>
        <w:t xml:space="preserve"> analyst</w:t>
      </w:r>
      <w:r w:rsidR="00D06F2B">
        <w:rPr>
          <w:rFonts w:ascii="Garamond" w:hAnsi="Garamond" w:cs="Arial"/>
          <w:color w:val="1C1D1E"/>
          <w:sz w:val="24"/>
          <w:szCs w:val="24"/>
          <w:shd w:val="clear" w:color="auto" w:fill="FFFFFF"/>
        </w:rPr>
        <w:t xml:space="preserve"> produce more informative research.</w:t>
      </w:r>
      <w:r w:rsidR="002A5402" w:rsidRPr="00D06F2B">
        <w:rPr>
          <w:rFonts w:ascii="Garamond" w:hAnsi="Garamond"/>
          <w:sz w:val="24"/>
          <w:szCs w:val="24"/>
        </w:rPr>
        <w:t xml:space="preserve"> </w:t>
      </w:r>
      <w:r w:rsidR="00D06F2B" w:rsidRPr="00D06F2B">
        <w:rPr>
          <w:rFonts w:ascii="Garamond" w:hAnsi="Garamond"/>
          <w:sz w:val="24"/>
          <w:szCs w:val="24"/>
        </w:rPr>
        <w:t xml:space="preserve">In </w:t>
      </w:r>
      <w:r w:rsidR="00D06F2B" w:rsidRPr="00D06F2B">
        <w:rPr>
          <w:rFonts w:ascii="Garamond" w:hAnsi="Garamond"/>
          <w:sz w:val="24"/>
          <w:szCs w:val="24"/>
        </w:rPr>
        <w:lastRenderedPageBreak/>
        <w:t xml:space="preserve">contrast, </w:t>
      </w:r>
      <w:r w:rsidR="00181935" w:rsidRPr="00D06F2B">
        <w:rPr>
          <w:rFonts w:ascii="Garamond" w:hAnsi="Garamond"/>
          <w:sz w:val="24"/>
          <w:szCs w:val="24"/>
        </w:rPr>
        <w:t xml:space="preserve">Amiram, Landsman, Owens and </w:t>
      </w:r>
      <w:proofErr w:type="spellStart"/>
      <w:r w:rsidR="00181935" w:rsidRPr="00D06F2B">
        <w:rPr>
          <w:rFonts w:ascii="Garamond" w:hAnsi="Garamond"/>
          <w:sz w:val="24"/>
          <w:szCs w:val="24"/>
        </w:rPr>
        <w:t>Stubben</w:t>
      </w:r>
      <w:proofErr w:type="spellEnd"/>
      <w:r w:rsidR="00181935" w:rsidRPr="00D06F2B">
        <w:rPr>
          <w:rFonts w:ascii="Garamond" w:hAnsi="Garamond"/>
          <w:sz w:val="24"/>
          <w:szCs w:val="24"/>
        </w:rPr>
        <w:t xml:space="preserve"> (2018, p.1) argue that when </w:t>
      </w:r>
      <w:r w:rsidR="00D06F2B">
        <w:rPr>
          <w:rFonts w:ascii="Garamond" w:hAnsi="Garamond"/>
          <w:sz w:val="24"/>
          <w:szCs w:val="24"/>
        </w:rPr>
        <w:t xml:space="preserve">market </w:t>
      </w:r>
      <w:r w:rsidR="00181935" w:rsidRPr="00D06F2B">
        <w:rPr>
          <w:rFonts w:ascii="Garamond" w:hAnsi="Garamond"/>
          <w:sz w:val="24"/>
          <w:szCs w:val="24"/>
        </w:rPr>
        <w:t>uncertainty</w:t>
      </w:r>
      <w:r w:rsidR="00D06F2B">
        <w:rPr>
          <w:rFonts w:ascii="Garamond" w:hAnsi="Garamond"/>
          <w:sz w:val="24"/>
          <w:szCs w:val="24"/>
        </w:rPr>
        <w:t xml:space="preserve"> is high, timeliness and </w:t>
      </w:r>
      <w:r w:rsidR="00181935" w:rsidRPr="00D06F2B">
        <w:rPr>
          <w:rFonts w:ascii="Garamond" w:hAnsi="Garamond"/>
          <w:sz w:val="24"/>
          <w:szCs w:val="24"/>
        </w:rPr>
        <w:t>forecast</w:t>
      </w:r>
      <w:r w:rsidR="00D06F2B">
        <w:rPr>
          <w:rFonts w:ascii="Garamond" w:hAnsi="Garamond"/>
          <w:sz w:val="24"/>
          <w:szCs w:val="24"/>
        </w:rPr>
        <w:t xml:space="preserve"> accuracy decline. </w:t>
      </w:r>
      <w:r w:rsidR="00BA3B7D" w:rsidRPr="00D06F2B">
        <w:rPr>
          <w:rFonts w:ascii="Garamond" w:hAnsi="Garamond"/>
          <w:sz w:val="24"/>
          <w:szCs w:val="24"/>
        </w:rPr>
        <w:t>Chen, Zhu and Sang (2020</w:t>
      </w:r>
      <w:r w:rsidR="002A5402" w:rsidRPr="00D06F2B">
        <w:rPr>
          <w:rFonts w:ascii="Garamond" w:hAnsi="Garamond"/>
          <w:sz w:val="24"/>
          <w:szCs w:val="24"/>
        </w:rPr>
        <w:t>, p.333</w:t>
      </w:r>
      <w:r w:rsidR="00BA3B7D" w:rsidRPr="00D06F2B">
        <w:rPr>
          <w:rFonts w:ascii="Garamond" w:hAnsi="Garamond"/>
          <w:sz w:val="24"/>
          <w:szCs w:val="24"/>
        </w:rPr>
        <w:t>) document that ‘macro uncertainty measures are significantly and negatively correlated with the accuracy and informativeness of analysts’ earnings forecasts and positively correlated with the dispersion of earnings forecasts’</w:t>
      </w:r>
      <w:r w:rsidR="002A5402" w:rsidRPr="00D06F2B">
        <w:rPr>
          <w:rFonts w:ascii="Garamond" w:hAnsi="Garamond"/>
          <w:sz w:val="24"/>
          <w:szCs w:val="24"/>
        </w:rPr>
        <w:t>,</w:t>
      </w:r>
      <w:r w:rsidR="00BA3B7D" w:rsidRPr="00D06F2B">
        <w:rPr>
          <w:rFonts w:ascii="Garamond" w:hAnsi="Garamond"/>
          <w:sz w:val="24"/>
          <w:szCs w:val="24"/>
        </w:rPr>
        <w:t xml:space="preserve"> and </w:t>
      </w:r>
      <w:r w:rsidR="002A5402" w:rsidRPr="00D06F2B">
        <w:rPr>
          <w:rFonts w:ascii="Garamond" w:hAnsi="Garamond"/>
          <w:sz w:val="24"/>
          <w:szCs w:val="24"/>
          <w:lang w:val="en-US"/>
        </w:rPr>
        <w:t xml:space="preserve">Hope and Kang (2005), </w:t>
      </w:r>
      <w:proofErr w:type="spellStart"/>
      <w:r w:rsidR="00BA3B7D" w:rsidRPr="00D06F2B">
        <w:rPr>
          <w:rFonts w:ascii="Garamond" w:hAnsi="Garamond"/>
          <w:sz w:val="24"/>
          <w:szCs w:val="24"/>
        </w:rPr>
        <w:t>Baloria</w:t>
      </w:r>
      <w:proofErr w:type="spellEnd"/>
      <w:r w:rsidR="00BA3B7D" w:rsidRPr="00D06F2B">
        <w:rPr>
          <w:rFonts w:ascii="Garamond" w:hAnsi="Garamond"/>
          <w:sz w:val="24"/>
          <w:szCs w:val="24"/>
        </w:rPr>
        <w:t xml:space="preserve"> and Mamo (2017) and </w:t>
      </w:r>
      <w:proofErr w:type="spellStart"/>
      <w:r w:rsidR="00BA3B7D" w:rsidRPr="00D06F2B">
        <w:rPr>
          <w:rFonts w:ascii="Garamond" w:hAnsi="Garamond"/>
          <w:sz w:val="24"/>
          <w:szCs w:val="24"/>
        </w:rPr>
        <w:t>Arand</w:t>
      </w:r>
      <w:proofErr w:type="spellEnd"/>
      <w:r w:rsidR="00BA3B7D" w:rsidRPr="00D06F2B">
        <w:rPr>
          <w:rFonts w:ascii="Garamond" w:hAnsi="Garamond"/>
          <w:sz w:val="24"/>
          <w:szCs w:val="24"/>
        </w:rPr>
        <w:t xml:space="preserve"> and Kerl (2012) report similar evidence. </w:t>
      </w:r>
      <w:r w:rsidR="00D06F2B">
        <w:rPr>
          <w:rFonts w:ascii="Garamond" w:hAnsi="Garamond"/>
          <w:sz w:val="24"/>
          <w:szCs w:val="24"/>
        </w:rPr>
        <w:t xml:space="preserve">Focusing on bias, </w:t>
      </w:r>
      <w:proofErr w:type="spellStart"/>
      <w:r w:rsidR="002A5402" w:rsidRPr="00D06F2B">
        <w:rPr>
          <w:rFonts w:ascii="Garamond" w:hAnsi="Garamond"/>
          <w:sz w:val="24"/>
          <w:szCs w:val="24"/>
          <w:lang w:val="en-US"/>
        </w:rPr>
        <w:t>Kretzmann</w:t>
      </w:r>
      <w:proofErr w:type="spellEnd"/>
      <w:r w:rsidR="002A5402" w:rsidRPr="00D06F2B">
        <w:rPr>
          <w:rFonts w:ascii="Garamond" w:hAnsi="Garamond"/>
          <w:sz w:val="24"/>
          <w:szCs w:val="24"/>
          <w:lang w:val="en-US"/>
        </w:rPr>
        <w:t xml:space="preserve">, </w:t>
      </w:r>
      <w:proofErr w:type="spellStart"/>
      <w:r w:rsidR="002A5402" w:rsidRPr="00D06F2B">
        <w:rPr>
          <w:rFonts w:ascii="Garamond" w:hAnsi="Garamond"/>
          <w:sz w:val="24"/>
          <w:szCs w:val="24"/>
          <w:lang w:val="en-US"/>
        </w:rPr>
        <w:t>Maaz</w:t>
      </w:r>
      <w:proofErr w:type="spellEnd"/>
      <w:r w:rsidR="002A5402" w:rsidRPr="00D06F2B">
        <w:rPr>
          <w:rFonts w:ascii="Garamond" w:hAnsi="Garamond"/>
          <w:sz w:val="24"/>
          <w:szCs w:val="24"/>
          <w:lang w:val="en-US"/>
        </w:rPr>
        <w:t xml:space="preserve"> and Pucker (2015, p.49) report that ‘</w:t>
      </w:r>
      <w:r w:rsidR="002A5402" w:rsidRPr="00D06F2B">
        <w:rPr>
          <w:rFonts w:ascii="Garamond" w:hAnsi="Garamond"/>
          <w:sz w:val="24"/>
          <w:szCs w:val="24"/>
        </w:rPr>
        <w:t>in recessions sell side analysts are too optimistic about the stocks they recommend to buy</w:t>
      </w:r>
      <w:r w:rsidR="002A5402" w:rsidRPr="00D06F2B">
        <w:rPr>
          <w:rFonts w:ascii="Garamond" w:hAnsi="Garamond"/>
          <w:sz w:val="24"/>
          <w:szCs w:val="24"/>
          <w:lang w:val="en-US"/>
        </w:rPr>
        <w:t>’</w:t>
      </w:r>
      <w:r w:rsidR="00AF72BD" w:rsidRPr="00D06F2B">
        <w:rPr>
          <w:rFonts w:ascii="Garamond" w:hAnsi="Garamond"/>
          <w:sz w:val="24"/>
          <w:szCs w:val="24"/>
          <w:lang w:val="en-US"/>
        </w:rPr>
        <w:t>, but</w:t>
      </w:r>
      <w:r w:rsidR="002A5402" w:rsidRPr="00D06F2B">
        <w:rPr>
          <w:rFonts w:ascii="Garamond" w:hAnsi="Garamond"/>
          <w:sz w:val="24"/>
          <w:szCs w:val="24"/>
          <w:lang w:val="en-US"/>
        </w:rPr>
        <w:t xml:space="preserve"> </w:t>
      </w:r>
      <w:r w:rsidR="002A5402" w:rsidRPr="00D06F2B">
        <w:rPr>
          <w:rFonts w:ascii="Garamond" w:hAnsi="Garamond"/>
          <w:sz w:val="24"/>
          <w:szCs w:val="24"/>
        </w:rPr>
        <w:t>Richards, Benjamin and Strawser (1977) document that EPS forecasts issued during booms tend to be overly optimistic while forecasts issued during busts are less optimistic</w:t>
      </w:r>
      <w:r w:rsidR="00AF72BD" w:rsidRPr="00D06F2B">
        <w:rPr>
          <w:rFonts w:ascii="Garamond" w:hAnsi="Garamond"/>
          <w:sz w:val="24"/>
          <w:szCs w:val="24"/>
        </w:rPr>
        <w:t xml:space="preserve">. </w:t>
      </w:r>
      <w:proofErr w:type="spellStart"/>
      <w:r w:rsidR="002A5402" w:rsidRPr="00D06F2B">
        <w:rPr>
          <w:rFonts w:ascii="Garamond" w:hAnsi="Garamond"/>
          <w:sz w:val="24"/>
          <w:szCs w:val="24"/>
        </w:rPr>
        <w:t>Dreman</w:t>
      </w:r>
      <w:proofErr w:type="spellEnd"/>
      <w:r w:rsidR="002A5402" w:rsidRPr="00D06F2B">
        <w:rPr>
          <w:rFonts w:ascii="Garamond" w:hAnsi="Garamond"/>
          <w:sz w:val="24"/>
          <w:szCs w:val="24"/>
        </w:rPr>
        <w:t xml:space="preserve"> and Berry (1995) find no differences in optimism in EPS forecasts between expansions and recessions. </w:t>
      </w:r>
      <w:r w:rsidR="00125F90" w:rsidRPr="00D06F2B">
        <w:rPr>
          <w:rFonts w:ascii="Garamond" w:hAnsi="Garamond"/>
          <w:sz w:val="24"/>
          <w:szCs w:val="24"/>
        </w:rPr>
        <w:t xml:space="preserve">Economic recessions are cyclical, </w:t>
      </w:r>
      <w:proofErr w:type="gramStart"/>
      <w:r w:rsidR="00125F90" w:rsidRPr="00D06F2B">
        <w:rPr>
          <w:rFonts w:ascii="Garamond" w:hAnsi="Garamond"/>
          <w:sz w:val="24"/>
          <w:szCs w:val="24"/>
        </w:rPr>
        <w:t>predictable</w:t>
      </w:r>
      <w:proofErr w:type="gramEnd"/>
      <w:r w:rsidR="00125F90" w:rsidRPr="00D06F2B">
        <w:rPr>
          <w:rFonts w:ascii="Garamond" w:hAnsi="Garamond"/>
          <w:sz w:val="24"/>
          <w:szCs w:val="24"/>
        </w:rPr>
        <w:t xml:space="preserve"> and persistent (Stock and Watson 1989, Estrella and Mishkin 1998, </w:t>
      </w:r>
      <w:proofErr w:type="spellStart"/>
      <w:r w:rsidR="00125F90" w:rsidRPr="00D06F2B">
        <w:rPr>
          <w:rFonts w:ascii="Garamond" w:hAnsi="Garamond"/>
          <w:sz w:val="24"/>
          <w:szCs w:val="24"/>
        </w:rPr>
        <w:t>Kaupp</w:t>
      </w:r>
      <w:proofErr w:type="spellEnd"/>
      <w:r w:rsidR="00125F90" w:rsidRPr="00D06F2B">
        <w:rPr>
          <w:rFonts w:ascii="Garamond" w:hAnsi="Garamond"/>
          <w:sz w:val="24"/>
          <w:szCs w:val="24"/>
        </w:rPr>
        <w:t xml:space="preserve"> and </w:t>
      </w:r>
      <w:proofErr w:type="spellStart"/>
      <w:r w:rsidR="00125F90" w:rsidRPr="00D06F2B">
        <w:rPr>
          <w:rFonts w:ascii="Garamond" w:hAnsi="Garamond"/>
          <w:sz w:val="24"/>
          <w:szCs w:val="24"/>
        </w:rPr>
        <w:t>Saikkonen</w:t>
      </w:r>
      <w:proofErr w:type="spellEnd"/>
      <w:r w:rsidR="00125F90" w:rsidRPr="00D06F2B">
        <w:rPr>
          <w:rFonts w:ascii="Garamond" w:hAnsi="Garamond"/>
          <w:sz w:val="24"/>
          <w:szCs w:val="24"/>
        </w:rPr>
        <w:t xml:space="preserve"> 2008) thus they associate with a much different forecasting challenge compared to a tail-risk event. </w:t>
      </w:r>
      <w:r w:rsidR="00BA3B7D" w:rsidRPr="00D06F2B">
        <w:rPr>
          <w:rFonts w:ascii="Garamond" w:hAnsi="Garamond"/>
          <w:sz w:val="24"/>
          <w:szCs w:val="24"/>
        </w:rPr>
        <w:t>Our focus on the tail-risk event</w:t>
      </w:r>
      <w:r w:rsidR="00AF72BD" w:rsidRPr="00D06F2B">
        <w:rPr>
          <w:rFonts w:ascii="Garamond" w:hAnsi="Garamond"/>
          <w:sz w:val="24"/>
          <w:szCs w:val="24"/>
        </w:rPr>
        <w:t xml:space="preserve"> related to the Covid-19 pandemic</w:t>
      </w:r>
      <w:r w:rsidR="00BA3B7D" w:rsidRPr="00D06F2B">
        <w:rPr>
          <w:rFonts w:ascii="Garamond" w:hAnsi="Garamond"/>
          <w:sz w:val="24"/>
          <w:szCs w:val="24"/>
        </w:rPr>
        <w:t xml:space="preserve"> </w:t>
      </w:r>
      <w:r w:rsidR="0040776B" w:rsidRPr="00D06F2B">
        <w:rPr>
          <w:rFonts w:ascii="Garamond" w:hAnsi="Garamond"/>
          <w:sz w:val="24"/>
          <w:szCs w:val="24"/>
        </w:rPr>
        <w:t xml:space="preserve">provides novel evidence on </w:t>
      </w:r>
      <w:r w:rsidR="002A5402" w:rsidRPr="00D06F2B">
        <w:rPr>
          <w:rFonts w:ascii="Garamond" w:hAnsi="Garamond"/>
          <w:sz w:val="24"/>
          <w:szCs w:val="24"/>
        </w:rPr>
        <w:t>how the informativeness of analyst research changes in response to a</w:t>
      </w:r>
      <w:r w:rsidR="00D06F2B">
        <w:rPr>
          <w:rFonts w:ascii="Garamond" w:hAnsi="Garamond"/>
          <w:sz w:val="24"/>
          <w:szCs w:val="24"/>
        </w:rPr>
        <w:t>n</w:t>
      </w:r>
      <w:r w:rsidR="002A5402" w:rsidRPr="00D06F2B">
        <w:rPr>
          <w:rFonts w:ascii="Garamond" w:hAnsi="Garamond"/>
          <w:sz w:val="24"/>
          <w:szCs w:val="24"/>
        </w:rPr>
        <w:t xml:space="preserve"> </w:t>
      </w:r>
      <w:r w:rsidR="00D06F2B">
        <w:rPr>
          <w:rFonts w:ascii="Garamond" w:hAnsi="Garamond"/>
          <w:sz w:val="24"/>
          <w:szCs w:val="24"/>
        </w:rPr>
        <w:t>unexpected</w:t>
      </w:r>
      <w:r w:rsidR="002A5402" w:rsidRPr="00D06F2B">
        <w:rPr>
          <w:rFonts w:ascii="Garamond" w:hAnsi="Garamond"/>
          <w:sz w:val="24"/>
          <w:szCs w:val="24"/>
        </w:rPr>
        <w:t xml:space="preserve"> market shock. </w:t>
      </w:r>
      <w:r w:rsidR="00D06F2B">
        <w:rPr>
          <w:rFonts w:ascii="Garamond" w:hAnsi="Garamond"/>
          <w:sz w:val="24"/>
          <w:szCs w:val="24"/>
        </w:rPr>
        <w:t xml:space="preserve"> </w:t>
      </w:r>
    </w:p>
    <w:p w14:paraId="42833732" w14:textId="7779E491" w:rsidR="00404B3A" w:rsidRPr="00E1640E" w:rsidRDefault="002A5402" w:rsidP="00404B3A">
      <w:pPr>
        <w:spacing w:after="0" w:line="480" w:lineRule="auto"/>
        <w:ind w:firstLine="720"/>
        <w:rPr>
          <w:rFonts w:ascii="Garamond" w:hAnsi="Garamond"/>
          <w:sz w:val="24"/>
          <w:szCs w:val="24"/>
          <w:lang w:val="en-US"/>
        </w:rPr>
      </w:pPr>
      <w:r w:rsidRPr="00D06F2B">
        <w:rPr>
          <w:rFonts w:ascii="Garamond" w:hAnsi="Garamond"/>
          <w:sz w:val="24"/>
          <w:szCs w:val="24"/>
          <w:lang w:val="en-US"/>
        </w:rPr>
        <w:t xml:space="preserve">Third, the </w:t>
      </w:r>
      <w:r w:rsidR="0040776B" w:rsidRPr="00D06F2B">
        <w:rPr>
          <w:rFonts w:ascii="Garamond" w:hAnsi="Garamond"/>
          <w:sz w:val="24"/>
          <w:szCs w:val="24"/>
          <w:lang w:val="en-US"/>
        </w:rPr>
        <w:t xml:space="preserve">research </w:t>
      </w:r>
      <w:r w:rsidRPr="00D06F2B">
        <w:rPr>
          <w:rFonts w:ascii="Garamond" w:hAnsi="Garamond"/>
          <w:sz w:val="24"/>
          <w:szCs w:val="24"/>
          <w:lang w:val="en-US"/>
        </w:rPr>
        <w:t>setting has important econometric benefits. The</w:t>
      </w:r>
      <w:r w:rsidR="009D7113" w:rsidRPr="00D06F2B">
        <w:rPr>
          <w:rFonts w:ascii="Garamond" w:hAnsi="Garamond"/>
          <w:sz w:val="24"/>
          <w:szCs w:val="24"/>
          <w:lang w:val="en-US"/>
        </w:rPr>
        <w:t xml:space="preserve"> </w:t>
      </w:r>
      <w:r w:rsidR="0040776B" w:rsidRPr="00D06F2B">
        <w:rPr>
          <w:rFonts w:ascii="Garamond" w:hAnsi="Garamond"/>
          <w:sz w:val="24"/>
          <w:szCs w:val="24"/>
          <w:lang w:val="en-US"/>
        </w:rPr>
        <w:t>COVID</w:t>
      </w:r>
      <w:r w:rsidR="009D7113" w:rsidRPr="00D06F2B">
        <w:rPr>
          <w:rFonts w:ascii="Garamond" w:hAnsi="Garamond"/>
          <w:sz w:val="24"/>
          <w:szCs w:val="24"/>
          <w:lang w:val="en-US"/>
        </w:rPr>
        <w:t>-19</w:t>
      </w:r>
      <w:r w:rsidRPr="00D06F2B">
        <w:rPr>
          <w:rFonts w:ascii="Garamond" w:hAnsi="Garamond"/>
          <w:sz w:val="24"/>
          <w:szCs w:val="24"/>
          <w:lang w:val="en-US"/>
        </w:rPr>
        <w:t xml:space="preserve"> pandemic is exogenous to firm characteristics thus changes in properties of analyst forecasts cannot be explained by omitted correlated variables. </w:t>
      </w:r>
      <w:r w:rsidR="00125F90" w:rsidRPr="00D06F2B">
        <w:rPr>
          <w:rFonts w:ascii="Garamond" w:hAnsi="Garamond"/>
          <w:sz w:val="24"/>
          <w:szCs w:val="24"/>
          <w:lang w:val="en-US"/>
        </w:rPr>
        <w:t>In contrast, t</w:t>
      </w:r>
      <w:r w:rsidR="009D7113" w:rsidRPr="00D06F2B">
        <w:rPr>
          <w:rFonts w:ascii="Garamond" w:hAnsi="Garamond"/>
          <w:sz w:val="24"/>
          <w:szCs w:val="24"/>
          <w:lang w:val="en-US"/>
        </w:rPr>
        <w:t>he exogeneity of economic downturns studie</w:t>
      </w:r>
      <w:r w:rsidR="00404B3A" w:rsidRPr="00D06F2B">
        <w:rPr>
          <w:rFonts w:ascii="Garamond" w:hAnsi="Garamond"/>
          <w:sz w:val="24"/>
          <w:szCs w:val="24"/>
          <w:lang w:val="en-US"/>
        </w:rPr>
        <w:t>d</w:t>
      </w:r>
      <w:r w:rsidR="009D7113" w:rsidRPr="00D06F2B">
        <w:rPr>
          <w:rFonts w:ascii="Garamond" w:hAnsi="Garamond"/>
          <w:sz w:val="24"/>
          <w:szCs w:val="24"/>
          <w:lang w:val="en-US"/>
        </w:rPr>
        <w:t xml:space="preserve"> before cannot be ascertained as these, by definition, associate with deteriorating corporate fundamentals.</w:t>
      </w:r>
      <w:r w:rsidRPr="00D06F2B">
        <w:rPr>
          <w:rFonts w:ascii="Garamond" w:hAnsi="Garamond"/>
          <w:sz w:val="24"/>
          <w:szCs w:val="24"/>
          <w:lang w:val="en-US"/>
        </w:rPr>
        <w:t xml:space="preserve"> </w:t>
      </w:r>
      <w:r w:rsidR="00404B3A" w:rsidRPr="00D06F2B">
        <w:rPr>
          <w:rFonts w:ascii="Garamond" w:hAnsi="Garamond"/>
          <w:sz w:val="24"/>
          <w:szCs w:val="24"/>
          <w:lang w:val="en-US"/>
        </w:rPr>
        <w:t>T</w:t>
      </w:r>
      <w:r w:rsidR="00922206" w:rsidRPr="00D06F2B">
        <w:rPr>
          <w:rFonts w:ascii="Garamond" w:hAnsi="Garamond"/>
          <w:sz w:val="24"/>
          <w:szCs w:val="24"/>
          <w:lang w:val="en-US"/>
        </w:rPr>
        <w:t>h</w:t>
      </w:r>
      <w:r w:rsidR="0040776B" w:rsidRPr="00D06F2B">
        <w:rPr>
          <w:rFonts w:ascii="Garamond" w:hAnsi="Garamond"/>
          <w:sz w:val="24"/>
          <w:szCs w:val="24"/>
          <w:lang w:val="en-US"/>
        </w:rPr>
        <w:t>us</w:t>
      </w:r>
      <w:r w:rsidR="00125F90" w:rsidRPr="00D06F2B">
        <w:rPr>
          <w:rFonts w:ascii="Garamond" w:hAnsi="Garamond"/>
          <w:sz w:val="24"/>
          <w:szCs w:val="24"/>
          <w:lang w:val="en-US"/>
        </w:rPr>
        <w:t>,</w:t>
      </w:r>
      <w:r w:rsidR="0040776B" w:rsidRPr="00D06F2B">
        <w:rPr>
          <w:rFonts w:ascii="Garamond" w:hAnsi="Garamond"/>
          <w:sz w:val="24"/>
          <w:szCs w:val="24"/>
          <w:lang w:val="en-US"/>
        </w:rPr>
        <w:t xml:space="preserve"> the</w:t>
      </w:r>
      <w:r w:rsidR="00922206" w:rsidRPr="00D06F2B">
        <w:rPr>
          <w:rFonts w:ascii="Garamond" w:hAnsi="Garamond"/>
          <w:sz w:val="24"/>
          <w:szCs w:val="24"/>
          <w:lang w:val="en-US"/>
        </w:rPr>
        <w:t xml:space="preserve"> COVID-19 pandemic</w:t>
      </w:r>
      <w:r w:rsidR="00404B3A" w:rsidRPr="00D06F2B">
        <w:rPr>
          <w:rFonts w:ascii="Garamond" w:hAnsi="Garamond"/>
          <w:sz w:val="24"/>
          <w:szCs w:val="24"/>
          <w:lang w:val="en-US"/>
        </w:rPr>
        <w:t xml:space="preserve"> </w:t>
      </w:r>
      <w:r w:rsidR="00125F90" w:rsidRPr="00D06F2B">
        <w:rPr>
          <w:rFonts w:ascii="Garamond" w:hAnsi="Garamond"/>
          <w:sz w:val="24"/>
          <w:szCs w:val="24"/>
          <w:lang w:val="en-US"/>
        </w:rPr>
        <w:t xml:space="preserve">setting </w:t>
      </w:r>
      <w:r w:rsidR="0040776B" w:rsidRPr="00D06F2B">
        <w:rPr>
          <w:rFonts w:ascii="Garamond" w:hAnsi="Garamond"/>
          <w:sz w:val="24"/>
          <w:szCs w:val="24"/>
          <w:lang w:val="en-US"/>
        </w:rPr>
        <w:t xml:space="preserve">is free of typical endogeneity concerns plaguing accounting research making it </w:t>
      </w:r>
      <w:r w:rsidR="00922206" w:rsidRPr="00D06F2B">
        <w:rPr>
          <w:rFonts w:ascii="Garamond" w:hAnsi="Garamond"/>
          <w:sz w:val="24"/>
          <w:szCs w:val="24"/>
          <w:lang w:val="en-US"/>
        </w:rPr>
        <w:t xml:space="preserve">a </w:t>
      </w:r>
      <w:r w:rsidR="0069755D" w:rsidRPr="00D06F2B">
        <w:rPr>
          <w:rFonts w:ascii="Garamond" w:hAnsi="Garamond"/>
          <w:sz w:val="24"/>
          <w:szCs w:val="24"/>
          <w:lang w:val="en-US"/>
        </w:rPr>
        <w:t xml:space="preserve">natural laboratory </w:t>
      </w:r>
      <w:r w:rsidR="00922206" w:rsidRPr="00D06F2B">
        <w:rPr>
          <w:rFonts w:ascii="Garamond" w:hAnsi="Garamond"/>
          <w:sz w:val="24"/>
          <w:szCs w:val="24"/>
          <w:lang w:val="en-US"/>
        </w:rPr>
        <w:t>to study the impact a tail-risk event has on analyst behavior and informativeness of their research forecasts.</w:t>
      </w:r>
      <w:r w:rsidR="00404B3A" w:rsidRPr="00D06F2B">
        <w:rPr>
          <w:rFonts w:ascii="Garamond" w:hAnsi="Garamond"/>
          <w:sz w:val="24"/>
          <w:szCs w:val="24"/>
          <w:lang w:val="en-US"/>
        </w:rPr>
        <w:t xml:space="preserve"> </w:t>
      </w:r>
      <w:r w:rsidR="00761BF5" w:rsidRPr="00D06F2B">
        <w:rPr>
          <w:rFonts w:ascii="Garamond" w:hAnsi="Garamond"/>
          <w:sz w:val="24"/>
          <w:szCs w:val="24"/>
          <w:lang w:val="en-US"/>
        </w:rPr>
        <w:t xml:space="preserve">Baker, Bloom, Davis, </w:t>
      </w:r>
      <w:proofErr w:type="spellStart"/>
      <w:r w:rsidR="00761BF5" w:rsidRPr="00D06F2B">
        <w:rPr>
          <w:rFonts w:ascii="Garamond" w:hAnsi="Garamond"/>
          <w:sz w:val="24"/>
          <w:szCs w:val="24"/>
          <w:lang w:val="en-US"/>
        </w:rPr>
        <w:t>Kost</w:t>
      </w:r>
      <w:proofErr w:type="spellEnd"/>
      <w:r w:rsidR="00761BF5" w:rsidRPr="00D06F2B">
        <w:rPr>
          <w:rFonts w:ascii="Garamond" w:hAnsi="Garamond"/>
          <w:sz w:val="24"/>
          <w:szCs w:val="24"/>
          <w:lang w:val="en-US"/>
        </w:rPr>
        <w:t xml:space="preserve">, </w:t>
      </w:r>
      <w:proofErr w:type="spellStart"/>
      <w:r w:rsidR="00761BF5" w:rsidRPr="00D06F2B">
        <w:rPr>
          <w:rFonts w:ascii="Garamond" w:hAnsi="Garamond"/>
          <w:sz w:val="24"/>
          <w:szCs w:val="24"/>
          <w:lang w:val="en-US"/>
        </w:rPr>
        <w:t>Sammon</w:t>
      </w:r>
      <w:proofErr w:type="spellEnd"/>
      <w:r w:rsidR="00761BF5" w:rsidRPr="00D06F2B">
        <w:rPr>
          <w:rFonts w:ascii="Garamond" w:hAnsi="Garamond"/>
          <w:sz w:val="24"/>
          <w:szCs w:val="24"/>
          <w:lang w:val="en-US"/>
        </w:rPr>
        <w:t xml:space="preserve"> and </w:t>
      </w:r>
      <w:proofErr w:type="spellStart"/>
      <w:r w:rsidR="00761BF5" w:rsidRPr="00D06F2B">
        <w:rPr>
          <w:rFonts w:ascii="Garamond" w:hAnsi="Garamond"/>
          <w:sz w:val="24"/>
          <w:szCs w:val="24"/>
          <w:lang w:val="en-US"/>
        </w:rPr>
        <w:t>Viratyosin</w:t>
      </w:r>
      <w:proofErr w:type="spellEnd"/>
      <w:r w:rsidR="00761BF5" w:rsidRPr="00D06F2B">
        <w:rPr>
          <w:rFonts w:ascii="Garamond" w:hAnsi="Garamond"/>
          <w:sz w:val="24"/>
          <w:szCs w:val="24"/>
          <w:lang w:val="en-US"/>
        </w:rPr>
        <w:t xml:space="preserve"> (2020) document that </w:t>
      </w:r>
      <w:r w:rsidR="00FC3B60">
        <w:rPr>
          <w:rFonts w:ascii="Garamond" w:hAnsi="Garamond"/>
          <w:sz w:val="24"/>
          <w:szCs w:val="24"/>
          <w:lang w:val="en-US"/>
        </w:rPr>
        <w:t>‘</w:t>
      </w:r>
      <w:r w:rsidR="00761BF5" w:rsidRPr="00D06F2B">
        <w:rPr>
          <w:rFonts w:ascii="Garamond" w:hAnsi="Garamond"/>
          <w:sz w:val="24"/>
          <w:szCs w:val="24"/>
          <w:lang w:val="en-US"/>
        </w:rPr>
        <w:t>[</w:t>
      </w:r>
      <w:r w:rsidR="00893F8F" w:rsidRPr="00D06F2B">
        <w:rPr>
          <w:rFonts w:ascii="Garamond" w:hAnsi="Garamond"/>
          <w:sz w:val="24"/>
          <w:szCs w:val="24"/>
          <w:lang w:val="en-US"/>
        </w:rPr>
        <w:t>N</w:t>
      </w:r>
      <w:r w:rsidR="00761BF5" w:rsidRPr="00D06F2B">
        <w:rPr>
          <w:rFonts w:ascii="Garamond" w:hAnsi="Garamond"/>
          <w:sz w:val="24"/>
          <w:szCs w:val="24"/>
          <w:lang w:val="en-US"/>
        </w:rPr>
        <w:t>]</w:t>
      </w:r>
      <w:r w:rsidR="00893F8F" w:rsidRPr="00D06F2B">
        <w:rPr>
          <w:rFonts w:ascii="Garamond" w:hAnsi="Garamond"/>
          <w:sz w:val="24"/>
          <w:szCs w:val="24"/>
          <w:lang w:val="en-US"/>
        </w:rPr>
        <w:t xml:space="preserve">o previous infectious disease outbreak, including the Spanish Flu, has </w:t>
      </w:r>
      <w:r w:rsidR="00893F8F" w:rsidRPr="00D06F2B">
        <w:rPr>
          <w:rFonts w:ascii="Garamond" w:hAnsi="Garamond"/>
          <w:sz w:val="24"/>
          <w:szCs w:val="24"/>
          <w:lang w:val="en-US"/>
        </w:rPr>
        <w:lastRenderedPageBreak/>
        <w:t>impacted the stock market as forcefully as the COVID-19 pandemic</w:t>
      </w:r>
      <w:r w:rsidR="00FC3B60">
        <w:rPr>
          <w:rFonts w:ascii="Garamond" w:hAnsi="Garamond"/>
          <w:sz w:val="24"/>
          <w:szCs w:val="24"/>
          <w:lang w:val="en-US"/>
        </w:rPr>
        <w:t>’</w:t>
      </w:r>
      <w:r w:rsidR="00761BF5" w:rsidRPr="00D06F2B">
        <w:rPr>
          <w:rFonts w:ascii="Garamond" w:hAnsi="Garamond"/>
          <w:sz w:val="24"/>
          <w:szCs w:val="24"/>
          <w:lang w:val="en-US"/>
        </w:rPr>
        <w:t xml:space="preserve"> and no other crisis had such a </w:t>
      </w:r>
      <w:r w:rsidR="00761BF5" w:rsidRPr="00E1640E">
        <w:rPr>
          <w:rFonts w:ascii="Garamond" w:hAnsi="Garamond"/>
          <w:sz w:val="24"/>
          <w:szCs w:val="24"/>
          <w:lang w:val="en-US"/>
        </w:rPr>
        <w:t>sudden and market-wide impact.</w:t>
      </w:r>
      <w:r w:rsidR="00E475B3" w:rsidRPr="00E1640E">
        <w:rPr>
          <w:rFonts w:ascii="Garamond" w:hAnsi="Garamond"/>
          <w:sz w:val="24"/>
          <w:szCs w:val="24"/>
          <w:lang w:val="en-US"/>
        </w:rPr>
        <w:t xml:space="preserve"> </w:t>
      </w:r>
    </w:p>
    <w:p w14:paraId="0E2552DD" w14:textId="5B9755E9" w:rsidR="00C91137" w:rsidRPr="00D06F2B" w:rsidRDefault="006B04FB" w:rsidP="00ED0BC3">
      <w:pPr>
        <w:spacing w:after="0" w:line="480" w:lineRule="auto"/>
        <w:rPr>
          <w:rFonts w:ascii="Garamond" w:hAnsi="Garamond"/>
          <w:sz w:val="24"/>
          <w:szCs w:val="24"/>
          <w:lang w:val="en-US"/>
        </w:rPr>
      </w:pPr>
      <w:r w:rsidRPr="00E1640E">
        <w:rPr>
          <w:rFonts w:ascii="Garamond" w:hAnsi="Garamond"/>
          <w:sz w:val="24"/>
          <w:szCs w:val="24"/>
          <w:lang w:val="en-US"/>
        </w:rPr>
        <w:tab/>
        <w:t xml:space="preserve"> </w:t>
      </w:r>
      <w:r w:rsidR="00F56CB8" w:rsidRPr="00E1640E">
        <w:rPr>
          <w:rFonts w:ascii="Garamond" w:hAnsi="Garamond"/>
          <w:sz w:val="24"/>
          <w:szCs w:val="24"/>
          <w:lang w:val="en-US"/>
        </w:rPr>
        <w:t xml:space="preserve">We collect a sample of </w:t>
      </w:r>
      <w:r w:rsidR="00DB656A" w:rsidRPr="00E1640E">
        <w:rPr>
          <w:rFonts w:ascii="Garamond" w:hAnsi="Garamond"/>
          <w:sz w:val="24"/>
          <w:szCs w:val="24"/>
          <w:lang w:val="en-US"/>
        </w:rPr>
        <w:t>4</w:t>
      </w:r>
      <w:r w:rsidR="00A53D5A" w:rsidRPr="00E1640E">
        <w:rPr>
          <w:rFonts w:ascii="Garamond" w:hAnsi="Garamond"/>
          <w:sz w:val="24"/>
          <w:szCs w:val="24"/>
          <w:lang w:val="en-US"/>
        </w:rPr>
        <w:t>45</w:t>
      </w:r>
      <w:r w:rsidR="00ED0BC3" w:rsidRPr="00E1640E">
        <w:rPr>
          <w:rFonts w:ascii="Garamond" w:hAnsi="Garamond"/>
          <w:sz w:val="24"/>
          <w:szCs w:val="24"/>
          <w:lang w:val="en-US"/>
        </w:rPr>
        <w:t>,</w:t>
      </w:r>
      <w:r w:rsidR="00475958" w:rsidRPr="00E1640E">
        <w:rPr>
          <w:rFonts w:ascii="Garamond" w:hAnsi="Garamond"/>
          <w:sz w:val="24"/>
          <w:szCs w:val="24"/>
          <w:lang w:val="en-US"/>
        </w:rPr>
        <w:t>561</w:t>
      </w:r>
      <w:r w:rsidR="00ED0BC3" w:rsidRPr="00E1640E">
        <w:rPr>
          <w:rFonts w:ascii="Garamond" w:hAnsi="Garamond"/>
          <w:sz w:val="24"/>
          <w:szCs w:val="24"/>
          <w:lang w:val="en-US"/>
        </w:rPr>
        <w:t xml:space="preserve"> quarterly earnings</w:t>
      </w:r>
      <w:r w:rsidR="00FB60B0" w:rsidRPr="00E1640E">
        <w:rPr>
          <w:rFonts w:ascii="Garamond" w:hAnsi="Garamond"/>
          <w:sz w:val="24"/>
          <w:szCs w:val="24"/>
          <w:lang w:val="en-US"/>
        </w:rPr>
        <w:t>-per-share (EPS)</w:t>
      </w:r>
      <w:r w:rsidR="00ED0BC3" w:rsidRPr="00E1640E">
        <w:rPr>
          <w:rFonts w:ascii="Garamond" w:hAnsi="Garamond"/>
          <w:sz w:val="24"/>
          <w:szCs w:val="24"/>
          <w:lang w:val="en-US"/>
        </w:rPr>
        <w:t xml:space="preserve"> forecasts</w:t>
      </w:r>
      <w:r w:rsidR="00FB60B0" w:rsidRPr="00E1640E">
        <w:rPr>
          <w:rFonts w:ascii="Garamond" w:hAnsi="Garamond"/>
          <w:sz w:val="24"/>
          <w:szCs w:val="24"/>
          <w:lang w:val="en-US"/>
        </w:rPr>
        <w:t xml:space="preserve"> </w:t>
      </w:r>
      <w:r w:rsidR="00ED0BC3" w:rsidRPr="00E1640E">
        <w:rPr>
          <w:rFonts w:ascii="Garamond" w:hAnsi="Garamond"/>
          <w:sz w:val="24"/>
          <w:szCs w:val="24"/>
          <w:lang w:val="en-US"/>
        </w:rPr>
        <w:t>issued between January 2018 and November 2020 for 4</w:t>
      </w:r>
      <w:r w:rsidR="00DB656A" w:rsidRPr="00E1640E">
        <w:rPr>
          <w:rFonts w:ascii="Garamond" w:hAnsi="Garamond"/>
          <w:sz w:val="24"/>
          <w:szCs w:val="24"/>
          <w:lang w:val="en-US"/>
        </w:rPr>
        <w:t>,</w:t>
      </w:r>
      <w:r w:rsidR="00E1640E" w:rsidRPr="00E1640E">
        <w:rPr>
          <w:rFonts w:ascii="Garamond" w:hAnsi="Garamond"/>
          <w:sz w:val="24"/>
          <w:szCs w:val="24"/>
          <w:lang w:val="en-US"/>
        </w:rPr>
        <w:t>381</w:t>
      </w:r>
      <w:r w:rsidR="00ED0BC3" w:rsidRPr="00E1640E">
        <w:rPr>
          <w:rFonts w:ascii="Garamond" w:hAnsi="Garamond"/>
          <w:sz w:val="24"/>
          <w:szCs w:val="24"/>
          <w:lang w:val="en-US"/>
        </w:rPr>
        <w:t xml:space="preserve"> unique firms. We classify forecasts issued from January</w:t>
      </w:r>
      <w:r w:rsidR="00ED0BC3" w:rsidRPr="00D06F2B">
        <w:rPr>
          <w:rFonts w:ascii="Garamond" w:hAnsi="Garamond"/>
          <w:sz w:val="24"/>
          <w:szCs w:val="24"/>
          <w:lang w:val="en-US"/>
        </w:rPr>
        <w:t xml:space="preserve"> 2020 as pandemic forecasts </w:t>
      </w:r>
      <w:r w:rsidR="00B75E22" w:rsidRPr="00D06F2B">
        <w:rPr>
          <w:rFonts w:ascii="Garamond" w:hAnsi="Garamond"/>
          <w:sz w:val="24"/>
          <w:szCs w:val="24"/>
          <w:lang w:val="en-US"/>
        </w:rPr>
        <w:t>because</w:t>
      </w:r>
      <w:r w:rsidR="00ED0BC3" w:rsidRPr="00D06F2B">
        <w:rPr>
          <w:rFonts w:ascii="Garamond" w:hAnsi="Garamond"/>
          <w:sz w:val="24"/>
          <w:szCs w:val="24"/>
          <w:lang w:val="en-US"/>
        </w:rPr>
        <w:t xml:space="preserve"> (1) Baker et al. (2020) highlight that the </w:t>
      </w:r>
      <w:r w:rsidR="004B0381" w:rsidRPr="00D06F2B">
        <w:rPr>
          <w:rFonts w:ascii="Garamond" w:hAnsi="Garamond"/>
          <w:sz w:val="24"/>
          <w:szCs w:val="24"/>
          <w:lang w:val="en-US"/>
        </w:rPr>
        <w:t>‘</w:t>
      </w:r>
      <w:r w:rsidR="00ED0BC3" w:rsidRPr="00D06F2B">
        <w:rPr>
          <w:rFonts w:ascii="Garamond" w:hAnsi="Garamond"/>
          <w:sz w:val="24"/>
          <w:szCs w:val="24"/>
          <w:lang w:val="en-US"/>
        </w:rPr>
        <w:t>the COVID-19 volatility surge began in the fourth week of January</w:t>
      </w:r>
      <w:r w:rsidR="004B0381" w:rsidRPr="00D06F2B">
        <w:rPr>
          <w:rFonts w:ascii="Garamond" w:hAnsi="Garamond"/>
          <w:sz w:val="24"/>
          <w:szCs w:val="24"/>
          <w:lang w:val="en-US"/>
        </w:rPr>
        <w:t>’</w:t>
      </w:r>
      <w:r w:rsidR="00ED0BC3" w:rsidRPr="00D06F2B">
        <w:rPr>
          <w:rFonts w:ascii="Garamond" w:hAnsi="Garamond"/>
          <w:sz w:val="24"/>
          <w:szCs w:val="24"/>
          <w:lang w:val="en-US"/>
        </w:rPr>
        <w:t xml:space="preserve"> and (2) the </w:t>
      </w:r>
      <w:r w:rsidR="00DB656A" w:rsidRPr="00D06F2B">
        <w:rPr>
          <w:rFonts w:ascii="Garamond" w:hAnsi="Garamond"/>
          <w:sz w:val="24"/>
          <w:szCs w:val="24"/>
          <w:lang w:val="en-US"/>
        </w:rPr>
        <w:t xml:space="preserve">Q1 </w:t>
      </w:r>
      <w:r w:rsidR="00ED0BC3" w:rsidRPr="00D06F2B">
        <w:rPr>
          <w:rFonts w:ascii="Garamond" w:hAnsi="Garamond"/>
          <w:sz w:val="24"/>
          <w:szCs w:val="24"/>
          <w:lang w:val="en-US"/>
        </w:rPr>
        <w:t xml:space="preserve">results </w:t>
      </w:r>
      <w:r w:rsidR="00D04AA0" w:rsidRPr="00D06F2B">
        <w:rPr>
          <w:rFonts w:ascii="Garamond" w:hAnsi="Garamond"/>
          <w:sz w:val="24"/>
          <w:szCs w:val="24"/>
          <w:lang w:val="en-US"/>
        </w:rPr>
        <w:t xml:space="preserve">for 2020 </w:t>
      </w:r>
      <w:r w:rsidR="00ED0BC3" w:rsidRPr="00D06F2B">
        <w:rPr>
          <w:rFonts w:ascii="Garamond" w:hAnsi="Garamond"/>
          <w:sz w:val="24"/>
          <w:szCs w:val="24"/>
          <w:lang w:val="en-US"/>
        </w:rPr>
        <w:t xml:space="preserve">will be affected by the pandemic </w:t>
      </w:r>
      <w:r w:rsidR="00B75E22" w:rsidRPr="00D06F2B">
        <w:rPr>
          <w:rFonts w:ascii="Garamond" w:hAnsi="Garamond"/>
          <w:sz w:val="24"/>
          <w:szCs w:val="24"/>
          <w:lang w:val="en-US"/>
        </w:rPr>
        <w:t>forcing</w:t>
      </w:r>
      <w:r w:rsidR="00ED0BC3" w:rsidRPr="00D06F2B">
        <w:rPr>
          <w:rFonts w:ascii="Garamond" w:hAnsi="Garamond"/>
          <w:sz w:val="24"/>
          <w:szCs w:val="24"/>
          <w:lang w:val="en-US"/>
        </w:rPr>
        <w:t xml:space="preserve"> analysts to incorporate the effect of COVID-19 into their forecasts.</w:t>
      </w:r>
      <w:r w:rsidR="00DB656A" w:rsidRPr="00D06F2B">
        <w:rPr>
          <w:rStyle w:val="FootnoteReference"/>
          <w:rFonts w:ascii="Garamond" w:hAnsi="Garamond"/>
          <w:sz w:val="24"/>
          <w:szCs w:val="24"/>
          <w:lang w:val="en-US"/>
        </w:rPr>
        <w:footnoteReference w:id="4"/>
      </w:r>
      <w:r w:rsidR="00ED0BC3" w:rsidRPr="00D06F2B">
        <w:rPr>
          <w:rFonts w:ascii="Garamond" w:hAnsi="Garamond"/>
          <w:sz w:val="24"/>
          <w:szCs w:val="24"/>
          <w:lang w:val="en-US"/>
        </w:rPr>
        <w:t xml:space="preserve"> We consider forecasts issued between January 2018 and December 2019 as pre-pandemic forecasts. To understand how the pandemic affected the breadth of </w:t>
      </w:r>
      <w:r w:rsidR="00D04AA0" w:rsidRPr="00D06F2B">
        <w:rPr>
          <w:rFonts w:ascii="Garamond" w:hAnsi="Garamond"/>
          <w:sz w:val="24"/>
          <w:szCs w:val="24"/>
          <w:lang w:val="en-US"/>
        </w:rPr>
        <w:t xml:space="preserve">analyst </w:t>
      </w:r>
      <w:r w:rsidR="00ED0BC3" w:rsidRPr="00D06F2B">
        <w:rPr>
          <w:rFonts w:ascii="Garamond" w:hAnsi="Garamond"/>
          <w:sz w:val="24"/>
          <w:szCs w:val="24"/>
          <w:lang w:val="en-US"/>
        </w:rPr>
        <w:t xml:space="preserve">research, we also collect </w:t>
      </w:r>
      <w:r w:rsidR="00FB60B0" w:rsidRPr="00D06F2B">
        <w:rPr>
          <w:rFonts w:ascii="Garamond" w:hAnsi="Garamond"/>
          <w:sz w:val="24"/>
          <w:szCs w:val="24"/>
          <w:lang w:val="en-US"/>
        </w:rPr>
        <w:t>quarterly</w:t>
      </w:r>
      <w:r w:rsidR="00ED0BC3" w:rsidRPr="00D06F2B">
        <w:rPr>
          <w:rFonts w:ascii="Garamond" w:hAnsi="Garamond"/>
          <w:sz w:val="24"/>
          <w:szCs w:val="24"/>
          <w:lang w:val="en-US"/>
        </w:rPr>
        <w:t xml:space="preserve"> revenue estimates</w:t>
      </w:r>
      <w:r w:rsidR="00FB60B0" w:rsidRPr="00D06F2B">
        <w:rPr>
          <w:rFonts w:ascii="Garamond" w:hAnsi="Garamond"/>
          <w:sz w:val="24"/>
          <w:szCs w:val="24"/>
          <w:lang w:val="en-US"/>
        </w:rPr>
        <w:t xml:space="preserve"> (SAL)</w:t>
      </w:r>
      <w:r w:rsidR="00ED0BC3" w:rsidRPr="00D06F2B">
        <w:rPr>
          <w:rFonts w:ascii="Garamond" w:hAnsi="Garamond"/>
          <w:sz w:val="24"/>
          <w:szCs w:val="24"/>
          <w:lang w:val="en-US"/>
        </w:rPr>
        <w:t>, cash flow</w:t>
      </w:r>
      <w:r w:rsidR="00FB60B0" w:rsidRPr="00D06F2B">
        <w:rPr>
          <w:rFonts w:ascii="Garamond" w:hAnsi="Garamond"/>
          <w:sz w:val="24"/>
          <w:szCs w:val="24"/>
          <w:lang w:val="en-US"/>
        </w:rPr>
        <w:t xml:space="preserve">-per-share </w:t>
      </w:r>
      <w:r w:rsidR="00ED0BC3" w:rsidRPr="00D06F2B">
        <w:rPr>
          <w:rFonts w:ascii="Garamond" w:hAnsi="Garamond"/>
          <w:sz w:val="24"/>
          <w:szCs w:val="24"/>
          <w:lang w:val="en-US"/>
        </w:rPr>
        <w:t xml:space="preserve">forecasts </w:t>
      </w:r>
      <w:r w:rsidR="00FB60B0" w:rsidRPr="00D06F2B">
        <w:rPr>
          <w:rFonts w:ascii="Garamond" w:hAnsi="Garamond"/>
          <w:sz w:val="24"/>
          <w:szCs w:val="24"/>
          <w:lang w:val="en-US"/>
        </w:rPr>
        <w:t>(CPS)</w:t>
      </w:r>
      <w:r w:rsidR="00DB656A" w:rsidRPr="00D06F2B">
        <w:rPr>
          <w:rFonts w:ascii="Garamond" w:hAnsi="Garamond"/>
          <w:sz w:val="24"/>
          <w:szCs w:val="24"/>
          <w:lang w:val="en-US"/>
        </w:rPr>
        <w:t>,</w:t>
      </w:r>
      <w:r w:rsidR="00FB60B0" w:rsidRPr="00D06F2B">
        <w:rPr>
          <w:rFonts w:ascii="Garamond" w:hAnsi="Garamond"/>
          <w:sz w:val="24"/>
          <w:szCs w:val="24"/>
          <w:lang w:val="en-US"/>
        </w:rPr>
        <w:t xml:space="preserve"> </w:t>
      </w:r>
      <w:r w:rsidR="00ED0BC3" w:rsidRPr="00D06F2B">
        <w:rPr>
          <w:rFonts w:ascii="Garamond" w:hAnsi="Garamond"/>
          <w:sz w:val="24"/>
          <w:szCs w:val="24"/>
          <w:lang w:val="en-US"/>
        </w:rPr>
        <w:t>and dividend</w:t>
      </w:r>
      <w:r w:rsidR="00FB60B0" w:rsidRPr="00D06F2B">
        <w:rPr>
          <w:rFonts w:ascii="Garamond" w:hAnsi="Garamond"/>
          <w:sz w:val="24"/>
          <w:szCs w:val="24"/>
          <w:lang w:val="en-US"/>
        </w:rPr>
        <w:t>-per-share</w:t>
      </w:r>
      <w:r w:rsidR="00ED0BC3" w:rsidRPr="00D06F2B">
        <w:rPr>
          <w:rFonts w:ascii="Garamond" w:hAnsi="Garamond"/>
          <w:sz w:val="24"/>
          <w:szCs w:val="24"/>
          <w:lang w:val="en-US"/>
        </w:rPr>
        <w:t xml:space="preserve"> estimates</w:t>
      </w:r>
      <w:r w:rsidR="00FB60B0" w:rsidRPr="00D06F2B">
        <w:rPr>
          <w:rFonts w:ascii="Garamond" w:hAnsi="Garamond"/>
          <w:sz w:val="24"/>
          <w:szCs w:val="24"/>
          <w:lang w:val="en-US"/>
        </w:rPr>
        <w:t xml:space="preserve"> (DPS) issued jointly with the EPS forecasts.</w:t>
      </w:r>
      <w:r w:rsidR="00AB460D" w:rsidRPr="00D06F2B">
        <w:rPr>
          <w:rFonts w:ascii="Garamond" w:hAnsi="Garamond"/>
          <w:sz w:val="24"/>
          <w:szCs w:val="24"/>
          <w:lang w:val="en-US"/>
        </w:rPr>
        <w:t xml:space="preserve"> We look at revenue </w:t>
      </w:r>
      <w:r w:rsidR="00D04AA0" w:rsidRPr="00D06F2B">
        <w:rPr>
          <w:rFonts w:ascii="Garamond" w:hAnsi="Garamond"/>
          <w:sz w:val="24"/>
          <w:szCs w:val="24"/>
          <w:lang w:val="en-US"/>
        </w:rPr>
        <w:t xml:space="preserve">forecasts </w:t>
      </w:r>
      <w:r w:rsidR="00AB460D" w:rsidRPr="00D06F2B">
        <w:rPr>
          <w:rFonts w:ascii="Garamond" w:hAnsi="Garamond"/>
          <w:sz w:val="24"/>
          <w:szCs w:val="24"/>
          <w:lang w:val="en-US"/>
        </w:rPr>
        <w:t xml:space="preserve">following the evidence in </w:t>
      </w:r>
      <w:proofErr w:type="spellStart"/>
      <w:r w:rsidR="00AB460D" w:rsidRPr="00D06F2B">
        <w:rPr>
          <w:rFonts w:ascii="Garamond" w:hAnsi="Garamond"/>
          <w:sz w:val="24"/>
          <w:szCs w:val="24"/>
          <w:lang w:val="en-US"/>
        </w:rPr>
        <w:t>Ertimur</w:t>
      </w:r>
      <w:proofErr w:type="spellEnd"/>
      <w:r w:rsidR="00AB460D" w:rsidRPr="00D06F2B">
        <w:rPr>
          <w:rFonts w:ascii="Garamond" w:hAnsi="Garamond"/>
          <w:sz w:val="24"/>
          <w:szCs w:val="24"/>
          <w:lang w:val="en-US"/>
        </w:rPr>
        <w:t xml:space="preserve">, </w:t>
      </w:r>
      <w:proofErr w:type="spellStart"/>
      <w:r w:rsidR="00AB460D" w:rsidRPr="00D06F2B">
        <w:rPr>
          <w:rFonts w:ascii="Garamond" w:hAnsi="Garamond"/>
          <w:sz w:val="24"/>
          <w:szCs w:val="24"/>
          <w:lang w:val="en-US"/>
        </w:rPr>
        <w:t>Mayew</w:t>
      </w:r>
      <w:proofErr w:type="spellEnd"/>
      <w:r w:rsidR="00AB460D" w:rsidRPr="00D06F2B">
        <w:rPr>
          <w:rFonts w:ascii="Garamond" w:hAnsi="Garamond"/>
          <w:sz w:val="24"/>
          <w:szCs w:val="24"/>
          <w:lang w:val="en-US"/>
        </w:rPr>
        <w:t xml:space="preserve"> and </w:t>
      </w:r>
      <w:proofErr w:type="spellStart"/>
      <w:r w:rsidR="00AB460D" w:rsidRPr="00D06F2B">
        <w:rPr>
          <w:rFonts w:ascii="Garamond" w:hAnsi="Garamond"/>
          <w:sz w:val="24"/>
          <w:szCs w:val="24"/>
          <w:lang w:val="en-US"/>
        </w:rPr>
        <w:t>Stubben</w:t>
      </w:r>
      <w:proofErr w:type="spellEnd"/>
      <w:r w:rsidR="00AB460D" w:rsidRPr="00D06F2B">
        <w:rPr>
          <w:rFonts w:ascii="Garamond" w:hAnsi="Garamond"/>
          <w:sz w:val="24"/>
          <w:szCs w:val="24"/>
          <w:lang w:val="en-US"/>
        </w:rPr>
        <w:t xml:space="preserve"> (2011) that investors use revenue</w:t>
      </w:r>
      <w:r w:rsidR="00DB656A" w:rsidRPr="00D06F2B">
        <w:rPr>
          <w:rFonts w:ascii="Garamond" w:hAnsi="Garamond"/>
          <w:sz w:val="24"/>
          <w:szCs w:val="24"/>
          <w:lang w:val="en-US"/>
        </w:rPr>
        <w:t xml:space="preserve"> estimates</w:t>
      </w:r>
      <w:r w:rsidR="00AB460D" w:rsidRPr="00D06F2B">
        <w:rPr>
          <w:rFonts w:ascii="Garamond" w:hAnsi="Garamond"/>
          <w:sz w:val="24"/>
          <w:szCs w:val="24"/>
          <w:lang w:val="en-US"/>
        </w:rPr>
        <w:t xml:space="preserve"> to disaggregate earnings</w:t>
      </w:r>
      <w:r w:rsidR="00DB656A" w:rsidRPr="00D06F2B">
        <w:rPr>
          <w:rFonts w:ascii="Garamond" w:hAnsi="Garamond"/>
          <w:sz w:val="24"/>
          <w:szCs w:val="24"/>
          <w:lang w:val="en-US"/>
        </w:rPr>
        <w:t xml:space="preserve"> forecasts</w:t>
      </w:r>
      <w:r w:rsidR="00AB460D" w:rsidRPr="00D06F2B">
        <w:rPr>
          <w:rFonts w:ascii="Garamond" w:hAnsi="Garamond"/>
          <w:sz w:val="24"/>
          <w:szCs w:val="24"/>
          <w:lang w:val="en-US"/>
        </w:rPr>
        <w:t xml:space="preserve"> into revenue and cost </w:t>
      </w:r>
      <w:r w:rsidR="00DB656A" w:rsidRPr="00D06F2B">
        <w:rPr>
          <w:rFonts w:ascii="Garamond" w:hAnsi="Garamond"/>
          <w:sz w:val="24"/>
          <w:szCs w:val="24"/>
          <w:lang w:val="en-US"/>
        </w:rPr>
        <w:t xml:space="preserve">estimates </w:t>
      </w:r>
      <w:r w:rsidR="00AB460D" w:rsidRPr="00D06F2B">
        <w:rPr>
          <w:rFonts w:ascii="Garamond" w:hAnsi="Garamond"/>
          <w:sz w:val="24"/>
          <w:szCs w:val="24"/>
          <w:lang w:val="en-US"/>
        </w:rPr>
        <w:t>and attach more weight to</w:t>
      </w:r>
      <w:r w:rsidR="00DB656A" w:rsidRPr="00D06F2B">
        <w:rPr>
          <w:rFonts w:ascii="Garamond" w:hAnsi="Garamond"/>
          <w:sz w:val="24"/>
          <w:szCs w:val="24"/>
          <w:lang w:val="en-US"/>
        </w:rPr>
        <w:t xml:space="preserve"> the</w:t>
      </w:r>
      <w:r w:rsidR="00AB460D" w:rsidRPr="00D06F2B">
        <w:rPr>
          <w:rFonts w:ascii="Garamond" w:hAnsi="Garamond"/>
          <w:sz w:val="24"/>
          <w:szCs w:val="24"/>
          <w:lang w:val="en-US"/>
        </w:rPr>
        <w:t xml:space="preserve"> more persistent revenue</w:t>
      </w:r>
      <w:r w:rsidR="00DB656A" w:rsidRPr="00D06F2B">
        <w:rPr>
          <w:rFonts w:ascii="Garamond" w:hAnsi="Garamond"/>
          <w:sz w:val="24"/>
          <w:szCs w:val="24"/>
          <w:lang w:val="en-US"/>
        </w:rPr>
        <w:t xml:space="preserve"> component</w:t>
      </w:r>
      <w:r w:rsidR="00AB460D" w:rsidRPr="00D06F2B">
        <w:rPr>
          <w:rFonts w:ascii="Garamond" w:hAnsi="Garamond"/>
          <w:sz w:val="24"/>
          <w:szCs w:val="24"/>
          <w:lang w:val="en-US"/>
        </w:rPr>
        <w:t xml:space="preserve">. Cash flow forecasts allows investors to </w:t>
      </w:r>
      <w:r w:rsidR="00474F47" w:rsidRPr="00D06F2B">
        <w:rPr>
          <w:rFonts w:ascii="Garamond" w:hAnsi="Garamond"/>
          <w:sz w:val="24"/>
          <w:szCs w:val="24"/>
          <w:lang w:val="en-US"/>
        </w:rPr>
        <w:t>disaggregate</w:t>
      </w:r>
      <w:r w:rsidR="00AB460D" w:rsidRPr="00D06F2B">
        <w:rPr>
          <w:rFonts w:ascii="Garamond" w:hAnsi="Garamond"/>
          <w:sz w:val="24"/>
          <w:szCs w:val="24"/>
          <w:lang w:val="en-US"/>
        </w:rPr>
        <w:t xml:space="preserve"> earnings</w:t>
      </w:r>
      <w:r w:rsidR="00DB656A" w:rsidRPr="00D06F2B">
        <w:rPr>
          <w:rFonts w:ascii="Garamond" w:hAnsi="Garamond"/>
          <w:sz w:val="24"/>
          <w:szCs w:val="24"/>
          <w:lang w:val="en-US"/>
        </w:rPr>
        <w:t xml:space="preserve"> estimates</w:t>
      </w:r>
      <w:r w:rsidR="00AB460D" w:rsidRPr="00D06F2B">
        <w:rPr>
          <w:rFonts w:ascii="Garamond" w:hAnsi="Garamond"/>
          <w:sz w:val="24"/>
          <w:szCs w:val="24"/>
          <w:lang w:val="en-US"/>
        </w:rPr>
        <w:t xml:space="preserve"> into accrual and cash </w:t>
      </w:r>
      <w:r w:rsidR="00DB656A" w:rsidRPr="00D06F2B">
        <w:rPr>
          <w:rFonts w:ascii="Garamond" w:hAnsi="Garamond"/>
          <w:sz w:val="24"/>
          <w:szCs w:val="24"/>
          <w:lang w:val="en-US"/>
        </w:rPr>
        <w:t xml:space="preserve">flow </w:t>
      </w:r>
      <w:r w:rsidR="007176B4" w:rsidRPr="00D06F2B">
        <w:rPr>
          <w:rFonts w:ascii="Garamond" w:hAnsi="Garamond"/>
          <w:sz w:val="24"/>
          <w:szCs w:val="24"/>
          <w:lang w:val="en-US"/>
        </w:rPr>
        <w:t>estimates</w:t>
      </w:r>
      <w:r w:rsidR="00AB460D" w:rsidRPr="00D06F2B">
        <w:rPr>
          <w:rFonts w:ascii="Garamond" w:hAnsi="Garamond"/>
          <w:sz w:val="24"/>
          <w:szCs w:val="24"/>
          <w:lang w:val="en-US"/>
        </w:rPr>
        <w:t xml:space="preserve"> allow</w:t>
      </w:r>
      <w:r w:rsidR="007176B4" w:rsidRPr="00D06F2B">
        <w:rPr>
          <w:rFonts w:ascii="Garamond" w:hAnsi="Garamond"/>
          <w:sz w:val="24"/>
          <w:szCs w:val="24"/>
          <w:lang w:val="en-US"/>
        </w:rPr>
        <w:t xml:space="preserve">ing </w:t>
      </w:r>
      <w:r w:rsidR="00AB460D" w:rsidRPr="00D06F2B">
        <w:rPr>
          <w:rFonts w:ascii="Garamond" w:hAnsi="Garamond"/>
          <w:sz w:val="24"/>
          <w:szCs w:val="24"/>
          <w:lang w:val="en-US"/>
        </w:rPr>
        <w:t>to gauge earnings persistence</w:t>
      </w:r>
      <w:r w:rsidR="00474F47" w:rsidRPr="00D06F2B">
        <w:rPr>
          <w:rFonts w:ascii="Garamond" w:hAnsi="Garamond"/>
          <w:sz w:val="24"/>
          <w:szCs w:val="24"/>
          <w:lang w:val="en-US"/>
        </w:rPr>
        <w:t xml:space="preserve"> and</w:t>
      </w:r>
      <w:r w:rsidR="007176B4" w:rsidRPr="00D06F2B">
        <w:rPr>
          <w:rFonts w:ascii="Garamond" w:hAnsi="Garamond"/>
          <w:sz w:val="24"/>
          <w:szCs w:val="24"/>
          <w:lang w:val="en-US"/>
        </w:rPr>
        <w:t xml:space="preserve"> the</w:t>
      </w:r>
      <w:r w:rsidR="00474F47" w:rsidRPr="00D06F2B">
        <w:rPr>
          <w:rFonts w:ascii="Garamond" w:hAnsi="Garamond"/>
          <w:sz w:val="24"/>
          <w:szCs w:val="24"/>
          <w:lang w:val="en-US"/>
        </w:rPr>
        <w:t xml:space="preserve"> likelihood of financial distress</w:t>
      </w:r>
      <w:r w:rsidR="00AB460D" w:rsidRPr="00D06F2B">
        <w:rPr>
          <w:rFonts w:ascii="Garamond" w:hAnsi="Garamond"/>
          <w:sz w:val="24"/>
          <w:szCs w:val="24"/>
          <w:lang w:val="en-US"/>
        </w:rPr>
        <w:t xml:space="preserve"> (</w:t>
      </w:r>
      <w:proofErr w:type="spellStart"/>
      <w:r w:rsidR="00AB460D" w:rsidRPr="00D06F2B">
        <w:rPr>
          <w:rFonts w:ascii="Garamond" w:hAnsi="Garamond"/>
          <w:sz w:val="24"/>
          <w:szCs w:val="24"/>
          <w:lang w:val="en-US"/>
        </w:rPr>
        <w:t>DeFond</w:t>
      </w:r>
      <w:proofErr w:type="spellEnd"/>
      <w:r w:rsidR="00AB460D" w:rsidRPr="00D06F2B">
        <w:rPr>
          <w:rFonts w:ascii="Garamond" w:hAnsi="Garamond"/>
          <w:sz w:val="24"/>
          <w:szCs w:val="24"/>
          <w:lang w:val="en-US"/>
        </w:rPr>
        <w:t xml:space="preserve"> and Hung 200</w:t>
      </w:r>
      <w:r w:rsidR="00F850C1" w:rsidRPr="00D06F2B">
        <w:rPr>
          <w:rFonts w:ascii="Garamond" w:hAnsi="Garamond"/>
          <w:sz w:val="24"/>
          <w:szCs w:val="24"/>
          <w:lang w:val="en-US"/>
        </w:rPr>
        <w:t>3</w:t>
      </w:r>
      <w:r w:rsidR="00AB460D" w:rsidRPr="00D06F2B">
        <w:rPr>
          <w:rFonts w:ascii="Garamond" w:hAnsi="Garamond"/>
          <w:sz w:val="24"/>
          <w:szCs w:val="24"/>
          <w:lang w:val="en-US"/>
        </w:rPr>
        <w:t xml:space="preserve">, </w:t>
      </w:r>
      <w:proofErr w:type="spellStart"/>
      <w:r w:rsidR="00AB460D" w:rsidRPr="00D06F2B">
        <w:rPr>
          <w:rFonts w:ascii="Garamond" w:hAnsi="Garamond"/>
          <w:sz w:val="24"/>
          <w:szCs w:val="24"/>
          <w:lang w:val="en-US"/>
        </w:rPr>
        <w:t>Givoly</w:t>
      </w:r>
      <w:proofErr w:type="spellEnd"/>
      <w:r w:rsidR="00AB460D" w:rsidRPr="00D06F2B">
        <w:rPr>
          <w:rFonts w:ascii="Garamond" w:hAnsi="Garamond"/>
          <w:sz w:val="24"/>
          <w:szCs w:val="24"/>
          <w:lang w:val="en-US"/>
        </w:rPr>
        <w:t xml:space="preserve">, </w:t>
      </w:r>
      <w:proofErr w:type="spellStart"/>
      <w:r w:rsidR="00AB460D" w:rsidRPr="00D06F2B">
        <w:rPr>
          <w:rFonts w:ascii="Garamond" w:hAnsi="Garamond"/>
          <w:sz w:val="24"/>
          <w:szCs w:val="24"/>
          <w:lang w:val="en-US"/>
        </w:rPr>
        <w:t>Hayn</w:t>
      </w:r>
      <w:proofErr w:type="spellEnd"/>
      <w:r w:rsidR="00AB460D" w:rsidRPr="00D06F2B">
        <w:rPr>
          <w:rFonts w:ascii="Garamond" w:hAnsi="Garamond"/>
          <w:sz w:val="24"/>
          <w:szCs w:val="24"/>
          <w:lang w:val="en-US"/>
        </w:rPr>
        <w:t xml:space="preserve"> and </w:t>
      </w:r>
      <w:proofErr w:type="spellStart"/>
      <w:r w:rsidR="00AB460D" w:rsidRPr="00D06F2B">
        <w:rPr>
          <w:rFonts w:ascii="Garamond" w:hAnsi="Garamond"/>
          <w:sz w:val="24"/>
          <w:szCs w:val="24"/>
          <w:lang w:val="en-US"/>
        </w:rPr>
        <w:t>Lehavy</w:t>
      </w:r>
      <w:proofErr w:type="spellEnd"/>
      <w:r w:rsidR="00AB460D" w:rsidRPr="00D06F2B">
        <w:rPr>
          <w:rFonts w:ascii="Garamond" w:hAnsi="Garamond"/>
          <w:sz w:val="24"/>
          <w:szCs w:val="24"/>
          <w:lang w:val="en-US"/>
        </w:rPr>
        <w:t xml:space="preserve"> 2009)</w:t>
      </w:r>
      <w:r w:rsidR="00474F47" w:rsidRPr="00D06F2B">
        <w:rPr>
          <w:rFonts w:ascii="Garamond" w:hAnsi="Garamond"/>
          <w:sz w:val="24"/>
          <w:szCs w:val="24"/>
          <w:lang w:val="en-US"/>
        </w:rPr>
        <w:t>.</w:t>
      </w:r>
      <w:r w:rsidR="004F2B8E" w:rsidRPr="00D06F2B">
        <w:rPr>
          <w:rFonts w:ascii="Garamond" w:hAnsi="Garamond"/>
          <w:sz w:val="24"/>
          <w:szCs w:val="24"/>
          <w:lang w:val="en-US"/>
        </w:rPr>
        <w:t xml:space="preserve"> Dividend</w:t>
      </w:r>
      <w:r w:rsidR="00DB656A" w:rsidRPr="00D06F2B">
        <w:rPr>
          <w:rFonts w:ascii="Garamond" w:hAnsi="Garamond"/>
          <w:sz w:val="24"/>
          <w:szCs w:val="24"/>
          <w:lang w:val="en-US"/>
        </w:rPr>
        <w:t xml:space="preserve"> forecasts</w:t>
      </w:r>
      <w:r w:rsidR="004F2B8E" w:rsidRPr="00D06F2B">
        <w:rPr>
          <w:rFonts w:ascii="Garamond" w:hAnsi="Garamond"/>
          <w:sz w:val="24"/>
          <w:szCs w:val="24"/>
          <w:lang w:val="en-US"/>
        </w:rPr>
        <w:t xml:space="preserve"> </w:t>
      </w:r>
      <w:r w:rsidR="00125F90" w:rsidRPr="00D06F2B">
        <w:rPr>
          <w:rFonts w:ascii="Garamond" w:hAnsi="Garamond"/>
          <w:sz w:val="24"/>
          <w:szCs w:val="24"/>
          <w:lang w:val="en-US"/>
        </w:rPr>
        <w:t>gauge future</w:t>
      </w:r>
      <w:r w:rsidR="004F2B8E" w:rsidRPr="00D06F2B">
        <w:rPr>
          <w:rFonts w:ascii="Garamond" w:hAnsi="Garamond"/>
          <w:sz w:val="24"/>
          <w:szCs w:val="24"/>
          <w:lang w:val="en-US"/>
        </w:rPr>
        <w:t xml:space="preserve"> </w:t>
      </w:r>
      <w:r w:rsidR="00125F90" w:rsidRPr="00D06F2B">
        <w:rPr>
          <w:rFonts w:ascii="Garamond" w:hAnsi="Garamond"/>
          <w:sz w:val="24"/>
          <w:szCs w:val="24"/>
          <w:lang w:val="en-US"/>
        </w:rPr>
        <w:t xml:space="preserve">payouts and contain </w:t>
      </w:r>
      <w:r w:rsidR="004F2B8E" w:rsidRPr="00D06F2B">
        <w:rPr>
          <w:rFonts w:ascii="Garamond" w:hAnsi="Garamond"/>
          <w:sz w:val="24"/>
          <w:szCs w:val="24"/>
          <w:lang w:val="en-US"/>
        </w:rPr>
        <w:t>incremental information compared to earnings, revenue and cash flow estimates and help investors assess persistence of earnings</w:t>
      </w:r>
      <w:r w:rsidR="00DB656A" w:rsidRPr="00D06F2B">
        <w:rPr>
          <w:rFonts w:ascii="Garamond" w:hAnsi="Garamond"/>
          <w:sz w:val="24"/>
          <w:szCs w:val="24"/>
          <w:lang w:val="en-US"/>
        </w:rPr>
        <w:t xml:space="preserve"> </w:t>
      </w:r>
      <w:r w:rsidR="004F2B8E" w:rsidRPr="00D06F2B">
        <w:rPr>
          <w:rFonts w:ascii="Garamond" w:hAnsi="Garamond"/>
          <w:sz w:val="24"/>
          <w:szCs w:val="24"/>
          <w:lang w:val="en-US"/>
        </w:rPr>
        <w:t xml:space="preserve">(Bilinski and Bradshaw 2020). </w:t>
      </w:r>
      <w:r w:rsidR="00ED0BC3" w:rsidRPr="00D06F2B">
        <w:rPr>
          <w:rFonts w:ascii="Garamond" w:hAnsi="Garamond"/>
          <w:sz w:val="24"/>
          <w:szCs w:val="24"/>
          <w:lang w:val="en-US"/>
        </w:rPr>
        <w:t>In testing</w:t>
      </w:r>
      <w:r w:rsidR="007176B4" w:rsidRPr="00D06F2B">
        <w:rPr>
          <w:rFonts w:ascii="Garamond" w:hAnsi="Garamond"/>
          <w:sz w:val="24"/>
          <w:szCs w:val="24"/>
          <w:lang w:val="en-US"/>
        </w:rPr>
        <w:t xml:space="preserve"> the</w:t>
      </w:r>
      <w:r w:rsidR="00ED0BC3" w:rsidRPr="00D06F2B">
        <w:rPr>
          <w:rFonts w:ascii="Garamond" w:hAnsi="Garamond"/>
          <w:sz w:val="24"/>
          <w:szCs w:val="24"/>
          <w:lang w:val="en-US"/>
        </w:rPr>
        <w:t xml:space="preserve"> informativeness of forecast revisions, we also </w:t>
      </w:r>
      <w:r w:rsidR="00FB60B0" w:rsidRPr="00D06F2B">
        <w:rPr>
          <w:rFonts w:ascii="Garamond" w:hAnsi="Garamond"/>
          <w:sz w:val="24"/>
          <w:szCs w:val="24"/>
          <w:lang w:val="en-US"/>
        </w:rPr>
        <w:t>look at analyst target prices and stock recommendations</w:t>
      </w:r>
      <w:r w:rsidR="00456C61" w:rsidRPr="00D06F2B">
        <w:rPr>
          <w:rFonts w:ascii="Garamond" w:hAnsi="Garamond"/>
          <w:sz w:val="24"/>
          <w:szCs w:val="24"/>
          <w:lang w:val="en-US"/>
        </w:rPr>
        <w:t>, which reflect an</w:t>
      </w:r>
      <w:r w:rsidR="004B0381" w:rsidRPr="00D06F2B">
        <w:rPr>
          <w:rFonts w:ascii="Garamond" w:hAnsi="Garamond"/>
          <w:sz w:val="24"/>
          <w:szCs w:val="24"/>
          <w:lang w:val="en-US"/>
        </w:rPr>
        <w:t xml:space="preserve"> analyst’s investment advice</w:t>
      </w:r>
      <w:r w:rsidR="00FB60B0" w:rsidRPr="00D06F2B">
        <w:rPr>
          <w:rFonts w:ascii="Garamond" w:hAnsi="Garamond"/>
          <w:sz w:val="24"/>
          <w:szCs w:val="24"/>
          <w:lang w:val="en-US"/>
        </w:rPr>
        <w:t xml:space="preserve">. </w:t>
      </w:r>
    </w:p>
    <w:p w14:paraId="092E5897" w14:textId="5CAE1492" w:rsidR="00ED0BC3" w:rsidRPr="00D06F2B" w:rsidRDefault="00ED0BC3" w:rsidP="00ED0BC3">
      <w:pPr>
        <w:spacing w:after="0" w:line="480" w:lineRule="auto"/>
        <w:rPr>
          <w:rFonts w:ascii="Garamond" w:hAnsi="Garamond"/>
          <w:sz w:val="24"/>
          <w:szCs w:val="24"/>
          <w:lang w:val="en-US"/>
        </w:rPr>
      </w:pPr>
      <w:r w:rsidRPr="00D06F2B">
        <w:rPr>
          <w:rFonts w:ascii="Garamond" w:hAnsi="Garamond"/>
          <w:sz w:val="24"/>
          <w:szCs w:val="24"/>
          <w:lang w:val="en-US"/>
        </w:rPr>
        <w:tab/>
      </w:r>
      <w:r w:rsidR="00FB60B0" w:rsidRPr="00D06F2B">
        <w:rPr>
          <w:rFonts w:ascii="Garamond" w:hAnsi="Garamond"/>
          <w:sz w:val="24"/>
          <w:szCs w:val="24"/>
          <w:lang w:val="en-US"/>
        </w:rPr>
        <w:t xml:space="preserve">We first examine </w:t>
      </w:r>
      <w:r w:rsidR="00DB656A" w:rsidRPr="00D06F2B">
        <w:rPr>
          <w:rFonts w:ascii="Garamond" w:hAnsi="Garamond"/>
          <w:sz w:val="24"/>
          <w:szCs w:val="24"/>
          <w:lang w:val="en-US"/>
        </w:rPr>
        <w:t>changes in the</w:t>
      </w:r>
      <w:r w:rsidR="00FB60B0" w:rsidRPr="00D06F2B">
        <w:rPr>
          <w:rFonts w:ascii="Garamond" w:hAnsi="Garamond"/>
          <w:sz w:val="24"/>
          <w:szCs w:val="24"/>
          <w:lang w:val="en-US"/>
        </w:rPr>
        <w:t xml:space="preserve"> </w:t>
      </w:r>
      <w:r w:rsidR="00DB656A" w:rsidRPr="00D06F2B">
        <w:rPr>
          <w:rFonts w:ascii="Garamond" w:hAnsi="Garamond"/>
          <w:sz w:val="24"/>
          <w:szCs w:val="24"/>
          <w:lang w:val="en-US"/>
        </w:rPr>
        <w:t>supply of</w:t>
      </w:r>
      <w:r w:rsidR="00FB60B0" w:rsidRPr="00D06F2B">
        <w:rPr>
          <w:rFonts w:ascii="Garamond" w:hAnsi="Garamond"/>
          <w:sz w:val="24"/>
          <w:szCs w:val="24"/>
          <w:lang w:val="en-US"/>
        </w:rPr>
        <w:t xml:space="preserve"> analyst forecasts</w:t>
      </w:r>
      <w:r w:rsidR="00E93730" w:rsidRPr="00D06F2B">
        <w:rPr>
          <w:rFonts w:ascii="Garamond" w:hAnsi="Garamond"/>
          <w:sz w:val="24"/>
          <w:szCs w:val="24"/>
          <w:lang w:val="en-US"/>
        </w:rPr>
        <w:t xml:space="preserve"> in response to the COVID-19 pandemic</w:t>
      </w:r>
      <w:r w:rsidR="00FB60B0" w:rsidRPr="00D06F2B">
        <w:rPr>
          <w:rFonts w:ascii="Garamond" w:hAnsi="Garamond"/>
          <w:sz w:val="24"/>
          <w:szCs w:val="24"/>
          <w:lang w:val="en-US"/>
        </w:rPr>
        <w:t xml:space="preserve">. We find that compared to the </w:t>
      </w:r>
      <w:r w:rsidR="007176B4" w:rsidRPr="00D06F2B">
        <w:rPr>
          <w:rFonts w:ascii="Garamond" w:hAnsi="Garamond"/>
          <w:sz w:val="24"/>
          <w:szCs w:val="24"/>
          <w:lang w:val="en-US"/>
        </w:rPr>
        <w:t xml:space="preserve">same </w:t>
      </w:r>
      <w:r w:rsidR="00FB60B0" w:rsidRPr="00D06F2B">
        <w:rPr>
          <w:rFonts w:ascii="Garamond" w:hAnsi="Garamond"/>
          <w:sz w:val="24"/>
          <w:szCs w:val="24"/>
          <w:lang w:val="en-US"/>
        </w:rPr>
        <w:t>pre-pandemic months, the number of quarterly EPS</w:t>
      </w:r>
      <w:r w:rsidR="00DB656A" w:rsidRPr="00D06F2B">
        <w:rPr>
          <w:rFonts w:ascii="Garamond" w:hAnsi="Garamond"/>
          <w:sz w:val="24"/>
          <w:szCs w:val="24"/>
          <w:lang w:val="en-US"/>
        </w:rPr>
        <w:t xml:space="preserve"> estimates</w:t>
      </w:r>
      <w:r w:rsidR="00FB60B0" w:rsidRPr="00D06F2B">
        <w:rPr>
          <w:rFonts w:ascii="Garamond" w:hAnsi="Garamond"/>
          <w:sz w:val="24"/>
          <w:szCs w:val="24"/>
          <w:lang w:val="en-US"/>
        </w:rPr>
        <w:t xml:space="preserve"> is similar in January and February 2020</w:t>
      </w:r>
      <w:r w:rsidR="00DB656A" w:rsidRPr="00D06F2B">
        <w:rPr>
          <w:rFonts w:ascii="Garamond" w:hAnsi="Garamond"/>
          <w:sz w:val="24"/>
          <w:szCs w:val="24"/>
          <w:lang w:val="en-US"/>
        </w:rPr>
        <w:t>,</w:t>
      </w:r>
      <w:r w:rsidR="00FB60B0" w:rsidRPr="00D06F2B">
        <w:rPr>
          <w:rFonts w:ascii="Garamond" w:hAnsi="Garamond"/>
          <w:sz w:val="24"/>
          <w:szCs w:val="24"/>
          <w:lang w:val="en-US"/>
        </w:rPr>
        <w:t xml:space="preserve"> increases by </w:t>
      </w:r>
      <w:r w:rsidR="00B47A85" w:rsidRPr="00D06F2B">
        <w:rPr>
          <w:rFonts w:ascii="Garamond" w:hAnsi="Garamond"/>
          <w:sz w:val="24"/>
          <w:szCs w:val="24"/>
          <w:lang w:val="en-US"/>
        </w:rPr>
        <w:t>72</w:t>
      </w:r>
      <w:r w:rsidR="00FB60B0" w:rsidRPr="00D06F2B">
        <w:rPr>
          <w:rFonts w:ascii="Garamond" w:hAnsi="Garamond"/>
          <w:sz w:val="24"/>
          <w:szCs w:val="24"/>
          <w:lang w:val="en-US"/>
        </w:rPr>
        <w:t>% in March 2020</w:t>
      </w:r>
      <w:r w:rsidR="00482BE0" w:rsidRPr="00D06F2B">
        <w:rPr>
          <w:rFonts w:ascii="Garamond" w:hAnsi="Garamond"/>
          <w:sz w:val="24"/>
          <w:szCs w:val="24"/>
          <w:lang w:val="en-US"/>
        </w:rPr>
        <w:t>,</w:t>
      </w:r>
      <w:r w:rsidR="00FB60B0" w:rsidRPr="00D06F2B">
        <w:rPr>
          <w:rFonts w:ascii="Garamond" w:hAnsi="Garamond"/>
          <w:sz w:val="24"/>
          <w:szCs w:val="24"/>
          <w:lang w:val="en-US"/>
        </w:rPr>
        <w:t xml:space="preserve"> and remains </w:t>
      </w:r>
      <w:r w:rsidR="00FB60B0" w:rsidRPr="00D06F2B">
        <w:rPr>
          <w:rFonts w:ascii="Garamond" w:hAnsi="Garamond"/>
          <w:sz w:val="24"/>
          <w:szCs w:val="24"/>
          <w:lang w:val="en-US"/>
        </w:rPr>
        <w:lastRenderedPageBreak/>
        <w:t>higher at around 2</w:t>
      </w:r>
      <w:r w:rsidR="00B47A85" w:rsidRPr="00D06F2B">
        <w:rPr>
          <w:rFonts w:ascii="Garamond" w:hAnsi="Garamond"/>
          <w:sz w:val="24"/>
          <w:szCs w:val="24"/>
          <w:lang w:val="en-US"/>
        </w:rPr>
        <w:t>2</w:t>
      </w:r>
      <w:r w:rsidR="00FB60B0" w:rsidRPr="00D06F2B">
        <w:rPr>
          <w:rFonts w:ascii="Garamond" w:hAnsi="Garamond"/>
          <w:sz w:val="24"/>
          <w:szCs w:val="24"/>
          <w:lang w:val="en-US"/>
        </w:rPr>
        <w:t>% between April and July 2020</w:t>
      </w:r>
      <w:r w:rsidR="00456C61" w:rsidRPr="00D06F2B">
        <w:rPr>
          <w:rFonts w:ascii="Garamond" w:hAnsi="Garamond"/>
          <w:sz w:val="24"/>
          <w:szCs w:val="24"/>
          <w:lang w:val="en-US"/>
        </w:rPr>
        <w:t>, reducing towards the end of 2020.</w:t>
      </w:r>
      <w:r w:rsidR="00FB60B0" w:rsidRPr="00D06F2B">
        <w:rPr>
          <w:rFonts w:ascii="Garamond" w:hAnsi="Garamond"/>
          <w:sz w:val="24"/>
          <w:szCs w:val="24"/>
          <w:lang w:val="en-US"/>
        </w:rPr>
        <w:t xml:space="preserve"> Similar patterns are evident for </w:t>
      </w:r>
      <w:r w:rsidR="00944D40" w:rsidRPr="00D06F2B">
        <w:rPr>
          <w:rFonts w:ascii="Garamond" w:hAnsi="Garamond"/>
          <w:sz w:val="24"/>
          <w:szCs w:val="24"/>
          <w:lang w:val="en-US"/>
        </w:rPr>
        <w:t>other forecasts</w:t>
      </w:r>
      <w:r w:rsidR="001535BE">
        <w:rPr>
          <w:rFonts w:ascii="Garamond" w:hAnsi="Garamond"/>
          <w:sz w:val="24"/>
          <w:szCs w:val="24"/>
          <w:lang w:val="en-US"/>
        </w:rPr>
        <w:t>. Compared to the same pre-pandemic months,</w:t>
      </w:r>
      <w:r w:rsidR="00944D40" w:rsidRPr="00D06F2B">
        <w:rPr>
          <w:rFonts w:ascii="Garamond" w:hAnsi="Garamond"/>
          <w:sz w:val="24"/>
          <w:szCs w:val="24"/>
          <w:lang w:val="en-US"/>
        </w:rPr>
        <w:t xml:space="preserve"> the </w:t>
      </w:r>
      <w:r w:rsidR="00482BE0" w:rsidRPr="00D06F2B">
        <w:rPr>
          <w:rFonts w:ascii="Garamond" w:hAnsi="Garamond"/>
          <w:sz w:val="24"/>
          <w:szCs w:val="24"/>
          <w:lang w:val="en-US"/>
        </w:rPr>
        <w:t>number</w:t>
      </w:r>
      <w:r w:rsidR="00944D40" w:rsidRPr="00D06F2B">
        <w:rPr>
          <w:rFonts w:ascii="Garamond" w:hAnsi="Garamond"/>
          <w:sz w:val="24"/>
          <w:szCs w:val="24"/>
          <w:lang w:val="en-US"/>
        </w:rPr>
        <w:t xml:space="preserve"> of</w:t>
      </w:r>
      <w:r w:rsidR="00FB60B0" w:rsidRPr="00D06F2B">
        <w:rPr>
          <w:rFonts w:ascii="Garamond" w:hAnsi="Garamond"/>
          <w:sz w:val="24"/>
          <w:szCs w:val="24"/>
          <w:lang w:val="en-US"/>
        </w:rPr>
        <w:t xml:space="preserve"> revenue forecasts increases in March by 80%</w:t>
      </w:r>
      <w:r w:rsidR="00944D40" w:rsidRPr="00D06F2B">
        <w:rPr>
          <w:rFonts w:ascii="Garamond" w:hAnsi="Garamond"/>
          <w:sz w:val="24"/>
          <w:szCs w:val="24"/>
          <w:lang w:val="en-US"/>
        </w:rPr>
        <w:t xml:space="preserve">, cash flow forecasts by </w:t>
      </w:r>
      <w:r w:rsidR="00B47A85" w:rsidRPr="00D06F2B">
        <w:rPr>
          <w:rFonts w:ascii="Garamond" w:hAnsi="Garamond"/>
          <w:sz w:val="24"/>
          <w:szCs w:val="24"/>
          <w:lang w:val="en-US"/>
        </w:rPr>
        <w:t>59</w:t>
      </w:r>
      <w:r w:rsidR="00944D40" w:rsidRPr="00D06F2B">
        <w:rPr>
          <w:rFonts w:ascii="Garamond" w:hAnsi="Garamond"/>
          <w:sz w:val="24"/>
          <w:szCs w:val="24"/>
          <w:lang w:val="en-US"/>
        </w:rPr>
        <w:t xml:space="preserve">% and dividend estimates by </w:t>
      </w:r>
      <w:r w:rsidR="001535BE" w:rsidRPr="00D06F2B">
        <w:rPr>
          <w:rFonts w:ascii="Garamond" w:hAnsi="Garamond"/>
          <w:sz w:val="24"/>
          <w:szCs w:val="24"/>
          <w:lang w:val="en-US"/>
        </w:rPr>
        <w:t>11% and</w:t>
      </w:r>
      <w:r w:rsidR="00944D40" w:rsidRPr="00D06F2B">
        <w:rPr>
          <w:rFonts w:ascii="Garamond" w:hAnsi="Garamond"/>
          <w:sz w:val="24"/>
          <w:szCs w:val="24"/>
          <w:lang w:val="en-US"/>
        </w:rPr>
        <w:t xml:space="preserve"> decline</w:t>
      </w:r>
      <w:r w:rsidR="00482BE0" w:rsidRPr="00D06F2B">
        <w:rPr>
          <w:rFonts w:ascii="Garamond" w:hAnsi="Garamond"/>
          <w:sz w:val="24"/>
          <w:szCs w:val="24"/>
          <w:lang w:val="en-US"/>
        </w:rPr>
        <w:t>s</w:t>
      </w:r>
      <w:r w:rsidR="00B47A85" w:rsidRPr="00D06F2B">
        <w:rPr>
          <w:rFonts w:ascii="Garamond" w:hAnsi="Garamond"/>
          <w:sz w:val="24"/>
          <w:szCs w:val="24"/>
          <w:lang w:val="en-US"/>
        </w:rPr>
        <w:t xml:space="preserve"> to pre-pandemic levels</w:t>
      </w:r>
      <w:r w:rsidR="00944D40" w:rsidRPr="00D06F2B">
        <w:rPr>
          <w:rFonts w:ascii="Garamond" w:hAnsi="Garamond"/>
          <w:sz w:val="24"/>
          <w:szCs w:val="24"/>
          <w:lang w:val="en-US"/>
        </w:rPr>
        <w:t xml:space="preserve"> towards the end of </w:t>
      </w:r>
      <w:r w:rsidR="00B47A85" w:rsidRPr="00D06F2B">
        <w:rPr>
          <w:rFonts w:ascii="Garamond" w:hAnsi="Garamond"/>
          <w:sz w:val="24"/>
          <w:szCs w:val="24"/>
          <w:lang w:val="en-US"/>
        </w:rPr>
        <w:t>2020</w:t>
      </w:r>
      <w:r w:rsidR="00944D40" w:rsidRPr="00D06F2B">
        <w:rPr>
          <w:rFonts w:ascii="Garamond" w:hAnsi="Garamond"/>
          <w:sz w:val="24"/>
          <w:szCs w:val="24"/>
          <w:lang w:val="en-US"/>
        </w:rPr>
        <w:t xml:space="preserve">. </w:t>
      </w:r>
      <w:r w:rsidR="00CC6E1F" w:rsidRPr="00D06F2B">
        <w:rPr>
          <w:rFonts w:ascii="Garamond" w:hAnsi="Garamond"/>
          <w:sz w:val="24"/>
          <w:szCs w:val="24"/>
          <w:lang w:val="en-US"/>
        </w:rPr>
        <w:t>The number of target prices is 1</w:t>
      </w:r>
      <w:r w:rsidR="00B47A85" w:rsidRPr="00D06F2B">
        <w:rPr>
          <w:rFonts w:ascii="Garamond" w:hAnsi="Garamond"/>
          <w:sz w:val="24"/>
          <w:szCs w:val="24"/>
          <w:lang w:val="en-US"/>
        </w:rPr>
        <w:t>54</w:t>
      </w:r>
      <w:r w:rsidR="00CC6E1F" w:rsidRPr="00D06F2B">
        <w:rPr>
          <w:rFonts w:ascii="Garamond" w:hAnsi="Garamond"/>
          <w:sz w:val="24"/>
          <w:szCs w:val="24"/>
          <w:lang w:val="en-US"/>
        </w:rPr>
        <w:t xml:space="preserve">% and stock recommendations is </w:t>
      </w:r>
      <w:r w:rsidR="00B47A85" w:rsidRPr="00D06F2B">
        <w:rPr>
          <w:rFonts w:ascii="Garamond" w:hAnsi="Garamond"/>
          <w:sz w:val="24"/>
          <w:szCs w:val="24"/>
          <w:lang w:val="en-US"/>
        </w:rPr>
        <w:t>88</w:t>
      </w:r>
      <w:r w:rsidR="00CC6E1F" w:rsidRPr="00D06F2B">
        <w:rPr>
          <w:rFonts w:ascii="Garamond" w:hAnsi="Garamond"/>
          <w:sz w:val="24"/>
          <w:szCs w:val="24"/>
          <w:lang w:val="en-US"/>
        </w:rPr>
        <w:t>% higher in March 2020 compared to same month before the pandemic. T</w:t>
      </w:r>
      <w:r w:rsidR="00944D40" w:rsidRPr="00D06F2B">
        <w:rPr>
          <w:rFonts w:ascii="Garamond" w:hAnsi="Garamond"/>
          <w:sz w:val="24"/>
          <w:szCs w:val="24"/>
          <w:lang w:val="en-US"/>
        </w:rPr>
        <w:t>hus,</w:t>
      </w:r>
      <w:r w:rsidR="007176B4" w:rsidRPr="00D06F2B">
        <w:rPr>
          <w:rFonts w:ascii="Garamond" w:hAnsi="Garamond"/>
          <w:sz w:val="24"/>
          <w:szCs w:val="24"/>
          <w:lang w:val="en-US"/>
        </w:rPr>
        <w:t xml:space="preserve"> the</w:t>
      </w:r>
      <w:r w:rsidR="00944D40" w:rsidRPr="00D06F2B">
        <w:rPr>
          <w:rFonts w:ascii="Garamond" w:hAnsi="Garamond"/>
          <w:sz w:val="24"/>
          <w:szCs w:val="24"/>
          <w:lang w:val="en-US"/>
        </w:rPr>
        <w:t xml:space="preserve"> analyst</w:t>
      </w:r>
      <w:r w:rsidR="00456C61" w:rsidRPr="00D06F2B">
        <w:rPr>
          <w:rFonts w:ascii="Garamond" w:hAnsi="Garamond"/>
          <w:sz w:val="24"/>
          <w:szCs w:val="24"/>
          <w:lang w:val="en-US"/>
        </w:rPr>
        <w:t>s’</w:t>
      </w:r>
      <w:r w:rsidR="00944D40" w:rsidRPr="00D06F2B">
        <w:rPr>
          <w:rFonts w:ascii="Garamond" w:hAnsi="Garamond"/>
          <w:sz w:val="24"/>
          <w:szCs w:val="24"/>
          <w:lang w:val="en-US"/>
        </w:rPr>
        <w:t xml:space="preserve"> initial response to</w:t>
      </w:r>
      <w:r w:rsidR="00456C61" w:rsidRPr="00D06F2B">
        <w:rPr>
          <w:rFonts w:ascii="Garamond" w:hAnsi="Garamond"/>
          <w:sz w:val="24"/>
          <w:szCs w:val="24"/>
          <w:lang w:val="en-US"/>
        </w:rPr>
        <w:t xml:space="preserve"> the</w:t>
      </w:r>
      <w:r w:rsidR="00482BE0" w:rsidRPr="00D06F2B">
        <w:rPr>
          <w:rFonts w:ascii="Garamond" w:hAnsi="Garamond"/>
          <w:sz w:val="24"/>
          <w:szCs w:val="24"/>
          <w:lang w:val="en-US"/>
        </w:rPr>
        <w:t xml:space="preserve"> pandemic-induced </w:t>
      </w:r>
      <w:r w:rsidR="00944D40" w:rsidRPr="00D06F2B">
        <w:rPr>
          <w:rFonts w:ascii="Garamond" w:hAnsi="Garamond"/>
          <w:sz w:val="24"/>
          <w:szCs w:val="24"/>
          <w:lang w:val="en-US"/>
        </w:rPr>
        <w:t xml:space="preserve">market uncertainty is to increase provision of information. </w:t>
      </w:r>
    </w:p>
    <w:p w14:paraId="5ACCBDC5" w14:textId="04FEC205" w:rsidR="00944D40" w:rsidRPr="00D06F2B" w:rsidRDefault="00944D40" w:rsidP="004C4C30">
      <w:pPr>
        <w:spacing w:after="0" w:line="480" w:lineRule="auto"/>
        <w:rPr>
          <w:rFonts w:ascii="Garamond" w:hAnsi="Garamond"/>
          <w:sz w:val="24"/>
          <w:szCs w:val="24"/>
          <w:lang w:val="en-US"/>
        </w:rPr>
      </w:pPr>
      <w:r w:rsidRPr="00D06F2B">
        <w:rPr>
          <w:rFonts w:ascii="Garamond" w:hAnsi="Garamond"/>
          <w:sz w:val="24"/>
          <w:szCs w:val="24"/>
          <w:lang w:val="en-US"/>
        </w:rPr>
        <w:tab/>
      </w:r>
      <w:r w:rsidR="00D476D2" w:rsidRPr="00D06F2B">
        <w:rPr>
          <w:rFonts w:ascii="Garamond" w:hAnsi="Garamond"/>
          <w:sz w:val="24"/>
          <w:szCs w:val="24"/>
          <w:lang w:val="en-US"/>
        </w:rPr>
        <w:t>Next, we examine the forecas</w:t>
      </w:r>
      <w:r w:rsidR="001535BE">
        <w:rPr>
          <w:rFonts w:ascii="Garamond" w:hAnsi="Garamond"/>
          <w:sz w:val="24"/>
          <w:szCs w:val="24"/>
          <w:lang w:val="en-US"/>
        </w:rPr>
        <w:t>t</w:t>
      </w:r>
      <w:r w:rsidR="00D476D2" w:rsidRPr="00D06F2B">
        <w:rPr>
          <w:rFonts w:ascii="Garamond" w:hAnsi="Garamond"/>
          <w:sz w:val="24"/>
          <w:szCs w:val="24"/>
          <w:lang w:val="en-US"/>
        </w:rPr>
        <w:t xml:space="preserve"> errors. </w:t>
      </w:r>
      <w:r w:rsidRPr="00D06F2B">
        <w:rPr>
          <w:rFonts w:ascii="Garamond" w:hAnsi="Garamond"/>
          <w:sz w:val="24"/>
          <w:szCs w:val="24"/>
          <w:lang w:val="en-US"/>
        </w:rPr>
        <w:t xml:space="preserve">EPS forecast errors increases by </w:t>
      </w:r>
      <w:r w:rsidR="00397EC3" w:rsidRPr="00D06F2B">
        <w:rPr>
          <w:rFonts w:ascii="Garamond" w:hAnsi="Garamond"/>
          <w:sz w:val="24"/>
          <w:szCs w:val="24"/>
          <w:lang w:val="en-US"/>
        </w:rPr>
        <w:t>76.8</w:t>
      </w:r>
      <w:r w:rsidRPr="00D06F2B">
        <w:rPr>
          <w:rFonts w:ascii="Garamond" w:hAnsi="Garamond"/>
          <w:sz w:val="24"/>
          <w:szCs w:val="24"/>
          <w:lang w:val="en-US"/>
        </w:rPr>
        <w:t xml:space="preserve">% for </w:t>
      </w:r>
      <w:r w:rsidR="007176B4" w:rsidRPr="00D06F2B">
        <w:rPr>
          <w:rFonts w:ascii="Garamond" w:hAnsi="Garamond"/>
          <w:sz w:val="24"/>
          <w:szCs w:val="24"/>
          <w:lang w:val="en-US"/>
        </w:rPr>
        <w:t>Q1 2020</w:t>
      </w:r>
      <w:r w:rsidRPr="00D06F2B">
        <w:rPr>
          <w:rFonts w:ascii="Garamond" w:hAnsi="Garamond"/>
          <w:sz w:val="24"/>
          <w:szCs w:val="24"/>
          <w:lang w:val="en-US"/>
        </w:rPr>
        <w:t xml:space="preserve"> results </w:t>
      </w:r>
      <w:r w:rsidR="00397EC3" w:rsidRPr="00D06F2B">
        <w:rPr>
          <w:rFonts w:ascii="Garamond" w:hAnsi="Garamond"/>
          <w:sz w:val="24"/>
          <w:szCs w:val="24"/>
          <w:lang w:val="en-US"/>
        </w:rPr>
        <w:t xml:space="preserve">compared to </w:t>
      </w:r>
      <w:r w:rsidR="007176B4" w:rsidRPr="00D06F2B">
        <w:rPr>
          <w:rFonts w:ascii="Garamond" w:hAnsi="Garamond"/>
          <w:sz w:val="24"/>
          <w:szCs w:val="24"/>
          <w:lang w:val="en-US"/>
        </w:rPr>
        <w:t xml:space="preserve">same quarter before the </w:t>
      </w:r>
      <w:r w:rsidR="00397EC3" w:rsidRPr="00D06F2B">
        <w:rPr>
          <w:rFonts w:ascii="Garamond" w:hAnsi="Garamond"/>
          <w:sz w:val="24"/>
          <w:szCs w:val="24"/>
          <w:lang w:val="en-US"/>
        </w:rPr>
        <w:t xml:space="preserve">pandemic </w:t>
      </w:r>
      <w:r w:rsidR="004C4C30" w:rsidRPr="00D06F2B">
        <w:rPr>
          <w:rFonts w:ascii="Garamond" w:hAnsi="Garamond"/>
          <w:sz w:val="24"/>
          <w:szCs w:val="24"/>
          <w:lang w:val="en-US"/>
        </w:rPr>
        <w:t xml:space="preserve">and reduce gradually to </w:t>
      </w:r>
      <w:r w:rsidR="007176B4" w:rsidRPr="00D06F2B">
        <w:rPr>
          <w:rFonts w:ascii="Garamond" w:hAnsi="Garamond"/>
          <w:sz w:val="24"/>
          <w:szCs w:val="24"/>
          <w:lang w:val="en-US"/>
        </w:rPr>
        <w:t xml:space="preserve">a </w:t>
      </w:r>
      <w:r w:rsidR="00397EC3" w:rsidRPr="00D06F2B">
        <w:rPr>
          <w:rFonts w:ascii="Garamond" w:hAnsi="Garamond"/>
          <w:sz w:val="24"/>
          <w:szCs w:val="24"/>
          <w:lang w:val="en-US"/>
        </w:rPr>
        <w:t>37.5</w:t>
      </w:r>
      <w:r w:rsidR="004C4C30" w:rsidRPr="00D06F2B">
        <w:rPr>
          <w:rFonts w:ascii="Garamond" w:hAnsi="Garamond"/>
          <w:sz w:val="24"/>
          <w:szCs w:val="24"/>
          <w:lang w:val="en-US"/>
        </w:rPr>
        <w:t xml:space="preserve">% higher error in quarter 4. </w:t>
      </w:r>
      <w:r w:rsidR="00877797" w:rsidRPr="00D06F2B">
        <w:rPr>
          <w:rFonts w:ascii="Garamond" w:hAnsi="Garamond"/>
          <w:sz w:val="24"/>
          <w:szCs w:val="24"/>
          <w:lang w:val="en-US"/>
        </w:rPr>
        <w:t xml:space="preserve">Compared to </w:t>
      </w:r>
      <w:r w:rsidR="007176B4" w:rsidRPr="00D06F2B">
        <w:rPr>
          <w:rFonts w:ascii="Garamond" w:hAnsi="Garamond"/>
          <w:sz w:val="24"/>
          <w:szCs w:val="24"/>
          <w:lang w:val="en-US"/>
        </w:rPr>
        <w:t xml:space="preserve">the </w:t>
      </w:r>
      <w:r w:rsidR="00877797" w:rsidRPr="00D06F2B">
        <w:rPr>
          <w:rFonts w:ascii="Garamond" w:hAnsi="Garamond"/>
          <w:sz w:val="24"/>
          <w:szCs w:val="24"/>
          <w:lang w:val="en-US"/>
        </w:rPr>
        <w:t xml:space="preserve">pre-pandemic period, </w:t>
      </w:r>
      <w:r w:rsidR="004C4C30" w:rsidRPr="00D06F2B">
        <w:rPr>
          <w:rFonts w:ascii="Garamond" w:hAnsi="Garamond"/>
          <w:sz w:val="24"/>
          <w:szCs w:val="24"/>
          <w:lang w:val="en-US"/>
        </w:rPr>
        <w:t xml:space="preserve">revenue </w:t>
      </w:r>
      <w:r w:rsidR="00877797" w:rsidRPr="00D06F2B">
        <w:rPr>
          <w:rFonts w:ascii="Garamond" w:hAnsi="Garamond"/>
          <w:sz w:val="24"/>
          <w:szCs w:val="24"/>
          <w:lang w:val="en-US"/>
        </w:rPr>
        <w:t xml:space="preserve">forecast error is on average </w:t>
      </w:r>
      <w:r w:rsidR="00AD5F1D" w:rsidRPr="00D06F2B">
        <w:rPr>
          <w:rFonts w:ascii="Garamond" w:hAnsi="Garamond"/>
          <w:sz w:val="24"/>
          <w:szCs w:val="24"/>
          <w:lang w:val="en-US"/>
        </w:rPr>
        <w:t>62.1</w:t>
      </w:r>
      <w:r w:rsidR="00877797" w:rsidRPr="00D06F2B">
        <w:rPr>
          <w:rFonts w:ascii="Garamond" w:hAnsi="Garamond"/>
          <w:sz w:val="24"/>
          <w:szCs w:val="24"/>
          <w:lang w:val="en-US"/>
        </w:rPr>
        <w:t xml:space="preserve">% higher during </w:t>
      </w:r>
      <w:r w:rsidR="004C4C30" w:rsidRPr="00D06F2B">
        <w:rPr>
          <w:rFonts w:ascii="Garamond" w:hAnsi="Garamond"/>
          <w:sz w:val="24"/>
          <w:szCs w:val="24"/>
          <w:lang w:val="en-US"/>
        </w:rPr>
        <w:t xml:space="preserve">the </w:t>
      </w:r>
      <w:r w:rsidR="00877797" w:rsidRPr="00D06F2B">
        <w:rPr>
          <w:rFonts w:ascii="Garamond" w:hAnsi="Garamond"/>
          <w:sz w:val="24"/>
          <w:szCs w:val="24"/>
          <w:lang w:val="en-US"/>
        </w:rPr>
        <w:t>pandemic</w:t>
      </w:r>
      <w:r w:rsidR="00397EC3" w:rsidRPr="00D06F2B">
        <w:rPr>
          <w:rFonts w:ascii="Garamond" w:hAnsi="Garamond"/>
          <w:sz w:val="24"/>
          <w:szCs w:val="24"/>
          <w:lang w:val="en-US"/>
        </w:rPr>
        <w:t>,</w:t>
      </w:r>
      <w:r w:rsidR="004C4C30" w:rsidRPr="00D06F2B">
        <w:rPr>
          <w:rFonts w:ascii="Garamond" w:hAnsi="Garamond"/>
          <w:sz w:val="24"/>
          <w:szCs w:val="24"/>
          <w:lang w:val="en-US"/>
        </w:rPr>
        <w:t xml:space="preserve"> cash flow forecast</w:t>
      </w:r>
      <w:r w:rsidR="00397EC3" w:rsidRPr="00D06F2B">
        <w:rPr>
          <w:rFonts w:ascii="Garamond" w:hAnsi="Garamond"/>
          <w:sz w:val="24"/>
          <w:szCs w:val="24"/>
          <w:lang w:val="en-US"/>
        </w:rPr>
        <w:t xml:space="preserve"> error is up by</w:t>
      </w:r>
      <w:r w:rsidR="00A159C6" w:rsidRPr="00D06F2B">
        <w:rPr>
          <w:rFonts w:ascii="Garamond" w:hAnsi="Garamond"/>
          <w:sz w:val="24"/>
          <w:szCs w:val="24"/>
          <w:lang w:val="en-US"/>
        </w:rPr>
        <w:t xml:space="preserve"> </w:t>
      </w:r>
      <w:r w:rsidR="00397EC3" w:rsidRPr="00D06F2B">
        <w:rPr>
          <w:rFonts w:ascii="Garamond" w:hAnsi="Garamond"/>
          <w:sz w:val="24"/>
          <w:szCs w:val="24"/>
          <w:lang w:val="en-US"/>
        </w:rPr>
        <w:t>14.</w:t>
      </w:r>
      <w:r w:rsidR="00A159C6" w:rsidRPr="00D06F2B">
        <w:rPr>
          <w:rFonts w:ascii="Garamond" w:hAnsi="Garamond"/>
          <w:sz w:val="24"/>
          <w:szCs w:val="24"/>
          <w:lang w:val="en-US"/>
        </w:rPr>
        <w:t>9</w:t>
      </w:r>
      <w:r w:rsidR="00397EC3" w:rsidRPr="00D06F2B">
        <w:rPr>
          <w:rFonts w:ascii="Garamond" w:hAnsi="Garamond"/>
          <w:sz w:val="24"/>
          <w:szCs w:val="24"/>
          <w:lang w:val="en-US"/>
        </w:rPr>
        <w:t>%,</w:t>
      </w:r>
      <w:r w:rsidR="004C4C30" w:rsidRPr="00D06F2B">
        <w:rPr>
          <w:rFonts w:ascii="Garamond" w:hAnsi="Garamond"/>
          <w:sz w:val="24"/>
          <w:szCs w:val="24"/>
          <w:lang w:val="en-US"/>
        </w:rPr>
        <w:t xml:space="preserve"> and divined forecast errors are on average 1</w:t>
      </w:r>
      <w:r w:rsidR="00A159C6" w:rsidRPr="00D06F2B">
        <w:rPr>
          <w:rFonts w:ascii="Garamond" w:hAnsi="Garamond"/>
          <w:sz w:val="24"/>
          <w:szCs w:val="24"/>
          <w:lang w:val="en-US"/>
        </w:rPr>
        <w:t>7</w:t>
      </w:r>
      <w:r w:rsidR="00397EC3" w:rsidRPr="00D06F2B">
        <w:rPr>
          <w:rFonts w:ascii="Garamond" w:hAnsi="Garamond"/>
          <w:sz w:val="24"/>
          <w:szCs w:val="24"/>
          <w:lang w:val="en-US"/>
        </w:rPr>
        <w:t>.</w:t>
      </w:r>
      <w:r w:rsidR="00A159C6" w:rsidRPr="00D06F2B">
        <w:rPr>
          <w:rFonts w:ascii="Garamond" w:hAnsi="Garamond"/>
          <w:sz w:val="24"/>
          <w:szCs w:val="24"/>
          <w:lang w:val="en-US"/>
        </w:rPr>
        <w:t>9</w:t>
      </w:r>
      <w:r w:rsidR="004C4C30" w:rsidRPr="00D06F2B">
        <w:rPr>
          <w:rFonts w:ascii="Garamond" w:hAnsi="Garamond"/>
          <w:sz w:val="24"/>
          <w:szCs w:val="24"/>
          <w:lang w:val="en-US"/>
        </w:rPr>
        <w:t>% higher. Thus,</w:t>
      </w:r>
      <w:r w:rsidR="001E3286" w:rsidRPr="00D06F2B">
        <w:rPr>
          <w:rFonts w:ascii="Garamond" w:hAnsi="Garamond"/>
          <w:sz w:val="24"/>
          <w:szCs w:val="24"/>
          <w:lang w:val="en-US"/>
        </w:rPr>
        <w:t xml:space="preserve"> research production during the pandemic </w:t>
      </w:r>
      <w:r w:rsidR="007176B4" w:rsidRPr="00D06F2B">
        <w:rPr>
          <w:rFonts w:ascii="Garamond" w:hAnsi="Garamond"/>
          <w:sz w:val="24"/>
          <w:szCs w:val="24"/>
          <w:lang w:val="en-US"/>
        </w:rPr>
        <w:t>associates with</w:t>
      </w:r>
      <w:r w:rsidR="001E3286" w:rsidRPr="00D06F2B">
        <w:rPr>
          <w:rFonts w:ascii="Garamond" w:hAnsi="Garamond"/>
          <w:sz w:val="24"/>
          <w:szCs w:val="24"/>
          <w:lang w:val="en-US"/>
        </w:rPr>
        <w:t xml:space="preserve"> lower</w:t>
      </w:r>
      <w:r w:rsidR="004C4C30" w:rsidRPr="00D06F2B">
        <w:rPr>
          <w:rFonts w:ascii="Garamond" w:hAnsi="Garamond"/>
          <w:sz w:val="24"/>
          <w:szCs w:val="24"/>
          <w:lang w:val="en-US"/>
        </w:rPr>
        <w:t xml:space="preserve"> average precision of estimates</w:t>
      </w:r>
      <w:r w:rsidR="001535BE">
        <w:rPr>
          <w:rFonts w:ascii="Garamond" w:hAnsi="Garamond"/>
          <w:sz w:val="24"/>
          <w:szCs w:val="24"/>
          <w:lang w:val="en-US"/>
        </w:rPr>
        <w:t xml:space="preserve"> measured in standard ways</w:t>
      </w:r>
      <w:r w:rsidR="004C4C30" w:rsidRPr="00D06F2B">
        <w:rPr>
          <w:rFonts w:ascii="Garamond" w:hAnsi="Garamond"/>
          <w:sz w:val="24"/>
          <w:szCs w:val="24"/>
          <w:lang w:val="en-US"/>
        </w:rPr>
        <w:t xml:space="preserve">. </w:t>
      </w:r>
      <w:r w:rsidR="00995E53" w:rsidRPr="00D06F2B">
        <w:rPr>
          <w:rFonts w:ascii="Garamond" w:hAnsi="Garamond"/>
          <w:sz w:val="24"/>
          <w:szCs w:val="24"/>
          <w:lang w:val="en-US"/>
        </w:rPr>
        <w:t xml:space="preserve">However, </w:t>
      </w:r>
      <w:proofErr w:type="spellStart"/>
      <w:r w:rsidR="00995E53" w:rsidRPr="00D06F2B">
        <w:rPr>
          <w:rFonts w:ascii="Garamond" w:hAnsi="Garamond"/>
          <w:sz w:val="24"/>
          <w:szCs w:val="24"/>
        </w:rPr>
        <w:t>Loh</w:t>
      </w:r>
      <w:proofErr w:type="spellEnd"/>
      <w:r w:rsidR="00995E53" w:rsidRPr="00D06F2B">
        <w:rPr>
          <w:rFonts w:ascii="Garamond" w:hAnsi="Garamond"/>
          <w:sz w:val="24"/>
          <w:szCs w:val="24"/>
        </w:rPr>
        <w:t xml:space="preserve"> and </w:t>
      </w:r>
      <w:proofErr w:type="spellStart"/>
      <w:r w:rsidR="00995E53" w:rsidRPr="00D06F2B">
        <w:rPr>
          <w:rFonts w:ascii="Garamond" w:hAnsi="Garamond"/>
          <w:sz w:val="24"/>
          <w:szCs w:val="24"/>
        </w:rPr>
        <w:t>Stulz</w:t>
      </w:r>
      <w:proofErr w:type="spellEnd"/>
      <w:r w:rsidR="00995E53" w:rsidRPr="00D06F2B">
        <w:rPr>
          <w:rFonts w:ascii="Garamond" w:hAnsi="Garamond"/>
          <w:sz w:val="24"/>
          <w:szCs w:val="24"/>
        </w:rPr>
        <w:t xml:space="preserve"> (2018, p. 961) </w:t>
      </w:r>
      <w:r w:rsidR="001535BE">
        <w:rPr>
          <w:rFonts w:ascii="Garamond" w:hAnsi="Garamond"/>
          <w:sz w:val="24"/>
          <w:szCs w:val="24"/>
        </w:rPr>
        <w:t xml:space="preserve">argue </w:t>
      </w:r>
      <w:r w:rsidR="00995E53" w:rsidRPr="00D06F2B">
        <w:rPr>
          <w:rFonts w:ascii="Garamond" w:hAnsi="Garamond"/>
          <w:sz w:val="24"/>
          <w:szCs w:val="24"/>
        </w:rPr>
        <w:t xml:space="preserve">that ‘traditional measures of analyst precision are not appropriate for comparing precision across good and bad times. Rather, a relevant measure of precision is one that </w:t>
      </w:r>
      <w:proofErr w:type="gramStart"/>
      <w:r w:rsidR="00995E53" w:rsidRPr="00D06F2B">
        <w:rPr>
          <w:rFonts w:ascii="Garamond" w:hAnsi="Garamond"/>
          <w:sz w:val="24"/>
          <w:szCs w:val="24"/>
        </w:rPr>
        <w:t>takes into account</w:t>
      </w:r>
      <w:proofErr w:type="gramEnd"/>
      <w:r w:rsidR="00995E53" w:rsidRPr="00D06F2B">
        <w:rPr>
          <w:rFonts w:ascii="Garamond" w:hAnsi="Garamond"/>
          <w:sz w:val="24"/>
          <w:szCs w:val="24"/>
        </w:rPr>
        <w:t xml:space="preserve"> the underlying uncertainty’. When we </w:t>
      </w:r>
      <w:r w:rsidR="00995E53" w:rsidRPr="00D06F2B">
        <w:rPr>
          <w:rFonts w:ascii="Garamond" w:hAnsi="Garamond"/>
          <w:sz w:val="24"/>
          <w:szCs w:val="24"/>
          <w:lang w:val="en-US"/>
        </w:rPr>
        <w:t xml:space="preserve">calculate uncertainty-adjusted forecast error following </w:t>
      </w:r>
      <w:proofErr w:type="spellStart"/>
      <w:r w:rsidR="00995E53" w:rsidRPr="00D06F2B">
        <w:rPr>
          <w:rFonts w:ascii="Garamond" w:hAnsi="Garamond"/>
          <w:sz w:val="24"/>
          <w:szCs w:val="24"/>
          <w:lang w:val="en-US"/>
        </w:rPr>
        <w:t>Loh</w:t>
      </w:r>
      <w:proofErr w:type="spellEnd"/>
      <w:r w:rsidR="00995E53" w:rsidRPr="00D06F2B">
        <w:rPr>
          <w:rFonts w:ascii="Garamond" w:hAnsi="Garamond"/>
          <w:sz w:val="24"/>
          <w:szCs w:val="24"/>
          <w:lang w:val="en-US"/>
        </w:rPr>
        <w:t xml:space="preserve"> and </w:t>
      </w:r>
      <w:proofErr w:type="spellStart"/>
      <w:r w:rsidR="00995E53" w:rsidRPr="00D06F2B">
        <w:rPr>
          <w:rFonts w:ascii="Garamond" w:hAnsi="Garamond"/>
          <w:sz w:val="24"/>
          <w:szCs w:val="24"/>
          <w:lang w:val="en-US"/>
        </w:rPr>
        <w:t>Stulz</w:t>
      </w:r>
      <w:proofErr w:type="spellEnd"/>
      <w:r w:rsidR="00995E53" w:rsidRPr="00D06F2B">
        <w:rPr>
          <w:rFonts w:ascii="Garamond" w:hAnsi="Garamond"/>
          <w:sz w:val="24"/>
          <w:szCs w:val="24"/>
          <w:lang w:val="en-US"/>
        </w:rPr>
        <w:t xml:space="preserve"> (2018), we find that forecast errors per unit of uncertainty are either comparable or smaller during the pandemic compared to the pre-pandemic levels, but for Q1 of 2020. </w:t>
      </w:r>
    </w:p>
    <w:p w14:paraId="051F04C0" w14:textId="46487842" w:rsidR="007772E2" w:rsidRPr="00D06F2B" w:rsidRDefault="001E3286" w:rsidP="004C4C30">
      <w:pPr>
        <w:spacing w:after="0" w:line="480" w:lineRule="auto"/>
        <w:rPr>
          <w:rFonts w:ascii="Garamond" w:hAnsi="Garamond"/>
          <w:sz w:val="24"/>
          <w:szCs w:val="24"/>
          <w:lang w:val="en-US"/>
        </w:rPr>
      </w:pPr>
      <w:r w:rsidRPr="00D06F2B">
        <w:rPr>
          <w:rFonts w:ascii="Garamond" w:hAnsi="Garamond"/>
          <w:sz w:val="24"/>
          <w:szCs w:val="24"/>
          <w:lang w:val="en-US"/>
        </w:rPr>
        <w:tab/>
      </w:r>
      <w:r w:rsidR="006C32D5" w:rsidRPr="00D06F2B">
        <w:rPr>
          <w:rFonts w:ascii="Garamond" w:hAnsi="Garamond"/>
          <w:sz w:val="24"/>
          <w:szCs w:val="24"/>
          <w:lang w:val="en-US"/>
        </w:rPr>
        <w:t>Next,</w:t>
      </w:r>
      <w:r w:rsidRPr="00D06F2B">
        <w:rPr>
          <w:rFonts w:ascii="Garamond" w:hAnsi="Garamond"/>
          <w:sz w:val="24"/>
          <w:szCs w:val="24"/>
          <w:lang w:val="en-US"/>
        </w:rPr>
        <w:t xml:space="preserve"> we turn</w:t>
      </w:r>
      <w:r w:rsidR="00482BE0" w:rsidRPr="00D06F2B">
        <w:rPr>
          <w:rFonts w:ascii="Garamond" w:hAnsi="Garamond"/>
          <w:sz w:val="24"/>
          <w:szCs w:val="24"/>
          <w:lang w:val="en-US"/>
        </w:rPr>
        <w:t xml:space="preserve"> to</w:t>
      </w:r>
      <w:r w:rsidRPr="00D06F2B">
        <w:rPr>
          <w:rFonts w:ascii="Garamond" w:hAnsi="Garamond"/>
          <w:sz w:val="24"/>
          <w:szCs w:val="24"/>
          <w:lang w:val="en-US"/>
        </w:rPr>
        <w:t xml:space="preserve"> investor assessment of the informativeness of analyst research as measured by </w:t>
      </w:r>
      <w:r w:rsidR="00456C61" w:rsidRPr="00D06F2B">
        <w:rPr>
          <w:rFonts w:ascii="Garamond" w:hAnsi="Garamond"/>
          <w:sz w:val="24"/>
          <w:szCs w:val="24"/>
          <w:lang w:val="en-US"/>
        </w:rPr>
        <w:t>(1) Bloomberg’s News Heat Average Readership Score</w:t>
      </w:r>
      <w:r w:rsidR="00184A7C" w:rsidRPr="00D06F2B">
        <w:rPr>
          <w:rFonts w:ascii="Garamond" w:hAnsi="Garamond"/>
          <w:sz w:val="24"/>
          <w:szCs w:val="24"/>
          <w:lang w:val="en-US"/>
        </w:rPr>
        <w:t xml:space="preserve"> to capture institutional attention (</w:t>
      </w:r>
      <w:proofErr w:type="spellStart"/>
      <w:r w:rsidR="00184A7C" w:rsidRPr="00D06F2B">
        <w:rPr>
          <w:rFonts w:ascii="Garamond" w:hAnsi="Garamond"/>
          <w:sz w:val="24"/>
          <w:szCs w:val="24"/>
        </w:rPr>
        <w:t>BenRephael</w:t>
      </w:r>
      <w:proofErr w:type="spellEnd"/>
      <w:r w:rsidR="00184A7C" w:rsidRPr="00D06F2B">
        <w:rPr>
          <w:rFonts w:ascii="Garamond" w:hAnsi="Garamond"/>
          <w:sz w:val="24"/>
          <w:szCs w:val="24"/>
        </w:rPr>
        <w:t xml:space="preserve">, Dan and </w:t>
      </w:r>
      <w:proofErr w:type="spellStart"/>
      <w:r w:rsidR="00184A7C" w:rsidRPr="00D06F2B">
        <w:rPr>
          <w:rFonts w:ascii="Garamond" w:hAnsi="Garamond"/>
          <w:sz w:val="24"/>
          <w:szCs w:val="24"/>
        </w:rPr>
        <w:t>Israelsen</w:t>
      </w:r>
      <w:proofErr w:type="spellEnd"/>
      <w:r w:rsidR="00184A7C" w:rsidRPr="00D06F2B">
        <w:rPr>
          <w:rFonts w:ascii="Garamond" w:hAnsi="Garamond"/>
          <w:sz w:val="24"/>
          <w:szCs w:val="24"/>
        </w:rPr>
        <w:t xml:space="preserve"> 2017) and (2)</w:t>
      </w:r>
      <w:r w:rsidR="00184A7C" w:rsidRPr="00D06F2B">
        <w:rPr>
          <w:rFonts w:ascii="Garamond" w:hAnsi="Garamond"/>
        </w:rPr>
        <w:t xml:space="preserve"> </w:t>
      </w:r>
      <w:r w:rsidRPr="00D06F2B">
        <w:rPr>
          <w:rFonts w:ascii="Garamond" w:hAnsi="Garamond"/>
          <w:sz w:val="24"/>
          <w:szCs w:val="24"/>
          <w:lang w:val="en-US"/>
        </w:rPr>
        <w:t xml:space="preserve">price reaction regressions. </w:t>
      </w:r>
      <w:r w:rsidR="007772E2" w:rsidRPr="00D06F2B">
        <w:rPr>
          <w:rFonts w:ascii="Garamond" w:hAnsi="Garamond"/>
          <w:sz w:val="24"/>
          <w:szCs w:val="24"/>
          <w:lang w:val="en-US"/>
        </w:rPr>
        <w:t xml:space="preserve">We focus on institutional attention because </w:t>
      </w:r>
      <w:proofErr w:type="spellStart"/>
      <w:r w:rsidR="007772E2" w:rsidRPr="00D06F2B">
        <w:rPr>
          <w:rFonts w:ascii="Garamond" w:hAnsi="Garamond"/>
          <w:sz w:val="24"/>
          <w:szCs w:val="24"/>
        </w:rPr>
        <w:t>BenRephael</w:t>
      </w:r>
      <w:proofErr w:type="spellEnd"/>
      <w:r w:rsidR="007772E2" w:rsidRPr="00D06F2B">
        <w:rPr>
          <w:rFonts w:ascii="Garamond" w:hAnsi="Garamond"/>
          <w:sz w:val="24"/>
          <w:szCs w:val="24"/>
        </w:rPr>
        <w:t xml:space="preserve"> et al. (2017, p. 3009) highlight that</w:t>
      </w:r>
      <w:r w:rsidR="007772E2" w:rsidRPr="00D06F2B">
        <w:rPr>
          <w:rFonts w:ascii="Garamond" w:hAnsi="Garamond"/>
          <w:sz w:val="24"/>
          <w:szCs w:val="24"/>
          <w:lang w:val="en-US"/>
        </w:rPr>
        <w:t xml:space="preserve"> ‘</w:t>
      </w:r>
      <w:r w:rsidR="00E1640E">
        <w:rPr>
          <w:rFonts w:ascii="Garamond" w:hAnsi="Garamond"/>
          <w:sz w:val="24"/>
          <w:szCs w:val="24"/>
          <w:lang w:val="en-US"/>
        </w:rPr>
        <w:t>[</w:t>
      </w:r>
      <w:r w:rsidR="007772E2" w:rsidRPr="00D06F2B">
        <w:rPr>
          <w:rFonts w:ascii="Garamond" w:hAnsi="Garamond"/>
          <w:sz w:val="24"/>
          <w:szCs w:val="24"/>
          <w:lang w:val="en-US"/>
        </w:rPr>
        <w:t>I</w:t>
      </w:r>
      <w:r w:rsidR="00E1640E">
        <w:rPr>
          <w:rFonts w:ascii="Garamond" w:hAnsi="Garamond"/>
          <w:sz w:val="24"/>
          <w:szCs w:val="24"/>
          <w:lang w:val="en-US"/>
        </w:rPr>
        <w:t>]</w:t>
      </w:r>
      <w:proofErr w:type="spellStart"/>
      <w:r w:rsidR="007772E2" w:rsidRPr="00D06F2B">
        <w:rPr>
          <w:rFonts w:ascii="Garamond" w:hAnsi="Garamond"/>
          <w:sz w:val="24"/>
          <w:szCs w:val="24"/>
          <w:lang w:val="en-US"/>
        </w:rPr>
        <w:t>nformation</w:t>
      </w:r>
      <w:proofErr w:type="spellEnd"/>
      <w:r w:rsidR="007772E2" w:rsidRPr="00D06F2B">
        <w:rPr>
          <w:rFonts w:ascii="Garamond" w:hAnsi="Garamond"/>
          <w:sz w:val="24"/>
          <w:szCs w:val="24"/>
          <w:lang w:val="en-US"/>
        </w:rPr>
        <w:t xml:space="preserve"> needs to attract investor attention before it can be processed and incorporated into asset prices via trading’, thus documenting that analyst forecasts direct investors’ attention to the firm helps us understand why </w:t>
      </w:r>
      <w:r w:rsidR="007772E2" w:rsidRPr="00D06F2B">
        <w:rPr>
          <w:rFonts w:ascii="Garamond" w:hAnsi="Garamond"/>
          <w:sz w:val="24"/>
          <w:szCs w:val="24"/>
          <w:lang w:val="en-US"/>
        </w:rPr>
        <w:lastRenderedPageBreak/>
        <w:t xml:space="preserve">investors trade on </w:t>
      </w:r>
      <w:r w:rsidR="00E1640E">
        <w:rPr>
          <w:rFonts w:ascii="Garamond" w:hAnsi="Garamond"/>
          <w:sz w:val="24"/>
          <w:szCs w:val="24"/>
          <w:lang w:val="en-US"/>
        </w:rPr>
        <w:t>analyst forecasts</w:t>
      </w:r>
      <w:r w:rsidR="007772E2" w:rsidRPr="00D06F2B">
        <w:rPr>
          <w:rFonts w:ascii="Garamond" w:hAnsi="Garamond"/>
          <w:sz w:val="24"/>
          <w:szCs w:val="24"/>
          <w:lang w:val="en-US"/>
        </w:rPr>
        <w:t>. We examine institutional attention rather than retail attentio</w:t>
      </w:r>
      <w:r w:rsidR="00E1640E">
        <w:rPr>
          <w:rFonts w:ascii="Garamond" w:hAnsi="Garamond"/>
          <w:sz w:val="24"/>
          <w:szCs w:val="24"/>
          <w:lang w:val="en-US"/>
        </w:rPr>
        <w:t>n</w:t>
      </w:r>
      <w:r w:rsidR="007772E2" w:rsidRPr="00D06F2B">
        <w:rPr>
          <w:rFonts w:ascii="Garamond" w:hAnsi="Garamond"/>
          <w:sz w:val="24"/>
          <w:szCs w:val="24"/>
          <w:lang w:val="en-US"/>
        </w:rPr>
        <w:t xml:space="preserve"> more commonly captured by google searches because institutional ownership account for more than 80% of common equity ownership in the US since (Stambaugh, 2014).</w:t>
      </w:r>
      <w:r w:rsidR="007772E2" w:rsidRPr="00D06F2B">
        <w:rPr>
          <w:rStyle w:val="FootnoteReference"/>
          <w:rFonts w:ascii="Garamond" w:hAnsi="Garamond"/>
          <w:sz w:val="24"/>
          <w:szCs w:val="24"/>
          <w:lang w:val="en-US"/>
        </w:rPr>
        <w:footnoteReference w:id="5"/>
      </w:r>
      <w:r w:rsidR="007772E2" w:rsidRPr="00D06F2B">
        <w:rPr>
          <w:rFonts w:ascii="Garamond" w:hAnsi="Garamond"/>
          <w:sz w:val="24"/>
          <w:szCs w:val="24"/>
          <w:lang w:val="en-US"/>
        </w:rPr>
        <w:t xml:space="preserve"> We then focus on price reactions to examine if analyst revisions reveal valuable information that investors use to guide their investment decisions (</w:t>
      </w:r>
      <w:proofErr w:type="spellStart"/>
      <w:r w:rsidR="007772E2" w:rsidRPr="00D06F2B">
        <w:rPr>
          <w:rFonts w:ascii="Garamond" w:hAnsi="Garamond"/>
          <w:sz w:val="24"/>
          <w:szCs w:val="24"/>
          <w:lang w:val="en-US"/>
        </w:rPr>
        <w:t>Stickel</w:t>
      </w:r>
      <w:proofErr w:type="spellEnd"/>
      <w:r w:rsidR="007772E2" w:rsidRPr="00D06F2B">
        <w:rPr>
          <w:rFonts w:ascii="Garamond" w:hAnsi="Garamond"/>
          <w:sz w:val="24"/>
          <w:szCs w:val="24"/>
          <w:lang w:val="en-US"/>
        </w:rPr>
        <w:t xml:space="preserve"> 1995</w:t>
      </w:r>
      <w:r w:rsidR="00E1640E">
        <w:rPr>
          <w:rFonts w:ascii="Garamond" w:hAnsi="Garamond"/>
          <w:sz w:val="24"/>
          <w:szCs w:val="24"/>
          <w:lang w:val="en-US"/>
        </w:rPr>
        <w:t>,</w:t>
      </w:r>
      <w:r w:rsidR="007772E2" w:rsidRPr="00D06F2B">
        <w:rPr>
          <w:rFonts w:ascii="Garamond" w:hAnsi="Garamond"/>
          <w:sz w:val="24"/>
          <w:szCs w:val="24"/>
          <w:lang w:val="en-US"/>
        </w:rPr>
        <w:t xml:space="preserve"> Womack 1996). </w:t>
      </w:r>
    </w:p>
    <w:p w14:paraId="32A3D862" w14:textId="1EBAD51E" w:rsidR="001E3286" w:rsidRPr="00D06F2B" w:rsidRDefault="007772E2" w:rsidP="003F717C">
      <w:pPr>
        <w:spacing w:after="0" w:line="480" w:lineRule="auto"/>
        <w:ind w:firstLine="720"/>
        <w:rPr>
          <w:rFonts w:ascii="Garamond" w:hAnsi="Garamond"/>
          <w:sz w:val="24"/>
          <w:szCs w:val="24"/>
          <w:lang w:val="en-US"/>
        </w:rPr>
      </w:pPr>
      <w:r w:rsidRPr="00D06F2B">
        <w:rPr>
          <w:rFonts w:ascii="Garamond" w:hAnsi="Garamond"/>
          <w:sz w:val="24"/>
          <w:szCs w:val="24"/>
          <w:lang w:val="en-US"/>
        </w:rPr>
        <w:t>We document two results. First, c</w:t>
      </w:r>
      <w:r w:rsidR="001E3286" w:rsidRPr="00D06F2B">
        <w:rPr>
          <w:rFonts w:ascii="Garamond" w:hAnsi="Garamond"/>
          <w:sz w:val="24"/>
          <w:szCs w:val="24"/>
          <w:lang w:val="en-US"/>
        </w:rPr>
        <w:t>ompared to</w:t>
      </w:r>
      <w:r w:rsidR="007176B4" w:rsidRPr="00D06F2B">
        <w:rPr>
          <w:rFonts w:ascii="Garamond" w:hAnsi="Garamond"/>
          <w:sz w:val="24"/>
          <w:szCs w:val="24"/>
          <w:lang w:val="en-US"/>
        </w:rPr>
        <w:t xml:space="preserve"> the</w:t>
      </w:r>
      <w:r w:rsidR="001E3286" w:rsidRPr="00D06F2B">
        <w:rPr>
          <w:rFonts w:ascii="Garamond" w:hAnsi="Garamond"/>
          <w:sz w:val="24"/>
          <w:szCs w:val="24"/>
          <w:lang w:val="en-US"/>
        </w:rPr>
        <w:t xml:space="preserve"> pre-pandemic</w:t>
      </w:r>
      <w:r w:rsidR="00482BE0" w:rsidRPr="00D06F2B">
        <w:rPr>
          <w:rFonts w:ascii="Garamond" w:hAnsi="Garamond"/>
          <w:sz w:val="24"/>
          <w:szCs w:val="24"/>
          <w:lang w:val="en-US"/>
        </w:rPr>
        <w:t xml:space="preserve"> period</w:t>
      </w:r>
      <w:r w:rsidR="001E3286" w:rsidRPr="00D06F2B">
        <w:rPr>
          <w:rFonts w:ascii="Garamond" w:hAnsi="Garamond"/>
          <w:sz w:val="24"/>
          <w:szCs w:val="24"/>
          <w:lang w:val="en-US"/>
        </w:rPr>
        <w:t>, we observe significant revisions in all analyst forecasts during the pandemic</w:t>
      </w:r>
      <w:r w:rsidR="00EE24C3" w:rsidRPr="00D06F2B">
        <w:rPr>
          <w:rFonts w:ascii="Garamond" w:hAnsi="Garamond"/>
          <w:sz w:val="24"/>
          <w:szCs w:val="24"/>
          <w:lang w:val="en-US"/>
        </w:rPr>
        <w:t>:</w:t>
      </w:r>
      <w:r w:rsidR="001E3286" w:rsidRPr="00D06F2B">
        <w:rPr>
          <w:rFonts w:ascii="Garamond" w:hAnsi="Garamond"/>
          <w:sz w:val="24"/>
          <w:szCs w:val="24"/>
          <w:lang w:val="en-US"/>
        </w:rPr>
        <w:t xml:space="preserve"> </w:t>
      </w:r>
      <w:r w:rsidR="00EE24C3" w:rsidRPr="00D06F2B">
        <w:rPr>
          <w:rFonts w:ascii="Garamond" w:hAnsi="Garamond"/>
          <w:sz w:val="24"/>
          <w:szCs w:val="24"/>
          <w:lang w:val="en-US"/>
        </w:rPr>
        <w:t>the absolute magnitude of a</w:t>
      </w:r>
      <w:r w:rsidR="001E3286" w:rsidRPr="00D06F2B">
        <w:rPr>
          <w:rFonts w:ascii="Garamond" w:hAnsi="Garamond"/>
          <w:sz w:val="24"/>
          <w:szCs w:val="24"/>
          <w:lang w:val="en-US"/>
        </w:rPr>
        <w:t xml:space="preserve">nalyst </w:t>
      </w:r>
      <w:r w:rsidR="00EE24C3" w:rsidRPr="00D06F2B">
        <w:rPr>
          <w:rFonts w:ascii="Garamond" w:hAnsi="Garamond"/>
          <w:sz w:val="24"/>
          <w:szCs w:val="24"/>
          <w:lang w:val="en-US"/>
        </w:rPr>
        <w:t>revisions are 11</w:t>
      </w:r>
      <w:r w:rsidR="00C91137" w:rsidRPr="00D06F2B">
        <w:rPr>
          <w:rFonts w:ascii="Garamond" w:hAnsi="Garamond"/>
          <w:sz w:val="24"/>
          <w:szCs w:val="24"/>
          <w:lang w:val="en-US"/>
        </w:rPr>
        <w:t>2</w:t>
      </w:r>
      <w:r w:rsidR="00EE24C3" w:rsidRPr="00D06F2B">
        <w:rPr>
          <w:rFonts w:ascii="Garamond" w:hAnsi="Garamond"/>
          <w:sz w:val="24"/>
          <w:szCs w:val="24"/>
          <w:lang w:val="en-US"/>
        </w:rPr>
        <w:t>% higher for EPS forecasts, 1</w:t>
      </w:r>
      <w:r w:rsidR="00C91137" w:rsidRPr="00D06F2B">
        <w:rPr>
          <w:rFonts w:ascii="Garamond" w:hAnsi="Garamond"/>
          <w:sz w:val="24"/>
          <w:szCs w:val="24"/>
          <w:lang w:val="en-US"/>
        </w:rPr>
        <w:t>42</w:t>
      </w:r>
      <w:r w:rsidR="00EE24C3" w:rsidRPr="00D06F2B">
        <w:rPr>
          <w:rFonts w:ascii="Garamond" w:hAnsi="Garamond"/>
          <w:sz w:val="24"/>
          <w:szCs w:val="24"/>
          <w:lang w:val="en-US"/>
        </w:rPr>
        <w:t>% for revenue estimates, 6</w:t>
      </w:r>
      <w:r w:rsidR="00C91137" w:rsidRPr="00D06F2B">
        <w:rPr>
          <w:rFonts w:ascii="Garamond" w:hAnsi="Garamond"/>
          <w:sz w:val="24"/>
          <w:szCs w:val="24"/>
          <w:lang w:val="en-US"/>
        </w:rPr>
        <w:t>4</w:t>
      </w:r>
      <w:r w:rsidR="00EE24C3" w:rsidRPr="00D06F2B">
        <w:rPr>
          <w:rFonts w:ascii="Garamond" w:hAnsi="Garamond"/>
          <w:sz w:val="24"/>
          <w:szCs w:val="24"/>
          <w:lang w:val="en-US"/>
        </w:rPr>
        <w:t xml:space="preserve">% for cash flow forecasts and </w:t>
      </w:r>
      <w:r w:rsidR="00C91137" w:rsidRPr="00D06F2B">
        <w:rPr>
          <w:rFonts w:ascii="Garamond" w:hAnsi="Garamond"/>
          <w:sz w:val="24"/>
          <w:szCs w:val="24"/>
          <w:lang w:val="en-US"/>
        </w:rPr>
        <w:t>106</w:t>
      </w:r>
      <w:r w:rsidR="00EE24C3" w:rsidRPr="00D06F2B">
        <w:rPr>
          <w:rFonts w:ascii="Garamond" w:hAnsi="Garamond"/>
          <w:sz w:val="24"/>
          <w:szCs w:val="24"/>
          <w:lang w:val="en-US"/>
        </w:rPr>
        <w:t xml:space="preserve">% for dividend estimates. </w:t>
      </w:r>
      <w:r w:rsidR="001E3286" w:rsidRPr="00D06F2B">
        <w:rPr>
          <w:rFonts w:ascii="Garamond" w:hAnsi="Garamond"/>
          <w:sz w:val="24"/>
          <w:szCs w:val="24"/>
          <w:lang w:val="en-US"/>
        </w:rPr>
        <w:t xml:space="preserve">We </w:t>
      </w:r>
      <w:r w:rsidR="00EE24C3" w:rsidRPr="00D06F2B">
        <w:rPr>
          <w:rFonts w:ascii="Garamond" w:hAnsi="Garamond"/>
          <w:sz w:val="24"/>
          <w:szCs w:val="24"/>
          <w:lang w:val="en-US"/>
        </w:rPr>
        <w:t>also observe</w:t>
      </w:r>
      <w:r w:rsidR="001E3286" w:rsidRPr="00D06F2B">
        <w:rPr>
          <w:rFonts w:ascii="Garamond" w:hAnsi="Garamond"/>
          <w:sz w:val="24"/>
          <w:szCs w:val="24"/>
          <w:lang w:val="en-US"/>
        </w:rPr>
        <w:t xml:space="preserve"> </w:t>
      </w:r>
      <w:r w:rsidR="00EE24C3" w:rsidRPr="00D06F2B">
        <w:rPr>
          <w:rFonts w:ascii="Garamond" w:hAnsi="Garamond"/>
          <w:sz w:val="24"/>
          <w:szCs w:val="24"/>
          <w:lang w:val="en-US"/>
        </w:rPr>
        <w:t>9</w:t>
      </w:r>
      <w:r w:rsidR="001E3286" w:rsidRPr="00D06F2B">
        <w:rPr>
          <w:rFonts w:ascii="Garamond" w:hAnsi="Garamond"/>
          <w:sz w:val="24"/>
          <w:szCs w:val="24"/>
          <w:lang w:val="en-US"/>
        </w:rPr>
        <w:t xml:space="preserve">% </w:t>
      </w:r>
      <w:r w:rsidR="00E1640E">
        <w:rPr>
          <w:rFonts w:ascii="Garamond" w:hAnsi="Garamond"/>
          <w:sz w:val="24"/>
          <w:szCs w:val="24"/>
          <w:lang w:val="en-US"/>
        </w:rPr>
        <w:t>stronger</w:t>
      </w:r>
      <w:r w:rsidR="001E3286" w:rsidRPr="00D06F2B">
        <w:rPr>
          <w:rFonts w:ascii="Garamond" w:hAnsi="Garamond"/>
          <w:sz w:val="24"/>
          <w:szCs w:val="24"/>
          <w:lang w:val="en-US"/>
        </w:rPr>
        <w:t xml:space="preserve"> </w:t>
      </w:r>
      <w:r w:rsidR="00EE24C3" w:rsidRPr="00D06F2B">
        <w:rPr>
          <w:rFonts w:ascii="Garamond" w:hAnsi="Garamond"/>
          <w:sz w:val="24"/>
          <w:szCs w:val="24"/>
          <w:lang w:val="en-US"/>
        </w:rPr>
        <w:t>recommendation revisions</w:t>
      </w:r>
      <w:r w:rsidR="001E3286" w:rsidRPr="00D06F2B">
        <w:rPr>
          <w:rFonts w:ascii="Garamond" w:hAnsi="Garamond"/>
          <w:sz w:val="24"/>
          <w:szCs w:val="24"/>
          <w:lang w:val="en-US"/>
        </w:rPr>
        <w:t xml:space="preserve"> and </w:t>
      </w:r>
      <w:r w:rsidR="00EE24C3" w:rsidRPr="00D06F2B">
        <w:rPr>
          <w:rFonts w:ascii="Garamond" w:hAnsi="Garamond"/>
          <w:sz w:val="24"/>
          <w:szCs w:val="24"/>
          <w:lang w:val="en-US"/>
        </w:rPr>
        <w:t>5</w:t>
      </w:r>
      <w:r w:rsidR="001E3286" w:rsidRPr="00D06F2B">
        <w:rPr>
          <w:rFonts w:ascii="Garamond" w:hAnsi="Garamond"/>
          <w:sz w:val="24"/>
          <w:szCs w:val="24"/>
          <w:lang w:val="en-US"/>
        </w:rPr>
        <w:t>7%</w:t>
      </w:r>
      <w:r w:rsidR="00E1640E">
        <w:rPr>
          <w:rFonts w:ascii="Garamond" w:hAnsi="Garamond"/>
          <w:sz w:val="24"/>
          <w:szCs w:val="24"/>
          <w:lang w:val="en-US"/>
        </w:rPr>
        <w:t xml:space="preserve"> higher absolute</w:t>
      </w:r>
      <w:r w:rsidR="001E3286" w:rsidRPr="00D06F2B">
        <w:rPr>
          <w:rFonts w:ascii="Garamond" w:hAnsi="Garamond"/>
          <w:sz w:val="24"/>
          <w:szCs w:val="24"/>
          <w:lang w:val="en-US"/>
        </w:rPr>
        <w:t xml:space="preserve"> price target revision</w:t>
      </w:r>
      <w:r w:rsidR="00EE24C3" w:rsidRPr="00D06F2B">
        <w:rPr>
          <w:rFonts w:ascii="Garamond" w:hAnsi="Garamond"/>
          <w:sz w:val="24"/>
          <w:szCs w:val="24"/>
          <w:lang w:val="en-US"/>
        </w:rPr>
        <w:t>s</w:t>
      </w:r>
      <w:r w:rsidR="001E3286" w:rsidRPr="00D06F2B">
        <w:rPr>
          <w:rFonts w:ascii="Garamond" w:hAnsi="Garamond"/>
          <w:sz w:val="24"/>
          <w:szCs w:val="24"/>
          <w:lang w:val="en-US"/>
        </w:rPr>
        <w:t xml:space="preserve">. </w:t>
      </w:r>
      <w:r w:rsidRPr="00D06F2B">
        <w:rPr>
          <w:rFonts w:ascii="Garamond" w:hAnsi="Garamond"/>
          <w:sz w:val="24"/>
          <w:szCs w:val="24"/>
          <w:lang w:val="en-US"/>
        </w:rPr>
        <w:t xml:space="preserve">Thus, analysts actively update their forecasts during the pandemic. Second, </w:t>
      </w:r>
      <w:r w:rsidR="007B1C19" w:rsidRPr="00D06F2B">
        <w:rPr>
          <w:rFonts w:ascii="Garamond" w:hAnsi="Garamond"/>
          <w:sz w:val="24"/>
          <w:szCs w:val="24"/>
          <w:lang w:val="en-US"/>
        </w:rPr>
        <w:t>regressio</w:t>
      </w:r>
      <w:r w:rsidRPr="00D06F2B">
        <w:rPr>
          <w:rFonts w:ascii="Garamond" w:hAnsi="Garamond"/>
          <w:sz w:val="24"/>
          <w:szCs w:val="24"/>
          <w:lang w:val="en-US"/>
        </w:rPr>
        <w:t xml:space="preserve">n analysis </w:t>
      </w:r>
      <w:r w:rsidR="00184A7C" w:rsidRPr="00D06F2B">
        <w:rPr>
          <w:rFonts w:ascii="Garamond" w:hAnsi="Garamond"/>
          <w:sz w:val="24"/>
          <w:szCs w:val="24"/>
          <w:lang w:val="en-US"/>
        </w:rPr>
        <w:t>show that institutional attention</w:t>
      </w:r>
      <w:r w:rsidR="00A26CDF">
        <w:rPr>
          <w:rFonts w:ascii="Garamond" w:hAnsi="Garamond"/>
          <w:sz w:val="24"/>
          <w:szCs w:val="24"/>
          <w:lang w:val="en-US"/>
        </w:rPr>
        <w:t>,</w:t>
      </w:r>
      <w:r w:rsidR="00184A7C" w:rsidRPr="00D06F2B">
        <w:rPr>
          <w:rFonts w:ascii="Garamond" w:hAnsi="Garamond"/>
          <w:sz w:val="24"/>
          <w:szCs w:val="24"/>
          <w:lang w:val="en-US"/>
        </w:rPr>
        <w:t xml:space="preserve"> as measured by Bloomberg news searches, is higher around analyst forecast announcements during the pandemic compared to pre-pandemic period. </w:t>
      </w:r>
      <w:r w:rsidR="003F717C" w:rsidRPr="00D06F2B">
        <w:rPr>
          <w:rFonts w:ascii="Garamond" w:hAnsi="Garamond"/>
          <w:sz w:val="24"/>
          <w:szCs w:val="24"/>
          <w:lang w:val="en-US"/>
        </w:rPr>
        <w:t xml:space="preserve">Further, </w:t>
      </w:r>
      <w:r w:rsidR="007B1C19" w:rsidRPr="00D06F2B">
        <w:rPr>
          <w:rFonts w:ascii="Garamond" w:hAnsi="Garamond"/>
          <w:sz w:val="24"/>
          <w:szCs w:val="24"/>
          <w:lang w:val="en-US"/>
        </w:rPr>
        <w:t xml:space="preserve">we confirm that investors react more strongly during the pandemic to revisions in analyst forecasts and in stock recommendations compared to </w:t>
      </w:r>
      <w:r w:rsidR="00482BE0" w:rsidRPr="00D06F2B">
        <w:rPr>
          <w:rFonts w:ascii="Garamond" w:hAnsi="Garamond"/>
          <w:sz w:val="24"/>
          <w:szCs w:val="24"/>
          <w:lang w:val="en-US"/>
        </w:rPr>
        <w:t xml:space="preserve">the </w:t>
      </w:r>
      <w:r w:rsidR="007B1C19" w:rsidRPr="00D06F2B">
        <w:rPr>
          <w:rFonts w:ascii="Garamond" w:hAnsi="Garamond"/>
          <w:sz w:val="24"/>
          <w:szCs w:val="24"/>
          <w:lang w:val="en-US"/>
        </w:rPr>
        <w:t>pre-pandemic period.</w:t>
      </w:r>
      <w:r w:rsidR="00D74002" w:rsidRPr="00D06F2B">
        <w:rPr>
          <w:rStyle w:val="FootnoteReference"/>
          <w:rFonts w:ascii="Garamond" w:hAnsi="Garamond"/>
          <w:sz w:val="24"/>
          <w:szCs w:val="24"/>
          <w:lang w:val="en-US"/>
        </w:rPr>
        <w:footnoteReference w:id="6"/>
      </w:r>
      <w:r w:rsidR="007B1C19" w:rsidRPr="00D06F2B">
        <w:rPr>
          <w:rFonts w:ascii="Garamond" w:hAnsi="Garamond"/>
          <w:sz w:val="24"/>
          <w:szCs w:val="24"/>
          <w:lang w:val="en-US"/>
        </w:rPr>
        <w:t xml:space="preserve"> </w:t>
      </w:r>
      <w:r w:rsidR="00A26CDF" w:rsidRPr="00D06F2B">
        <w:rPr>
          <w:rFonts w:ascii="Garamond" w:hAnsi="Garamond"/>
          <w:sz w:val="24"/>
          <w:szCs w:val="24"/>
          <w:lang w:val="en-US"/>
        </w:rPr>
        <w:t xml:space="preserve">These results are consistent with the Bayesian framework </w:t>
      </w:r>
      <w:r w:rsidR="00A26CDF" w:rsidRPr="00D06F2B">
        <w:rPr>
          <w:rFonts w:ascii="Garamond" w:hAnsi="Garamond"/>
          <w:sz w:val="24"/>
          <w:szCs w:val="24"/>
        </w:rPr>
        <w:t xml:space="preserve">(e.g., Pastor and Veronesi 2009) that as the accuracy </w:t>
      </w:r>
      <w:r w:rsidR="00A26CDF">
        <w:rPr>
          <w:rFonts w:ascii="Garamond" w:hAnsi="Garamond"/>
          <w:sz w:val="24"/>
          <w:szCs w:val="24"/>
        </w:rPr>
        <w:t xml:space="preserve">of </w:t>
      </w:r>
      <w:r w:rsidR="00A26CDF" w:rsidRPr="00D06F2B">
        <w:rPr>
          <w:rFonts w:ascii="Garamond" w:hAnsi="Garamond"/>
          <w:sz w:val="24"/>
          <w:szCs w:val="24"/>
        </w:rPr>
        <w:t>analyst signal</w:t>
      </w:r>
      <w:r w:rsidR="00A26CDF">
        <w:rPr>
          <w:rFonts w:ascii="Garamond" w:hAnsi="Garamond"/>
          <w:sz w:val="24"/>
          <w:szCs w:val="24"/>
        </w:rPr>
        <w:t>s</w:t>
      </w:r>
      <w:r w:rsidR="00A26CDF" w:rsidRPr="00D06F2B">
        <w:rPr>
          <w:rFonts w:ascii="Garamond" w:hAnsi="Garamond"/>
          <w:sz w:val="24"/>
          <w:szCs w:val="24"/>
        </w:rPr>
        <w:t xml:space="preserve"> relative to the uncertainty increases, investors put more weight on the</w:t>
      </w:r>
      <w:r w:rsidR="00A26CDF">
        <w:rPr>
          <w:rFonts w:ascii="Garamond" w:hAnsi="Garamond"/>
          <w:sz w:val="24"/>
          <w:szCs w:val="24"/>
        </w:rPr>
        <w:t>se</w:t>
      </w:r>
      <w:r w:rsidR="00A26CDF" w:rsidRPr="00D06F2B">
        <w:rPr>
          <w:rFonts w:ascii="Garamond" w:hAnsi="Garamond"/>
          <w:sz w:val="24"/>
          <w:szCs w:val="24"/>
        </w:rPr>
        <w:t xml:space="preserve"> signal</w:t>
      </w:r>
      <w:r w:rsidR="00A26CDF">
        <w:rPr>
          <w:rFonts w:ascii="Garamond" w:hAnsi="Garamond"/>
          <w:sz w:val="24"/>
          <w:szCs w:val="24"/>
        </w:rPr>
        <w:t>s</w:t>
      </w:r>
      <w:r w:rsidR="00A26CDF" w:rsidRPr="00D06F2B">
        <w:rPr>
          <w:rFonts w:ascii="Garamond" w:hAnsi="Garamond"/>
          <w:sz w:val="24"/>
          <w:szCs w:val="24"/>
        </w:rPr>
        <w:t xml:space="preserve">. </w:t>
      </w:r>
      <w:r w:rsidR="007B1C19" w:rsidRPr="00D06F2B">
        <w:rPr>
          <w:rFonts w:ascii="Garamond" w:hAnsi="Garamond"/>
          <w:sz w:val="24"/>
          <w:szCs w:val="24"/>
          <w:lang w:val="en-US"/>
        </w:rPr>
        <w:t>The economic effects are large</w:t>
      </w:r>
      <w:r w:rsidR="00A26CDF">
        <w:rPr>
          <w:rFonts w:ascii="Garamond" w:hAnsi="Garamond"/>
          <w:sz w:val="24"/>
          <w:szCs w:val="24"/>
          <w:lang w:val="en-US"/>
        </w:rPr>
        <w:t xml:space="preserve">, for example, </w:t>
      </w:r>
      <w:r w:rsidR="007B1C19" w:rsidRPr="00D06F2B">
        <w:rPr>
          <w:rFonts w:ascii="Garamond" w:hAnsi="Garamond"/>
          <w:sz w:val="24"/>
          <w:szCs w:val="24"/>
          <w:lang w:val="en-US"/>
        </w:rPr>
        <w:t>price reactions</w:t>
      </w:r>
      <w:r w:rsidR="007176B4" w:rsidRPr="00D06F2B">
        <w:rPr>
          <w:rFonts w:ascii="Garamond" w:hAnsi="Garamond"/>
          <w:sz w:val="24"/>
          <w:szCs w:val="24"/>
          <w:lang w:val="en-US"/>
        </w:rPr>
        <w:t xml:space="preserve"> to </w:t>
      </w:r>
      <w:r w:rsidR="00A26CDF">
        <w:rPr>
          <w:rFonts w:ascii="Garamond" w:hAnsi="Garamond"/>
          <w:sz w:val="24"/>
          <w:szCs w:val="24"/>
          <w:lang w:val="en-US"/>
        </w:rPr>
        <w:t xml:space="preserve">EPS forecast </w:t>
      </w:r>
      <w:r w:rsidR="007176B4" w:rsidRPr="00D06F2B">
        <w:rPr>
          <w:rFonts w:ascii="Garamond" w:hAnsi="Garamond"/>
          <w:sz w:val="24"/>
          <w:szCs w:val="24"/>
          <w:lang w:val="en-US"/>
        </w:rPr>
        <w:t>revisions</w:t>
      </w:r>
      <w:r w:rsidR="007B1C19" w:rsidRPr="00D06F2B">
        <w:rPr>
          <w:rFonts w:ascii="Garamond" w:hAnsi="Garamond"/>
          <w:sz w:val="24"/>
          <w:szCs w:val="24"/>
          <w:lang w:val="en-US"/>
        </w:rPr>
        <w:t xml:space="preserve"> are</w:t>
      </w:r>
      <w:r w:rsidR="00A26CDF">
        <w:rPr>
          <w:rFonts w:ascii="Garamond" w:hAnsi="Garamond"/>
          <w:sz w:val="24"/>
          <w:szCs w:val="24"/>
          <w:lang w:val="en-US"/>
        </w:rPr>
        <w:t xml:space="preserve"> 100% higher </w:t>
      </w:r>
      <w:r w:rsidR="007B1C19" w:rsidRPr="00D06F2B">
        <w:rPr>
          <w:rFonts w:ascii="Garamond" w:hAnsi="Garamond"/>
          <w:sz w:val="24"/>
          <w:szCs w:val="24"/>
          <w:lang w:val="en-US"/>
        </w:rPr>
        <w:t xml:space="preserve">during pandemic compared to </w:t>
      </w:r>
      <w:r w:rsidR="00A26CDF">
        <w:rPr>
          <w:rFonts w:ascii="Garamond" w:hAnsi="Garamond"/>
          <w:sz w:val="24"/>
          <w:szCs w:val="24"/>
          <w:lang w:val="en-US"/>
        </w:rPr>
        <w:t xml:space="preserve">the </w:t>
      </w:r>
      <w:r w:rsidR="007B1C19" w:rsidRPr="00D06F2B">
        <w:rPr>
          <w:rFonts w:ascii="Garamond" w:hAnsi="Garamond"/>
          <w:sz w:val="24"/>
          <w:szCs w:val="24"/>
          <w:lang w:val="en-US"/>
        </w:rPr>
        <w:t xml:space="preserve">pre-pandemic period. </w:t>
      </w:r>
      <w:r w:rsidR="00684793" w:rsidRPr="00D06F2B">
        <w:rPr>
          <w:rFonts w:ascii="Garamond" w:hAnsi="Garamond"/>
          <w:sz w:val="24"/>
          <w:szCs w:val="24"/>
          <w:lang w:val="en-US"/>
        </w:rPr>
        <w:t xml:space="preserve">The </w:t>
      </w:r>
      <w:r w:rsidR="00A26CDF">
        <w:rPr>
          <w:rFonts w:ascii="Garamond" w:hAnsi="Garamond"/>
          <w:sz w:val="24"/>
          <w:szCs w:val="24"/>
          <w:lang w:val="en-US"/>
        </w:rPr>
        <w:t>conclusions</w:t>
      </w:r>
      <w:r w:rsidR="00684793" w:rsidRPr="00D06F2B">
        <w:rPr>
          <w:rFonts w:ascii="Garamond" w:hAnsi="Garamond"/>
          <w:sz w:val="24"/>
          <w:szCs w:val="24"/>
          <w:lang w:val="en-US"/>
        </w:rPr>
        <w:t xml:space="preserve"> are robust to alternative measures of price reactions,</w:t>
      </w:r>
      <w:r w:rsidR="00A26CDF">
        <w:rPr>
          <w:rFonts w:ascii="Garamond" w:hAnsi="Garamond"/>
          <w:sz w:val="24"/>
          <w:szCs w:val="24"/>
          <w:lang w:val="en-US"/>
        </w:rPr>
        <w:t xml:space="preserve"> of</w:t>
      </w:r>
      <w:r w:rsidR="00684793" w:rsidRPr="00D06F2B">
        <w:rPr>
          <w:rFonts w:ascii="Garamond" w:hAnsi="Garamond"/>
          <w:sz w:val="24"/>
          <w:szCs w:val="24"/>
          <w:lang w:val="en-US"/>
        </w:rPr>
        <w:t xml:space="preserve"> analyst forecast revisions</w:t>
      </w:r>
      <w:r w:rsidR="00A26CDF">
        <w:rPr>
          <w:rFonts w:ascii="Garamond" w:hAnsi="Garamond"/>
          <w:sz w:val="24"/>
          <w:szCs w:val="24"/>
          <w:lang w:val="en-US"/>
        </w:rPr>
        <w:t>, and to</w:t>
      </w:r>
      <w:r w:rsidR="00684793" w:rsidRPr="00D06F2B">
        <w:rPr>
          <w:rFonts w:ascii="Garamond" w:hAnsi="Garamond"/>
          <w:sz w:val="24"/>
          <w:szCs w:val="24"/>
          <w:lang w:val="en-US"/>
        </w:rPr>
        <w:t xml:space="preserve"> including firm-fixed effects in the model. </w:t>
      </w:r>
      <w:r w:rsidR="00A26CDF">
        <w:rPr>
          <w:rFonts w:ascii="Garamond" w:hAnsi="Garamond"/>
          <w:sz w:val="24"/>
          <w:szCs w:val="24"/>
          <w:lang w:val="en-US"/>
        </w:rPr>
        <w:t xml:space="preserve"> </w:t>
      </w:r>
    </w:p>
    <w:p w14:paraId="1A639CDA" w14:textId="3B29C16D" w:rsidR="00B72FBD" w:rsidRPr="00D06F2B" w:rsidRDefault="007B1C19" w:rsidP="00A26CDF">
      <w:pPr>
        <w:spacing w:after="0" w:line="480" w:lineRule="auto"/>
        <w:rPr>
          <w:rFonts w:ascii="Garamond" w:hAnsi="Garamond"/>
          <w:sz w:val="24"/>
          <w:szCs w:val="24"/>
          <w:lang w:val="en-US"/>
        </w:rPr>
      </w:pPr>
      <w:r w:rsidRPr="00D06F2B">
        <w:rPr>
          <w:rFonts w:ascii="Garamond" w:hAnsi="Garamond"/>
          <w:sz w:val="24"/>
          <w:szCs w:val="24"/>
          <w:lang w:val="en-US"/>
        </w:rPr>
        <w:lastRenderedPageBreak/>
        <w:tab/>
        <w:t xml:space="preserve">To </w:t>
      </w:r>
      <w:r w:rsidR="00A26CDF">
        <w:rPr>
          <w:rFonts w:ascii="Garamond" w:hAnsi="Garamond"/>
          <w:sz w:val="24"/>
          <w:szCs w:val="24"/>
          <w:lang w:val="en-US"/>
        </w:rPr>
        <w:t xml:space="preserve">shed more light on </w:t>
      </w:r>
      <w:r w:rsidRPr="00D06F2B">
        <w:rPr>
          <w:rFonts w:ascii="Garamond" w:hAnsi="Garamond"/>
          <w:sz w:val="24"/>
          <w:szCs w:val="24"/>
          <w:lang w:val="en-US"/>
        </w:rPr>
        <w:t>why investors put more weight on</w:t>
      </w:r>
      <w:r w:rsidR="00684793" w:rsidRPr="00D06F2B">
        <w:rPr>
          <w:rFonts w:ascii="Garamond" w:hAnsi="Garamond"/>
          <w:sz w:val="24"/>
          <w:szCs w:val="24"/>
          <w:lang w:val="en-US"/>
        </w:rPr>
        <w:t xml:space="preserve"> analyst</w:t>
      </w:r>
      <w:r w:rsidRPr="00D06F2B">
        <w:rPr>
          <w:rFonts w:ascii="Garamond" w:hAnsi="Garamond"/>
          <w:sz w:val="24"/>
          <w:szCs w:val="24"/>
          <w:lang w:val="en-US"/>
        </w:rPr>
        <w:t xml:space="preserve"> forecasts</w:t>
      </w:r>
      <w:r w:rsidR="00A26CDF">
        <w:rPr>
          <w:rFonts w:ascii="Garamond" w:hAnsi="Garamond"/>
          <w:sz w:val="24"/>
          <w:szCs w:val="24"/>
          <w:lang w:val="en-US"/>
        </w:rPr>
        <w:t xml:space="preserve"> during the pandemic</w:t>
      </w:r>
      <w:r w:rsidRPr="00D06F2B">
        <w:rPr>
          <w:rFonts w:ascii="Garamond" w:hAnsi="Garamond"/>
          <w:sz w:val="24"/>
          <w:szCs w:val="24"/>
          <w:lang w:val="en-US"/>
        </w:rPr>
        <w:t xml:space="preserve">, </w:t>
      </w:r>
      <w:r w:rsidR="00C91163" w:rsidRPr="00D06F2B">
        <w:rPr>
          <w:rFonts w:ascii="Garamond" w:hAnsi="Garamond"/>
          <w:sz w:val="24"/>
          <w:szCs w:val="24"/>
          <w:lang w:val="en-US"/>
        </w:rPr>
        <w:t xml:space="preserve">we </w:t>
      </w:r>
      <w:r w:rsidR="00A26CDF">
        <w:rPr>
          <w:rFonts w:ascii="Garamond" w:hAnsi="Garamond"/>
          <w:sz w:val="24"/>
          <w:szCs w:val="24"/>
          <w:lang w:val="en-US"/>
        </w:rPr>
        <w:t xml:space="preserve">perform two tests. First, we </w:t>
      </w:r>
      <w:r w:rsidRPr="00D06F2B">
        <w:rPr>
          <w:rFonts w:ascii="Garamond" w:hAnsi="Garamond"/>
          <w:sz w:val="24"/>
          <w:szCs w:val="24"/>
          <w:lang w:val="en-US"/>
        </w:rPr>
        <w:t xml:space="preserve">examine the role analyst research plays in resolving uncertainty during periods of increased investor </w:t>
      </w:r>
      <w:r w:rsidR="00482BE0" w:rsidRPr="00D06F2B">
        <w:rPr>
          <w:rFonts w:ascii="Garamond" w:hAnsi="Garamond"/>
          <w:sz w:val="24"/>
          <w:szCs w:val="24"/>
          <w:lang w:val="en-US"/>
        </w:rPr>
        <w:t>demand for information</w:t>
      </w:r>
      <w:r w:rsidR="008F4FE5" w:rsidRPr="00D06F2B">
        <w:rPr>
          <w:rFonts w:ascii="Garamond" w:hAnsi="Garamond"/>
          <w:sz w:val="24"/>
          <w:szCs w:val="24"/>
          <w:lang w:val="en-US"/>
        </w:rPr>
        <w:t xml:space="preserve">. We capture </w:t>
      </w:r>
      <w:r w:rsidR="00482BE0" w:rsidRPr="00D06F2B">
        <w:rPr>
          <w:rFonts w:ascii="Garamond" w:hAnsi="Garamond"/>
          <w:sz w:val="24"/>
          <w:szCs w:val="24"/>
          <w:lang w:val="en-US"/>
        </w:rPr>
        <w:t>information demand</w:t>
      </w:r>
      <w:r w:rsidR="008F4FE5" w:rsidRPr="00D06F2B">
        <w:rPr>
          <w:rFonts w:ascii="Garamond" w:hAnsi="Garamond"/>
          <w:sz w:val="24"/>
          <w:szCs w:val="24"/>
          <w:lang w:val="en-US"/>
        </w:rPr>
        <w:t xml:space="preserve"> by</w:t>
      </w:r>
      <w:r w:rsidR="00482BE0" w:rsidRPr="00D06F2B">
        <w:rPr>
          <w:rFonts w:ascii="Garamond" w:hAnsi="Garamond"/>
          <w:sz w:val="24"/>
          <w:szCs w:val="24"/>
          <w:lang w:val="en-US"/>
        </w:rPr>
        <w:t xml:space="preserve"> the intensity of</w:t>
      </w:r>
      <w:r w:rsidR="008F4FE5" w:rsidRPr="00D06F2B">
        <w:rPr>
          <w:rFonts w:ascii="Garamond" w:hAnsi="Garamond"/>
          <w:sz w:val="24"/>
          <w:szCs w:val="24"/>
          <w:lang w:val="en-US"/>
        </w:rPr>
        <w:t xml:space="preserve"> google searches for</w:t>
      </w:r>
      <w:r w:rsidR="00A6547C" w:rsidRPr="00D06F2B">
        <w:rPr>
          <w:rFonts w:ascii="Garamond" w:hAnsi="Garamond"/>
          <w:sz w:val="24"/>
          <w:szCs w:val="24"/>
          <w:lang w:val="en-US"/>
        </w:rPr>
        <w:t xml:space="preserve"> the</w:t>
      </w:r>
      <w:r w:rsidR="008F4FE5" w:rsidRPr="00D06F2B">
        <w:rPr>
          <w:rFonts w:ascii="Garamond" w:hAnsi="Garamond"/>
          <w:sz w:val="24"/>
          <w:szCs w:val="24"/>
          <w:lang w:val="en-US"/>
        </w:rPr>
        <w:t xml:space="preserve"> pandemic</w:t>
      </w:r>
      <w:r w:rsidR="00B72FBD" w:rsidRPr="00D06F2B">
        <w:rPr>
          <w:rFonts w:ascii="Garamond" w:hAnsi="Garamond"/>
          <w:sz w:val="24"/>
          <w:szCs w:val="24"/>
          <w:lang w:val="en-US"/>
        </w:rPr>
        <w:t xml:space="preserve"> and stock market</w:t>
      </w:r>
      <w:r w:rsidR="008F4FE5" w:rsidRPr="00D06F2B">
        <w:rPr>
          <w:rFonts w:ascii="Garamond" w:hAnsi="Garamond"/>
          <w:sz w:val="24"/>
          <w:szCs w:val="24"/>
          <w:lang w:val="en-US"/>
        </w:rPr>
        <w:t xml:space="preserve"> information.</w:t>
      </w:r>
      <w:r w:rsidR="00482BE0" w:rsidRPr="00D06F2B">
        <w:rPr>
          <w:rStyle w:val="FootnoteReference"/>
          <w:rFonts w:ascii="Garamond" w:hAnsi="Garamond"/>
          <w:sz w:val="24"/>
          <w:szCs w:val="24"/>
          <w:lang w:val="en-US"/>
        </w:rPr>
        <w:footnoteReference w:id="7"/>
      </w:r>
      <w:r w:rsidR="008F4FE5" w:rsidRPr="00D06F2B">
        <w:rPr>
          <w:rFonts w:ascii="Garamond" w:hAnsi="Garamond"/>
          <w:sz w:val="24"/>
          <w:szCs w:val="24"/>
          <w:lang w:val="en-US"/>
        </w:rPr>
        <w:t xml:space="preserve"> We find that price reaction</w:t>
      </w:r>
      <w:r w:rsidR="00482BE0" w:rsidRPr="00D06F2B">
        <w:rPr>
          <w:rFonts w:ascii="Garamond" w:hAnsi="Garamond"/>
          <w:sz w:val="24"/>
          <w:szCs w:val="24"/>
          <w:lang w:val="en-US"/>
        </w:rPr>
        <w:t>s</w:t>
      </w:r>
      <w:r w:rsidR="008F4FE5" w:rsidRPr="00D06F2B">
        <w:rPr>
          <w:rFonts w:ascii="Garamond" w:hAnsi="Garamond"/>
          <w:sz w:val="24"/>
          <w:szCs w:val="24"/>
          <w:lang w:val="en-US"/>
        </w:rPr>
        <w:t xml:space="preserve"> to analyst forecast revisions are incrementally higher during periods of increased </w:t>
      </w:r>
      <w:r w:rsidR="00B72FBD" w:rsidRPr="00D06F2B">
        <w:rPr>
          <w:rFonts w:ascii="Garamond" w:hAnsi="Garamond"/>
          <w:sz w:val="24"/>
          <w:szCs w:val="24"/>
          <w:lang w:val="en-US"/>
        </w:rPr>
        <w:t xml:space="preserve">google </w:t>
      </w:r>
      <w:r w:rsidR="008F4FE5" w:rsidRPr="00D06F2B">
        <w:rPr>
          <w:rFonts w:ascii="Garamond" w:hAnsi="Garamond"/>
          <w:sz w:val="24"/>
          <w:szCs w:val="24"/>
          <w:lang w:val="en-US"/>
        </w:rPr>
        <w:t>searches.</w:t>
      </w:r>
      <w:r w:rsidR="00B72FBD" w:rsidRPr="00D06F2B">
        <w:rPr>
          <w:rFonts w:ascii="Garamond" w:hAnsi="Garamond"/>
          <w:sz w:val="24"/>
          <w:szCs w:val="24"/>
          <w:lang w:val="en-US"/>
        </w:rPr>
        <w:t xml:space="preserve"> This result is consistent with analyst</w:t>
      </w:r>
      <w:r w:rsidR="00A26CDF">
        <w:rPr>
          <w:rFonts w:ascii="Garamond" w:hAnsi="Garamond"/>
          <w:sz w:val="24"/>
          <w:szCs w:val="24"/>
          <w:lang w:val="en-US"/>
        </w:rPr>
        <w:t>s</w:t>
      </w:r>
      <w:r w:rsidR="00B72FBD" w:rsidRPr="00D06F2B">
        <w:rPr>
          <w:rFonts w:ascii="Garamond" w:hAnsi="Garamond"/>
          <w:sz w:val="24"/>
          <w:szCs w:val="24"/>
          <w:lang w:val="en-US"/>
        </w:rPr>
        <w:t xml:space="preserve"> responding to</w:t>
      </w:r>
      <w:r w:rsidR="00A26CDF">
        <w:rPr>
          <w:rFonts w:ascii="Garamond" w:hAnsi="Garamond"/>
          <w:sz w:val="24"/>
          <w:szCs w:val="24"/>
          <w:lang w:val="en-US"/>
        </w:rPr>
        <w:t xml:space="preserve"> higher</w:t>
      </w:r>
      <w:r w:rsidR="00B72FBD" w:rsidRPr="00D06F2B">
        <w:rPr>
          <w:rFonts w:ascii="Garamond" w:hAnsi="Garamond"/>
          <w:sz w:val="24"/>
          <w:szCs w:val="24"/>
          <w:lang w:val="en-US"/>
        </w:rPr>
        <w:t xml:space="preserve"> investor information demand.</w:t>
      </w:r>
      <w:r w:rsidR="008F4FE5" w:rsidRPr="00D06F2B">
        <w:rPr>
          <w:rFonts w:ascii="Garamond" w:hAnsi="Garamond"/>
          <w:sz w:val="24"/>
          <w:szCs w:val="24"/>
          <w:lang w:val="en-US"/>
        </w:rPr>
        <w:t xml:space="preserve"> </w:t>
      </w:r>
    </w:p>
    <w:p w14:paraId="4891C3C1" w14:textId="764A53D4" w:rsidR="007B1C19" w:rsidRPr="00D06F2B" w:rsidRDefault="00A26CDF" w:rsidP="00B72FBD">
      <w:pPr>
        <w:spacing w:after="0" w:line="480" w:lineRule="auto"/>
        <w:ind w:firstLine="720"/>
        <w:rPr>
          <w:rFonts w:ascii="Garamond" w:hAnsi="Garamond"/>
          <w:sz w:val="24"/>
          <w:szCs w:val="24"/>
          <w:lang w:val="en-US"/>
        </w:rPr>
      </w:pPr>
      <w:r>
        <w:rPr>
          <w:rFonts w:ascii="Garamond" w:hAnsi="Garamond"/>
          <w:sz w:val="24"/>
          <w:szCs w:val="24"/>
          <w:lang w:val="en-US"/>
        </w:rPr>
        <w:t>Second</w:t>
      </w:r>
      <w:r w:rsidR="00C91163" w:rsidRPr="00D06F2B">
        <w:rPr>
          <w:rFonts w:ascii="Garamond" w:hAnsi="Garamond"/>
          <w:sz w:val="24"/>
          <w:szCs w:val="24"/>
          <w:lang w:val="en-US"/>
        </w:rPr>
        <w:t xml:space="preserve">, </w:t>
      </w:r>
      <w:r w:rsidR="008F4FE5" w:rsidRPr="00D06F2B">
        <w:rPr>
          <w:rFonts w:ascii="Garamond" w:hAnsi="Garamond"/>
          <w:sz w:val="24"/>
          <w:szCs w:val="24"/>
          <w:lang w:val="en-US"/>
        </w:rPr>
        <w:t>we examine whethe</w:t>
      </w:r>
      <w:r w:rsidR="00A27C82" w:rsidRPr="00D06F2B">
        <w:rPr>
          <w:rFonts w:ascii="Garamond" w:hAnsi="Garamond"/>
          <w:sz w:val="24"/>
          <w:szCs w:val="24"/>
          <w:lang w:val="en-US"/>
        </w:rPr>
        <w:t>r</w:t>
      </w:r>
      <w:r w:rsidR="00B72FBD" w:rsidRPr="00D06F2B">
        <w:rPr>
          <w:rFonts w:ascii="Garamond" w:hAnsi="Garamond"/>
          <w:sz w:val="24"/>
          <w:szCs w:val="24"/>
          <w:lang w:val="en-US"/>
        </w:rPr>
        <w:t xml:space="preserve"> </w:t>
      </w:r>
      <w:r w:rsidR="008F4FE5" w:rsidRPr="00D06F2B">
        <w:rPr>
          <w:rFonts w:ascii="Garamond" w:hAnsi="Garamond"/>
          <w:sz w:val="24"/>
          <w:szCs w:val="24"/>
          <w:lang w:val="en-US"/>
        </w:rPr>
        <w:t xml:space="preserve">investors value analyst </w:t>
      </w:r>
      <w:r w:rsidR="000A0F02" w:rsidRPr="00D06F2B">
        <w:rPr>
          <w:rFonts w:ascii="Garamond" w:hAnsi="Garamond"/>
          <w:sz w:val="24"/>
          <w:szCs w:val="24"/>
          <w:lang w:val="en-US"/>
        </w:rPr>
        <w:t xml:space="preserve">private </w:t>
      </w:r>
      <w:r w:rsidR="008F4FE5" w:rsidRPr="00D06F2B">
        <w:rPr>
          <w:rFonts w:ascii="Garamond" w:hAnsi="Garamond"/>
          <w:sz w:val="24"/>
          <w:szCs w:val="24"/>
          <w:lang w:val="en-US"/>
        </w:rPr>
        <w:t xml:space="preserve">information discovery </w:t>
      </w:r>
      <w:r w:rsidR="000A0F02" w:rsidRPr="00D06F2B">
        <w:rPr>
          <w:rFonts w:ascii="Garamond" w:hAnsi="Garamond"/>
          <w:sz w:val="24"/>
          <w:szCs w:val="24"/>
          <w:lang w:val="en-US"/>
        </w:rPr>
        <w:t xml:space="preserve">role more </w:t>
      </w:r>
      <w:r w:rsidR="00B72FBD" w:rsidRPr="00D06F2B">
        <w:rPr>
          <w:rFonts w:ascii="Garamond" w:hAnsi="Garamond"/>
          <w:sz w:val="24"/>
          <w:szCs w:val="24"/>
          <w:lang w:val="en-US"/>
        </w:rPr>
        <w:t>than their role in</w:t>
      </w:r>
      <w:r w:rsidR="008F4FE5" w:rsidRPr="00D06F2B">
        <w:rPr>
          <w:rFonts w:ascii="Garamond" w:hAnsi="Garamond"/>
          <w:sz w:val="24"/>
          <w:szCs w:val="24"/>
          <w:lang w:val="en-US"/>
        </w:rPr>
        <w:t xml:space="preserve"> interpret</w:t>
      </w:r>
      <w:r w:rsidR="00B72FBD" w:rsidRPr="00D06F2B">
        <w:rPr>
          <w:rFonts w:ascii="Garamond" w:hAnsi="Garamond"/>
          <w:sz w:val="24"/>
          <w:szCs w:val="24"/>
          <w:lang w:val="en-US"/>
        </w:rPr>
        <w:t xml:space="preserve">ing </w:t>
      </w:r>
      <w:r w:rsidR="008F4FE5" w:rsidRPr="00D06F2B">
        <w:rPr>
          <w:rFonts w:ascii="Garamond" w:hAnsi="Garamond"/>
          <w:sz w:val="24"/>
          <w:szCs w:val="24"/>
          <w:lang w:val="en-US"/>
        </w:rPr>
        <w:t>corporate information</w:t>
      </w:r>
      <w:r w:rsidRPr="00A26CDF">
        <w:rPr>
          <w:rFonts w:ascii="Garamond" w:hAnsi="Garamond"/>
          <w:sz w:val="24"/>
          <w:szCs w:val="24"/>
          <w:lang w:val="en-US"/>
        </w:rPr>
        <w:t xml:space="preserve"> </w:t>
      </w:r>
      <w:r w:rsidRPr="00D06F2B">
        <w:rPr>
          <w:rFonts w:ascii="Garamond" w:hAnsi="Garamond"/>
          <w:sz w:val="24"/>
          <w:szCs w:val="24"/>
          <w:lang w:val="en-US"/>
        </w:rPr>
        <w:t>during the pandemic</w:t>
      </w:r>
      <w:r w:rsidR="008F4FE5" w:rsidRPr="00D06F2B">
        <w:rPr>
          <w:rFonts w:ascii="Garamond" w:hAnsi="Garamond"/>
          <w:sz w:val="24"/>
          <w:szCs w:val="24"/>
          <w:lang w:val="en-US"/>
        </w:rPr>
        <w:t xml:space="preserve">. </w:t>
      </w:r>
      <w:bookmarkStart w:id="1" w:name="_Hlk66964670"/>
      <w:r w:rsidR="008F4FE5" w:rsidRPr="00D06F2B">
        <w:rPr>
          <w:rFonts w:ascii="Garamond" w:hAnsi="Garamond"/>
          <w:sz w:val="24"/>
          <w:szCs w:val="24"/>
          <w:lang w:val="en-US"/>
        </w:rPr>
        <w:t>Chen, Cheng and Lo (2010</w:t>
      </w:r>
      <w:bookmarkEnd w:id="1"/>
      <w:r w:rsidR="008F4FE5" w:rsidRPr="00D06F2B">
        <w:rPr>
          <w:rFonts w:ascii="Garamond" w:hAnsi="Garamond"/>
          <w:sz w:val="24"/>
          <w:szCs w:val="24"/>
          <w:lang w:val="en-US"/>
        </w:rPr>
        <w:t>) document that information discovery dominates in the week</w:t>
      </w:r>
      <w:r w:rsidR="00B72FBD" w:rsidRPr="00D06F2B">
        <w:rPr>
          <w:rFonts w:ascii="Garamond" w:hAnsi="Garamond"/>
          <w:sz w:val="24"/>
          <w:szCs w:val="24"/>
          <w:lang w:val="en-US"/>
        </w:rPr>
        <w:t>s</w:t>
      </w:r>
      <w:r w:rsidR="008F4FE5" w:rsidRPr="00D06F2B">
        <w:rPr>
          <w:rFonts w:ascii="Garamond" w:hAnsi="Garamond"/>
          <w:sz w:val="24"/>
          <w:szCs w:val="24"/>
          <w:lang w:val="en-US"/>
        </w:rPr>
        <w:t xml:space="preserve"> before firms announce their earnings </w:t>
      </w:r>
      <w:r w:rsidR="00B72FBD" w:rsidRPr="00D06F2B">
        <w:rPr>
          <w:rFonts w:ascii="Garamond" w:hAnsi="Garamond"/>
          <w:sz w:val="24"/>
          <w:szCs w:val="24"/>
          <w:lang w:val="en-US"/>
        </w:rPr>
        <w:t xml:space="preserve">results </w:t>
      </w:r>
      <w:r w:rsidR="008F4FE5" w:rsidRPr="00D06F2B">
        <w:rPr>
          <w:rFonts w:ascii="Garamond" w:hAnsi="Garamond"/>
          <w:sz w:val="24"/>
          <w:szCs w:val="24"/>
          <w:lang w:val="en-US"/>
        </w:rPr>
        <w:t>and information interpretation is more important in the week</w:t>
      </w:r>
      <w:r w:rsidR="00B72FBD" w:rsidRPr="00D06F2B">
        <w:rPr>
          <w:rFonts w:ascii="Garamond" w:hAnsi="Garamond"/>
          <w:sz w:val="24"/>
          <w:szCs w:val="24"/>
          <w:lang w:val="en-US"/>
        </w:rPr>
        <w:t>s</w:t>
      </w:r>
      <w:r w:rsidR="008F4FE5" w:rsidRPr="00D06F2B">
        <w:rPr>
          <w:rFonts w:ascii="Garamond" w:hAnsi="Garamond"/>
          <w:sz w:val="24"/>
          <w:szCs w:val="24"/>
          <w:lang w:val="en-US"/>
        </w:rPr>
        <w:t xml:space="preserve"> after earnings announcement</w:t>
      </w:r>
      <w:r w:rsidR="00B72FBD" w:rsidRPr="00D06F2B">
        <w:rPr>
          <w:rFonts w:ascii="Garamond" w:hAnsi="Garamond"/>
          <w:sz w:val="24"/>
          <w:szCs w:val="24"/>
          <w:lang w:val="en-US"/>
        </w:rPr>
        <w:t>s</w:t>
      </w:r>
      <w:r w:rsidR="008F4FE5" w:rsidRPr="00D06F2B">
        <w:rPr>
          <w:rFonts w:ascii="Garamond" w:hAnsi="Garamond"/>
          <w:sz w:val="24"/>
          <w:szCs w:val="24"/>
          <w:lang w:val="en-US"/>
        </w:rPr>
        <w:t>. We</w:t>
      </w:r>
      <w:r w:rsidR="00B72FBD" w:rsidRPr="00D06F2B">
        <w:rPr>
          <w:rFonts w:ascii="Garamond" w:hAnsi="Garamond"/>
          <w:sz w:val="24"/>
          <w:szCs w:val="24"/>
          <w:lang w:val="en-US"/>
        </w:rPr>
        <w:t xml:space="preserve"> follow Chen et al. (2010) and</w:t>
      </w:r>
      <w:r w:rsidR="008F4FE5" w:rsidRPr="00D06F2B">
        <w:rPr>
          <w:rFonts w:ascii="Garamond" w:hAnsi="Garamond"/>
          <w:sz w:val="24"/>
          <w:szCs w:val="24"/>
          <w:lang w:val="en-US"/>
        </w:rPr>
        <w:t xml:space="preserve"> focus on EPS forecasts </w:t>
      </w:r>
      <w:r w:rsidR="00B72FBD" w:rsidRPr="00D06F2B">
        <w:rPr>
          <w:rFonts w:ascii="Garamond" w:hAnsi="Garamond"/>
          <w:sz w:val="24"/>
          <w:szCs w:val="24"/>
          <w:lang w:val="en-US"/>
        </w:rPr>
        <w:t>in</w:t>
      </w:r>
      <w:r w:rsidR="008F4FE5" w:rsidRPr="00D06F2B">
        <w:rPr>
          <w:rFonts w:ascii="Garamond" w:hAnsi="Garamond"/>
          <w:sz w:val="24"/>
          <w:szCs w:val="24"/>
          <w:lang w:val="en-US"/>
        </w:rPr>
        <w:t xml:space="preserve"> a 10-day window around earnings announcements exclud</w:t>
      </w:r>
      <w:r w:rsidR="00B72FBD" w:rsidRPr="00D06F2B">
        <w:rPr>
          <w:rFonts w:ascii="Garamond" w:hAnsi="Garamond"/>
          <w:sz w:val="24"/>
          <w:szCs w:val="24"/>
          <w:lang w:val="en-US"/>
        </w:rPr>
        <w:t>ing</w:t>
      </w:r>
      <w:r w:rsidR="008F4FE5" w:rsidRPr="00D06F2B">
        <w:rPr>
          <w:rFonts w:ascii="Garamond" w:hAnsi="Garamond"/>
          <w:sz w:val="24"/>
          <w:szCs w:val="24"/>
          <w:lang w:val="en-US"/>
        </w:rPr>
        <w:t xml:space="preserve"> </w:t>
      </w:r>
      <w:r w:rsidR="00B72FBD" w:rsidRPr="00D06F2B">
        <w:rPr>
          <w:rFonts w:ascii="Garamond" w:hAnsi="Garamond"/>
          <w:sz w:val="24"/>
          <w:szCs w:val="24"/>
          <w:lang w:val="en-US"/>
        </w:rPr>
        <w:t xml:space="preserve">a </w:t>
      </w:r>
      <w:r w:rsidR="008F4FE5" w:rsidRPr="00D06F2B">
        <w:rPr>
          <w:rFonts w:ascii="Garamond" w:hAnsi="Garamond"/>
          <w:sz w:val="24"/>
          <w:szCs w:val="24"/>
          <w:lang w:val="en-US"/>
        </w:rPr>
        <w:t>three-day</w:t>
      </w:r>
      <w:r w:rsidR="00B72FBD" w:rsidRPr="00D06F2B">
        <w:rPr>
          <w:rFonts w:ascii="Garamond" w:hAnsi="Garamond"/>
          <w:sz w:val="24"/>
          <w:szCs w:val="24"/>
          <w:lang w:val="en-US"/>
        </w:rPr>
        <w:t xml:space="preserve"> window</w:t>
      </w:r>
      <w:r w:rsidR="008F4FE5" w:rsidRPr="00D06F2B">
        <w:rPr>
          <w:rFonts w:ascii="Garamond" w:hAnsi="Garamond"/>
          <w:sz w:val="24"/>
          <w:szCs w:val="24"/>
          <w:lang w:val="en-US"/>
        </w:rPr>
        <w:t xml:space="preserve"> </w:t>
      </w:r>
      <w:r w:rsidR="00B72FBD" w:rsidRPr="00D06F2B">
        <w:rPr>
          <w:rFonts w:ascii="Garamond" w:hAnsi="Garamond"/>
          <w:sz w:val="24"/>
          <w:szCs w:val="24"/>
          <w:lang w:val="en-US"/>
        </w:rPr>
        <w:t xml:space="preserve">centered on </w:t>
      </w:r>
      <w:r w:rsidR="008F4FE5" w:rsidRPr="00D06F2B">
        <w:rPr>
          <w:rFonts w:ascii="Garamond" w:hAnsi="Garamond"/>
          <w:sz w:val="24"/>
          <w:szCs w:val="24"/>
          <w:lang w:val="en-US"/>
        </w:rPr>
        <w:t>the earnings announcement</w:t>
      </w:r>
      <w:r w:rsidR="000D3230" w:rsidRPr="00D06F2B">
        <w:rPr>
          <w:rFonts w:ascii="Garamond" w:hAnsi="Garamond"/>
          <w:sz w:val="24"/>
          <w:szCs w:val="24"/>
          <w:lang w:val="en-US"/>
        </w:rPr>
        <w:t xml:space="preserve"> day</w:t>
      </w:r>
      <w:r w:rsidR="008F4FE5" w:rsidRPr="00D06F2B">
        <w:rPr>
          <w:rFonts w:ascii="Garamond" w:hAnsi="Garamond"/>
          <w:sz w:val="24"/>
          <w:szCs w:val="24"/>
          <w:lang w:val="en-US"/>
        </w:rPr>
        <w:t xml:space="preserve"> to avoid confounding effects. We find that </w:t>
      </w:r>
      <w:r w:rsidR="00A27C82" w:rsidRPr="00D06F2B">
        <w:rPr>
          <w:rFonts w:ascii="Garamond" w:hAnsi="Garamond"/>
          <w:sz w:val="24"/>
          <w:szCs w:val="24"/>
          <w:lang w:val="en-US"/>
        </w:rPr>
        <w:t xml:space="preserve">before the </w:t>
      </w:r>
      <w:r w:rsidR="008F4FE5" w:rsidRPr="00D06F2B">
        <w:rPr>
          <w:rFonts w:ascii="Garamond" w:hAnsi="Garamond"/>
          <w:sz w:val="24"/>
          <w:szCs w:val="24"/>
          <w:lang w:val="en-US"/>
        </w:rPr>
        <w:t>pandemic, price reactions</w:t>
      </w:r>
      <w:r w:rsidR="00B72FBD" w:rsidRPr="00D06F2B">
        <w:rPr>
          <w:rFonts w:ascii="Garamond" w:hAnsi="Garamond"/>
          <w:sz w:val="24"/>
          <w:szCs w:val="24"/>
          <w:lang w:val="en-US"/>
        </w:rPr>
        <w:t xml:space="preserve"> are</w:t>
      </w:r>
      <w:r w:rsidR="008F4FE5" w:rsidRPr="00D06F2B">
        <w:rPr>
          <w:rFonts w:ascii="Garamond" w:hAnsi="Garamond"/>
          <w:sz w:val="24"/>
          <w:szCs w:val="24"/>
          <w:lang w:val="en-US"/>
        </w:rPr>
        <w:t xml:space="preserve"> </w:t>
      </w:r>
      <w:r w:rsidR="00B72FBD" w:rsidRPr="00D06F2B">
        <w:rPr>
          <w:rFonts w:ascii="Garamond" w:hAnsi="Garamond"/>
          <w:sz w:val="24"/>
          <w:szCs w:val="24"/>
          <w:lang w:val="en-US"/>
        </w:rPr>
        <w:t xml:space="preserve">similar in magnitude before and </w:t>
      </w:r>
      <w:r w:rsidR="008F4FE5" w:rsidRPr="00D06F2B">
        <w:rPr>
          <w:rFonts w:ascii="Garamond" w:hAnsi="Garamond"/>
          <w:sz w:val="24"/>
          <w:szCs w:val="24"/>
          <w:lang w:val="en-US"/>
        </w:rPr>
        <w:t>after earnings announcements</w:t>
      </w:r>
      <w:r w:rsidR="00B72FBD" w:rsidRPr="00D06F2B">
        <w:rPr>
          <w:rFonts w:ascii="Garamond" w:hAnsi="Garamond"/>
          <w:sz w:val="24"/>
          <w:szCs w:val="24"/>
          <w:lang w:val="en-US"/>
        </w:rPr>
        <w:t xml:space="preserve">, a result </w:t>
      </w:r>
      <w:r w:rsidR="000D3230" w:rsidRPr="00D06F2B">
        <w:rPr>
          <w:rFonts w:ascii="Garamond" w:hAnsi="Garamond"/>
          <w:sz w:val="24"/>
          <w:szCs w:val="24"/>
          <w:lang w:val="en-US"/>
        </w:rPr>
        <w:t>consistent</w:t>
      </w:r>
      <w:r w:rsidR="00B72FBD" w:rsidRPr="00D06F2B">
        <w:rPr>
          <w:rFonts w:ascii="Garamond" w:hAnsi="Garamond"/>
          <w:sz w:val="24"/>
          <w:szCs w:val="24"/>
          <w:lang w:val="en-US"/>
        </w:rPr>
        <w:t xml:space="preserve"> with Francis</w:t>
      </w:r>
      <w:r w:rsidR="000D3230" w:rsidRPr="00D06F2B">
        <w:rPr>
          <w:rFonts w:ascii="Garamond" w:hAnsi="Garamond"/>
          <w:sz w:val="24"/>
          <w:szCs w:val="24"/>
          <w:lang w:val="en-US"/>
        </w:rPr>
        <w:t>,</w:t>
      </w:r>
      <w:r w:rsidR="00B72FBD" w:rsidRPr="00D06F2B">
        <w:rPr>
          <w:rFonts w:ascii="Garamond" w:hAnsi="Garamond"/>
          <w:sz w:val="24"/>
          <w:szCs w:val="24"/>
          <w:lang w:val="en-US"/>
        </w:rPr>
        <w:t xml:space="preserve"> </w:t>
      </w:r>
      <w:r w:rsidR="000D3230" w:rsidRPr="00D06F2B">
        <w:rPr>
          <w:rFonts w:ascii="Garamond" w:hAnsi="Garamond"/>
          <w:sz w:val="24"/>
          <w:szCs w:val="24"/>
          <w:lang w:val="en-US"/>
        </w:rPr>
        <w:t xml:space="preserve">Schipper and Vincent </w:t>
      </w:r>
      <w:r w:rsidR="00B72FBD" w:rsidRPr="00D06F2B">
        <w:rPr>
          <w:rFonts w:ascii="Garamond" w:hAnsi="Garamond"/>
          <w:sz w:val="24"/>
          <w:szCs w:val="24"/>
          <w:lang w:val="en-US"/>
        </w:rPr>
        <w:t>(2002) and Frankel</w:t>
      </w:r>
      <w:r w:rsidR="000D3230" w:rsidRPr="00D06F2B">
        <w:rPr>
          <w:rFonts w:ascii="Garamond" w:hAnsi="Garamond"/>
          <w:sz w:val="24"/>
          <w:szCs w:val="24"/>
          <w:lang w:val="en-US"/>
        </w:rPr>
        <w:t>,</w:t>
      </w:r>
      <w:r w:rsidR="00B72FBD" w:rsidRPr="00D06F2B">
        <w:rPr>
          <w:rFonts w:ascii="Garamond" w:hAnsi="Garamond"/>
          <w:sz w:val="24"/>
          <w:szCs w:val="24"/>
          <w:lang w:val="en-US"/>
        </w:rPr>
        <w:t xml:space="preserve"> </w:t>
      </w:r>
      <w:r w:rsidR="000D3230" w:rsidRPr="00D06F2B">
        <w:rPr>
          <w:rFonts w:ascii="Garamond" w:hAnsi="Garamond"/>
          <w:sz w:val="24"/>
          <w:szCs w:val="24"/>
          <w:lang w:val="en-US"/>
        </w:rPr>
        <w:t>Kothari and Weber</w:t>
      </w:r>
      <w:r w:rsidR="00B72FBD" w:rsidRPr="00D06F2B">
        <w:rPr>
          <w:rFonts w:ascii="Garamond" w:hAnsi="Garamond"/>
          <w:sz w:val="24"/>
          <w:szCs w:val="24"/>
          <w:lang w:val="en-US"/>
        </w:rPr>
        <w:t xml:space="preserve"> (2006) who </w:t>
      </w:r>
      <w:r w:rsidR="000D3230" w:rsidRPr="00D06F2B">
        <w:rPr>
          <w:rFonts w:ascii="Garamond" w:hAnsi="Garamond"/>
          <w:sz w:val="24"/>
          <w:szCs w:val="24"/>
          <w:lang w:val="en-US"/>
        </w:rPr>
        <w:t>document</w:t>
      </w:r>
      <w:r w:rsidR="00B72FBD" w:rsidRPr="00D06F2B">
        <w:rPr>
          <w:rFonts w:ascii="Garamond" w:hAnsi="Garamond"/>
          <w:sz w:val="24"/>
          <w:szCs w:val="24"/>
          <w:lang w:val="en-US"/>
        </w:rPr>
        <w:t xml:space="preserve"> that investors value both analysts information discovery and interpretative functions. H</w:t>
      </w:r>
      <w:r w:rsidR="008F4FE5" w:rsidRPr="00D06F2B">
        <w:rPr>
          <w:rFonts w:ascii="Garamond" w:hAnsi="Garamond"/>
          <w:sz w:val="24"/>
          <w:szCs w:val="24"/>
          <w:lang w:val="en-US"/>
        </w:rPr>
        <w:t>owever, during the pandemic</w:t>
      </w:r>
      <w:r w:rsidR="00B72FBD" w:rsidRPr="00D06F2B">
        <w:rPr>
          <w:rFonts w:ascii="Garamond" w:hAnsi="Garamond"/>
          <w:sz w:val="24"/>
          <w:szCs w:val="24"/>
          <w:lang w:val="en-US"/>
        </w:rPr>
        <w:t>, investors value more analyst private information discovery role</w:t>
      </w:r>
      <w:r w:rsidR="000E29FF" w:rsidRPr="00D06F2B">
        <w:rPr>
          <w:rFonts w:ascii="Garamond" w:hAnsi="Garamond"/>
          <w:sz w:val="24"/>
          <w:szCs w:val="24"/>
          <w:lang w:val="en-US"/>
        </w:rPr>
        <w:t>, a result consistent with greater demand for private information discovery.</w:t>
      </w:r>
      <w:r>
        <w:rPr>
          <w:rFonts w:ascii="Garamond" w:hAnsi="Garamond"/>
          <w:sz w:val="24"/>
          <w:szCs w:val="24"/>
          <w:lang w:val="en-US"/>
        </w:rPr>
        <w:t xml:space="preserve">  </w:t>
      </w:r>
    </w:p>
    <w:p w14:paraId="283761BF" w14:textId="45A64181" w:rsidR="007C0802" w:rsidRPr="00D06F2B" w:rsidRDefault="007B1C19" w:rsidP="00EA4B86">
      <w:pPr>
        <w:spacing w:after="0" w:line="480" w:lineRule="auto"/>
        <w:rPr>
          <w:rFonts w:ascii="Garamond" w:hAnsi="Garamond"/>
          <w:b/>
          <w:bCs/>
          <w:sz w:val="24"/>
          <w:szCs w:val="24"/>
          <w:lang w:val="en-US"/>
        </w:rPr>
      </w:pPr>
      <w:r w:rsidRPr="00D06F2B">
        <w:rPr>
          <w:rFonts w:ascii="Garamond" w:hAnsi="Garamond"/>
          <w:sz w:val="24"/>
          <w:szCs w:val="24"/>
          <w:lang w:val="en-US"/>
        </w:rPr>
        <w:tab/>
      </w:r>
      <w:r w:rsidR="008F4FE5" w:rsidRPr="00D06F2B">
        <w:rPr>
          <w:rFonts w:ascii="Garamond" w:hAnsi="Garamond"/>
          <w:sz w:val="24"/>
          <w:szCs w:val="24"/>
          <w:lang w:val="en-US"/>
        </w:rPr>
        <w:t xml:space="preserve"> </w:t>
      </w:r>
      <w:r w:rsidR="00696C7C" w:rsidRPr="00D06F2B">
        <w:rPr>
          <w:rFonts w:ascii="Garamond" w:hAnsi="Garamond"/>
          <w:sz w:val="24"/>
          <w:szCs w:val="24"/>
          <w:lang w:val="en-US"/>
        </w:rPr>
        <w:t>Th</w:t>
      </w:r>
      <w:r w:rsidR="000E29FF" w:rsidRPr="00D06F2B">
        <w:rPr>
          <w:rFonts w:ascii="Garamond" w:hAnsi="Garamond"/>
          <w:sz w:val="24"/>
          <w:szCs w:val="24"/>
          <w:lang w:val="en-US"/>
        </w:rPr>
        <w:t>is</w:t>
      </w:r>
      <w:r w:rsidR="00696C7C" w:rsidRPr="00D06F2B">
        <w:rPr>
          <w:rFonts w:ascii="Garamond" w:hAnsi="Garamond"/>
          <w:sz w:val="24"/>
          <w:szCs w:val="24"/>
          <w:lang w:val="en-US"/>
        </w:rPr>
        <w:t xml:space="preserve"> study </w:t>
      </w:r>
      <w:r w:rsidR="00E034B2" w:rsidRPr="00D06F2B">
        <w:rPr>
          <w:rFonts w:ascii="Garamond" w:hAnsi="Garamond"/>
          <w:sz w:val="24"/>
          <w:szCs w:val="24"/>
          <w:lang w:val="en-US"/>
        </w:rPr>
        <w:t>offers several contributions. First, we c</w:t>
      </w:r>
      <w:r w:rsidR="00696C7C" w:rsidRPr="00D06F2B">
        <w:rPr>
          <w:rFonts w:ascii="Garamond" w:hAnsi="Garamond"/>
          <w:sz w:val="24"/>
          <w:szCs w:val="24"/>
          <w:lang w:val="en-US"/>
        </w:rPr>
        <w:t xml:space="preserve">ontribute to </w:t>
      </w:r>
      <w:r w:rsidR="000C6AB5" w:rsidRPr="00D06F2B">
        <w:rPr>
          <w:rFonts w:ascii="Garamond" w:hAnsi="Garamond"/>
          <w:sz w:val="24"/>
          <w:szCs w:val="24"/>
          <w:lang w:val="en-US"/>
        </w:rPr>
        <w:t xml:space="preserve">the </w:t>
      </w:r>
      <w:r w:rsidR="00696C7C" w:rsidRPr="00D06F2B">
        <w:rPr>
          <w:rFonts w:ascii="Garamond" w:hAnsi="Garamond"/>
          <w:sz w:val="24"/>
          <w:szCs w:val="24"/>
          <w:lang w:val="en-US"/>
        </w:rPr>
        <w:t xml:space="preserve">accounting </w:t>
      </w:r>
      <w:r w:rsidR="000C6AB5" w:rsidRPr="00D06F2B">
        <w:rPr>
          <w:rFonts w:ascii="Garamond" w:hAnsi="Garamond"/>
          <w:sz w:val="24"/>
          <w:szCs w:val="24"/>
          <w:lang w:val="en-US"/>
        </w:rPr>
        <w:t xml:space="preserve">literature </w:t>
      </w:r>
      <w:r w:rsidR="00696C7C" w:rsidRPr="00D06F2B">
        <w:rPr>
          <w:rFonts w:ascii="Garamond" w:hAnsi="Garamond"/>
          <w:sz w:val="24"/>
          <w:szCs w:val="24"/>
          <w:lang w:val="en-US"/>
        </w:rPr>
        <w:t xml:space="preserve">that examines the capital markets consequences of analyst research. This literature </w:t>
      </w:r>
      <w:r w:rsidR="000C6AB5" w:rsidRPr="00D06F2B">
        <w:rPr>
          <w:rFonts w:ascii="Garamond" w:hAnsi="Garamond"/>
          <w:sz w:val="24"/>
          <w:szCs w:val="24"/>
          <w:lang w:val="en-US"/>
        </w:rPr>
        <w:t>examined</w:t>
      </w:r>
      <w:r w:rsidR="00696C7C" w:rsidRPr="00D06F2B">
        <w:rPr>
          <w:rFonts w:ascii="Garamond" w:hAnsi="Garamond"/>
          <w:sz w:val="24"/>
          <w:szCs w:val="24"/>
          <w:lang w:val="en-US"/>
        </w:rPr>
        <w:t xml:space="preserve"> the </w:t>
      </w:r>
      <w:r w:rsidR="000C6AB5" w:rsidRPr="00D06F2B">
        <w:rPr>
          <w:rFonts w:ascii="Garamond" w:hAnsi="Garamond"/>
          <w:sz w:val="24"/>
          <w:szCs w:val="24"/>
          <w:lang w:val="en-US"/>
        </w:rPr>
        <w:t xml:space="preserve">accuracy </w:t>
      </w:r>
      <w:r w:rsidR="000C6AB5" w:rsidRPr="00D06F2B">
        <w:rPr>
          <w:rFonts w:ascii="Garamond" w:hAnsi="Garamond"/>
          <w:sz w:val="24"/>
          <w:szCs w:val="24"/>
          <w:lang w:val="en-US"/>
        </w:rPr>
        <w:lastRenderedPageBreak/>
        <w:t xml:space="preserve">and </w:t>
      </w:r>
      <w:r w:rsidR="00696C7C" w:rsidRPr="00D06F2B">
        <w:rPr>
          <w:rFonts w:ascii="Garamond" w:hAnsi="Garamond"/>
          <w:sz w:val="24"/>
          <w:szCs w:val="24"/>
          <w:lang w:val="en-US"/>
        </w:rPr>
        <w:t xml:space="preserve">price impact of analyst </w:t>
      </w:r>
      <w:r w:rsidR="00FE3AD2" w:rsidRPr="00D06F2B">
        <w:rPr>
          <w:rFonts w:ascii="Garamond" w:hAnsi="Garamond"/>
          <w:sz w:val="24"/>
          <w:szCs w:val="24"/>
          <w:lang w:val="en-US"/>
        </w:rPr>
        <w:t>forecasts</w:t>
      </w:r>
      <w:r w:rsidR="000E29FF" w:rsidRPr="00D06F2B">
        <w:rPr>
          <w:rFonts w:ascii="Garamond" w:hAnsi="Garamond"/>
          <w:sz w:val="24"/>
          <w:szCs w:val="24"/>
          <w:lang w:val="en-US"/>
        </w:rPr>
        <w:t>,</w:t>
      </w:r>
      <w:r w:rsidR="000C6AB5" w:rsidRPr="00D06F2B">
        <w:rPr>
          <w:rFonts w:ascii="Garamond" w:hAnsi="Garamond"/>
          <w:sz w:val="24"/>
          <w:szCs w:val="24"/>
          <w:lang w:val="en-US"/>
        </w:rPr>
        <w:t xml:space="preserve"> and the importance of </w:t>
      </w:r>
      <w:r w:rsidR="000E29FF" w:rsidRPr="00D06F2B">
        <w:rPr>
          <w:rFonts w:ascii="Garamond" w:hAnsi="Garamond"/>
          <w:sz w:val="24"/>
          <w:szCs w:val="24"/>
          <w:lang w:val="en-US"/>
        </w:rPr>
        <w:t xml:space="preserve">analyst </w:t>
      </w:r>
      <w:r w:rsidR="000A0F02" w:rsidRPr="00D06F2B">
        <w:rPr>
          <w:rFonts w:ascii="Garamond" w:hAnsi="Garamond"/>
          <w:sz w:val="24"/>
          <w:szCs w:val="24"/>
          <w:lang w:val="en-US"/>
        </w:rPr>
        <w:t>information</w:t>
      </w:r>
      <w:r w:rsidR="000C6AB5" w:rsidRPr="00D06F2B">
        <w:rPr>
          <w:rFonts w:ascii="Garamond" w:hAnsi="Garamond"/>
          <w:sz w:val="24"/>
          <w:szCs w:val="24"/>
          <w:lang w:val="en-US"/>
        </w:rPr>
        <w:t xml:space="preserve"> discovery</w:t>
      </w:r>
      <w:r w:rsidR="000E29FF" w:rsidRPr="00D06F2B">
        <w:rPr>
          <w:rFonts w:ascii="Garamond" w:hAnsi="Garamond"/>
          <w:sz w:val="24"/>
          <w:szCs w:val="24"/>
          <w:lang w:val="en-US"/>
        </w:rPr>
        <w:t xml:space="preserve"> role</w:t>
      </w:r>
      <w:r w:rsidR="000C6AB5" w:rsidRPr="00D06F2B">
        <w:rPr>
          <w:rFonts w:ascii="Garamond" w:hAnsi="Garamond"/>
          <w:sz w:val="24"/>
          <w:szCs w:val="24"/>
          <w:lang w:val="en-US"/>
        </w:rPr>
        <w:t xml:space="preserve"> compared to</w:t>
      </w:r>
      <w:r w:rsidR="000E29FF" w:rsidRPr="00D06F2B">
        <w:rPr>
          <w:rFonts w:ascii="Garamond" w:hAnsi="Garamond"/>
          <w:sz w:val="24"/>
          <w:szCs w:val="24"/>
          <w:lang w:val="en-US"/>
        </w:rPr>
        <w:t xml:space="preserve"> the information</w:t>
      </w:r>
      <w:r w:rsidR="000C6AB5" w:rsidRPr="00D06F2B">
        <w:rPr>
          <w:rFonts w:ascii="Garamond" w:hAnsi="Garamond"/>
          <w:sz w:val="24"/>
          <w:szCs w:val="24"/>
          <w:lang w:val="en-US"/>
        </w:rPr>
        <w:t xml:space="preserve"> interpretative </w:t>
      </w:r>
      <w:r w:rsidR="00A27C82" w:rsidRPr="00D06F2B">
        <w:rPr>
          <w:rFonts w:ascii="Garamond" w:hAnsi="Garamond"/>
          <w:sz w:val="24"/>
          <w:szCs w:val="24"/>
          <w:lang w:val="en-US"/>
        </w:rPr>
        <w:t>function</w:t>
      </w:r>
      <w:r w:rsidR="000C6AB5" w:rsidRPr="00D06F2B">
        <w:rPr>
          <w:rFonts w:ascii="Garamond" w:hAnsi="Garamond"/>
          <w:sz w:val="24"/>
          <w:szCs w:val="24"/>
          <w:lang w:val="en-US"/>
        </w:rPr>
        <w:t xml:space="preserve"> (</w:t>
      </w:r>
      <w:bookmarkStart w:id="2" w:name="_Hlk66964674"/>
      <w:r w:rsidR="000C6AB5" w:rsidRPr="00D06F2B">
        <w:rPr>
          <w:rFonts w:ascii="Garamond" w:hAnsi="Garamond"/>
          <w:sz w:val="24"/>
          <w:szCs w:val="24"/>
          <w:lang w:val="en-US"/>
        </w:rPr>
        <w:t xml:space="preserve">Dempsey 1989, Shores 1990, Womack 1996, </w:t>
      </w:r>
      <w:proofErr w:type="spellStart"/>
      <w:r w:rsidR="000C6AB5" w:rsidRPr="00D06F2B">
        <w:rPr>
          <w:rFonts w:ascii="Garamond" w:hAnsi="Garamond"/>
          <w:sz w:val="24"/>
          <w:szCs w:val="24"/>
          <w:lang w:val="en-US"/>
        </w:rPr>
        <w:t>Loh</w:t>
      </w:r>
      <w:proofErr w:type="spellEnd"/>
      <w:r w:rsidR="000C6AB5" w:rsidRPr="00D06F2B">
        <w:rPr>
          <w:rFonts w:ascii="Garamond" w:hAnsi="Garamond"/>
          <w:sz w:val="24"/>
          <w:szCs w:val="24"/>
          <w:lang w:val="en-US"/>
        </w:rPr>
        <w:t xml:space="preserve"> and </w:t>
      </w:r>
      <w:proofErr w:type="spellStart"/>
      <w:r w:rsidR="000C6AB5" w:rsidRPr="00D06F2B">
        <w:rPr>
          <w:rFonts w:ascii="Garamond" w:hAnsi="Garamond"/>
          <w:sz w:val="24"/>
          <w:szCs w:val="24"/>
          <w:lang w:val="en-US"/>
        </w:rPr>
        <w:t>Stulz</w:t>
      </w:r>
      <w:proofErr w:type="spellEnd"/>
      <w:r w:rsidR="000C6AB5" w:rsidRPr="00D06F2B">
        <w:rPr>
          <w:rFonts w:ascii="Garamond" w:hAnsi="Garamond"/>
          <w:sz w:val="24"/>
          <w:szCs w:val="24"/>
          <w:lang w:val="en-US"/>
        </w:rPr>
        <w:t xml:space="preserve"> 2011</w:t>
      </w:r>
      <w:r w:rsidR="006C32D5" w:rsidRPr="00D06F2B">
        <w:rPr>
          <w:rFonts w:ascii="Garamond" w:hAnsi="Garamond"/>
          <w:sz w:val="24"/>
          <w:szCs w:val="24"/>
          <w:lang w:val="en-US"/>
        </w:rPr>
        <w:t>,</w:t>
      </w:r>
      <w:r w:rsidR="000C6AB5" w:rsidRPr="00D06F2B">
        <w:rPr>
          <w:rFonts w:ascii="Garamond" w:hAnsi="Garamond"/>
          <w:sz w:val="24"/>
          <w:szCs w:val="24"/>
          <w:lang w:val="en-US"/>
        </w:rPr>
        <w:t xml:space="preserve"> </w:t>
      </w:r>
      <w:proofErr w:type="spellStart"/>
      <w:r w:rsidR="00696C7C" w:rsidRPr="00D06F2B">
        <w:rPr>
          <w:rFonts w:ascii="Garamond" w:hAnsi="Garamond"/>
          <w:sz w:val="24"/>
          <w:szCs w:val="24"/>
          <w:lang w:val="en-US"/>
        </w:rPr>
        <w:t>Ivkovic</w:t>
      </w:r>
      <w:proofErr w:type="spellEnd"/>
      <w:r w:rsidR="00696C7C" w:rsidRPr="00D06F2B">
        <w:rPr>
          <w:rFonts w:ascii="Garamond" w:hAnsi="Garamond"/>
          <w:sz w:val="24"/>
          <w:szCs w:val="24"/>
          <w:lang w:val="en-US"/>
        </w:rPr>
        <w:t xml:space="preserve"> and </w:t>
      </w:r>
      <w:proofErr w:type="spellStart"/>
      <w:r w:rsidR="00696C7C" w:rsidRPr="00D06F2B">
        <w:rPr>
          <w:rFonts w:ascii="Garamond" w:hAnsi="Garamond"/>
          <w:sz w:val="24"/>
          <w:szCs w:val="24"/>
          <w:lang w:val="en-US"/>
        </w:rPr>
        <w:t>Jegadeesh</w:t>
      </w:r>
      <w:proofErr w:type="spellEnd"/>
      <w:r w:rsidR="00696C7C" w:rsidRPr="00D06F2B">
        <w:rPr>
          <w:rFonts w:ascii="Garamond" w:hAnsi="Garamond"/>
          <w:sz w:val="24"/>
          <w:szCs w:val="24"/>
          <w:lang w:val="en-US"/>
        </w:rPr>
        <w:t>, 2004, Chen, Cheng and Lo 2010</w:t>
      </w:r>
      <w:bookmarkEnd w:id="2"/>
      <w:r w:rsidR="00FE3AD2" w:rsidRPr="00D06F2B">
        <w:rPr>
          <w:rFonts w:ascii="Garamond" w:hAnsi="Garamond"/>
          <w:sz w:val="24"/>
          <w:szCs w:val="24"/>
          <w:lang w:val="en-US"/>
        </w:rPr>
        <w:t>)</w:t>
      </w:r>
      <w:r w:rsidR="000C6AB5" w:rsidRPr="00D06F2B">
        <w:rPr>
          <w:rFonts w:ascii="Garamond" w:hAnsi="Garamond"/>
          <w:sz w:val="24"/>
          <w:szCs w:val="24"/>
          <w:lang w:val="en-US"/>
        </w:rPr>
        <w:t xml:space="preserve">. </w:t>
      </w:r>
      <w:r w:rsidR="00EA4B86" w:rsidRPr="00D06F2B">
        <w:rPr>
          <w:rFonts w:ascii="Garamond" w:hAnsi="Garamond"/>
          <w:sz w:val="24"/>
          <w:szCs w:val="24"/>
          <w:lang w:val="en-US"/>
        </w:rPr>
        <w:t xml:space="preserve">We document </w:t>
      </w:r>
      <w:r w:rsidR="000C6AB5" w:rsidRPr="00D06F2B">
        <w:rPr>
          <w:rFonts w:ascii="Garamond" w:hAnsi="Garamond"/>
          <w:sz w:val="24"/>
          <w:szCs w:val="24"/>
          <w:lang w:val="en-US"/>
        </w:rPr>
        <w:t>how the COVID-19 pandemic, a tail-risk event, affect</w:t>
      </w:r>
      <w:r w:rsidR="00EA4B86" w:rsidRPr="00D06F2B">
        <w:rPr>
          <w:rFonts w:ascii="Garamond" w:hAnsi="Garamond"/>
          <w:sz w:val="24"/>
          <w:szCs w:val="24"/>
          <w:lang w:val="en-US"/>
        </w:rPr>
        <w:t>ed</w:t>
      </w:r>
      <w:r w:rsidR="000C6AB5" w:rsidRPr="00D06F2B">
        <w:rPr>
          <w:rFonts w:ascii="Garamond" w:hAnsi="Garamond"/>
          <w:sz w:val="24"/>
          <w:szCs w:val="24"/>
          <w:lang w:val="en-US"/>
        </w:rPr>
        <w:t xml:space="preserve"> analysts research production, accuracy of their </w:t>
      </w:r>
      <w:r w:rsidR="000E29FF" w:rsidRPr="00D06F2B">
        <w:rPr>
          <w:rFonts w:ascii="Garamond" w:hAnsi="Garamond"/>
          <w:sz w:val="24"/>
          <w:szCs w:val="24"/>
          <w:lang w:val="en-US"/>
        </w:rPr>
        <w:t>forecasts</w:t>
      </w:r>
      <w:r w:rsidR="008A55D2">
        <w:rPr>
          <w:rFonts w:ascii="Garamond" w:hAnsi="Garamond"/>
          <w:sz w:val="24"/>
          <w:szCs w:val="24"/>
          <w:lang w:val="en-US"/>
        </w:rPr>
        <w:t>,</w:t>
      </w:r>
      <w:r w:rsidR="000C6AB5" w:rsidRPr="00D06F2B">
        <w:rPr>
          <w:rFonts w:ascii="Garamond" w:hAnsi="Garamond"/>
          <w:sz w:val="24"/>
          <w:szCs w:val="24"/>
          <w:lang w:val="en-US"/>
        </w:rPr>
        <w:t xml:space="preserve"> and investor assessment of analyst research information content</w:t>
      </w:r>
      <w:r w:rsidR="00B871E4" w:rsidRPr="00D06F2B">
        <w:rPr>
          <w:rFonts w:ascii="Garamond" w:hAnsi="Garamond"/>
          <w:sz w:val="24"/>
          <w:szCs w:val="24"/>
          <w:lang w:val="en-US"/>
        </w:rPr>
        <w:t xml:space="preserve">. </w:t>
      </w:r>
      <w:r w:rsidR="00FE0001" w:rsidRPr="00D06F2B">
        <w:rPr>
          <w:rFonts w:ascii="Garamond" w:hAnsi="Garamond"/>
          <w:sz w:val="24"/>
          <w:szCs w:val="24"/>
          <w:lang w:val="en-US"/>
        </w:rPr>
        <w:t xml:space="preserve">Further, </w:t>
      </w:r>
      <w:r w:rsidR="008A55D2">
        <w:rPr>
          <w:rFonts w:ascii="Garamond" w:hAnsi="Garamond"/>
          <w:sz w:val="24"/>
          <w:szCs w:val="24"/>
          <w:lang w:val="en-US"/>
        </w:rPr>
        <w:t>we report</w:t>
      </w:r>
      <w:r w:rsidR="00EA4B86" w:rsidRPr="00D06F2B">
        <w:rPr>
          <w:rFonts w:ascii="Garamond" w:hAnsi="Garamond"/>
          <w:sz w:val="24"/>
          <w:szCs w:val="24"/>
          <w:lang w:val="en-US"/>
        </w:rPr>
        <w:t xml:space="preserve"> significant value </w:t>
      </w:r>
      <w:r w:rsidR="000E29FF" w:rsidRPr="00D06F2B">
        <w:rPr>
          <w:rFonts w:ascii="Garamond" w:hAnsi="Garamond"/>
          <w:sz w:val="24"/>
          <w:szCs w:val="24"/>
          <w:lang w:val="en-US"/>
        </w:rPr>
        <w:t>of</w:t>
      </w:r>
      <w:r w:rsidR="00EA4B86" w:rsidRPr="00D06F2B">
        <w:rPr>
          <w:rFonts w:ascii="Garamond" w:hAnsi="Garamond"/>
          <w:sz w:val="24"/>
          <w:szCs w:val="24"/>
          <w:lang w:val="en-US"/>
        </w:rPr>
        <w:t xml:space="preserve"> analyst </w:t>
      </w:r>
      <w:r w:rsidR="000E29FF" w:rsidRPr="00D06F2B">
        <w:rPr>
          <w:rFonts w:ascii="Garamond" w:hAnsi="Garamond"/>
          <w:sz w:val="24"/>
          <w:szCs w:val="24"/>
          <w:lang w:val="en-US"/>
        </w:rPr>
        <w:t xml:space="preserve">information </w:t>
      </w:r>
      <w:r w:rsidR="00EA4B86" w:rsidRPr="00D06F2B">
        <w:rPr>
          <w:rFonts w:ascii="Garamond" w:hAnsi="Garamond"/>
          <w:sz w:val="24"/>
          <w:szCs w:val="24"/>
          <w:lang w:val="en-US"/>
        </w:rPr>
        <w:t>intermediation role during periods of high market uncertainty.</w:t>
      </w:r>
      <w:r w:rsidR="007C0802" w:rsidRPr="00D06F2B">
        <w:rPr>
          <w:rFonts w:ascii="Garamond" w:hAnsi="Garamond"/>
          <w:sz w:val="24"/>
          <w:szCs w:val="24"/>
          <w:lang w:val="en-US"/>
        </w:rPr>
        <w:t xml:space="preserve"> </w:t>
      </w:r>
      <w:r w:rsidR="008A55D2">
        <w:rPr>
          <w:rFonts w:ascii="Garamond" w:hAnsi="Garamond"/>
          <w:sz w:val="24"/>
          <w:szCs w:val="24"/>
          <w:lang w:val="en-US"/>
        </w:rPr>
        <w:t>Our</w:t>
      </w:r>
      <w:r w:rsidR="007C0802" w:rsidRPr="00D06F2B">
        <w:rPr>
          <w:rFonts w:ascii="Garamond" w:hAnsi="Garamond"/>
          <w:sz w:val="24"/>
          <w:szCs w:val="24"/>
          <w:lang w:val="en-US"/>
        </w:rPr>
        <w:t xml:space="preserve"> evidence contrasts the view on the declining importance of sell-side analysts in the market stemming from regulatory changes</w:t>
      </w:r>
      <w:r w:rsidR="00FE0001" w:rsidRPr="00D06F2B">
        <w:rPr>
          <w:rFonts w:ascii="Garamond" w:hAnsi="Garamond"/>
          <w:sz w:val="24"/>
          <w:szCs w:val="24"/>
          <w:lang w:val="en-US"/>
        </w:rPr>
        <w:t xml:space="preserve">, such as Markets In Financial Instruments Directive II in Europe </w:t>
      </w:r>
      <w:r w:rsidR="007C0802" w:rsidRPr="00D06F2B">
        <w:rPr>
          <w:rFonts w:ascii="Garamond" w:hAnsi="Garamond"/>
          <w:sz w:val="24"/>
          <w:szCs w:val="24"/>
          <w:lang w:val="en-US"/>
        </w:rPr>
        <w:t>(</w:t>
      </w:r>
      <w:bookmarkStart w:id="3" w:name="_Hlk66964683"/>
      <w:r w:rsidR="001D5392" w:rsidRPr="00D06F2B">
        <w:rPr>
          <w:rFonts w:ascii="Garamond" w:hAnsi="Garamond"/>
          <w:sz w:val="24"/>
          <w:szCs w:val="24"/>
          <w:lang w:val="en-US"/>
        </w:rPr>
        <w:t>Fang, Hope, Huang and Moldovan 2020</w:t>
      </w:r>
      <w:bookmarkEnd w:id="3"/>
      <w:r w:rsidR="007C0802" w:rsidRPr="00D06F2B">
        <w:rPr>
          <w:rFonts w:ascii="Garamond" w:hAnsi="Garamond"/>
          <w:sz w:val="24"/>
          <w:szCs w:val="24"/>
          <w:lang w:val="en-US"/>
        </w:rPr>
        <w:t xml:space="preserve">), declining research budgets, </w:t>
      </w:r>
      <w:r w:rsidR="00FE0001" w:rsidRPr="00D06F2B">
        <w:rPr>
          <w:rFonts w:ascii="Garamond" w:hAnsi="Garamond"/>
          <w:sz w:val="24"/>
          <w:szCs w:val="24"/>
          <w:lang w:val="en-US"/>
        </w:rPr>
        <w:t>and</w:t>
      </w:r>
      <w:r w:rsidR="00426A66" w:rsidRPr="00D06F2B">
        <w:rPr>
          <w:rFonts w:ascii="Garamond" w:hAnsi="Garamond"/>
          <w:sz w:val="24"/>
          <w:szCs w:val="24"/>
          <w:lang w:val="en-US"/>
        </w:rPr>
        <w:t xml:space="preserve"> an</w:t>
      </w:r>
      <w:r w:rsidR="00FE0001" w:rsidRPr="00D06F2B">
        <w:rPr>
          <w:rFonts w:ascii="Garamond" w:hAnsi="Garamond"/>
          <w:sz w:val="24"/>
          <w:szCs w:val="24"/>
          <w:lang w:val="en-US"/>
        </w:rPr>
        <w:t xml:space="preserve"> </w:t>
      </w:r>
      <w:r w:rsidR="007C0802" w:rsidRPr="00D06F2B">
        <w:rPr>
          <w:rFonts w:ascii="Garamond" w:hAnsi="Garamond"/>
          <w:sz w:val="24"/>
          <w:szCs w:val="24"/>
          <w:lang w:val="en-US"/>
        </w:rPr>
        <w:t>increasing shift to passive ownership</w:t>
      </w:r>
      <w:r w:rsidR="002A2C85" w:rsidRPr="00D06F2B">
        <w:rPr>
          <w:rFonts w:ascii="Garamond" w:hAnsi="Garamond"/>
          <w:sz w:val="24"/>
          <w:szCs w:val="24"/>
          <w:lang w:val="en-US"/>
        </w:rPr>
        <w:t xml:space="preserve"> (</w:t>
      </w:r>
      <w:bookmarkStart w:id="4" w:name="_Hlk66964686"/>
      <w:r w:rsidR="00D42D0D" w:rsidRPr="00D06F2B">
        <w:rPr>
          <w:rFonts w:ascii="Garamond" w:hAnsi="Garamond"/>
          <w:sz w:val="24"/>
          <w:szCs w:val="24"/>
          <w:lang w:val="en-US"/>
        </w:rPr>
        <w:t xml:space="preserve">Appel, Gormley and </w:t>
      </w:r>
      <w:proofErr w:type="spellStart"/>
      <w:r w:rsidR="00D42D0D" w:rsidRPr="00D06F2B">
        <w:rPr>
          <w:rFonts w:ascii="Garamond" w:hAnsi="Garamond"/>
          <w:sz w:val="24"/>
          <w:szCs w:val="24"/>
          <w:lang w:val="en-US"/>
        </w:rPr>
        <w:t>Keim</w:t>
      </w:r>
      <w:proofErr w:type="spellEnd"/>
      <w:r w:rsidR="00D42D0D" w:rsidRPr="00D06F2B">
        <w:rPr>
          <w:rFonts w:ascii="Garamond" w:hAnsi="Garamond"/>
          <w:sz w:val="24"/>
          <w:szCs w:val="24"/>
          <w:lang w:val="en-US"/>
        </w:rPr>
        <w:t xml:space="preserve"> 2016</w:t>
      </w:r>
      <w:bookmarkEnd w:id="4"/>
      <w:r w:rsidR="002A2C85" w:rsidRPr="00D06F2B">
        <w:rPr>
          <w:rFonts w:ascii="Garamond" w:hAnsi="Garamond"/>
          <w:sz w:val="24"/>
          <w:szCs w:val="24"/>
          <w:lang w:val="en-US"/>
        </w:rPr>
        <w:t>)</w:t>
      </w:r>
      <w:r w:rsidR="007C0802" w:rsidRPr="00D06F2B">
        <w:rPr>
          <w:rFonts w:ascii="Garamond" w:hAnsi="Garamond"/>
          <w:sz w:val="24"/>
          <w:szCs w:val="24"/>
          <w:lang w:val="en-US"/>
        </w:rPr>
        <w:t>.</w:t>
      </w:r>
      <w:r w:rsidR="00426A66" w:rsidRPr="00D06F2B">
        <w:rPr>
          <w:rStyle w:val="FootnoteReference"/>
          <w:rFonts w:ascii="Garamond" w:hAnsi="Garamond"/>
          <w:sz w:val="24"/>
          <w:szCs w:val="24"/>
          <w:lang w:val="en-US"/>
        </w:rPr>
        <w:footnoteReference w:id="8"/>
      </w:r>
      <w:r w:rsidR="007C0802" w:rsidRPr="00D06F2B">
        <w:rPr>
          <w:rFonts w:ascii="Garamond" w:hAnsi="Garamond"/>
          <w:sz w:val="24"/>
          <w:szCs w:val="24"/>
          <w:lang w:val="en-US"/>
        </w:rPr>
        <w:t xml:space="preserve"> </w:t>
      </w:r>
    </w:p>
    <w:p w14:paraId="62C5C0DD" w14:textId="68909E06" w:rsidR="00B871E4" w:rsidRPr="00D06F2B" w:rsidRDefault="00E034B2" w:rsidP="00E034B2">
      <w:pPr>
        <w:spacing w:after="0" w:line="480" w:lineRule="auto"/>
        <w:ind w:firstLine="720"/>
        <w:rPr>
          <w:rFonts w:ascii="Garamond" w:hAnsi="Garamond"/>
          <w:sz w:val="24"/>
          <w:szCs w:val="24"/>
          <w:lang w:val="en-US"/>
        </w:rPr>
      </w:pPr>
      <w:r w:rsidRPr="00D06F2B">
        <w:rPr>
          <w:rFonts w:ascii="Garamond" w:hAnsi="Garamond"/>
          <w:sz w:val="24"/>
          <w:szCs w:val="24"/>
          <w:lang w:val="en-US"/>
        </w:rPr>
        <w:t>Second, t</w:t>
      </w:r>
      <w:r w:rsidR="004B6C02" w:rsidRPr="00D06F2B">
        <w:rPr>
          <w:rFonts w:ascii="Garamond" w:hAnsi="Garamond"/>
          <w:sz w:val="24"/>
          <w:szCs w:val="24"/>
          <w:lang w:val="en-US"/>
        </w:rPr>
        <w:t>he study</w:t>
      </w:r>
      <w:r w:rsidR="000E29FF" w:rsidRPr="00D06F2B">
        <w:rPr>
          <w:rFonts w:ascii="Garamond" w:hAnsi="Garamond"/>
          <w:sz w:val="24"/>
          <w:szCs w:val="24"/>
          <w:lang w:val="en-US"/>
        </w:rPr>
        <w:t xml:space="preserve"> </w:t>
      </w:r>
      <w:r w:rsidR="004B6C02" w:rsidRPr="00D06F2B">
        <w:rPr>
          <w:rFonts w:ascii="Garamond" w:hAnsi="Garamond"/>
          <w:sz w:val="24"/>
          <w:szCs w:val="24"/>
          <w:lang w:val="en-US"/>
        </w:rPr>
        <w:t xml:space="preserve">contributes to the literature </w:t>
      </w:r>
      <w:r w:rsidR="00B871E4" w:rsidRPr="00D06F2B">
        <w:rPr>
          <w:rFonts w:ascii="Garamond" w:hAnsi="Garamond"/>
          <w:sz w:val="24"/>
          <w:szCs w:val="24"/>
          <w:lang w:val="en-US"/>
        </w:rPr>
        <w:t xml:space="preserve">on the </w:t>
      </w:r>
      <w:r w:rsidR="00283825" w:rsidRPr="00D06F2B">
        <w:rPr>
          <w:rFonts w:ascii="Garamond" w:hAnsi="Garamond"/>
          <w:sz w:val="24"/>
          <w:szCs w:val="24"/>
          <w:lang w:val="en-US"/>
        </w:rPr>
        <w:t xml:space="preserve">consequences of </w:t>
      </w:r>
      <w:r w:rsidRPr="00D06F2B">
        <w:rPr>
          <w:rFonts w:ascii="Garamond" w:hAnsi="Garamond"/>
          <w:sz w:val="24"/>
          <w:szCs w:val="24"/>
          <w:lang w:val="en-US"/>
        </w:rPr>
        <w:t>market shocks, such as</w:t>
      </w:r>
      <w:r w:rsidR="00283825" w:rsidRPr="00D06F2B">
        <w:rPr>
          <w:rFonts w:ascii="Garamond" w:hAnsi="Garamond"/>
          <w:sz w:val="24"/>
          <w:szCs w:val="24"/>
          <w:lang w:val="en-US"/>
        </w:rPr>
        <w:t xml:space="preserve"> tail and</w:t>
      </w:r>
      <w:r w:rsidRPr="00D06F2B">
        <w:rPr>
          <w:rFonts w:ascii="Garamond" w:hAnsi="Garamond"/>
          <w:sz w:val="24"/>
          <w:szCs w:val="24"/>
          <w:lang w:val="en-US"/>
        </w:rPr>
        <w:t xml:space="preserve"> </w:t>
      </w:r>
      <w:r w:rsidR="00B871E4" w:rsidRPr="00D06F2B">
        <w:rPr>
          <w:rFonts w:ascii="Garamond" w:hAnsi="Garamond"/>
          <w:sz w:val="24"/>
          <w:szCs w:val="24"/>
          <w:lang w:val="en-US"/>
        </w:rPr>
        <w:t>crash risk</w:t>
      </w:r>
      <w:r w:rsidR="00283825" w:rsidRPr="00D06F2B">
        <w:rPr>
          <w:rFonts w:ascii="Garamond" w:hAnsi="Garamond"/>
          <w:sz w:val="24"/>
          <w:szCs w:val="24"/>
          <w:lang w:val="en-US"/>
        </w:rPr>
        <w:t xml:space="preserve"> events</w:t>
      </w:r>
      <w:r w:rsidR="00B871E4" w:rsidRPr="00D06F2B">
        <w:rPr>
          <w:rFonts w:ascii="Garamond" w:hAnsi="Garamond"/>
          <w:sz w:val="24"/>
          <w:szCs w:val="24"/>
          <w:lang w:val="en-US"/>
        </w:rPr>
        <w:t xml:space="preserve">. The literature on crash risk has focused on its </w:t>
      </w:r>
      <w:r w:rsidRPr="00D06F2B">
        <w:rPr>
          <w:rFonts w:ascii="Garamond" w:hAnsi="Garamond"/>
          <w:sz w:val="24"/>
          <w:szCs w:val="24"/>
          <w:lang w:val="en-US"/>
        </w:rPr>
        <w:t>determinants</w:t>
      </w:r>
      <w:r w:rsidR="00B871E4" w:rsidRPr="00D06F2B">
        <w:rPr>
          <w:rFonts w:ascii="Garamond" w:hAnsi="Garamond"/>
          <w:sz w:val="24"/>
          <w:szCs w:val="24"/>
          <w:lang w:val="en-US"/>
        </w:rPr>
        <w:t xml:space="preserve"> as studying </w:t>
      </w:r>
      <w:r w:rsidRPr="00D06F2B">
        <w:rPr>
          <w:rFonts w:ascii="Garamond" w:hAnsi="Garamond"/>
          <w:sz w:val="24"/>
          <w:szCs w:val="24"/>
          <w:lang w:val="en-US"/>
        </w:rPr>
        <w:t>consequences</w:t>
      </w:r>
      <w:r w:rsidR="00B871E4" w:rsidRPr="00D06F2B">
        <w:rPr>
          <w:rFonts w:ascii="Garamond" w:hAnsi="Garamond"/>
          <w:sz w:val="24"/>
          <w:szCs w:val="24"/>
          <w:lang w:val="en-US"/>
        </w:rPr>
        <w:t xml:space="preserve"> suffers from the inherent endogeneity problem. </w:t>
      </w:r>
      <w:r w:rsidR="005B3515" w:rsidRPr="00D06F2B">
        <w:rPr>
          <w:rFonts w:ascii="Garamond" w:hAnsi="Garamond"/>
          <w:sz w:val="24"/>
          <w:szCs w:val="24"/>
          <w:lang w:val="en-US"/>
        </w:rPr>
        <w:t>Habib, Hasan and Jiang (2017</w:t>
      </w:r>
      <w:r w:rsidR="00B871E4" w:rsidRPr="00D06F2B">
        <w:rPr>
          <w:rFonts w:ascii="Garamond" w:hAnsi="Garamond"/>
          <w:sz w:val="24"/>
          <w:szCs w:val="24"/>
          <w:lang w:val="en-US"/>
        </w:rPr>
        <w:t xml:space="preserve">, p.212) survey the literature on the </w:t>
      </w:r>
      <w:r w:rsidRPr="00D06F2B">
        <w:rPr>
          <w:rFonts w:ascii="Garamond" w:hAnsi="Garamond"/>
          <w:sz w:val="24"/>
          <w:szCs w:val="24"/>
          <w:lang w:val="en-US"/>
        </w:rPr>
        <w:t>determinants</w:t>
      </w:r>
      <w:r w:rsidR="00B871E4" w:rsidRPr="00D06F2B">
        <w:rPr>
          <w:rFonts w:ascii="Garamond" w:hAnsi="Garamond"/>
          <w:sz w:val="24"/>
          <w:szCs w:val="24"/>
          <w:lang w:val="en-US"/>
        </w:rPr>
        <w:t xml:space="preserve"> and </w:t>
      </w:r>
      <w:r w:rsidRPr="00D06F2B">
        <w:rPr>
          <w:rFonts w:ascii="Garamond" w:hAnsi="Garamond"/>
          <w:sz w:val="24"/>
          <w:szCs w:val="24"/>
          <w:lang w:val="en-US"/>
        </w:rPr>
        <w:t>consequences</w:t>
      </w:r>
      <w:r w:rsidR="00B871E4" w:rsidRPr="00D06F2B">
        <w:rPr>
          <w:rFonts w:ascii="Garamond" w:hAnsi="Garamond"/>
          <w:sz w:val="24"/>
          <w:szCs w:val="24"/>
          <w:lang w:val="en-US"/>
        </w:rPr>
        <w:t xml:space="preserve"> of stock price crash risk and conclude that ‘[D]</w:t>
      </w:r>
      <w:proofErr w:type="spellStart"/>
      <w:r w:rsidR="00B871E4" w:rsidRPr="00D06F2B">
        <w:rPr>
          <w:rFonts w:ascii="Garamond" w:hAnsi="Garamond"/>
          <w:sz w:val="24"/>
          <w:szCs w:val="24"/>
          <w:lang w:val="en-US"/>
        </w:rPr>
        <w:t>espite</w:t>
      </w:r>
      <w:proofErr w:type="spellEnd"/>
      <w:r w:rsidR="00B871E4" w:rsidRPr="00D06F2B">
        <w:rPr>
          <w:rFonts w:ascii="Garamond" w:hAnsi="Garamond"/>
          <w:sz w:val="24"/>
          <w:szCs w:val="24"/>
          <w:lang w:val="en-US"/>
        </w:rPr>
        <w:t xml:space="preserve"> a proliferation of crash risk research over the last seven to 8 years, there is very little research on the consequences of crash risk.’</w:t>
      </w:r>
      <w:r w:rsidR="005B3515" w:rsidRPr="00D06F2B">
        <w:rPr>
          <w:rStyle w:val="FootnoteReference"/>
          <w:rFonts w:ascii="Garamond" w:hAnsi="Garamond"/>
          <w:sz w:val="24"/>
          <w:szCs w:val="24"/>
          <w:lang w:val="en-US"/>
        </w:rPr>
        <w:footnoteReference w:id="9"/>
      </w:r>
      <w:r w:rsidR="008A55D2">
        <w:rPr>
          <w:rFonts w:ascii="Garamond" w:hAnsi="Garamond"/>
          <w:sz w:val="24"/>
          <w:szCs w:val="24"/>
          <w:lang w:val="en-US"/>
        </w:rPr>
        <w:t xml:space="preserve"> The exceptions are </w:t>
      </w:r>
      <w:r w:rsidRPr="00D06F2B">
        <w:rPr>
          <w:rFonts w:ascii="Garamond" w:hAnsi="Garamond"/>
          <w:sz w:val="24"/>
          <w:szCs w:val="24"/>
          <w:lang w:val="en-US"/>
        </w:rPr>
        <w:t>An, Li and Yu (2015)</w:t>
      </w:r>
      <w:r w:rsidR="008A55D2">
        <w:rPr>
          <w:rFonts w:ascii="Garamond" w:hAnsi="Garamond"/>
          <w:sz w:val="24"/>
          <w:szCs w:val="24"/>
          <w:lang w:val="en-US"/>
        </w:rPr>
        <w:t>, who</w:t>
      </w:r>
      <w:r w:rsidRPr="00D06F2B">
        <w:rPr>
          <w:rFonts w:ascii="Garamond" w:hAnsi="Garamond"/>
          <w:sz w:val="24"/>
          <w:szCs w:val="24"/>
          <w:lang w:val="en-US"/>
        </w:rPr>
        <w:t xml:space="preserve"> examine the speed of leverage adjustment following a crash risk</w:t>
      </w:r>
      <w:r w:rsidR="007405DD">
        <w:rPr>
          <w:rFonts w:ascii="Garamond" w:hAnsi="Garamond"/>
          <w:sz w:val="24"/>
          <w:szCs w:val="24"/>
          <w:lang w:val="en-US"/>
        </w:rPr>
        <w:t>,</w:t>
      </w:r>
      <w:r w:rsidRPr="00D06F2B">
        <w:rPr>
          <w:rFonts w:ascii="Garamond" w:hAnsi="Garamond"/>
          <w:sz w:val="24"/>
          <w:szCs w:val="24"/>
          <w:lang w:val="en-US"/>
        </w:rPr>
        <w:t xml:space="preserve"> and </w:t>
      </w:r>
      <w:r w:rsidRPr="00D06F2B">
        <w:rPr>
          <w:rFonts w:ascii="Garamond" w:hAnsi="Garamond"/>
          <w:sz w:val="24"/>
          <w:szCs w:val="24"/>
        </w:rPr>
        <w:t>Wu (2013)</w:t>
      </w:r>
      <w:r w:rsidR="007405DD">
        <w:rPr>
          <w:rFonts w:ascii="Garamond" w:hAnsi="Garamond"/>
          <w:sz w:val="24"/>
          <w:szCs w:val="24"/>
        </w:rPr>
        <w:t>, who</w:t>
      </w:r>
      <w:r w:rsidRPr="00D06F2B">
        <w:rPr>
          <w:rFonts w:ascii="Garamond" w:hAnsi="Garamond"/>
          <w:sz w:val="24"/>
          <w:szCs w:val="24"/>
        </w:rPr>
        <w:t xml:space="preserve"> report that CEO turnover increases in the year after crash risk. Our study contributes novel evidence on the consequences of tail-risk event for analyst research production and informativeness of their research. </w:t>
      </w:r>
    </w:p>
    <w:p w14:paraId="7EC73F2D" w14:textId="58F084E4" w:rsidR="007C0802" w:rsidRPr="00D06F2B" w:rsidRDefault="00283825" w:rsidP="00F75BBE">
      <w:pPr>
        <w:spacing w:after="0" w:line="480" w:lineRule="auto"/>
        <w:ind w:firstLine="720"/>
        <w:rPr>
          <w:rFonts w:ascii="Garamond" w:hAnsi="Garamond"/>
          <w:sz w:val="24"/>
          <w:szCs w:val="24"/>
          <w:lang w:val="en-US"/>
        </w:rPr>
      </w:pPr>
      <w:r w:rsidRPr="00D06F2B">
        <w:rPr>
          <w:rFonts w:ascii="Garamond" w:hAnsi="Garamond"/>
          <w:sz w:val="24"/>
          <w:szCs w:val="24"/>
          <w:lang w:val="en-US"/>
        </w:rPr>
        <w:lastRenderedPageBreak/>
        <w:t xml:space="preserve">Third, we add to the growing literature </w:t>
      </w:r>
      <w:r w:rsidR="004B6C02" w:rsidRPr="00D06F2B">
        <w:rPr>
          <w:rFonts w:ascii="Garamond" w:hAnsi="Garamond"/>
          <w:sz w:val="24"/>
          <w:szCs w:val="24"/>
          <w:lang w:val="en-US"/>
        </w:rPr>
        <w:t xml:space="preserve">on the impact </w:t>
      </w:r>
      <w:r w:rsidR="00426A66" w:rsidRPr="00D06F2B">
        <w:rPr>
          <w:rFonts w:ascii="Garamond" w:hAnsi="Garamond"/>
          <w:sz w:val="24"/>
          <w:szCs w:val="24"/>
          <w:lang w:val="en-US"/>
        </w:rPr>
        <w:t>COVID</w:t>
      </w:r>
      <w:r w:rsidR="004B6C02" w:rsidRPr="00D06F2B">
        <w:rPr>
          <w:rFonts w:ascii="Garamond" w:hAnsi="Garamond"/>
          <w:sz w:val="24"/>
          <w:szCs w:val="24"/>
          <w:lang w:val="en-US"/>
        </w:rPr>
        <w:t xml:space="preserve">-19 had on </w:t>
      </w:r>
      <w:r w:rsidR="00930C8F" w:rsidRPr="00D06F2B">
        <w:rPr>
          <w:rFonts w:ascii="Garamond" w:hAnsi="Garamond"/>
          <w:sz w:val="24"/>
          <w:szCs w:val="24"/>
          <w:lang w:val="en-US"/>
        </w:rPr>
        <w:t>financial</w:t>
      </w:r>
      <w:r w:rsidR="004B6C02" w:rsidRPr="00D06F2B">
        <w:rPr>
          <w:rFonts w:ascii="Garamond" w:hAnsi="Garamond"/>
          <w:sz w:val="24"/>
          <w:szCs w:val="24"/>
          <w:lang w:val="en-US"/>
        </w:rPr>
        <w:t xml:space="preserve"> markets.</w:t>
      </w:r>
      <w:r w:rsidR="00761BF5" w:rsidRPr="00D06F2B">
        <w:rPr>
          <w:rFonts w:ascii="Garamond" w:hAnsi="Garamond"/>
          <w:sz w:val="24"/>
          <w:szCs w:val="24"/>
          <w:lang w:val="en-US"/>
        </w:rPr>
        <w:t xml:space="preserve"> </w:t>
      </w:r>
      <w:bookmarkStart w:id="5" w:name="_Hlk66964707"/>
      <w:r w:rsidR="00761BF5" w:rsidRPr="00D06F2B">
        <w:rPr>
          <w:rFonts w:ascii="Garamond" w:hAnsi="Garamond"/>
          <w:sz w:val="24"/>
          <w:szCs w:val="24"/>
          <w:lang w:val="en-US"/>
        </w:rPr>
        <w:t>Du (2020</w:t>
      </w:r>
      <w:bookmarkEnd w:id="5"/>
      <w:r w:rsidR="00761BF5" w:rsidRPr="00D06F2B">
        <w:rPr>
          <w:rFonts w:ascii="Garamond" w:hAnsi="Garamond"/>
          <w:sz w:val="24"/>
          <w:szCs w:val="24"/>
          <w:lang w:val="en-US"/>
        </w:rPr>
        <w:t>) uses analyst forecasts issued in March 2020 to examine</w:t>
      </w:r>
      <w:r w:rsidR="00E2797E" w:rsidRPr="00D06F2B">
        <w:rPr>
          <w:rFonts w:ascii="Garamond" w:hAnsi="Garamond"/>
          <w:sz w:val="24"/>
          <w:szCs w:val="24"/>
          <w:lang w:val="en-US"/>
        </w:rPr>
        <w:t xml:space="preserve"> the</w:t>
      </w:r>
      <w:r w:rsidR="00761BF5" w:rsidRPr="00D06F2B">
        <w:rPr>
          <w:rFonts w:ascii="Garamond" w:hAnsi="Garamond"/>
          <w:sz w:val="24"/>
          <w:szCs w:val="24"/>
          <w:lang w:val="en-US"/>
        </w:rPr>
        <w:t xml:space="preserve"> timeliness of forecasts by female compared to male analysts. </w:t>
      </w:r>
      <w:bookmarkStart w:id="6" w:name="_Hlk66964711"/>
      <w:proofErr w:type="spellStart"/>
      <w:r w:rsidR="00930C8F" w:rsidRPr="00D06F2B">
        <w:rPr>
          <w:rFonts w:ascii="Garamond" w:hAnsi="Garamond"/>
          <w:sz w:val="24"/>
          <w:szCs w:val="24"/>
          <w:lang w:val="en-US"/>
        </w:rPr>
        <w:t>Landier</w:t>
      </w:r>
      <w:proofErr w:type="spellEnd"/>
      <w:r w:rsidR="00930C8F" w:rsidRPr="00D06F2B">
        <w:rPr>
          <w:rFonts w:ascii="Garamond" w:hAnsi="Garamond"/>
          <w:sz w:val="24"/>
          <w:szCs w:val="24"/>
          <w:lang w:val="en-US"/>
        </w:rPr>
        <w:t xml:space="preserve"> and </w:t>
      </w:r>
      <w:proofErr w:type="spellStart"/>
      <w:r w:rsidR="00930C8F" w:rsidRPr="00D06F2B">
        <w:rPr>
          <w:rFonts w:ascii="Garamond" w:hAnsi="Garamond"/>
          <w:sz w:val="24"/>
          <w:szCs w:val="24"/>
          <w:lang w:val="en-US"/>
        </w:rPr>
        <w:t>Thesmar</w:t>
      </w:r>
      <w:proofErr w:type="spellEnd"/>
      <w:r w:rsidR="00930C8F" w:rsidRPr="00D06F2B">
        <w:rPr>
          <w:rFonts w:ascii="Garamond" w:hAnsi="Garamond"/>
          <w:sz w:val="24"/>
          <w:szCs w:val="24"/>
          <w:lang w:val="en-US"/>
        </w:rPr>
        <w:t xml:space="preserve"> (2020</w:t>
      </w:r>
      <w:bookmarkEnd w:id="6"/>
      <w:r w:rsidR="00930C8F" w:rsidRPr="00D06F2B">
        <w:rPr>
          <w:rFonts w:ascii="Garamond" w:hAnsi="Garamond"/>
          <w:sz w:val="24"/>
          <w:szCs w:val="24"/>
          <w:lang w:val="en-US"/>
        </w:rPr>
        <w:t>)</w:t>
      </w:r>
      <w:r w:rsidR="00E712B5" w:rsidRPr="00D06F2B">
        <w:rPr>
          <w:rFonts w:ascii="Garamond" w:hAnsi="Garamond"/>
          <w:sz w:val="24"/>
          <w:szCs w:val="24"/>
          <w:lang w:val="en-US"/>
        </w:rPr>
        <w:t xml:space="preserve"> use</w:t>
      </w:r>
      <w:r w:rsidR="00930C8F" w:rsidRPr="00D06F2B">
        <w:rPr>
          <w:rFonts w:ascii="Garamond" w:hAnsi="Garamond"/>
          <w:sz w:val="24"/>
          <w:szCs w:val="24"/>
          <w:lang w:val="en-US"/>
        </w:rPr>
        <w:t xml:space="preserve"> earnings forecasts </w:t>
      </w:r>
      <w:r w:rsidR="00E712B5" w:rsidRPr="00D06F2B">
        <w:rPr>
          <w:rFonts w:ascii="Garamond" w:hAnsi="Garamond"/>
          <w:sz w:val="24"/>
          <w:szCs w:val="24"/>
          <w:lang w:val="en-US"/>
        </w:rPr>
        <w:t xml:space="preserve">to infer the implied </w:t>
      </w:r>
      <w:r w:rsidR="00930C8F" w:rsidRPr="00D06F2B">
        <w:rPr>
          <w:rFonts w:ascii="Garamond" w:hAnsi="Garamond"/>
          <w:sz w:val="24"/>
          <w:szCs w:val="24"/>
          <w:lang w:val="en-US"/>
        </w:rPr>
        <w:t xml:space="preserve">discount rates </w:t>
      </w:r>
      <w:r w:rsidR="00E712B5" w:rsidRPr="00D06F2B">
        <w:rPr>
          <w:rFonts w:ascii="Garamond" w:hAnsi="Garamond"/>
          <w:sz w:val="24"/>
          <w:szCs w:val="24"/>
          <w:lang w:val="en-US"/>
        </w:rPr>
        <w:t>for largest NYSE, Nasdaq, or Amex</w:t>
      </w:r>
      <w:r w:rsidR="007C0802" w:rsidRPr="00D06F2B">
        <w:rPr>
          <w:rFonts w:ascii="Garamond" w:hAnsi="Garamond"/>
          <w:sz w:val="24"/>
          <w:szCs w:val="24"/>
          <w:lang w:val="en-US"/>
        </w:rPr>
        <w:t xml:space="preserve"> stocks </w:t>
      </w:r>
      <w:r w:rsidR="00930C8F" w:rsidRPr="00D06F2B">
        <w:rPr>
          <w:rFonts w:ascii="Garamond" w:hAnsi="Garamond"/>
          <w:sz w:val="24"/>
          <w:szCs w:val="24"/>
          <w:lang w:val="en-US"/>
        </w:rPr>
        <w:t xml:space="preserve">during the COVID-19 crisis. </w:t>
      </w:r>
      <w:bookmarkStart w:id="7" w:name="_Hlk66964715"/>
      <w:r w:rsidR="00930C8F" w:rsidRPr="00D06F2B">
        <w:rPr>
          <w:rFonts w:ascii="Garamond" w:hAnsi="Garamond"/>
          <w:sz w:val="24"/>
          <w:szCs w:val="24"/>
          <w:lang w:val="en-US"/>
        </w:rPr>
        <w:t xml:space="preserve">Cox, Greenwald and </w:t>
      </w:r>
      <w:proofErr w:type="spellStart"/>
      <w:r w:rsidR="00930C8F" w:rsidRPr="00D06F2B">
        <w:rPr>
          <w:rFonts w:ascii="Garamond" w:hAnsi="Garamond"/>
          <w:sz w:val="24"/>
          <w:szCs w:val="24"/>
          <w:lang w:val="en-US"/>
        </w:rPr>
        <w:t>Ludvigson</w:t>
      </w:r>
      <w:proofErr w:type="spellEnd"/>
      <w:r w:rsidR="004B6C02" w:rsidRPr="00D06F2B">
        <w:rPr>
          <w:rFonts w:ascii="Garamond" w:hAnsi="Garamond"/>
          <w:sz w:val="24"/>
          <w:szCs w:val="24"/>
          <w:lang w:val="en-US"/>
        </w:rPr>
        <w:t xml:space="preserve"> </w:t>
      </w:r>
      <w:r w:rsidR="00930C8F" w:rsidRPr="00D06F2B">
        <w:rPr>
          <w:rFonts w:ascii="Garamond" w:hAnsi="Garamond"/>
          <w:sz w:val="24"/>
          <w:szCs w:val="24"/>
          <w:lang w:val="en-US"/>
        </w:rPr>
        <w:t>(2020</w:t>
      </w:r>
      <w:bookmarkEnd w:id="7"/>
      <w:r w:rsidR="00930C8F" w:rsidRPr="00D06F2B">
        <w:rPr>
          <w:rFonts w:ascii="Garamond" w:hAnsi="Garamond"/>
          <w:sz w:val="24"/>
          <w:szCs w:val="24"/>
          <w:lang w:val="en-US"/>
        </w:rPr>
        <w:t xml:space="preserve">) estimate a dynamic asset pricing model to capture fluctuations in the pricing of stock market risk during </w:t>
      </w:r>
      <w:r w:rsidR="000E29FF" w:rsidRPr="00D06F2B">
        <w:rPr>
          <w:rFonts w:ascii="Garamond" w:hAnsi="Garamond"/>
          <w:sz w:val="24"/>
          <w:szCs w:val="24"/>
          <w:lang w:val="en-US"/>
        </w:rPr>
        <w:t>the</w:t>
      </w:r>
      <w:r w:rsidR="00F305B7" w:rsidRPr="00D06F2B">
        <w:rPr>
          <w:rFonts w:ascii="Garamond" w:hAnsi="Garamond"/>
          <w:sz w:val="24"/>
          <w:szCs w:val="24"/>
          <w:lang w:val="en-US"/>
        </w:rPr>
        <w:t xml:space="preserve"> pandemic</w:t>
      </w:r>
      <w:r w:rsidR="00930C8F" w:rsidRPr="00D06F2B">
        <w:rPr>
          <w:rFonts w:ascii="Garamond" w:hAnsi="Garamond"/>
          <w:sz w:val="24"/>
          <w:szCs w:val="24"/>
          <w:lang w:val="en-US"/>
        </w:rPr>
        <w:t xml:space="preserve">. </w:t>
      </w:r>
      <w:bookmarkStart w:id="8" w:name="_Hlk66964720"/>
      <w:r w:rsidR="004B6C02" w:rsidRPr="00D06F2B">
        <w:rPr>
          <w:rFonts w:ascii="Garamond" w:hAnsi="Garamond"/>
          <w:sz w:val="24"/>
          <w:szCs w:val="24"/>
          <w:lang w:val="en-US"/>
        </w:rPr>
        <w:t>Ding, Levine, Lin and Xie (2020</w:t>
      </w:r>
      <w:bookmarkEnd w:id="8"/>
      <w:r w:rsidR="004B6C02" w:rsidRPr="00D06F2B">
        <w:rPr>
          <w:rFonts w:ascii="Garamond" w:hAnsi="Garamond"/>
          <w:sz w:val="24"/>
          <w:szCs w:val="24"/>
          <w:lang w:val="en-US"/>
        </w:rPr>
        <w:t>)</w:t>
      </w:r>
      <w:r w:rsidR="00BA59DC" w:rsidRPr="00D06F2B">
        <w:rPr>
          <w:rFonts w:ascii="Garamond" w:hAnsi="Garamond"/>
          <w:sz w:val="24"/>
          <w:szCs w:val="24"/>
          <w:lang w:val="en-US"/>
        </w:rPr>
        <w:t xml:space="preserve"> study firm </w:t>
      </w:r>
      <w:r w:rsidR="00CE11A2" w:rsidRPr="00D06F2B">
        <w:rPr>
          <w:rFonts w:ascii="Garamond" w:hAnsi="Garamond"/>
          <w:sz w:val="24"/>
          <w:szCs w:val="24"/>
          <w:lang w:val="en-US"/>
        </w:rPr>
        <w:t>characteristics</w:t>
      </w:r>
      <w:r w:rsidR="00BA59DC" w:rsidRPr="00D06F2B">
        <w:rPr>
          <w:rFonts w:ascii="Garamond" w:hAnsi="Garamond"/>
          <w:sz w:val="24"/>
          <w:szCs w:val="24"/>
          <w:lang w:val="en-US"/>
        </w:rPr>
        <w:t xml:space="preserve"> that predict the magnitude of share price drop in response to </w:t>
      </w:r>
      <w:r w:rsidR="00F305B7" w:rsidRPr="00D06F2B">
        <w:rPr>
          <w:rFonts w:ascii="Garamond" w:hAnsi="Garamond"/>
          <w:sz w:val="24"/>
          <w:szCs w:val="24"/>
          <w:lang w:val="en-US"/>
        </w:rPr>
        <w:t>COVID-19</w:t>
      </w:r>
      <w:r w:rsidR="000E29FF" w:rsidRPr="00D06F2B">
        <w:rPr>
          <w:rFonts w:ascii="Garamond" w:hAnsi="Garamond"/>
          <w:sz w:val="24"/>
          <w:szCs w:val="24"/>
          <w:lang w:val="en-US"/>
        </w:rPr>
        <w:t xml:space="preserve"> outbreak</w:t>
      </w:r>
      <w:r w:rsidR="00BA59DC" w:rsidRPr="00D06F2B">
        <w:rPr>
          <w:rFonts w:ascii="Garamond" w:hAnsi="Garamond"/>
          <w:sz w:val="24"/>
          <w:szCs w:val="24"/>
          <w:lang w:val="en-US"/>
        </w:rPr>
        <w:t>. Baker</w:t>
      </w:r>
      <w:r w:rsidR="006C32D5" w:rsidRPr="00D06F2B">
        <w:rPr>
          <w:rFonts w:ascii="Garamond" w:hAnsi="Garamond"/>
          <w:sz w:val="24"/>
          <w:szCs w:val="24"/>
          <w:lang w:val="en-US"/>
        </w:rPr>
        <w:t xml:space="preserve"> et al.</w:t>
      </w:r>
      <w:r w:rsidR="00BA59DC" w:rsidRPr="00D06F2B">
        <w:rPr>
          <w:rFonts w:ascii="Garamond" w:hAnsi="Garamond"/>
          <w:sz w:val="24"/>
          <w:szCs w:val="24"/>
          <w:lang w:val="en-US"/>
        </w:rPr>
        <w:t xml:space="preserve"> (2020) </w:t>
      </w:r>
      <w:r w:rsidR="00E2797E" w:rsidRPr="00D06F2B">
        <w:rPr>
          <w:rFonts w:ascii="Garamond" w:hAnsi="Garamond"/>
          <w:sz w:val="24"/>
          <w:szCs w:val="24"/>
          <w:lang w:val="en-US"/>
        </w:rPr>
        <w:t>document</w:t>
      </w:r>
      <w:r w:rsidR="007C0802" w:rsidRPr="00D06F2B">
        <w:rPr>
          <w:rFonts w:ascii="Garamond" w:hAnsi="Garamond"/>
          <w:sz w:val="24"/>
          <w:szCs w:val="24"/>
          <w:lang w:val="en-US"/>
        </w:rPr>
        <w:t xml:space="preserve"> the dynamics of news about </w:t>
      </w:r>
      <w:r w:rsidR="000E29FF" w:rsidRPr="00D06F2B">
        <w:rPr>
          <w:rFonts w:ascii="Garamond" w:hAnsi="Garamond"/>
          <w:sz w:val="24"/>
          <w:szCs w:val="24"/>
          <w:lang w:val="en-US"/>
        </w:rPr>
        <w:t>the</w:t>
      </w:r>
      <w:r w:rsidR="007C0802" w:rsidRPr="00D06F2B">
        <w:rPr>
          <w:rFonts w:ascii="Garamond" w:hAnsi="Garamond"/>
          <w:sz w:val="24"/>
          <w:szCs w:val="24"/>
          <w:lang w:val="en-US"/>
        </w:rPr>
        <w:t xml:space="preserve"> disease </w:t>
      </w:r>
      <w:r w:rsidR="000E29FF" w:rsidRPr="00D06F2B">
        <w:rPr>
          <w:rFonts w:ascii="Garamond" w:hAnsi="Garamond"/>
          <w:sz w:val="24"/>
          <w:szCs w:val="24"/>
          <w:lang w:val="en-US"/>
        </w:rPr>
        <w:t>between F</w:t>
      </w:r>
      <w:r w:rsidR="007C0802" w:rsidRPr="00D06F2B">
        <w:rPr>
          <w:rFonts w:ascii="Garamond" w:hAnsi="Garamond"/>
          <w:sz w:val="24"/>
          <w:szCs w:val="24"/>
          <w:lang w:val="en-US"/>
        </w:rPr>
        <w:t xml:space="preserve">ebruary 2020 </w:t>
      </w:r>
      <w:r w:rsidR="000E29FF" w:rsidRPr="00D06F2B">
        <w:rPr>
          <w:rFonts w:ascii="Garamond" w:hAnsi="Garamond"/>
          <w:sz w:val="24"/>
          <w:szCs w:val="24"/>
          <w:lang w:val="en-US"/>
        </w:rPr>
        <w:t>and</w:t>
      </w:r>
      <w:r w:rsidR="007C0802" w:rsidRPr="00D06F2B">
        <w:rPr>
          <w:rFonts w:ascii="Garamond" w:hAnsi="Garamond"/>
          <w:sz w:val="24"/>
          <w:szCs w:val="24"/>
          <w:lang w:val="en-US"/>
        </w:rPr>
        <w:t xml:space="preserve"> April 2020</w:t>
      </w:r>
      <w:r w:rsidR="000E29FF" w:rsidRPr="00D06F2B">
        <w:rPr>
          <w:rFonts w:ascii="Garamond" w:hAnsi="Garamond"/>
          <w:sz w:val="24"/>
          <w:szCs w:val="24"/>
          <w:lang w:val="en-US"/>
        </w:rPr>
        <w:t xml:space="preserve"> and their correlation with the stock market volatility</w:t>
      </w:r>
      <w:r w:rsidR="007C0802" w:rsidRPr="00D06F2B">
        <w:rPr>
          <w:rFonts w:ascii="Garamond" w:hAnsi="Garamond"/>
          <w:sz w:val="24"/>
          <w:szCs w:val="24"/>
          <w:lang w:val="en-US"/>
        </w:rPr>
        <w:t>.</w:t>
      </w:r>
      <w:r w:rsidR="00BA59DC" w:rsidRPr="00D06F2B">
        <w:rPr>
          <w:rFonts w:ascii="Garamond" w:hAnsi="Garamond"/>
          <w:sz w:val="24"/>
          <w:szCs w:val="24"/>
          <w:lang w:val="en-US"/>
        </w:rPr>
        <w:t xml:space="preserve"> </w:t>
      </w:r>
      <w:bookmarkStart w:id="9" w:name="_Hlk66964732"/>
      <w:proofErr w:type="spellStart"/>
      <w:r w:rsidR="00BA1595" w:rsidRPr="00D06F2B">
        <w:rPr>
          <w:rFonts w:ascii="Garamond" w:hAnsi="Garamond"/>
          <w:sz w:val="24"/>
          <w:szCs w:val="24"/>
          <w:lang w:val="en-US"/>
        </w:rPr>
        <w:t>Ramelli</w:t>
      </w:r>
      <w:proofErr w:type="spellEnd"/>
      <w:r w:rsidR="00BA1595" w:rsidRPr="00D06F2B">
        <w:rPr>
          <w:rFonts w:ascii="Garamond" w:hAnsi="Garamond"/>
          <w:sz w:val="24"/>
          <w:szCs w:val="24"/>
          <w:lang w:val="en-US"/>
        </w:rPr>
        <w:t xml:space="preserve"> and Wagner (2020</w:t>
      </w:r>
      <w:bookmarkEnd w:id="9"/>
      <w:r w:rsidR="00BA1595" w:rsidRPr="00D06F2B">
        <w:rPr>
          <w:rFonts w:ascii="Garamond" w:hAnsi="Garamond"/>
          <w:sz w:val="24"/>
          <w:szCs w:val="24"/>
          <w:lang w:val="en-US"/>
        </w:rPr>
        <w:t xml:space="preserve">) </w:t>
      </w:r>
      <w:r w:rsidR="000E29FF" w:rsidRPr="00D06F2B">
        <w:rPr>
          <w:rFonts w:ascii="Garamond" w:hAnsi="Garamond"/>
          <w:sz w:val="24"/>
          <w:szCs w:val="24"/>
          <w:lang w:val="en-US"/>
        </w:rPr>
        <w:t>examine</w:t>
      </w:r>
      <w:r w:rsidR="00BA1595" w:rsidRPr="00D06F2B">
        <w:rPr>
          <w:rFonts w:ascii="Garamond" w:hAnsi="Garamond"/>
          <w:sz w:val="24"/>
          <w:szCs w:val="24"/>
          <w:lang w:val="en-US"/>
        </w:rPr>
        <w:t xml:space="preserve"> the</w:t>
      </w:r>
      <w:r w:rsidR="007C0802" w:rsidRPr="00D06F2B">
        <w:rPr>
          <w:rFonts w:ascii="Garamond" w:hAnsi="Garamond"/>
          <w:sz w:val="24"/>
          <w:szCs w:val="24"/>
          <w:lang w:val="en-US"/>
        </w:rPr>
        <w:t xml:space="preserve"> magnitude of price declines </w:t>
      </w:r>
      <w:r w:rsidR="007405DD">
        <w:rPr>
          <w:rFonts w:ascii="Garamond" w:hAnsi="Garamond"/>
          <w:sz w:val="24"/>
          <w:szCs w:val="24"/>
          <w:lang w:val="en-US"/>
        </w:rPr>
        <w:t>during</w:t>
      </w:r>
      <w:r w:rsidR="00E2797E" w:rsidRPr="00D06F2B">
        <w:rPr>
          <w:rFonts w:ascii="Garamond" w:hAnsi="Garamond"/>
          <w:sz w:val="24"/>
          <w:szCs w:val="24"/>
          <w:lang w:val="en-US"/>
        </w:rPr>
        <w:t xml:space="preserve"> the</w:t>
      </w:r>
      <w:r w:rsidR="007C0802" w:rsidRPr="00D06F2B">
        <w:rPr>
          <w:rFonts w:ascii="Garamond" w:hAnsi="Garamond"/>
          <w:sz w:val="24"/>
          <w:szCs w:val="24"/>
          <w:lang w:val="en-US"/>
        </w:rPr>
        <w:t xml:space="preserve"> </w:t>
      </w:r>
      <w:r w:rsidR="00E2797E" w:rsidRPr="00D06F2B">
        <w:rPr>
          <w:rFonts w:ascii="Garamond" w:hAnsi="Garamond"/>
          <w:sz w:val="24"/>
          <w:szCs w:val="24"/>
          <w:lang w:val="en-US"/>
        </w:rPr>
        <w:t>pandemic</w:t>
      </w:r>
      <w:r w:rsidR="00930C8F" w:rsidRPr="00D06F2B">
        <w:rPr>
          <w:rFonts w:ascii="Garamond" w:hAnsi="Garamond"/>
          <w:sz w:val="24"/>
          <w:szCs w:val="24"/>
          <w:lang w:val="en-US"/>
        </w:rPr>
        <w:t xml:space="preserve">. </w:t>
      </w:r>
      <w:bookmarkStart w:id="10" w:name="_Hlk66964737"/>
      <w:r w:rsidR="00930C8F" w:rsidRPr="00D06F2B">
        <w:rPr>
          <w:rFonts w:ascii="Garamond" w:hAnsi="Garamond"/>
          <w:sz w:val="24"/>
          <w:szCs w:val="24"/>
          <w:lang w:val="en-US"/>
        </w:rPr>
        <w:t xml:space="preserve">Li, Liu, </w:t>
      </w:r>
      <w:proofErr w:type="gramStart"/>
      <w:r w:rsidR="00930C8F" w:rsidRPr="00D06F2B">
        <w:rPr>
          <w:rFonts w:ascii="Garamond" w:hAnsi="Garamond"/>
          <w:sz w:val="24"/>
          <w:szCs w:val="24"/>
          <w:lang w:val="en-US"/>
        </w:rPr>
        <w:t>Mai</w:t>
      </w:r>
      <w:proofErr w:type="gramEnd"/>
      <w:r w:rsidR="00930C8F" w:rsidRPr="00D06F2B">
        <w:rPr>
          <w:rFonts w:ascii="Garamond" w:hAnsi="Garamond"/>
          <w:sz w:val="24"/>
          <w:szCs w:val="24"/>
          <w:lang w:val="en-US"/>
        </w:rPr>
        <w:t xml:space="preserve"> and Zhang (2021</w:t>
      </w:r>
      <w:bookmarkEnd w:id="10"/>
      <w:r w:rsidR="00930C8F" w:rsidRPr="00D06F2B">
        <w:rPr>
          <w:rFonts w:ascii="Garamond" w:hAnsi="Garamond"/>
          <w:sz w:val="24"/>
          <w:szCs w:val="24"/>
          <w:lang w:val="en-US"/>
        </w:rPr>
        <w:t>)</w:t>
      </w:r>
      <w:r w:rsidR="006C32D5" w:rsidRPr="00D06F2B">
        <w:rPr>
          <w:rFonts w:ascii="Garamond" w:hAnsi="Garamond"/>
          <w:sz w:val="24"/>
          <w:szCs w:val="24"/>
          <w:lang w:val="en-US"/>
        </w:rPr>
        <w:t xml:space="preserve"> </w:t>
      </w:r>
      <w:r w:rsidR="00E2797E" w:rsidRPr="00D06F2B">
        <w:rPr>
          <w:rFonts w:ascii="Garamond" w:hAnsi="Garamond"/>
          <w:sz w:val="24"/>
          <w:szCs w:val="24"/>
          <w:lang w:val="en-US"/>
        </w:rPr>
        <w:t>report</w:t>
      </w:r>
      <w:r w:rsidR="007C0802" w:rsidRPr="00D06F2B">
        <w:rPr>
          <w:rFonts w:ascii="Garamond" w:hAnsi="Garamond"/>
          <w:sz w:val="24"/>
          <w:szCs w:val="24"/>
          <w:lang w:val="en-US"/>
        </w:rPr>
        <w:t xml:space="preserve"> that </w:t>
      </w:r>
      <w:r w:rsidR="00930C8F" w:rsidRPr="00D06F2B">
        <w:rPr>
          <w:rFonts w:ascii="Garamond" w:hAnsi="Garamond"/>
          <w:sz w:val="24"/>
          <w:szCs w:val="24"/>
          <w:lang w:val="en-US"/>
        </w:rPr>
        <w:t xml:space="preserve">firms with a strong corporate culture outperform peers </w:t>
      </w:r>
      <w:r w:rsidR="00E2797E" w:rsidRPr="00D06F2B">
        <w:rPr>
          <w:rFonts w:ascii="Garamond" w:hAnsi="Garamond"/>
          <w:sz w:val="24"/>
          <w:szCs w:val="24"/>
          <w:lang w:val="en-US"/>
        </w:rPr>
        <w:t xml:space="preserve">with </w:t>
      </w:r>
      <w:r w:rsidR="00930C8F" w:rsidRPr="00D06F2B">
        <w:rPr>
          <w:rFonts w:ascii="Garamond" w:hAnsi="Garamond"/>
          <w:sz w:val="24"/>
          <w:szCs w:val="24"/>
          <w:lang w:val="en-US"/>
        </w:rPr>
        <w:t xml:space="preserve">a </w:t>
      </w:r>
      <w:r w:rsidR="000E29FF" w:rsidRPr="00D06F2B">
        <w:rPr>
          <w:rFonts w:ascii="Garamond" w:hAnsi="Garamond"/>
          <w:sz w:val="24"/>
          <w:szCs w:val="24"/>
          <w:lang w:val="en-US"/>
        </w:rPr>
        <w:t>wea</w:t>
      </w:r>
      <w:r w:rsidR="00E2797E" w:rsidRPr="00D06F2B">
        <w:rPr>
          <w:rFonts w:ascii="Garamond" w:hAnsi="Garamond"/>
          <w:sz w:val="24"/>
          <w:szCs w:val="24"/>
          <w:lang w:val="en-US"/>
        </w:rPr>
        <w:t>k</w:t>
      </w:r>
      <w:r w:rsidR="00930C8F" w:rsidRPr="00D06F2B">
        <w:rPr>
          <w:rFonts w:ascii="Garamond" w:hAnsi="Garamond"/>
          <w:sz w:val="24"/>
          <w:szCs w:val="24"/>
          <w:lang w:val="en-US"/>
        </w:rPr>
        <w:t xml:space="preserve"> culture during </w:t>
      </w:r>
      <w:r w:rsidR="00E2797E" w:rsidRPr="00D06F2B">
        <w:rPr>
          <w:rFonts w:ascii="Garamond" w:hAnsi="Garamond"/>
          <w:sz w:val="24"/>
          <w:szCs w:val="24"/>
          <w:lang w:val="en-US"/>
        </w:rPr>
        <w:t>the</w:t>
      </w:r>
      <w:r w:rsidR="00F305B7" w:rsidRPr="00D06F2B">
        <w:rPr>
          <w:rFonts w:ascii="Garamond" w:hAnsi="Garamond"/>
          <w:sz w:val="24"/>
          <w:szCs w:val="24"/>
          <w:lang w:val="en-US"/>
        </w:rPr>
        <w:t xml:space="preserve"> </w:t>
      </w:r>
      <w:r w:rsidR="00930C8F" w:rsidRPr="00D06F2B">
        <w:rPr>
          <w:rFonts w:ascii="Garamond" w:hAnsi="Garamond"/>
          <w:sz w:val="24"/>
          <w:szCs w:val="24"/>
          <w:lang w:val="en-US"/>
        </w:rPr>
        <w:t xml:space="preserve">pandemic. </w:t>
      </w:r>
      <w:bookmarkStart w:id="11" w:name="_Hlk66964743"/>
      <w:proofErr w:type="spellStart"/>
      <w:r w:rsidR="00930C8F" w:rsidRPr="00D06F2B">
        <w:rPr>
          <w:rFonts w:ascii="Garamond" w:hAnsi="Garamond"/>
          <w:sz w:val="24"/>
          <w:szCs w:val="24"/>
          <w:lang w:val="en-US"/>
        </w:rPr>
        <w:t>Cejnek</w:t>
      </w:r>
      <w:proofErr w:type="spellEnd"/>
      <w:r w:rsidR="00930C8F" w:rsidRPr="00D06F2B">
        <w:rPr>
          <w:rFonts w:ascii="Garamond" w:hAnsi="Garamond"/>
          <w:sz w:val="24"/>
          <w:szCs w:val="24"/>
          <w:lang w:val="en-US"/>
        </w:rPr>
        <w:t xml:space="preserve">, </w:t>
      </w:r>
      <w:proofErr w:type="spellStart"/>
      <w:r w:rsidR="00930C8F" w:rsidRPr="00D06F2B">
        <w:rPr>
          <w:rFonts w:ascii="Garamond" w:hAnsi="Garamond"/>
          <w:sz w:val="24"/>
          <w:szCs w:val="24"/>
          <w:lang w:val="en-US"/>
        </w:rPr>
        <w:t>Randl</w:t>
      </w:r>
      <w:proofErr w:type="spellEnd"/>
      <w:r w:rsidR="00930C8F" w:rsidRPr="00D06F2B">
        <w:rPr>
          <w:rFonts w:ascii="Garamond" w:hAnsi="Garamond"/>
          <w:sz w:val="24"/>
          <w:szCs w:val="24"/>
          <w:lang w:val="en-US"/>
        </w:rPr>
        <w:t xml:space="preserve"> and </w:t>
      </w:r>
      <w:proofErr w:type="spellStart"/>
      <w:r w:rsidR="00930C8F" w:rsidRPr="00D06F2B">
        <w:rPr>
          <w:rFonts w:ascii="Garamond" w:hAnsi="Garamond"/>
          <w:sz w:val="24"/>
          <w:szCs w:val="24"/>
          <w:lang w:val="en-US"/>
        </w:rPr>
        <w:t>Zechner</w:t>
      </w:r>
      <w:proofErr w:type="spellEnd"/>
      <w:r w:rsidR="00930C8F" w:rsidRPr="00D06F2B">
        <w:rPr>
          <w:rFonts w:ascii="Garamond" w:hAnsi="Garamond"/>
          <w:sz w:val="24"/>
          <w:szCs w:val="24"/>
          <w:lang w:val="en-US"/>
        </w:rPr>
        <w:t xml:space="preserve"> (2020</w:t>
      </w:r>
      <w:bookmarkEnd w:id="11"/>
      <w:r w:rsidR="00930C8F" w:rsidRPr="00D06F2B">
        <w:rPr>
          <w:rFonts w:ascii="Garamond" w:hAnsi="Garamond"/>
          <w:sz w:val="24"/>
          <w:szCs w:val="24"/>
          <w:lang w:val="en-US"/>
        </w:rPr>
        <w:t>) study the effect COVID-19 ha</w:t>
      </w:r>
      <w:r w:rsidR="000E29FF" w:rsidRPr="00D06F2B">
        <w:rPr>
          <w:rFonts w:ascii="Garamond" w:hAnsi="Garamond"/>
          <w:sz w:val="24"/>
          <w:szCs w:val="24"/>
          <w:lang w:val="en-US"/>
        </w:rPr>
        <w:t>d</w:t>
      </w:r>
      <w:r w:rsidR="00930C8F" w:rsidRPr="00D06F2B">
        <w:rPr>
          <w:rFonts w:ascii="Garamond" w:hAnsi="Garamond"/>
          <w:sz w:val="24"/>
          <w:szCs w:val="24"/>
          <w:lang w:val="en-US"/>
        </w:rPr>
        <w:t xml:space="preserve"> on corporate dividend policy</w:t>
      </w:r>
      <w:r w:rsidR="007C0802" w:rsidRPr="00D06F2B">
        <w:rPr>
          <w:rFonts w:ascii="Garamond" w:hAnsi="Garamond"/>
          <w:sz w:val="24"/>
          <w:szCs w:val="24"/>
          <w:lang w:val="en-US"/>
        </w:rPr>
        <w:t xml:space="preserve">, </w:t>
      </w:r>
      <w:bookmarkStart w:id="12" w:name="_Hlk66964748"/>
      <w:proofErr w:type="spellStart"/>
      <w:r w:rsidR="00930C8F" w:rsidRPr="00D06F2B">
        <w:rPr>
          <w:rFonts w:ascii="Garamond" w:hAnsi="Garamond"/>
          <w:sz w:val="24"/>
          <w:szCs w:val="24"/>
          <w:lang w:val="en-US"/>
        </w:rPr>
        <w:t>Anginer</w:t>
      </w:r>
      <w:proofErr w:type="spellEnd"/>
      <w:r w:rsidR="00930C8F" w:rsidRPr="00D06F2B">
        <w:rPr>
          <w:rFonts w:ascii="Garamond" w:hAnsi="Garamond"/>
          <w:sz w:val="24"/>
          <w:szCs w:val="24"/>
          <w:lang w:val="en-US"/>
        </w:rPr>
        <w:t xml:space="preserve">, </w:t>
      </w:r>
      <w:proofErr w:type="spellStart"/>
      <w:r w:rsidR="00930C8F" w:rsidRPr="00D06F2B">
        <w:rPr>
          <w:rFonts w:ascii="Garamond" w:hAnsi="Garamond"/>
          <w:sz w:val="24"/>
          <w:szCs w:val="24"/>
          <w:lang w:val="en-US"/>
        </w:rPr>
        <w:t>Donmez</w:t>
      </w:r>
      <w:proofErr w:type="spellEnd"/>
      <w:r w:rsidR="00930C8F" w:rsidRPr="00D06F2B">
        <w:rPr>
          <w:rFonts w:ascii="Garamond" w:hAnsi="Garamond"/>
          <w:sz w:val="24"/>
          <w:szCs w:val="24"/>
          <w:lang w:val="en-US"/>
        </w:rPr>
        <w:t xml:space="preserve">, </w:t>
      </w:r>
      <w:proofErr w:type="spellStart"/>
      <w:r w:rsidR="00930C8F" w:rsidRPr="00D06F2B">
        <w:rPr>
          <w:rFonts w:ascii="Garamond" w:hAnsi="Garamond"/>
          <w:sz w:val="24"/>
          <w:szCs w:val="24"/>
          <w:lang w:val="en-US"/>
        </w:rPr>
        <w:t>Seyhun</w:t>
      </w:r>
      <w:proofErr w:type="spellEnd"/>
      <w:r w:rsidR="00930C8F" w:rsidRPr="00D06F2B">
        <w:rPr>
          <w:rFonts w:ascii="Garamond" w:hAnsi="Garamond"/>
          <w:sz w:val="24"/>
          <w:szCs w:val="24"/>
          <w:lang w:val="en-US"/>
        </w:rPr>
        <w:t xml:space="preserve"> and Zhang (2020</w:t>
      </w:r>
      <w:bookmarkEnd w:id="12"/>
      <w:r w:rsidR="00930C8F" w:rsidRPr="00D06F2B">
        <w:rPr>
          <w:rFonts w:ascii="Garamond" w:hAnsi="Garamond"/>
          <w:sz w:val="24"/>
          <w:szCs w:val="24"/>
          <w:lang w:val="en-US"/>
        </w:rPr>
        <w:t xml:space="preserve">) </w:t>
      </w:r>
      <w:r w:rsidR="007C0802" w:rsidRPr="00D06F2B">
        <w:rPr>
          <w:rFonts w:ascii="Garamond" w:hAnsi="Garamond"/>
          <w:sz w:val="24"/>
          <w:szCs w:val="24"/>
          <w:lang w:val="en-US"/>
        </w:rPr>
        <w:t>on</w:t>
      </w:r>
      <w:r w:rsidR="00930C8F" w:rsidRPr="00D06F2B">
        <w:rPr>
          <w:rFonts w:ascii="Garamond" w:hAnsi="Garamond"/>
          <w:sz w:val="24"/>
          <w:szCs w:val="24"/>
          <w:lang w:val="en-US"/>
        </w:rPr>
        <w:t xml:space="preserve"> insider trades</w:t>
      </w:r>
      <w:r w:rsidR="000E29FF" w:rsidRPr="00D06F2B">
        <w:rPr>
          <w:rFonts w:ascii="Garamond" w:hAnsi="Garamond"/>
          <w:sz w:val="24"/>
          <w:szCs w:val="24"/>
          <w:lang w:val="en-US"/>
        </w:rPr>
        <w:t>,</w:t>
      </w:r>
      <w:r w:rsidR="007C0802" w:rsidRPr="00D06F2B">
        <w:rPr>
          <w:rFonts w:ascii="Garamond" w:hAnsi="Garamond"/>
          <w:sz w:val="24"/>
          <w:szCs w:val="24"/>
          <w:lang w:val="en-US"/>
        </w:rPr>
        <w:t xml:space="preserve"> and </w:t>
      </w:r>
      <w:bookmarkStart w:id="13" w:name="_Hlk66964751"/>
      <w:proofErr w:type="spellStart"/>
      <w:r w:rsidR="00930C8F" w:rsidRPr="00D06F2B">
        <w:rPr>
          <w:rFonts w:ascii="Garamond" w:hAnsi="Garamond"/>
          <w:sz w:val="24"/>
          <w:szCs w:val="24"/>
          <w:lang w:val="en-US"/>
        </w:rPr>
        <w:t>Tkachenko</w:t>
      </w:r>
      <w:proofErr w:type="spellEnd"/>
      <w:r w:rsidR="00930C8F" w:rsidRPr="00D06F2B">
        <w:rPr>
          <w:rFonts w:ascii="Garamond" w:hAnsi="Garamond"/>
          <w:sz w:val="24"/>
          <w:szCs w:val="24"/>
          <w:lang w:val="en-US"/>
        </w:rPr>
        <w:t xml:space="preserve"> and </w:t>
      </w:r>
      <w:proofErr w:type="spellStart"/>
      <w:r w:rsidR="00930C8F" w:rsidRPr="00D06F2B">
        <w:rPr>
          <w:rFonts w:ascii="Garamond" w:hAnsi="Garamond"/>
          <w:sz w:val="24"/>
          <w:szCs w:val="24"/>
          <w:lang w:val="en-US"/>
        </w:rPr>
        <w:t>Bataeva</w:t>
      </w:r>
      <w:proofErr w:type="spellEnd"/>
      <w:r w:rsidR="00930C8F" w:rsidRPr="00D06F2B">
        <w:rPr>
          <w:rFonts w:ascii="Garamond" w:hAnsi="Garamond"/>
          <w:sz w:val="24"/>
          <w:szCs w:val="24"/>
          <w:lang w:val="en-US"/>
        </w:rPr>
        <w:t xml:space="preserve"> (2020</w:t>
      </w:r>
      <w:bookmarkEnd w:id="13"/>
      <w:r w:rsidR="00930C8F" w:rsidRPr="00D06F2B">
        <w:rPr>
          <w:rFonts w:ascii="Garamond" w:hAnsi="Garamond"/>
          <w:sz w:val="24"/>
          <w:szCs w:val="24"/>
          <w:lang w:val="en-US"/>
        </w:rPr>
        <w:t>)</w:t>
      </w:r>
      <w:r w:rsidR="007C0802" w:rsidRPr="00D06F2B">
        <w:rPr>
          <w:rFonts w:ascii="Garamond" w:hAnsi="Garamond"/>
          <w:sz w:val="24"/>
          <w:szCs w:val="24"/>
          <w:lang w:val="en-US"/>
        </w:rPr>
        <w:t xml:space="preserve"> on s</w:t>
      </w:r>
      <w:r w:rsidR="00930C8F" w:rsidRPr="00D06F2B">
        <w:rPr>
          <w:rFonts w:ascii="Garamond" w:hAnsi="Garamond"/>
          <w:sz w:val="24"/>
          <w:szCs w:val="24"/>
          <w:lang w:val="en-US"/>
        </w:rPr>
        <w:t xml:space="preserve">hare repurchases. </w:t>
      </w:r>
      <w:bookmarkStart w:id="14" w:name="_Hlk66964755"/>
      <w:proofErr w:type="spellStart"/>
      <w:r w:rsidR="00930C8F" w:rsidRPr="00D06F2B">
        <w:rPr>
          <w:rFonts w:ascii="Garamond" w:hAnsi="Garamond"/>
          <w:sz w:val="24"/>
          <w:szCs w:val="24"/>
          <w:lang w:val="en-US"/>
        </w:rPr>
        <w:t>Fahlenbrach</w:t>
      </w:r>
      <w:proofErr w:type="spellEnd"/>
      <w:r w:rsidR="00930C8F" w:rsidRPr="00D06F2B">
        <w:rPr>
          <w:rFonts w:ascii="Garamond" w:hAnsi="Garamond"/>
          <w:sz w:val="24"/>
          <w:szCs w:val="24"/>
          <w:lang w:val="en-US"/>
        </w:rPr>
        <w:t xml:space="preserve">, </w:t>
      </w:r>
      <w:proofErr w:type="spellStart"/>
      <w:r w:rsidR="00930C8F" w:rsidRPr="00D06F2B">
        <w:rPr>
          <w:rFonts w:ascii="Garamond" w:hAnsi="Garamond"/>
          <w:sz w:val="24"/>
          <w:szCs w:val="24"/>
          <w:lang w:val="en-US"/>
        </w:rPr>
        <w:t>Rageth</w:t>
      </w:r>
      <w:proofErr w:type="spellEnd"/>
      <w:r w:rsidR="00930C8F" w:rsidRPr="00D06F2B">
        <w:rPr>
          <w:rFonts w:ascii="Garamond" w:hAnsi="Garamond"/>
          <w:sz w:val="24"/>
          <w:szCs w:val="24"/>
          <w:lang w:val="en-US"/>
        </w:rPr>
        <w:t xml:space="preserve"> and </w:t>
      </w:r>
      <w:proofErr w:type="spellStart"/>
      <w:r w:rsidR="00930C8F" w:rsidRPr="00D06F2B">
        <w:rPr>
          <w:rFonts w:ascii="Garamond" w:hAnsi="Garamond"/>
          <w:sz w:val="24"/>
          <w:szCs w:val="24"/>
          <w:lang w:val="en-US"/>
        </w:rPr>
        <w:t>Stulz</w:t>
      </w:r>
      <w:proofErr w:type="spellEnd"/>
      <w:r w:rsidR="00930C8F" w:rsidRPr="00D06F2B">
        <w:rPr>
          <w:rFonts w:ascii="Garamond" w:hAnsi="Garamond"/>
          <w:sz w:val="24"/>
          <w:szCs w:val="24"/>
          <w:lang w:val="en-US"/>
        </w:rPr>
        <w:t xml:space="preserve"> (2020</w:t>
      </w:r>
      <w:bookmarkEnd w:id="14"/>
      <w:r w:rsidR="00930C8F" w:rsidRPr="00D06F2B">
        <w:rPr>
          <w:rFonts w:ascii="Garamond" w:hAnsi="Garamond"/>
          <w:sz w:val="24"/>
          <w:szCs w:val="24"/>
          <w:lang w:val="en-US"/>
        </w:rPr>
        <w:t>) study the effect financial flexibility has on</w:t>
      </w:r>
      <w:r w:rsidR="007405DD">
        <w:rPr>
          <w:rFonts w:ascii="Garamond" w:hAnsi="Garamond"/>
          <w:sz w:val="24"/>
          <w:szCs w:val="24"/>
          <w:lang w:val="en-US"/>
        </w:rPr>
        <w:t xml:space="preserve"> the</w:t>
      </w:r>
      <w:r w:rsidR="00930C8F" w:rsidRPr="00D06F2B">
        <w:rPr>
          <w:rFonts w:ascii="Garamond" w:hAnsi="Garamond"/>
          <w:sz w:val="24"/>
          <w:szCs w:val="24"/>
          <w:lang w:val="en-US"/>
        </w:rPr>
        <w:t xml:space="preserve"> share price reaction to </w:t>
      </w:r>
      <w:r w:rsidR="00F305B7" w:rsidRPr="00D06F2B">
        <w:rPr>
          <w:rFonts w:ascii="Garamond" w:hAnsi="Garamond"/>
          <w:sz w:val="24"/>
          <w:szCs w:val="24"/>
          <w:lang w:val="en-US"/>
        </w:rPr>
        <w:t xml:space="preserve">COVID-19 </w:t>
      </w:r>
      <w:r w:rsidR="00EE252E" w:rsidRPr="00D06F2B">
        <w:rPr>
          <w:rFonts w:ascii="Garamond" w:hAnsi="Garamond"/>
          <w:sz w:val="24"/>
          <w:szCs w:val="24"/>
          <w:lang w:val="en-US"/>
        </w:rPr>
        <w:t>outbreak</w:t>
      </w:r>
      <w:r w:rsidR="00930C8F" w:rsidRPr="00D06F2B">
        <w:rPr>
          <w:rFonts w:ascii="Garamond" w:hAnsi="Garamond"/>
          <w:sz w:val="24"/>
          <w:szCs w:val="24"/>
          <w:lang w:val="en-US"/>
        </w:rPr>
        <w:t xml:space="preserve">. </w:t>
      </w:r>
      <w:r w:rsidR="007405DD">
        <w:rPr>
          <w:rFonts w:ascii="Garamond" w:hAnsi="Garamond"/>
          <w:sz w:val="24"/>
          <w:szCs w:val="24"/>
          <w:lang w:val="en-US"/>
        </w:rPr>
        <w:t xml:space="preserve">Our evidence showcases analyst response to the pandemic. </w:t>
      </w:r>
    </w:p>
    <w:p w14:paraId="0663837D" w14:textId="77777777" w:rsidR="000E29FF" w:rsidRPr="00D06F2B" w:rsidRDefault="000E29FF" w:rsidP="00F75BBE">
      <w:pPr>
        <w:spacing w:after="0" w:line="480" w:lineRule="auto"/>
        <w:ind w:firstLine="720"/>
        <w:rPr>
          <w:rFonts w:ascii="Garamond" w:hAnsi="Garamond"/>
          <w:sz w:val="24"/>
          <w:szCs w:val="24"/>
          <w:lang w:val="en-US"/>
        </w:rPr>
      </w:pPr>
    </w:p>
    <w:p w14:paraId="6709323E" w14:textId="0D887D2A" w:rsidR="00D709F6" w:rsidRPr="00D06F2B" w:rsidRDefault="00D709F6" w:rsidP="00F75BBE">
      <w:pPr>
        <w:spacing w:after="0" w:line="480" w:lineRule="auto"/>
        <w:rPr>
          <w:rFonts w:ascii="Garamond" w:hAnsi="Garamond"/>
          <w:b/>
          <w:bCs/>
          <w:sz w:val="24"/>
          <w:szCs w:val="24"/>
          <w:lang w:val="en-US"/>
        </w:rPr>
      </w:pPr>
      <w:r w:rsidRPr="00D06F2B">
        <w:rPr>
          <w:rFonts w:ascii="Garamond" w:hAnsi="Garamond"/>
          <w:b/>
          <w:bCs/>
          <w:sz w:val="24"/>
          <w:szCs w:val="24"/>
          <w:lang w:val="en-US"/>
        </w:rPr>
        <w:t>2. Data</w:t>
      </w:r>
    </w:p>
    <w:p w14:paraId="3AE3A221" w14:textId="3B484093" w:rsidR="000F25A7" w:rsidRPr="00D06F2B" w:rsidRDefault="00D42D0D" w:rsidP="00B23D1B">
      <w:pPr>
        <w:spacing w:after="0" w:line="480" w:lineRule="auto"/>
        <w:rPr>
          <w:rFonts w:ascii="Garamond" w:hAnsi="Garamond"/>
          <w:sz w:val="24"/>
          <w:szCs w:val="24"/>
          <w:lang w:val="en-US"/>
        </w:rPr>
      </w:pPr>
      <w:r w:rsidRPr="00D06F2B">
        <w:rPr>
          <w:rFonts w:ascii="Garamond" w:hAnsi="Garamond"/>
          <w:sz w:val="24"/>
          <w:szCs w:val="24"/>
          <w:lang w:val="en-US"/>
        </w:rPr>
        <w:t>We collect analyst individual quarterly EPS forecasts and contemporaneously issued revenue, cash flow and dividend estimates, target prices and stock recommendations from I/B/E/S over the period January 2018 to November 2020. I/B/E/S imposes a four-month gap between when the data is available for academic compared to commercial research, which determines the end of our sample period. We require that the forecasts have the actual value to calculate forecast errors</w:t>
      </w:r>
      <w:r w:rsidR="00BF5075" w:rsidRPr="00D06F2B">
        <w:rPr>
          <w:rFonts w:ascii="Garamond" w:hAnsi="Garamond"/>
          <w:sz w:val="24"/>
          <w:szCs w:val="24"/>
          <w:lang w:val="en-US"/>
        </w:rPr>
        <w:t xml:space="preserve"> and </w:t>
      </w:r>
      <w:r w:rsidR="00BF5075" w:rsidRPr="00D06F2B">
        <w:rPr>
          <w:rFonts w:ascii="Garamond" w:hAnsi="Garamond"/>
          <w:sz w:val="24"/>
          <w:szCs w:val="24"/>
          <w:lang w:val="en-US"/>
        </w:rPr>
        <w:lastRenderedPageBreak/>
        <w:t>share price information on CRSP</w:t>
      </w:r>
      <w:r w:rsidRPr="00D06F2B">
        <w:rPr>
          <w:rFonts w:ascii="Garamond" w:hAnsi="Garamond"/>
          <w:sz w:val="24"/>
          <w:szCs w:val="24"/>
          <w:lang w:val="en-US"/>
        </w:rPr>
        <w:t xml:space="preserve">. </w:t>
      </w:r>
      <w:r w:rsidR="00B75E22" w:rsidRPr="00D06F2B">
        <w:rPr>
          <w:rFonts w:ascii="Garamond" w:hAnsi="Garamond"/>
          <w:sz w:val="24"/>
          <w:szCs w:val="24"/>
          <w:lang w:val="en-US"/>
        </w:rPr>
        <w:t xml:space="preserve">Our final sample includes </w:t>
      </w:r>
      <w:r w:rsidR="009763D1" w:rsidRPr="00D06F2B">
        <w:rPr>
          <w:rFonts w:ascii="Garamond" w:hAnsi="Garamond"/>
          <w:sz w:val="24"/>
          <w:szCs w:val="24"/>
          <w:lang w:val="en-US"/>
        </w:rPr>
        <w:t>4</w:t>
      </w:r>
      <w:r w:rsidR="008900C3">
        <w:rPr>
          <w:rFonts w:ascii="Garamond" w:hAnsi="Garamond"/>
          <w:sz w:val="24"/>
          <w:szCs w:val="24"/>
          <w:lang w:val="en-US"/>
        </w:rPr>
        <w:t>45</w:t>
      </w:r>
      <w:r w:rsidR="00B75E22" w:rsidRPr="00D06F2B">
        <w:rPr>
          <w:rFonts w:ascii="Garamond" w:hAnsi="Garamond"/>
          <w:sz w:val="24"/>
          <w:szCs w:val="24"/>
          <w:lang w:val="en-US"/>
        </w:rPr>
        <w:t>,</w:t>
      </w:r>
      <w:r w:rsidR="008900C3">
        <w:rPr>
          <w:rFonts w:ascii="Garamond" w:hAnsi="Garamond"/>
          <w:sz w:val="24"/>
          <w:szCs w:val="24"/>
          <w:lang w:val="en-US"/>
        </w:rPr>
        <w:t>561</w:t>
      </w:r>
      <w:r w:rsidR="00B75E22" w:rsidRPr="00D06F2B">
        <w:rPr>
          <w:rFonts w:ascii="Garamond" w:hAnsi="Garamond"/>
          <w:sz w:val="24"/>
          <w:szCs w:val="24"/>
          <w:lang w:val="en-US"/>
        </w:rPr>
        <w:t xml:space="preserve"> EPS forecasts issued for 4,</w:t>
      </w:r>
      <w:r w:rsidR="008900C3">
        <w:rPr>
          <w:rFonts w:ascii="Garamond" w:hAnsi="Garamond"/>
          <w:sz w:val="24"/>
          <w:szCs w:val="24"/>
          <w:lang w:val="en-US"/>
        </w:rPr>
        <w:t>381</w:t>
      </w:r>
      <w:r w:rsidR="00B75E22" w:rsidRPr="00D06F2B">
        <w:rPr>
          <w:rFonts w:ascii="Garamond" w:hAnsi="Garamond"/>
          <w:sz w:val="24"/>
          <w:szCs w:val="24"/>
          <w:lang w:val="en-US"/>
        </w:rPr>
        <w:t xml:space="preserve"> unique firms</w:t>
      </w:r>
      <w:r w:rsidR="000F25A7" w:rsidRPr="00D06F2B">
        <w:rPr>
          <w:rFonts w:ascii="Garamond" w:hAnsi="Garamond"/>
          <w:sz w:val="24"/>
          <w:szCs w:val="24"/>
          <w:lang w:val="en-US"/>
        </w:rPr>
        <w:t xml:space="preserve"> by </w:t>
      </w:r>
      <w:r w:rsidR="008900C3">
        <w:rPr>
          <w:rFonts w:ascii="Garamond" w:hAnsi="Garamond"/>
          <w:sz w:val="24"/>
          <w:szCs w:val="24"/>
          <w:lang w:val="en-US"/>
        </w:rPr>
        <w:t>2</w:t>
      </w:r>
      <w:r w:rsidR="009763D1" w:rsidRPr="00D06F2B">
        <w:rPr>
          <w:rFonts w:ascii="Garamond" w:hAnsi="Garamond"/>
          <w:sz w:val="24"/>
          <w:szCs w:val="24"/>
          <w:lang w:val="en-US"/>
        </w:rPr>
        <w:t>,</w:t>
      </w:r>
      <w:r w:rsidR="008900C3">
        <w:rPr>
          <w:rFonts w:ascii="Garamond" w:hAnsi="Garamond"/>
          <w:sz w:val="24"/>
          <w:szCs w:val="24"/>
          <w:lang w:val="en-US"/>
        </w:rPr>
        <w:t>997</w:t>
      </w:r>
      <w:r w:rsidR="009763D1" w:rsidRPr="00D06F2B">
        <w:rPr>
          <w:rFonts w:ascii="Garamond" w:hAnsi="Garamond"/>
          <w:sz w:val="24"/>
          <w:szCs w:val="24"/>
          <w:lang w:val="en-US"/>
        </w:rPr>
        <w:t xml:space="preserve"> unique analysts employed by </w:t>
      </w:r>
      <w:r w:rsidR="008900C3">
        <w:rPr>
          <w:rFonts w:ascii="Garamond" w:hAnsi="Garamond"/>
          <w:sz w:val="24"/>
          <w:szCs w:val="24"/>
          <w:lang w:val="en-US"/>
        </w:rPr>
        <w:t>253</w:t>
      </w:r>
      <w:r w:rsidR="000F25A7" w:rsidRPr="00D06F2B">
        <w:rPr>
          <w:rFonts w:ascii="Garamond" w:hAnsi="Garamond"/>
          <w:sz w:val="24"/>
          <w:szCs w:val="24"/>
          <w:lang w:val="en-US"/>
        </w:rPr>
        <w:t xml:space="preserve"> unique brokers</w:t>
      </w:r>
      <w:r w:rsidR="00B75E22" w:rsidRPr="00D06F2B">
        <w:rPr>
          <w:rFonts w:ascii="Garamond" w:hAnsi="Garamond"/>
          <w:sz w:val="24"/>
          <w:szCs w:val="24"/>
          <w:lang w:val="en-US"/>
        </w:rPr>
        <w:t xml:space="preserve">. </w:t>
      </w:r>
    </w:p>
    <w:p w14:paraId="62FDAB6F" w14:textId="7ACA24D9" w:rsidR="00D709F6" w:rsidRPr="00D06F2B" w:rsidRDefault="000F25A7" w:rsidP="00F75BBE">
      <w:pPr>
        <w:spacing w:after="0" w:line="480" w:lineRule="auto"/>
        <w:rPr>
          <w:rFonts w:ascii="Garamond" w:hAnsi="Garamond"/>
          <w:sz w:val="24"/>
          <w:szCs w:val="24"/>
          <w:lang w:val="en-US"/>
        </w:rPr>
      </w:pPr>
      <w:r w:rsidRPr="00D06F2B">
        <w:rPr>
          <w:rFonts w:ascii="Garamond" w:hAnsi="Garamond"/>
          <w:sz w:val="24"/>
          <w:szCs w:val="24"/>
          <w:lang w:val="en-US"/>
        </w:rPr>
        <w:tab/>
        <w:t xml:space="preserve">Table 1 presents </w:t>
      </w:r>
      <w:r w:rsidR="00F6259C" w:rsidRPr="00D06F2B">
        <w:rPr>
          <w:rFonts w:ascii="Garamond" w:hAnsi="Garamond"/>
          <w:sz w:val="24"/>
          <w:szCs w:val="24"/>
          <w:lang w:val="en-US"/>
        </w:rPr>
        <w:t xml:space="preserve">the </w:t>
      </w:r>
      <w:r w:rsidRPr="00D06F2B">
        <w:rPr>
          <w:rFonts w:ascii="Garamond" w:hAnsi="Garamond"/>
          <w:sz w:val="24"/>
          <w:szCs w:val="24"/>
          <w:lang w:val="en-US"/>
        </w:rPr>
        <w:t xml:space="preserve">annual number of forecasts between 2018 and 2020. </w:t>
      </w:r>
      <w:r w:rsidR="00B75E22" w:rsidRPr="00D06F2B">
        <w:rPr>
          <w:rFonts w:ascii="Garamond" w:hAnsi="Garamond"/>
          <w:sz w:val="24"/>
          <w:szCs w:val="24"/>
          <w:lang w:val="en-US"/>
        </w:rPr>
        <w:t xml:space="preserve">The </w:t>
      </w:r>
      <w:r w:rsidR="003B04ED" w:rsidRPr="00D06F2B">
        <w:rPr>
          <w:rFonts w:ascii="Garamond" w:hAnsi="Garamond"/>
          <w:sz w:val="24"/>
          <w:szCs w:val="24"/>
          <w:lang w:val="en-US"/>
        </w:rPr>
        <w:t xml:space="preserve">fraction of </w:t>
      </w:r>
      <w:r w:rsidR="00B75E22" w:rsidRPr="00D06F2B">
        <w:rPr>
          <w:rFonts w:ascii="Garamond" w:hAnsi="Garamond"/>
          <w:sz w:val="24"/>
          <w:szCs w:val="24"/>
          <w:lang w:val="en-US"/>
        </w:rPr>
        <w:t xml:space="preserve">revenue forecasts </w:t>
      </w:r>
      <w:r w:rsidR="003B04ED" w:rsidRPr="00D06F2B">
        <w:rPr>
          <w:rFonts w:ascii="Garamond" w:hAnsi="Garamond"/>
          <w:sz w:val="24"/>
          <w:szCs w:val="24"/>
          <w:lang w:val="en-US"/>
        </w:rPr>
        <w:t xml:space="preserve">issued with </w:t>
      </w:r>
      <w:r w:rsidR="00B75E22" w:rsidRPr="00D06F2B">
        <w:rPr>
          <w:rFonts w:ascii="Garamond" w:hAnsi="Garamond"/>
          <w:sz w:val="24"/>
          <w:szCs w:val="24"/>
          <w:lang w:val="en-US"/>
        </w:rPr>
        <w:t>EPS estimates</w:t>
      </w:r>
      <w:r w:rsidR="003B04ED" w:rsidRPr="00D06F2B">
        <w:rPr>
          <w:rFonts w:ascii="Garamond" w:hAnsi="Garamond"/>
          <w:sz w:val="24"/>
          <w:szCs w:val="24"/>
          <w:lang w:val="en-US"/>
        </w:rPr>
        <w:t xml:space="preserve"> is 6</w:t>
      </w:r>
      <w:r w:rsidR="008900C3">
        <w:rPr>
          <w:rFonts w:ascii="Garamond" w:hAnsi="Garamond"/>
          <w:sz w:val="24"/>
          <w:szCs w:val="24"/>
          <w:lang w:val="en-US"/>
        </w:rPr>
        <w:t>6</w:t>
      </w:r>
      <w:r w:rsidR="003B04ED" w:rsidRPr="00D06F2B">
        <w:rPr>
          <w:rFonts w:ascii="Garamond" w:hAnsi="Garamond"/>
          <w:sz w:val="24"/>
          <w:szCs w:val="24"/>
          <w:lang w:val="en-US"/>
        </w:rPr>
        <w:t>.</w:t>
      </w:r>
      <w:r w:rsidR="008900C3">
        <w:rPr>
          <w:rFonts w:ascii="Garamond" w:hAnsi="Garamond"/>
          <w:sz w:val="24"/>
          <w:szCs w:val="24"/>
          <w:lang w:val="en-US"/>
        </w:rPr>
        <w:t>6</w:t>
      </w:r>
      <w:r w:rsidR="003B04ED" w:rsidRPr="00D06F2B">
        <w:rPr>
          <w:rFonts w:ascii="Garamond" w:hAnsi="Garamond"/>
          <w:sz w:val="24"/>
          <w:szCs w:val="24"/>
          <w:lang w:val="en-US"/>
        </w:rPr>
        <w:t>%</w:t>
      </w:r>
      <w:r w:rsidR="00B75E22" w:rsidRPr="00D06F2B">
        <w:rPr>
          <w:rFonts w:ascii="Garamond" w:hAnsi="Garamond"/>
          <w:sz w:val="24"/>
          <w:szCs w:val="24"/>
          <w:lang w:val="en-US"/>
        </w:rPr>
        <w:t xml:space="preserve">, a result consistent with </w:t>
      </w:r>
      <w:proofErr w:type="spellStart"/>
      <w:r w:rsidR="00B75E22" w:rsidRPr="00D06F2B">
        <w:rPr>
          <w:rFonts w:ascii="Garamond" w:hAnsi="Garamond"/>
          <w:sz w:val="24"/>
          <w:szCs w:val="24"/>
          <w:lang w:val="en-US"/>
        </w:rPr>
        <w:t>Ertimur</w:t>
      </w:r>
      <w:proofErr w:type="spellEnd"/>
      <w:r w:rsidR="00AB460D" w:rsidRPr="00D06F2B">
        <w:rPr>
          <w:rFonts w:ascii="Garamond" w:hAnsi="Garamond"/>
          <w:sz w:val="24"/>
          <w:szCs w:val="24"/>
          <w:lang w:val="en-US"/>
        </w:rPr>
        <w:t xml:space="preserve"> et al.</w:t>
      </w:r>
      <w:r w:rsidR="00B75E22" w:rsidRPr="00D06F2B">
        <w:rPr>
          <w:rFonts w:ascii="Garamond" w:hAnsi="Garamond"/>
          <w:sz w:val="24"/>
          <w:szCs w:val="24"/>
          <w:lang w:val="en-US"/>
        </w:rPr>
        <w:t xml:space="preserve"> (2011) that since 2001, </w:t>
      </w:r>
      <w:r w:rsidR="003B04ED" w:rsidRPr="00D06F2B">
        <w:rPr>
          <w:rFonts w:ascii="Garamond" w:hAnsi="Garamond"/>
          <w:sz w:val="24"/>
          <w:szCs w:val="24"/>
          <w:lang w:val="en-US"/>
        </w:rPr>
        <w:t xml:space="preserve">almost all </w:t>
      </w:r>
      <w:r w:rsidR="00B75E22" w:rsidRPr="00D06F2B">
        <w:rPr>
          <w:rFonts w:ascii="Garamond" w:hAnsi="Garamond"/>
          <w:sz w:val="24"/>
          <w:szCs w:val="24"/>
          <w:lang w:val="en-US"/>
        </w:rPr>
        <w:t>analysts produce revenue estimates. We find that 1</w:t>
      </w:r>
      <w:r w:rsidR="008900C3">
        <w:rPr>
          <w:rFonts w:ascii="Garamond" w:hAnsi="Garamond"/>
          <w:sz w:val="24"/>
          <w:szCs w:val="24"/>
          <w:lang w:val="en-US"/>
        </w:rPr>
        <w:t>3</w:t>
      </w:r>
      <w:r w:rsidR="00B75E22" w:rsidRPr="00D06F2B">
        <w:rPr>
          <w:rFonts w:ascii="Garamond" w:hAnsi="Garamond"/>
          <w:sz w:val="24"/>
          <w:szCs w:val="24"/>
          <w:lang w:val="en-US"/>
        </w:rPr>
        <w:t>.</w:t>
      </w:r>
      <w:r w:rsidR="008900C3">
        <w:rPr>
          <w:rFonts w:ascii="Garamond" w:hAnsi="Garamond"/>
          <w:sz w:val="24"/>
          <w:szCs w:val="24"/>
          <w:lang w:val="en-US"/>
        </w:rPr>
        <w:t>1</w:t>
      </w:r>
      <w:r w:rsidR="00B75E22" w:rsidRPr="00D06F2B">
        <w:rPr>
          <w:rFonts w:ascii="Garamond" w:hAnsi="Garamond"/>
          <w:sz w:val="24"/>
          <w:szCs w:val="24"/>
          <w:lang w:val="en-US"/>
        </w:rPr>
        <w:t>% of</w:t>
      </w:r>
      <w:r w:rsidR="008900C3">
        <w:rPr>
          <w:rFonts w:ascii="Garamond" w:hAnsi="Garamond"/>
          <w:sz w:val="24"/>
          <w:szCs w:val="24"/>
          <w:lang w:val="en-US"/>
        </w:rPr>
        <w:t xml:space="preserve"> EPS forecasts are issued jointly with</w:t>
      </w:r>
      <w:r w:rsidR="00B75E22" w:rsidRPr="00D06F2B">
        <w:rPr>
          <w:rFonts w:ascii="Garamond" w:hAnsi="Garamond"/>
          <w:sz w:val="24"/>
          <w:szCs w:val="24"/>
          <w:lang w:val="en-US"/>
        </w:rPr>
        <w:t xml:space="preserve"> </w:t>
      </w:r>
      <w:r w:rsidR="0038347C" w:rsidRPr="00D06F2B">
        <w:rPr>
          <w:rFonts w:ascii="Garamond" w:hAnsi="Garamond"/>
          <w:sz w:val="24"/>
          <w:szCs w:val="24"/>
          <w:lang w:val="en-US"/>
        </w:rPr>
        <w:t>cash flow</w:t>
      </w:r>
      <w:r w:rsidR="00B75E22" w:rsidRPr="00D06F2B">
        <w:rPr>
          <w:rFonts w:ascii="Garamond" w:hAnsi="Garamond"/>
          <w:sz w:val="24"/>
          <w:szCs w:val="24"/>
          <w:lang w:val="en-US"/>
        </w:rPr>
        <w:t xml:space="preserve"> forecasts, which</w:t>
      </w:r>
      <w:r w:rsidR="0038347C" w:rsidRPr="00D06F2B">
        <w:rPr>
          <w:rFonts w:ascii="Garamond" w:hAnsi="Garamond"/>
          <w:sz w:val="24"/>
          <w:szCs w:val="24"/>
          <w:lang w:val="en-US"/>
        </w:rPr>
        <w:t xml:space="preserve"> is</w:t>
      </w:r>
      <w:r w:rsidR="00B75E22" w:rsidRPr="00D06F2B">
        <w:rPr>
          <w:rFonts w:ascii="Garamond" w:hAnsi="Garamond"/>
          <w:sz w:val="24"/>
          <w:szCs w:val="24"/>
          <w:lang w:val="en-US"/>
        </w:rPr>
        <w:t xml:space="preserve"> twice the fraction of joint EPS and cash flow forecasts reported in </w:t>
      </w:r>
      <w:bookmarkStart w:id="15" w:name="_Hlk66964764"/>
      <w:proofErr w:type="spellStart"/>
      <w:r w:rsidR="00B75E22" w:rsidRPr="00D06F2B">
        <w:rPr>
          <w:rFonts w:ascii="Garamond" w:hAnsi="Garamond"/>
          <w:sz w:val="24"/>
          <w:szCs w:val="24"/>
          <w:lang w:val="en-US"/>
        </w:rPr>
        <w:t>DeFond</w:t>
      </w:r>
      <w:proofErr w:type="spellEnd"/>
      <w:r w:rsidR="00B75E22" w:rsidRPr="00D06F2B">
        <w:rPr>
          <w:rFonts w:ascii="Garamond" w:hAnsi="Garamond"/>
          <w:sz w:val="24"/>
          <w:szCs w:val="24"/>
          <w:lang w:val="en-US"/>
        </w:rPr>
        <w:t xml:space="preserve"> and Hung (2003</w:t>
      </w:r>
      <w:bookmarkEnd w:id="15"/>
      <w:r w:rsidR="00B75E22" w:rsidRPr="00D06F2B">
        <w:rPr>
          <w:rFonts w:ascii="Garamond" w:hAnsi="Garamond"/>
          <w:sz w:val="24"/>
          <w:szCs w:val="24"/>
          <w:lang w:val="en-US"/>
        </w:rPr>
        <w:t>) for their period 1993-1999 and</w:t>
      </w:r>
      <w:r w:rsidR="008900C3">
        <w:rPr>
          <w:rFonts w:ascii="Garamond" w:hAnsi="Garamond"/>
          <w:sz w:val="24"/>
          <w:szCs w:val="24"/>
          <w:lang w:val="en-US"/>
        </w:rPr>
        <w:t xml:space="preserve"> a fraction that is higher than</w:t>
      </w:r>
      <w:r w:rsidR="00B75E22" w:rsidRPr="00D06F2B">
        <w:rPr>
          <w:rFonts w:ascii="Garamond" w:hAnsi="Garamond"/>
          <w:sz w:val="24"/>
          <w:szCs w:val="24"/>
          <w:lang w:val="en-US"/>
        </w:rPr>
        <w:t xml:space="preserve"> 9.3% in </w:t>
      </w:r>
      <w:bookmarkStart w:id="16" w:name="_Hlk66964772"/>
      <w:r w:rsidR="00B75E22" w:rsidRPr="00D06F2B">
        <w:rPr>
          <w:rFonts w:ascii="Garamond" w:hAnsi="Garamond"/>
          <w:sz w:val="24"/>
          <w:szCs w:val="24"/>
          <w:lang w:val="en-US"/>
        </w:rPr>
        <w:t xml:space="preserve">Bilinski (2014) </w:t>
      </w:r>
      <w:bookmarkEnd w:id="16"/>
      <w:r w:rsidR="00B75E22" w:rsidRPr="00D06F2B">
        <w:rPr>
          <w:rFonts w:ascii="Garamond" w:hAnsi="Garamond"/>
          <w:sz w:val="24"/>
          <w:szCs w:val="24"/>
          <w:lang w:val="en-US"/>
        </w:rPr>
        <w:t xml:space="preserve">over the period 2000-2008. Around </w:t>
      </w:r>
      <w:r w:rsidR="008900C3">
        <w:rPr>
          <w:rFonts w:ascii="Garamond" w:hAnsi="Garamond"/>
          <w:sz w:val="24"/>
          <w:szCs w:val="24"/>
          <w:lang w:val="en-US"/>
        </w:rPr>
        <w:t>3</w:t>
      </w:r>
      <w:r w:rsidR="00B75E22" w:rsidRPr="00D06F2B">
        <w:rPr>
          <w:rFonts w:ascii="Garamond" w:hAnsi="Garamond"/>
          <w:sz w:val="24"/>
          <w:szCs w:val="24"/>
          <w:lang w:val="en-US"/>
        </w:rPr>
        <w:t>.</w:t>
      </w:r>
      <w:r w:rsidR="008900C3">
        <w:rPr>
          <w:rFonts w:ascii="Garamond" w:hAnsi="Garamond"/>
          <w:sz w:val="24"/>
          <w:szCs w:val="24"/>
          <w:lang w:val="en-US"/>
        </w:rPr>
        <w:t>9</w:t>
      </w:r>
      <w:r w:rsidR="00B75E22" w:rsidRPr="00D06F2B">
        <w:rPr>
          <w:rFonts w:ascii="Garamond" w:hAnsi="Garamond"/>
          <w:sz w:val="24"/>
          <w:szCs w:val="24"/>
          <w:lang w:val="en-US"/>
        </w:rPr>
        <w:t>% of EPS estimates are issued jointly with a dividend forecast</w:t>
      </w:r>
      <w:r w:rsidR="003B04ED" w:rsidRPr="00D06F2B">
        <w:rPr>
          <w:rFonts w:ascii="Garamond" w:hAnsi="Garamond"/>
          <w:sz w:val="24"/>
          <w:szCs w:val="24"/>
          <w:lang w:val="en-US"/>
        </w:rPr>
        <w:t xml:space="preserve">, an evidence consistent with Bilinski and Bradshaw (2020) that dividend forecasts are rare in the </w:t>
      </w:r>
      <w:proofErr w:type="gramStart"/>
      <w:r w:rsidR="003B04ED" w:rsidRPr="00D06F2B">
        <w:rPr>
          <w:rFonts w:ascii="Garamond" w:hAnsi="Garamond"/>
          <w:sz w:val="24"/>
          <w:szCs w:val="24"/>
          <w:lang w:val="en-US"/>
        </w:rPr>
        <w:t>U</w:t>
      </w:r>
      <w:r w:rsidR="00F6259C" w:rsidRPr="00D06F2B">
        <w:rPr>
          <w:rFonts w:ascii="Garamond" w:hAnsi="Garamond"/>
          <w:sz w:val="24"/>
          <w:szCs w:val="24"/>
          <w:lang w:val="en-US"/>
        </w:rPr>
        <w:t>.</w:t>
      </w:r>
      <w:r w:rsidR="003B04ED" w:rsidRPr="00D06F2B">
        <w:rPr>
          <w:rFonts w:ascii="Garamond" w:hAnsi="Garamond"/>
          <w:sz w:val="24"/>
          <w:szCs w:val="24"/>
          <w:lang w:val="en-US"/>
        </w:rPr>
        <w:t>S</w:t>
      </w:r>
      <w:r w:rsidR="00F6259C" w:rsidRPr="00D06F2B">
        <w:rPr>
          <w:rFonts w:ascii="Garamond" w:hAnsi="Garamond"/>
          <w:sz w:val="24"/>
          <w:szCs w:val="24"/>
          <w:lang w:val="en-US"/>
        </w:rPr>
        <w:t>..</w:t>
      </w:r>
      <w:proofErr w:type="gramEnd"/>
      <w:r w:rsidR="00B75E22" w:rsidRPr="00D06F2B">
        <w:rPr>
          <w:rFonts w:ascii="Garamond" w:hAnsi="Garamond"/>
          <w:sz w:val="24"/>
          <w:szCs w:val="24"/>
          <w:lang w:val="en-US"/>
        </w:rPr>
        <w:t xml:space="preserve"> </w:t>
      </w:r>
      <w:r w:rsidR="0038347C" w:rsidRPr="00D06F2B">
        <w:rPr>
          <w:rFonts w:ascii="Garamond" w:hAnsi="Garamond"/>
          <w:sz w:val="24"/>
          <w:szCs w:val="24"/>
          <w:lang w:val="en-US"/>
        </w:rPr>
        <w:t>Target prices are issued with 4</w:t>
      </w:r>
      <w:r w:rsidR="008900C3">
        <w:rPr>
          <w:rFonts w:ascii="Garamond" w:hAnsi="Garamond"/>
          <w:sz w:val="24"/>
          <w:szCs w:val="24"/>
          <w:lang w:val="en-US"/>
        </w:rPr>
        <w:t>2</w:t>
      </w:r>
      <w:r w:rsidR="0038347C" w:rsidRPr="00D06F2B">
        <w:rPr>
          <w:rFonts w:ascii="Garamond" w:hAnsi="Garamond"/>
          <w:sz w:val="24"/>
          <w:szCs w:val="24"/>
          <w:lang w:val="en-US"/>
        </w:rPr>
        <w:t>.</w:t>
      </w:r>
      <w:r w:rsidR="008900C3">
        <w:rPr>
          <w:rFonts w:ascii="Garamond" w:hAnsi="Garamond"/>
          <w:sz w:val="24"/>
          <w:szCs w:val="24"/>
          <w:lang w:val="en-US"/>
        </w:rPr>
        <w:t>8</w:t>
      </w:r>
      <w:r w:rsidR="0038347C" w:rsidRPr="00D06F2B">
        <w:rPr>
          <w:rFonts w:ascii="Garamond" w:hAnsi="Garamond"/>
          <w:sz w:val="24"/>
          <w:szCs w:val="24"/>
          <w:lang w:val="en-US"/>
        </w:rPr>
        <w:t>% of earnings forecasts</w:t>
      </w:r>
      <w:r w:rsidR="00F6259C" w:rsidRPr="00D06F2B">
        <w:rPr>
          <w:rFonts w:ascii="Garamond" w:hAnsi="Garamond"/>
          <w:sz w:val="24"/>
          <w:szCs w:val="24"/>
          <w:lang w:val="en-US"/>
        </w:rPr>
        <w:t>,</w:t>
      </w:r>
      <w:r w:rsidR="0038347C" w:rsidRPr="00D06F2B">
        <w:rPr>
          <w:rFonts w:ascii="Garamond" w:hAnsi="Garamond"/>
          <w:sz w:val="24"/>
          <w:szCs w:val="24"/>
          <w:lang w:val="en-US"/>
        </w:rPr>
        <w:t xml:space="preserve"> and stock recommendations with around </w:t>
      </w:r>
      <w:r w:rsidR="003B04ED" w:rsidRPr="00D06F2B">
        <w:rPr>
          <w:rFonts w:ascii="Garamond" w:hAnsi="Garamond"/>
          <w:sz w:val="24"/>
          <w:szCs w:val="24"/>
          <w:lang w:val="en-US"/>
        </w:rPr>
        <w:t>6.</w:t>
      </w:r>
      <w:r w:rsidR="008900C3">
        <w:rPr>
          <w:rFonts w:ascii="Garamond" w:hAnsi="Garamond"/>
          <w:sz w:val="24"/>
          <w:szCs w:val="24"/>
          <w:lang w:val="en-US"/>
        </w:rPr>
        <w:t>6</w:t>
      </w:r>
      <w:r w:rsidR="0038347C" w:rsidRPr="00D06F2B">
        <w:rPr>
          <w:rFonts w:ascii="Garamond" w:hAnsi="Garamond"/>
          <w:sz w:val="24"/>
          <w:szCs w:val="24"/>
          <w:lang w:val="en-US"/>
        </w:rPr>
        <w:t>% of EPS estimates.</w:t>
      </w:r>
    </w:p>
    <w:p w14:paraId="47361274" w14:textId="2D7E7461" w:rsidR="0038347C" w:rsidRPr="00D06F2B" w:rsidRDefault="0038347C" w:rsidP="0038347C">
      <w:pPr>
        <w:spacing w:after="0" w:line="480" w:lineRule="auto"/>
        <w:jc w:val="center"/>
        <w:rPr>
          <w:rFonts w:ascii="Garamond" w:hAnsi="Garamond"/>
          <w:sz w:val="24"/>
          <w:szCs w:val="24"/>
          <w:lang w:val="en-US"/>
        </w:rPr>
      </w:pPr>
      <w:r w:rsidRPr="00D06F2B">
        <w:rPr>
          <w:rFonts w:ascii="Garamond" w:hAnsi="Garamond"/>
          <w:sz w:val="24"/>
          <w:szCs w:val="24"/>
          <w:lang w:val="en-US"/>
        </w:rPr>
        <w:t>[Table 1]</w:t>
      </w:r>
    </w:p>
    <w:p w14:paraId="575D8BC3" w14:textId="5A9BA7F7" w:rsidR="00D709F6" w:rsidRPr="00D06F2B" w:rsidRDefault="00D709F6" w:rsidP="00794F34">
      <w:pPr>
        <w:widowControl w:val="0"/>
        <w:spacing w:after="0" w:line="480" w:lineRule="auto"/>
        <w:rPr>
          <w:rFonts w:ascii="Garamond" w:hAnsi="Garamond"/>
          <w:b/>
          <w:bCs/>
          <w:sz w:val="24"/>
          <w:szCs w:val="24"/>
          <w:lang w:val="en-US"/>
        </w:rPr>
      </w:pPr>
      <w:r w:rsidRPr="00D06F2B">
        <w:rPr>
          <w:rFonts w:ascii="Garamond" w:hAnsi="Garamond"/>
          <w:b/>
          <w:bCs/>
          <w:sz w:val="24"/>
          <w:szCs w:val="24"/>
          <w:lang w:val="en-US"/>
        </w:rPr>
        <w:t xml:space="preserve">3. </w:t>
      </w:r>
      <w:r w:rsidR="006F4197" w:rsidRPr="00D06F2B">
        <w:rPr>
          <w:rFonts w:ascii="Garamond" w:hAnsi="Garamond"/>
          <w:b/>
          <w:bCs/>
          <w:sz w:val="24"/>
          <w:szCs w:val="24"/>
          <w:lang w:val="en-US"/>
        </w:rPr>
        <w:t>Empirical results</w:t>
      </w:r>
    </w:p>
    <w:p w14:paraId="45B3BB4A" w14:textId="190AE03D" w:rsidR="008900C3" w:rsidRDefault="008900C3" w:rsidP="00794F34">
      <w:pPr>
        <w:widowControl w:val="0"/>
        <w:spacing w:after="0" w:line="480" w:lineRule="auto"/>
        <w:rPr>
          <w:rFonts w:ascii="Garamond" w:hAnsi="Garamond"/>
          <w:sz w:val="24"/>
          <w:szCs w:val="24"/>
          <w:lang w:val="en-US"/>
        </w:rPr>
      </w:pPr>
      <w:r>
        <w:rPr>
          <w:rFonts w:ascii="Garamond" w:hAnsi="Garamond"/>
          <w:sz w:val="24"/>
          <w:szCs w:val="24"/>
          <w:lang w:val="en-US"/>
        </w:rPr>
        <w:t xml:space="preserve">This section first presents results on the supply of analyst forecasts during the pandemic compared to pre-pandemic years. Then we examine forecast accuracy and finally the usefulness of the forecasts. </w:t>
      </w:r>
    </w:p>
    <w:p w14:paraId="3B6699A0" w14:textId="7A450A94" w:rsidR="008900C3" w:rsidRPr="008900C3" w:rsidRDefault="008900C3" w:rsidP="00794F34">
      <w:pPr>
        <w:widowControl w:val="0"/>
        <w:spacing w:after="0" w:line="480" w:lineRule="auto"/>
        <w:rPr>
          <w:rFonts w:ascii="Garamond" w:hAnsi="Garamond"/>
          <w:sz w:val="24"/>
          <w:szCs w:val="24"/>
          <w:lang w:val="en-US"/>
        </w:rPr>
      </w:pPr>
      <w:r>
        <w:rPr>
          <w:rFonts w:ascii="Garamond" w:hAnsi="Garamond"/>
          <w:sz w:val="24"/>
          <w:szCs w:val="24"/>
          <w:lang w:val="en-US"/>
        </w:rPr>
        <w:t xml:space="preserve"> </w:t>
      </w:r>
    </w:p>
    <w:p w14:paraId="2087826D" w14:textId="049FAF15" w:rsidR="00270BA6" w:rsidRPr="00D06F2B" w:rsidRDefault="00270BA6" w:rsidP="00794F34">
      <w:pPr>
        <w:widowControl w:val="0"/>
        <w:spacing w:after="0" w:line="480" w:lineRule="auto"/>
        <w:rPr>
          <w:rFonts w:ascii="Garamond" w:hAnsi="Garamond"/>
          <w:i/>
          <w:iCs/>
          <w:sz w:val="24"/>
          <w:szCs w:val="24"/>
          <w:lang w:val="en-US"/>
        </w:rPr>
      </w:pPr>
      <w:r w:rsidRPr="00D06F2B">
        <w:rPr>
          <w:rFonts w:ascii="Garamond" w:hAnsi="Garamond"/>
          <w:i/>
          <w:iCs/>
          <w:sz w:val="24"/>
          <w:szCs w:val="24"/>
          <w:lang w:val="en-US"/>
        </w:rPr>
        <w:t xml:space="preserve">3.1 The </w:t>
      </w:r>
      <w:r w:rsidR="00BF5075" w:rsidRPr="00D06F2B">
        <w:rPr>
          <w:rFonts w:ascii="Garamond" w:hAnsi="Garamond"/>
          <w:i/>
          <w:iCs/>
          <w:sz w:val="24"/>
          <w:szCs w:val="24"/>
          <w:lang w:val="en-US"/>
        </w:rPr>
        <w:t>changes in the supply</w:t>
      </w:r>
      <w:r w:rsidRPr="00D06F2B">
        <w:rPr>
          <w:rFonts w:ascii="Garamond" w:hAnsi="Garamond"/>
          <w:i/>
          <w:iCs/>
          <w:sz w:val="24"/>
          <w:szCs w:val="24"/>
          <w:lang w:val="en-US"/>
        </w:rPr>
        <w:t xml:space="preserve"> of</w:t>
      </w:r>
      <w:r w:rsidR="00596D27" w:rsidRPr="00D06F2B">
        <w:rPr>
          <w:rFonts w:ascii="Garamond" w:hAnsi="Garamond"/>
          <w:i/>
          <w:iCs/>
          <w:sz w:val="24"/>
          <w:szCs w:val="24"/>
          <w:lang w:val="en-US"/>
        </w:rPr>
        <w:t xml:space="preserve"> analyst</w:t>
      </w:r>
      <w:r w:rsidRPr="00D06F2B">
        <w:rPr>
          <w:rFonts w:ascii="Garamond" w:hAnsi="Garamond"/>
          <w:i/>
          <w:iCs/>
          <w:sz w:val="24"/>
          <w:szCs w:val="24"/>
          <w:lang w:val="en-US"/>
        </w:rPr>
        <w:t xml:space="preserve"> forecasts </w:t>
      </w:r>
      <w:r w:rsidR="00BF5075" w:rsidRPr="00D06F2B">
        <w:rPr>
          <w:rFonts w:ascii="Garamond" w:hAnsi="Garamond"/>
          <w:i/>
          <w:iCs/>
          <w:sz w:val="24"/>
          <w:szCs w:val="24"/>
          <w:lang w:val="en-US"/>
        </w:rPr>
        <w:t>during the pandemic</w:t>
      </w:r>
    </w:p>
    <w:p w14:paraId="0214949B" w14:textId="76974B94" w:rsidR="00270BA6" w:rsidRPr="00D06F2B" w:rsidRDefault="00D709F6" w:rsidP="00794F34">
      <w:pPr>
        <w:widowControl w:val="0"/>
        <w:spacing w:after="0" w:line="480" w:lineRule="auto"/>
        <w:rPr>
          <w:rFonts w:ascii="Garamond" w:hAnsi="Garamond"/>
          <w:sz w:val="24"/>
          <w:szCs w:val="24"/>
          <w:lang w:val="en-US"/>
        </w:rPr>
      </w:pPr>
      <w:r w:rsidRPr="00D06F2B">
        <w:rPr>
          <w:rFonts w:ascii="Garamond" w:hAnsi="Garamond"/>
          <w:sz w:val="24"/>
          <w:szCs w:val="24"/>
          <w:lang w:val="en-US"/>
        </w:rPr>
        <w:t xml:space="preserve"> </w:t>
      </w:r>
      <w:r w:rsidR="006F4197" w:rsidRPr="00D06F2B">
        <w:rPr>
          <w:rFonts w:ascii="Garamond" w:hAnsi="Garamond"/>
          <w:sz w:val="24"/>
          <w:szCs w:val="24"/>
          <w:lang w:val="en-US"/>
        </w:rPr>
        <w:t>The first test examines</w:t>
      </w:r>
      <w:r w:rsidR="00BF5075" w:rsidRPr="00D06F2B">
        <w:rPr>
          <w:rFonts w:ascii="Garamond" w:hAnsi="Garamond"/>
          <w:sz w:val="24"/>
          <w:szCs w:val="24"/>
          <w:lang w:val="en-US"/>
        </w:rPr>
        <w:t xml:space="preserve"> changes in</w:t>
      </w:r>
      <w:r w:rsidR="006F4197" w:rsidRPr="00D06F2B">
        <w:rPr>
          <w:rFonts w:ascii="Garamond" w:hAnsi="Garamond"/>
          <w:sz w:val="24"/>
          <w:szCs w:val="24"/>
          <w:lang w:val="en-US"/>
        </w:rPr>
        <w:t xml:space="preserve"> the monthly </w:t>
      </w:r>
      <w:r w:rsidR="00BF5075" w:rsidRPr="00D06F2B">
        <w:rPr>
          <w:rFonts w:ascii="Garamond" w:hAnsi="Garamond"/>
          <w:sz w:val="24"/>
          <w:szCs w:val="24"/>
          <w:lang w:val="en-US"/>
        </w:rPr>
        <w:t>number</w:t>
      </w:r>
      <w:r w:rsidR="006F4197" w:rsidRPr="00D06F2B">
        <w:rPr>
          <w:rFonts w:ascii="Garamond" w:hAnsi="Garamond"/>
          <w:sz w:val="24"/>
          <w:szCs w:val="24"/>
          <w:lang w:val="en-US"/>
        </w:rPr>
        <w:t xml:space="preserve"> of analyst forecasts </w:t>
      </w:r>
      <w:r w:rsidR="00BF5075" w:rsidRPr="00D06F2B">
        <w:rPr>
          <w:rFonts w:ascii="Garamond" w:hAnsi="Garamond"/>
          <w:sz w:val="24"/>
          <w:szCs w:val="24"/>
          <w:lang w:val="en-US"/>
        </w:rPr>
        <w:t xml:space="preserve">during the pandemic compared to similar periods before the COVID-19 outbreak. </w:t>
      </w:r>
      <w:r w:rsidR="008B451B" w:rsidRPr="00D06F2B">
        <w:rPr>
          <w:rFonts w:ascii="Garamond" w:hAnsi="Garamond"/>
          <w:sz w:val="24"/>
          <w:szCs w:val="24"/>
          <w:lang w:val="en-US"/>
        </w:rPr>
        <w:t xml:space="preserve">This test is useful to understand the analyst supply response to the outbreak of the pandemic. </w:t>
      </w:r>
      <w:r w:rsidR="00CC6E1F" w:rsidRPr="00D06F2B">
        <w:rPr>
          <w:rFonts w:ascii="Garamond" w:hAnsi="Garamond"/>
          <w:sz w:val="24"/>
          <w:szCs w:val="24"/>
          <w:lang w:val="en-US"/>
        </w:rPr>
        <w:t>Figure 1 plots the monthly number of EPS, revenue, cash flow and dividend forecasts, target prices and stock recommendations</w:t>
      </w:r>
      <w:r w:rsidR="008B451B" w:rsidRPr="00D06F2B">
        <w:rPr>
          <w:rFonts w:ascii="Garamond" w:hAnsi="Garamond"/>
          <w:sz w:val="24"/>
          <w:szCs w:val="24"/>
          <w:lang w:val="en-US"/>
        </w:rPr>
        <w:t xml:space="preserve"> in the pre-pandemic years 2018 and 2019 and during 2020</w:t>
      </w:r>
      <w:r w:rsidR="00CC6E1F" w:rsidRPr="00D06F2B">
        <w:rPr>
          <w:rFonts w:ascii="Garamond" w:hAnsi="Garamond"/>
          <w:sz w:val="24"/>
          <w:szCs w:val="24"/>
          <w:lang w:val="en-US"/>
        </w:rPr>
        <w:t xml:space="preserve">. We </w:t>
      </w:r>
      <w:r w:rsidR="00BF5075" w:rsidRPr="00D06F2B">
        <w:rPr>
          <w:rFonts w:ascii="Garamond" w:hAnsi="Garamond"/>
          <w:sz w:val="24"/>
          <w:szCs w:val="24"/>
          <w:lang w:val="en-US"/>
        </w:rPr>
        <w:t>identify</w:t>
      </w:r>
      <w:r w:rsidR="00CC6E1F" w:rsidRPr="00D06F2B">
        <w:rPr>
          <w:rFonts w:ascii="Garamond" w:hAnsi="Garamond"/>
          <w:sz w:val="24"/>
          <w:szCs w:val="24"/>
          <w:lang w:val="en-US"/>
        </w:rPr>
        <w:t xml:space="preserve"> two main results. First, the </w:t>
      </w:r>
      <w:r w:rsidR="008B451B" w:rsidRPr="00D06F2B">
        <w:rPr>
          <w:rFonts w:ascii="Garamond" w:hAnsi="Garamond"/>
          <w:sz w:val="24"/>
          <w:szCs w:val="24"/>
          <w:lang w:val="en-US"/>
        </w:rPr>
        <w:t>number</w:t>
      </w:r>
      <w:r w:rsidR="00CC6E1F" w:rsidRPr="00D06F2B">
        <w:rPr>
          <w:rFonts w:ascii="Garamond" w:hAnsi="Garamond"/>
          <w:sz w:val="24"/>
          <w:szCs w:val="24"/>
          <w:lang w:val="en-US"/>
        </w:rPr>
        <w:t xml:space="preserve"> of forecasts is markedly similar in 2018 and 2019, which suggests </w:t>
      </w:r>
      <w:r w:rsidR="00413E00" w:rsidRPr="00D06F2B">
        <w:rPr>
          <w:rFonts w:ascii="Garamond" w:hAnsi="Garamond"/>
          <w:sz w:val="24"/>
          <w:szCs w:val="24"/>
          <w:lang w:val="en-US"/>
        </w:rPr>
        <w:t xml:space="preserve">a </w:t>
      </w:r>
      <w:r w:rsidR="00CC6E1F" w:rsidRPr="00D06F2B">
        <w:rPr>
          <w:rFonts w:ascii="Garamond" w:hAnsi="Garamond"/>
          <w:sz w:val="24"/>
          <w:szCs w:val="24"/>
          <w:lang w:val="en-US"/>
        </w:rPr>
        <w:t xml:space="preserve">routine in analyst research </w:t>
      </w:r>
      <w:r w:rsidR="00CC6E1F" w:rsidRPr="00D06F2B">
        <w:rPr>
          <w:rFonts w:ascii="Garamond" w:hAnsi="Garamond"/>
          <w:sz w:val="24"/>
          <w:szCs w:val="24"/>
          <w:lang w:val="en-US"/>
        </w:rPr>
        <w:lastRenderedPageBreak/>
        <w:t>production.</w:t>
      </w:r>
      <w:r w:rsidR="00413E00" w:rsidRPr="00D06F2B">
        <w:rPr>
          <w:rStyle w:val="FootnoteReference"/>
          <w:rFonts w:ascii="Garamond" w:hAnsi="Garamond"/>
          <w:sz w:val="24"/>
          <w:szCs w:val="24"/>
          <w:lang w:val="en-US"/>
        </w:rPr>
        <w:footnoteReference w:id="10"/>
      </w:r>
      <w:r w:rsidR="00CC6E1F" w:rsidRPr="00D06F2B">
        <w:rPr>
          <w:rFonts w:ascii="Garamond" w:hAnsi="Garamond"/>
          <w:sz w:val="24"/>
          <w:szCs w:val="24"/>
          <w:lang w:val="en-US"/>
        </w:rPr>
        <w:t xml:space="preserve"> Second, there is a visible increase in the number of forecasts in March 2020, the month that observed the most dramatic </w:t>
      </w:r>
      <w:r w:rsidR="008B451B" w:rsidRPr="00D06F2B">
        <w:rPr>
          <w:rFonts w:ascii="Garamond" w:hAnsi="Garamond"/>
          <w:sz w:val="24"/>
          <w:szCs w:val="24"/>
          <w:lang w:val="en-US"/>
        </w:rPr>
        <w:t>volatility</w:t>
      </w:r>
      <w:r w:rsidR="00CC6E1F" w:rsidRPr="00D06F2B">
        <w:rPr>
          <w:rFonts w:ascii="Garamond" w:hAnsi="Garamond"/>
          <w:sz w:val="24"/>
          <w:szCs w:val="24"/>
          <w:lang w:val="en-US"/>
        </w:rPr>
        <w:t xml:space="preserve"> in market indices</w:t>
      </w:r>
      <w:r w:rsidR="008B451B" w:rsidRPr="00D06F2B">
        <w:rPr>
          <w:rFonts w:ascii="Garamond" w:hAnsi="Garamond"/>
          <w:sz w:val="24"/>
          <w:szCs w:val="24"/>
          <w:lang w:val="en-US"/>
        </w:rPr>
        <w:t xml:space="preserve"> during the pandemic</w:t>
      </w:r>
      <w:r w:rsidR="00270BA6" w:rsidRPr="00D06F2B">
        <w:rPr>
          <w:rFonts w:ascii="Garamond" w:hAnsi="Garamond"/>
          <w:sz w:val="24"/>
          <w:szCs w:val="24"/>
          <w:lang w:val="en-US"/>
        </w:rPr>
        <w:t>. C</w:t>
      </w:r>
      <w:r w:rsidR="00CC6E1F" w:rsidRPr="00D06F2B">
        <w:rPr>
          <w:rFonts w:ascii="Garamond" w:hAnsi="Garamond"/>
          <w:sz w:val="24"/>
          <w:szCs w:val="24"/>
          <w:lang w:val="en-US"/>
        </w:rPr>
        <w:t>ompared to</w:t>
      </w:r>
      <w:r w:rsidR="00413E00" w:rsidRPr="00D06F2B">
        <w:rPr>
          <w:rFonts w:ascii="Garamond" w:hAnsi="Garamond"/>
          <w:sz w:val="24"/>
          <w:szCs w:val="24"/>
          <w:lang w:val="en-US"/>
        </w:rPr>
        <w:t xml:space="preserve"> </w:t>
      </w:r>
      <w:r w:rsidR="00CC6E1F" w:rsidRPr="00D06F2B">
        <w:rPr>
          <w:rFonts w:ascii="Garamond" w:hAnsi="Garamond"/>
          <w:sz w:val="24"/>
          <w:szCs w:val="24"/>
          <w:lang w:val="en-US"/>
        </w:rPr>
        <w:t xml:space="preserve">the </w:t>
      </w:r>
      <w:r w:rsidR="00413E00" w:rsidRPr="00D06F2B">
        <w:rPr>
          <w:rFonts w:ascii="Garamond" w:hAnsi="Garamond"/>
          <w:sz w:val="24"/>
          <w:szCs w:val="24"/>
          <w:lang w:val="en-US"/>
        </w:rPr>
        <w:t xml:space="preserve">same </w:t>
      </w:r>
      <w:r w:rsidR="00CC6E1F" w:rsidRPr="00D06F2B">
        <w:rPr>
          <w:rFonts w:ascii="Garamond" w:hAnsi="Garamond"/>
          <w:sz w:val="24"/>
          <w:szCs w:val="24"/>
          <w:lang w:val="en-US"/>
        </w:rPr>
        <w:t>pre-pandemic month, the number of quarterly EPS</w:t>
      </w:r>
      <w:r w:rsidR="00413E00" w:rsidRPr="00D06F2B">
        <w:rPr>
          <w:rFonts w:ascii="Garamond" w:hAnsi="Garamond"/>
          <w:sz w:val="24"/>
          <w:szCs w:val="24"/>
          <w:lang w:val="en-US"/>
        </w:rPr>
        <w:t xml:space="preserve"> forecasts</w:t>
      </w:r>
      <w:r w:rsidR="00CC6E1F" w:rsidRPr="00D06F2B">
        <w:rPr>
          <w:rFonts w:ascii="Garamond" w:hAnsi="Garamond"/>
          <w:sz w:val="24"/>
          <w:szCs w:val="24"/>
          <w:lang w:val="en-US"/>
        </w:rPr>
        <w:t xml:space="preserve"> increases by </w:t>
      </w:r>
      <w:r w:rsidR="00852ADC" w:rsidRPr="00D06F2B">
        <w:rPr>
          <w:rFonts w:ascii="Garamond" w:hAnsi="Garamond"/>
          <w:sz w:val="24"/>
          <w:szCs w:val="24"/>
          <w:lang w:val="en-US"/>
        </w:rPr>
        <w:t>72.4</w:t>
      </w:r>
      <w:r w:rsidR="00CC6E1F" w:rsidRPr="00D06F2B">
        <w:rPr>
          <w:rFonts w:ascii="Garamond" w:hAnsi="Garamond"/>
          <w:sz w:val="24"/>
          <w:szCs w:val="24"/>
          <w:lang w:val="en-US"/>
        </w:rPr>
        <w:t>% in March</w:t>
      </w:r>
      <w:r w:rsidR="00852ADC" w:rsidRPr="00D06F2B">
        <w:rPr>
          <w:rFonts w:ascii="Garamond" w:hAnsi="Garamond"/>
          <w:sz w:val="24"/>
          <w:szCs w:val="24"/>
          <w:lang w:val="en-US"/>
        </w:rPr>
        <w:t xml:space="preserve"> 2020</w:t>
      </w:r>
      <w:r w:rsidR="00270BA6" w:rsidRPr="00D06F2B">
        <w:rPr>
          <w:rFonts w:ascii="Garamond" w:hAnsi="Garamond"/>
          <w:sz w:val="24"/>
          <w:szCs w:val="24"/>
          <w:lang w:val="en-US"/>
        </w:rPr>
        <w:t>,</w:t>
      </w:r>
      <w:r w:rsidR="00CC6E1F" w:rsidRPr="00D06F2B">
        <w:rPr>
          <w:rFonts w:ascii="Garamond" w:hAnsi="Garamond"/>
          <w:sz w:val="24"/>
          <w:szCs w:val="24"/>
          <w:lang w:val="en-US"/>
        </w:rPr>
        <w:t xml:space="preserve"> </w:t>
      </w:r>
      <w:r w:rsidR="00852ADC" w:rsidRPr="00D06F2B">
        <w:rPr>
          <w:rFonts w:ascii="Garamond" w:hAnsi="Garamond"/>
          <w:sz w:val="24"/>
          <w:szCs w:val="24"/>
          <w:lang w:val="en-US"/>
        </w:rPr>
        <w:t xml:space="preserve">revenue forecasts by 79.5%, </w:t>
      </w:r>
      <w:r w:rsidR="00CC6E1F" w:rsidRPr="00D06F2B">
        <w:rPr>
          <w:rFonts w:ascii="Garamond" w:hAnsi="Garamond"/>
          <w:sz w:val="24"/>
          <w:szCs w:val="24"/>
          <w:lang w:val="en-US"/>
        </w:rPr>
        <w:t xml:space="preserve">cash flow forecasts by </w:t>
      </w:r>
      <w:r w:rsidR="00852ADC" w:rsidRPr="00D06F2B">
        <w:rPr>
          <w:rFonts w:ascii="Garamond" w:hAnsi="Garamond"/>
          <w:sz w:val="24"/>
          <w:szCs w:val="24"/>
          <w:lang w:val="en-US"/>
        </w:rPr>
        <w:t>58.7</w:t>
      </w:r>
      <w:r w:rsidR="00CC6E1F" w:rsidRPr="00D06F2B">
        <w:rPr>
          <w:rFonts w:ascii="Garamond" w:hAnsi="Garamond"/>
          <w:sz w:val="24"/>
          <w:szCs w:val="24"/>
          <w:lang w:val="en-US"/>
        </w:rPr>
        <w:t>%</w:t>
      </w:r>
      <w:r w:rsidR="00270BA6" w:rsidRPr="00D06F2B">
        <w:rPr>
          <w:rFonts w:ascii="Garamond" w:hAnsi="Garamond"/>
          <w:sz w:val="24"/>
          <w:szCs w:val="24"/>
          <w:lang w:val="en-US"/>
        </w:rPr>
        <w:t xml:space="preserve">, </w:t>
      </w:r>
      <w:r w:rsidR="00CC6E1F" w:rsidRPr="00D06F2B">
        <w:rPr>
          <w:rFonts w:ascii="Garamond" w:hAnsi="Garamond"/>
          <w:sz w:val="24"/>
          <w:szCs w:val="24"/>
          <w:lang w:val="en-US"/>
        </w:rPr>
        <w:t>dividend estimates by 1</w:t>
      </w:r>
      <w:r w:rsidR="00852ADC" w:rsidRPr="00D06F2B">
        <w:rPr>
          <w:rFonts w:ascii="Garamond" w:hAnsi="Garamond"/>
          <w:sz w:val="24"/>
          <w:szCs w:val="24"/>
          <w:lang w:val="en-US"/>
        </w:rPr>
        <w:t>1</w:t>
      </w:r>
      <w:r w:rsidR="00CC6E1F" w:rsidRPr="00D06F2B">
        <w:rPr>
          <w:rFonts w:ascii="Garamond" w:hAnsi="Garamond"/>
          <w:sz w:val="24"/>
          <w:szCs w:val="24"/>
          <w:lang w:val="en-US"/>
        </w:rPr>
        <w:t>%</w:t>
      </w:r>
      <w:r w:rsidR="00270BA6" w:rsidRPr="00D06F2B">
        <w:rPr>
          <w:rFonts w:ascii="Garamond" w:hAnsi="Garamond"/>
          <w:sz w:val="24"/>
          <w:szCs w:val="24"/>
          <w:lang w:val="en-US"/>
        </w:rPr>
        <w:t>,</w:t>
      </w:r>
      <w:r w:rsidR="00CC6E1F" w:rsidRPr="00D06F2B">
        <w:rPr>
          <w:rFonts w:ascii="Garamond" w:hAnsi="Garamond"/>
          <w:sz w:val="24"/>
          <w:szCs w:val="24"/>
          <w:lang w:val="en-US"/>
        </w:rPr>
        <w:t xml:space="preserve"> target prices</w:t>
      </w:r>
      <w:r w:rsidR="00270BA6" w:rsidRPr="00D06F2B">
        <w:rPr>
          <w:rFonts w:ascii="Garamond" w:hAnsi="Garamond"/>
          <w:sz w:val="24"/>
          <w:szCs w:val="24"/>
          <w:lang w:val="en-US"/>
        </w:rPr>
        <w:t xml:space="preserve"> by</w:t>
      </w:r>
      <w:r w:rsidR="00CC6E1F" w:rsidRPr="00D06F2B">
        <w:rPr>
          <w:rFonts w:ascii="Garamond" w:hAnsi="Garamond"/>
          <w:sz w:val="24"/>
          <w:szCs w:val="24"/>
          <w:lang w:val="en-US"/>
        </w:rPr>
        <w:t xml:space="preserve"> 1</w:t>
      </w:r>
      <w:r w:rsidR="00852ADC" w:rsidRPr="00D06F2B">
        <w:rPr>
          <w:rFonts w:ascii="Garamond" w:hAnsi="Garamond"/>
          <w:sz w:val="24"/>
          <w:szCs w:val="24"/>
          <w:lang w:val="en-US"/>
        </w:rPr>
        <w:t>54.3</w:t>
      </w:r>
      <w:r w:rsidR="00CC6E1F" w:rsidRPr="00D06F2B">
        <w:rPr>
          <w:rFonts w:ascii="Garamond" w:hAnsi="Garamond"/>
          <w:sz w:val="24"/>
          <w:szCs w:val="24"/>
          <w:lang w:val="en-US"/>
        </w:rPr>
        <w:t>%</w:t>
      </w:r>
      <w:r w:rsidR="00413E00" w:rsidRPr="00D06F2B">
        <w:rPr>
          <w:rFonts w:ascii="Garamond" w:hAnsi="Garamond"/>
          <w:sz w:val="24"/>
          <w:szCs w:val="24"/>
          <w:lang w:val="en-US"/>
        </w:rPr>
        <w:t>,</w:t>
      </w:r>
      <w:r w:rsidR="00CC6E1F" w:rsidRPr="00D06F2B">
        <w:rPr>
          <w:rFonts w:ascii="Garamond" w:hAnsi="Garamond"/>
          <w:sz w:val="24"/>
          <w:szCs w:val="24"/>
          <w:lang w:val="en-US"/>
        </w:rPr>
        <w:t xml:space="preserve"> and stock recommendations </w:t>
      </w:r>
      <w:r w:rsidR="00413E00" w:rsidRPr="00D06F2B">
        <w:rPr>
          <w:rFonts w:ascii="Garamond" w:hAnsi="Garamond"/>
          <w:sz w:val="24"/>
          <w:szCs w:val="24"/>
          <w:lang w:val="en-US"/>
        </w:rPr>
        <w:t>by</w:t>
      </w:r>
      <w:r w:rsidR="00CC6E1F" w:rsidRPr="00D06F2B">
        <w:rPr>
          <w:rFonts w:ascii="Garamond" w:hAnsi="Garamond"/>
          <w:sz w:val="24"/>
          <w:szCs w:val="24"/>
          <w:lang w:val="en-US"/>
        </w:rPr>
        <w:t xml:space="preserve"> </w:t>
      </w:r>
      <w:r w:rsidR="00852ADC" w:rsidRPr="00D06F2B">
        <w:rPr>
          <w:rFonts w:ascii="Garamond" w:hAnsi="Garamond"/>
          <w:sz w:val="24"/>
          <w:szCs w:val="24"/>
          <w:lang w:val="en-US"/>
        </w:rPr>
        <w:t>88.2</w:t>
      </w:r>
      <w:r w:rsidR="00CC6E1F" w:rsidRPr="00D06F2B">
        <w:rPr>
          <w:rFonts w:ascii="Garamond" w:hAnsi="Garamond"/>
          <w:sz w:val="24"/>
          <w:szCs w:val="24"/>
          <w:lang w:val="en-US"/>
        </w:rPr>
        <w:t xml:space="preserve">%. </w:t>
      </w:r>
      <w:r w:rsidR="00270BA6" w:rsidRPr="00D06F2B">
        <w:rPr>
          <w:rFonts w:ascii="Garamond" w:hAnsi="Garamond"/>
          <w:sz w:val="24"/>
          <w:szCs w:val="24"/>
          <w:lang w:val="en-US"/>
        </w:rPr>
        <w:t>After th</w:t>
      </w:r>
      <w:r w:rsidR="008B451B" w:rsidRPr="00D06F2B">
        <w:rPr>
          <w:rFonts w:ascii="Garamond" w:hAnsi="Garamond"/>
          <w:sz w:val="24"/>
          <w:szCs w:val="24"/>
          <w:lang w:val="en-US"/>
        </w:rPr>
        <w:t>is</w:t>
      </w:r>
      <w:r w:rsidR="00270BA6" w:rsidRPr="00D06F2B">
        <w:rPr>
          <w:rFonts w:ascii="Garamond" w:hAnsi="Garamond"/>
          <w:sz w:val="24"/>
          <w:szCs w:val="24"/>
          <w:lang w:val="en-US"/>
        </w:rPr>
        <w:t xml:space="preserve"> initial increase, we observe a gradual reduction </w:t>
      </w:r>
      <w:r w:rsidR="008B451B" w:rsidRPr="00D06F2B">
        <w:rPr>
          <w:rFonts w:ascii="Garamond" w:hAnsi="Garamond"/>
          <w:sz w:val="24"/>
          <w:szCs w:val="24"/>
          <w:lang w:val="en-US"/>
        </w:rPr>
        <w:t xml:space="preserve">in the number of forecasts and </w:t>
      </w:r>
      <w:r w:rsidR="00413E00" w:rsidRPr="00D06F2B">
        <w:rPr>
          <w:rFonts w:ascii="Garamond" w:hAnsi="Garamond"/>
          <w:sz w:val="24"/>
          <w:szCs w:val="24"/>
          <w:lang w:val="en-US"/>
        </w:rPr>
        <w:t xml:space="preserve">a </w:t>
      </w:r>
      <w:r w:rsidR="00270BA6" w:rsidRPr="00D06F2B">
        <w:rPr>
          <w:rFonts w:ascii="Garamond" w:hAnsi="Garamond"/>
          <w:sz w:val="24"/>
          <w:szCs w:val="24"/>
          <w:lang w:val="en-US"/>
        </w:rPr>
        <w:t xml:space="preserve">convergence </w:t>
      </w:r>
      <w:r w:rsidR="008B451B" w:rsidRPr="00D06F2B">
        <w:rPr>
          <w:rFonts w:ascii="Garamond" w:hAnsi="Garamond"/>
          <w:sz w:val="24"/>
          <w:szCs w:val="24"/>
          <w:lang w:val="en-US"/>
        </w:rPr>
        <w:t>to pre-pandemic levels around August 2020</w:t>
      </w:r>
      <w:r w:rsidR="00413E00" w:rsidRPr="00D06F2B">
        <w:rPr>
          <w:rFonts w:ascii="Garamond" w:hAnsi="Garamond"/>
          <w:sz w:val="24"/>
          <w:szCs w:val="24"/>
          <w:lang w:val="en-US"/>
        </w:rPr>
        <w:t>,</w:t>
      </w:r>
      <w:r w:rsidR="008B451B" w:rsidRPr="00D06F2B">
        <w:rPr>
          <w:rFonts w:ascii="Garamond" w:hAnsi="Garamond"/>
          <w:sz w:val="24"/>
          <w:szCs w:val="24"/>
          <w:lang w:val="en-US"/>
        </w:rPr>
        <w:t xml:space="preserve"> with</w:t>
      </w:r>
      <w:r w:rsidR="00270BA6" w:rsidRPr="00D06F2B">
        <w:rPr>
          <w:rFonts w:ascii="Garamond" w:hAnsi="Garamond"/>
          <w:sz w:val="24"/>
          <w:szCs w:val="24"/>
          <w:lang w:val="en-US"/>
        </w:rPr>
        <w:t xml:space="preserve"> a slight decline</w:t>
      </w:r>
      <w:r w:rsidR="008B451B" w:rsidRPr="00D06F2B">
        <w:rPr>
          <w:rFonts w:ascii="Garamond" w:hAnsi="Garamond"/>
          <w:sz w:val="24"/>
          <w:szCs w:val="24"/>
          <w:lang w:val="en-US"/>
        </w:rPr>
        <w:t xml:space="preserve"> below pre-pandemic numbers</w:t>
      </w:r>
      <w:r w:rsidR="00270BA6" w:rsidRPr="00D06F2B">
        <w:rPr>
          <w:rFonts w:ascii="Garamond" w:hAnsi="Garamond"/>
          <w:sz w:val="24"/>
          <w:szCs w:val="24"/>
          <w:lang w:val="en-US"/>
        </w:rPr>
        <w:t xml:space="preserve"> in the last sample months. </w:t>
      </w:r>
      <w:r w:rsidR="008B451B" w:rsidRPr="00D06F2B">
        <w:rPr>
          <w:rFonts w:ascii="Garamond" w:hAnsi="Garamond"/>
          <w:sz w:val="24"/>
          <w:szCs w:val="24"/>
          <w:lang w:val="en-US"/>
        </w:rPr>
        <w:t xml:space="preserve">Figure 1 evidence is </w:t>
      </w:r>
      <w:r w:rsidR="00270BA6" w:rsidRPr="00D06F2B">
        <w:rPr>
          <w:rFonts w:ascii="Garamond" w:hAnsi="Garamond"/>
          <w:sz w:val="24"/>
          <w:szCs w:val="24"/>
          <w:lang w:val="en-US"/>
        </w:rPr>
        <w:t>consistent with</w:t>
      </w:r>
      <w:r w:rsidR="008B451B" w:rsidRPr="00D06F2B">
        <w:rPr>
          <w:rFonts w:ascii="Garamond" w:hAnsi="Garamond"/>
          <w:sz w:val="24"/>
          <w:szCs w:val="24"/>
          <w:lang w:val="en-US"/>
        </w:rPr>
        <w:t xml:space="preserve"> </w:t>
      </w:r>
      <w:r w:rsidR="00270BA6" w:rsidRPr="00D06F2B">
        <w:rPr>
          <w:rFonts w:ascii="Garamond" w:hAnsi="Garamond"/>
          <w:sz w:val="24"/>
          <w:szCs w:val="24"/>
          <w:lang w:val="en-US"/>
        </w:rPr>
        <w:t xml:space="preserve">analysts </w:t>
      </w:r>
      <w:r w:rsidR="008B451B" w:rsidRPr="00D06F2B">
        <w:rPr>
          <w:rFonts w:ascii="Garamond" w:hAnsi="Garamond"/>
          <w:sz w:val="24"/>
          <w:szCs w:val="24"/>
          <w:lang w:val="en-US"/>
        </w:rPr>
        <w:t xml:space="preserve">promptly </w:t>
      </w:r>
      <w:r w:rsidR="00270BA6" w:rsidRPr="00D06F2B">
        <w:rPr>
          <w:rFonts w:ascii="Garamond" w:hAnsi="Garamond"/>
          <w:sz w:val="24"/>
          <w:szCs w:val="24"/>
          <w:lang w:val="en-US"/>
        </w:rPr>
        <w:t>responding</w:t>
      </w:r>
      <w:r w:rsidR="00CC6E1F" w:rsidRPr="00D06F2B">
        <w:rPr>
          <w:rFonts w:ascii="Garamond" w:hAnsi="Garamond"/>
          <w:sz w:val="24"/>
          <w:szCs w:val="24"/>
          <w:lang w:val="en-US"/>
        </w:rPr>
        <w:t xml:space="preserve"> to</w:t>
      </w:r>
      <w:r w:rsidR="00270BA6" w:rsidRPr="00D06F2B">
        <w:rPr>
          <w:rFonts w:ascii="Garamond" w:hAnsi="Garamond"/>
          <w:sz w:val="24"/>
          <w:szCs w:val="24"/>
          <w:lang w:val="en-US"/>
        </w:rPr>
        <w:t xml:space="preserve"> the onset of market uncertainty </w:t>
      </w:r>
      <w:r w:rsidR="008B451B" w:rsidRPr="00D06F2B">
        <w:rPr>
          <w:rFonts w:ascii="Garamond" w:hAnsi="Garamond"/>
          <w:sz w:val="24"/>
          <w:szCs w:val="24"/>
          <w:lang w:val="en-US"/>
        </w:rPr>
        <w:t xml:space="preserve">caused by the pandemic shock </w:t>
      </w:r>
      <w:r w:rsidR="00270BA6" w:rsidRPr="00D06F2B">
        <w:rPr>
          <w:rFonts w:ascii="Garamond" w:hAnsi="Garamond"/>
          <w:sz w:val="24"/>
          <w:szCs w:val="24"/>
          <w:lang w:val="en-US"/>
        </w:rPr>
        <w:t>by</w:t>
      </w:r>
      <w:r w:rsidR="00CC6E1F" w:rsidRPr="00D06F2B">
        <w:rPr>
          <w:rFonts w:ascii="Garamond" w:hAnsi="Garamond"/>
          <w:sz w:val="24"/>
          <w:szCs w:val="24"/>
          <w:lang w:val="en-US"/>
        </w:rPr>
        <w:t xml:space="preserve"> increas</w:t>
      </w:r>
      <w:r w:rsidR="00270BA6" w:rsidRPr="00D06F2B">
        <w:rPr>
          <w:rFonts w:ascii="Garamond" w:hAnsi="Garamond"/>
          <w:sz w:val="24"/>
          <w:szCs w:val="24"/>
          <w:lang w:val="en-US"/>
        </w:rPr>
        <w:t>ing</w:t>
      </w:r>
      <w:r w:rsidR="00CC6E1F" w:rsidRPr="00D06F2B">
        <w:rPr>
          <w:rFonts w:ascii="Garamond" w:hAnsi="Garamond"/>
          <w:sz w:val="24"/>
          <w:szCs w:val="24"/>
          <w:lang w:val="en-US"/>
        </w:rPr>
        <w:t xml:space="preserve"> their </w:t>
      </w:r>
      <w:r w:rsidR="00270BA6" w:rsidRPr="00D06F2B">
        <w:rPr>
          <w:rFonts w:ascii="Garamond" w:hAnsi="Garamond"/>
          <w:sz w:val="24"/>
          <w:szCs w:val="24"/>
          <w:lang w:val="en-US"/>
        </w:rPr>
        <w:t xml:space="preserve">information </w:t>
      </w:r>
      <w:r w:rsidR="00CC6E1F" w:rsidRPr="00D06F2B">
        <w:rPr>
          <w:rFonts w:ascii="Garamond" w:hAnsi="Garamond"/>
          <w:sz w:val="24"/>
          <w:szCs w:val="24"/>
          <w:lang w:val="en-US"/>
        </w:rPr>
        <w:t>provision.</w:t>
      </w:r>
      <w:r w:rsidR="00270BA6" w:rsidRPr="00D06F2B">
        <w:rPr>
          <w:rFonts w:ascii="Garamond" w:hAnsi="Garamond"/>
          <w:sz w:val="24"/>
          <w:szCs w:val="24"/>
          <w:lang w:val="en-US"/>
        </w:rPr>
        <w:t xml:space="preserve"> </w:t>
      </w:r>
    </w:p>
    <w:p w14:paraId="679C6EFB" w14:textId="26E9DA42" w:rsidR="00596D27" w:rsidRPr="00D06F2B" w:rsidRDefault="00596D27" w:rsidP="00596D27">
      <w:pPr>
        <w:spacing w:after="0" w:line="480" w:lineRule="auto"/>
        <w:jc w:val="center"/>
        <w:rPr>
          <w:rFonts w:ascii="Garamond" w:hAnsi="Garamond"/>
          <w:sz w:val="24"/>
          <w:szCs w:val="24"/>
          <w:lang w:val="en-US"/>
        </w:rPr>
      </w:pPr>
      <w:r w:rsidRPr="00D06F2B">
        <w:rPr>
          <w:rFonts w:ascii="Garamond" w:hAnsi="Garamond"/>
          <w:sz w:val="24"/>
          <w:szCs w:val="24"/>
          <w:lang w:val="en-US"/>
        </w:rPr>
        <w:t>[Figure 1]</w:t>
      </w:r>
    </w:p>
    <w:p w14:paraId="7466D703" w14:textId="1CCEDFF0" w:rsidR="003B2386" w:rsidRPr="00D06F2B" w:rsidRDefault="003B2386" w:rsidP="003B2386">
      <w:pPr>
        <w:spacing w:after="0" w:line="480" w:lineRule="auto"/>
        <w:rPr>
          <w:rFonts w:ascii="Garamond" w:hAnsi="Garamond"/>
          <w:i/>
          <w:iCs/>
          <w:sz w:val="24"/>
          <w:szCs w:val="24"/>
          <w:lang w:val="en-US"/>
        </w:rPr>
      </w:pPr>
      <w:r w:rsidRPr="00D06F2B">
        <w:rPr>
          <w:rFonts w:ascii="Garamond" w:hAnsi="Garamond"/>
          <w:i/>
          <w:iCs/>
          <w:sz w:val="24"/>
          <w:szCs w:val="24"/>
          <w:lang w:val="en-US"/>
        </w:rPr>
        <w:t>3.2 Forecast accuracy</w:t>
      </w:r>
    </w:p>
    <w:p w14:paraId="207ED632" w14:textId="5E622ADA" w:rsidR="005B1A7F" w:rsidRPr="00D06F2B" w:rsidRDefault="00596D27" w:rsidP="008900C3">
      <w:pPr>
        <w:widowControl w:val="0"/>
        <w:spacing w:after="0" w:line="480" w:lineRule="auto"/>
        <w:rPr>
          <w:rFonts w:ascii="Garamond" w:hAnsi="Garamond"/>
          <w:sz w:val="24"/>
          <w:szCs w:val="24"/>
          <w:lang w:val="en-US"/>
        </w:rPr>
      </w:pPr>
      <w:r w:rsidRPr="00D06F2B">
        <w:rPr>
          <w:rFonts w:ascii="Garamond" w:hAnsi="Garamond"/>
          <w:sz w:val="24"/>
          <w:szCs w:val="24"/>
          <w:lang w:val="en-US"/>
        </w:rPr>
        <w:t xml:space="preserve">Next, we examine </w:t>
      </w:r>
      <w:r w:rsidR="005B1A7F" w:rsidRPr="00D06F2B">
        <w:rPr>
          <w:rFonts w:ascii="Garamond" w:hAnsi="Garamond"/>
          <w:sz w:val="24"/>
          <w:szCs w:val="24"/>
          <w:lang w:val="en-US"/>
        </w:rPr>
        <w:t xml:space="preserve">the accuracy of analyst forecasts. </w:t>
      </w:r>
      <w:r w:rsidR="008A3A95" w:rsidRPr="00D06F2B">
        <w:rPr>
          <w:rFonts w:ascii="Garamond" w:hAnsi="Garamond"/>
          <w:sz w:val="24"/>
          <w:szCs w:val="24"/>
          <w:lang w:val="en-US"/>
        </w:rPr>
        <w:t>Because the</w:t>
      </w:r>
      <w:r w:rsidR="008900C3">
        <w:rPr>
          <w:rFonts w:ascii="Garamond" w:hAnsi="Garamond"/>
          <w:sz w:val="24"/>
          <w:szCs w:val="24"/>
          <w:lang w:val="en-US"/>
        </w:rPr>
        <w:t xml:space="preserve"> forecasts</w:t>
      </w:r>
      <w:r w:rsidR="008A3A95" w:rsidRPr="00D06F2B">
        <w:rPr>
          <w:rFonts w:ascii="Garamond" w:hAnsi="Garamond"/>
          <w:sz w:val="24"/>
          <w:szCs w:val="24"/>
          <w:lang w:val="en-US"/>
        </w:rPr>
        <w:t xml:space="preserve"> we use </w:t>
      </w:r>
      <w:r w:rsidR="008900C3">
        <w:rPr>
          <w:rFonts w:ascii="Garamond" w:hAnsi="Garamond"/>
          <w:sz w:val="24"/>
          <w:szCs w:val="24"/>
          <w:lang w:val="en-US"/>
        </w:rPr>
        <w:t>are on a</w:t>
      </w:r>
      <w:r w:rsidR="008A3A95" w:rsidRPr="00D06F2B">
        <w:rPr>
          <w:rFonts w:ascii="Garamond" w:hAnsi="Garamond"/>
          <w:sz w:val="24"/>
          <w:szCs w:val="24"/>
          <w:lang w:val="en-US"/>
        </w:rPr>
        <w:t xml:space="preserve"> per-share and non-per-share basis, we require measures of forecast error that is scale independent. Following </w:t>
      </w:r>
      <w:r w:rsidR="008900C3" w:rsidRPr="00D06F2B">
        <w:rPr>
          <w:rFonts w:ascii="Garamond" w:hAnsi="Garamond"/>
          <w:sz w:val="24"/>
          <w:szCs w:val="24"/>
          <w:lang w:val="en-US"/>
        </w:rPr>
        <w:t xml:space="preserve">Hong and </w:t>
      </w:r>
      <w:proofErr w:type="spellStart"/>
      <w:r w:rsidR="008900C3" w:rsidRPr="00D06F2B">
        <w:rPr>
          <w:rFonts w:ascii="Garamond" w:hAnsi="Garamond"/>
          <w:sz w:val="24"/>
          <w:szCs w:val="24"/>
          <w:lang w:val="en-US"/>
        </w:rPr>
        <w:t>Kubik</w:t>
      </w:r>
      <w:proofErr w:type="spellEnd"/>
      <w:r w:rsidR="008900C3" w:rsidRPr="00D06F2B">
        <w:rPr>
          <w:rFonts w:ascii="Garamond" w:hAnsi="Garamond"/>
          <w:sz w:val="24"/>
          <w:szCs w:val="24"/>
          <w:lang w:val="en-US"/>
        </w:rPr>
        <w:t xml:space="preserve"> </w:t>
      </w:r>
      <w:r w:rsidR="008900C3">
        <w:rPr>
          <w:rFonts w:ascii="Garamond" w:hAnsi="Garamond"/>
          <w:sz w:val="24"/>
          <w:szCs w:val="24"/>
          <w:lang w:val="en-US"/>
        </w:rPr>
        <w:t>(</w:t>
      </w:r>
      <w:r w:rsidR="008900C3" w:rsidRPr="00D06F2B">
        <w:rPr>
          <w:rFonts w:ascii="Garamond" w:hAnsi="Garamond"/>
          <w:sz w:val="24"/>
          <w:szCs w:val="24"/>
          <w:lang w:val="en-US"/>
        </w:rPr>
        <w:t>2003</w:t>
      </w:r>
      <w:r w:rsidR="008900C3">
        <w:rPr>
          <w:rFonts w:ascii="Garamond" w:hAnsi="Garamond"/>
          <w:sz w:val="24"/>
          <w:szCs w:val="24"/>
          <w:lang w:val="en-US"/>
        </w:rPr>
        <w:t xml:space="preserve">) and </w:t>
      </w:r>
      <w:r w:rsidR="008A3A95" w:rsidRPr="00D06F2B">
        <w:rPr>
          <w:rFonts w:ascii="Garamond" w:hAnsi="Garamond"/>
          <w:sz w:val="24"/>
          <w:szCs w:val="24"/>
          <w:lang w:val="en-US"/>
        </w:rPr>
        <w:t xml:space="preserve">Bradshaw, Lee and Peterson (2016), we </w:t>
      </w:r>
      <w:r w:rsidR="005B1A7F" w:rsidRPr="00D06F2B">
        <w:rPr>
          <w:rFonts w:ascii="Garamond" w:hAnsi="Garamond"/>
          <w:sz w:val="24"/>
          <w:szCs w:val="24"/>
          <w:lang w:val="en-US"/>
        </w:rPr>
        <w:t xml:space="preserve">calculate the forecast </w:t>
      </w:r>
      <w:r w:rsidR="008B451B" w:rsidRPr="00D06F2B">
        <w:rPr>
          <w:rFonts w:ascii="Garamond" w:hAnsi="Garamond"/>
          <w:sz w:val="24"/>
          <w:szCs w:val="24"/>
          <w:lang w:val="en-US"/>
        </w:rPr>
        <w:t xml:space="preserve">error </w:t>
      </w:r>
      <w:r w:rsidR="005B1A7F" w:rsidRPr="00D06F2B">
        <w:rPr>
          <w:rFonts w:ascii="Garamond" w:hAnsi="Garamond"/>
          <w:sz w:val="24"/>
          <w:szCs w:val="24"/>
          <w:lang w:val="en-US"/>
        </w:rPr>
        <w:t>at the analyst level</w:t>
      </w:r>
      <w:r w:rsidR="00930B33" w:rsidRPr="00D06F2B">
        <w:rPr>
          <w:rFonts w:ascii="Garamond" w:hAnsi="Garamond"/>
          <w:sz w:val="24"/>
          <w:szCs w:val="24"/>
          <w:lang w:val="en-US"/>
        </w:rPr>
        <w:t xml:space="preserve"> </w:t>
      </w:r>
      <w:r w:rsidR="00EA3C04" w:rsidRPr="00D06F2B">
        <w:rPr>
          <w:rFonts w:ascii="Garamond" w:hAnsi="Garamond"/>
          <w:i/>
          <w:iCs/>
          <w:sz w:val="24"/>
          <w:szCs w:val="24"/>
          <w:lang w:val="en-US"/>
        </w:rPr>
        <w:t>j</w:t>
      </w:r>
      <w:r w:rsidR="00EA3C04" w:rsidRPr="00D06F2B">
        <w:rPr>
          <w:rFonts w:ascii="Garamond" w:hAnsi="Garamond"/>
          <w:sz w:val="24"/>
          <w:szCs w:val="24"/>
          <w:lang w:val="en-US"/>
        </w:rPr>
        <w:t xml:space="preserve"> </w:t>
      </w:r>
      <w:r w:rsidR="00930B33" w:rsidRPr="00D06F2B">
        <w:rPr>
          <w:rFonts w:ascii="Garamond" w:hAnsi="Garamond"/>
          <w:sz w:val="24"/>
          <w:szCs w:val="24"/>
          <w:lang w:val="en-US"/>
        </w:rPr>
        <w:t>for firm</w:t>
      </w:r>
      <w:r w:rsidR="009215F8" w:rsidRPr="00D06F2B">
        <w:rPr>
          <w:rFonts w:ascii="Garamond" w:hAnsi="Garamond"/>
          <w:sz w:val="24"/>
          <w:szCs w:val="24"/>
          <w:lang w:val="en-US"/>
        </w:rPr>
        <w:t xml:space="preserve"> </w:t>
      </w:r>
      <w:proofErr w:type="spellStart"/>
      <w:r w:rsidR="00EA3C04" w:rsidRPr="00D06F2B">
        <w:rPr>
          <w:rFonts w:ascii="Garamond" w:hAnsi="Garamond"/>
          <w:i/>
          <w:iCs/>
          <w:sz w:val="24"/>
          <w:szCs w:val="24"/>
          <w:lang w:val="en-US"/>
        </w:rPr>
        <w:t>i</w:t>
      </w:r>
      <w:proofErr w:type="spellEnd"/>
      <w:r w:rsidR="009215F8" w:rsidRPr="00D06F2B">
        <w:rPr>
          <w:rFonts w:ascii="Garamond" w:hAnsi="Garamond"/>
          <w:sz w:val="24"/>
          <w:szCs w:val="24"/>
          <w:lang w:val="en-US"/>
        </w:rPr>
        <w:t xml:space="preserve"> for quarter </w:t>
      </w:r>
      <w:r w:rsidR="009215F8" w:rsidRPr="00D06F2B">
        <w:rPr>
          <w:rFonts w:ascii="Garamond" w:hAnsi="Garamond"/>
          <w:i/>
          <w:iCs/>
          <w:sz w:val="24"/>
          <w:szCs w:val="24"/>
          <w:lang w:val="en-US"/>
        </w:rPr>
        <w:t>q</w:t>
      </w:r>
      <w:r w:rsidR="009215F8" w:rsidRPr="00D06F2B">
        <w:rPr>
          <w:rFonts w:ascii="Garamond" w:hAnsi="Garamond"/>
          <w:sz w:val="24"/>
          <w:szCs w:val="24"/>
          <w:lang w:val="en-US"/>
        </w:rPr>
        <w:t xml:space="preserve"> of fiscal year </w:t>
      </w:r>
      <w:r w:rsidR="009215F8" w:rsidRPr="00D06F2B">
        <w:rPr>
          <w:rFonts w:ascii="Garamond" w:hAnsi="Garamond"/>
          <w:i/>
          <w:iCs/>
          <w:sz w:val="24"/>
          <w:szCs w:val="24"/>
          <w:lang w:val="en-US"/>
        </w:rPr>
        <w:t>t</w:t>
      </w:r>
      <w:r w:rsidR="005B1A7F" w:rsidRPr="00D06F2B">
        <w:rPr>
          <w:rFonts w:ascii="Garamond" w:hAnsi="Garamond"/>
          <w:sz w:val="24"/>
          <w:szCs w:val="24"/>
          <w:lang w:val="en-US"/>
        </w:rPr>
        <w:t xml:space="preserve">, </w:t>
      </w:r>
      <w:proofErr w:type="spellStart"/>
      <w:r w:rsidR="005B1A7F" w:rsidRPr="00D06F2B">
        <w:rPr>
          <w:rFonts w:ascii="Garamond" w:hAnsi="Garamond"/>
          <w:i/>
          <w:sz w:val="24"/>
          <w:szCs w:val="24"/>
          <w:lang w:val="en-US"/>
        </w:rPr>
        <w:t>Ferror</w:t>
      </w:r>
      <w:proofErr w:type="spellEnd"/>
      <w:r w:rsidR="005B1A7F" w:rsidRPr="00D06F2B">
        <w:rPr>
          <w:rFonts w:ascii="Garamond" w:hAnsi="Garamond"/>
          <w:i/>
          <w:sz w:val="24"/>
          <w:szCs w:val="24"/>
          <w:lang w:val="en-US"/>
        </w:rPr>
        <w:t>,</w:t>
      </w:r>
      <w:r w:rsidR="005B1A7F" w:rsidRPr="00D06F2B">
        <w:rPr>
          <w:rFonts w:ascii="Garamond" w:hAnsi="Garamond"/>
          <w:sz w:val="24"/>
          <w:szCs w:val="24"/>
          <w:lang w:val="en-US"/>
        </w:rPr>
        <w:t xml:space="preserve"> as the absolute difference between the actual </w:t>
      </w:r>
      <w:r w:rsidR="008900C3">
        <w:rPr>
          <w:rFonts w:ascii="Garamond" w:hAnsi="Garamond"/>
          <w:sz w:val="24"/>
          <w:szCs w:val="24"/>
          <w:lang w:val="en-US"/>
        </w:rPr>
        <w:t xml:space="preserve">value and the </w:t>
      </w:r>
      <w:r w:rsidR="005B1A7F" w:rsidRPr="00D06F2B">
        <w:rPr>
          <w:rFonts w:ascii="Garamond" w:hAnsi="Garamond"/>
          <w:sz w:val="24"/>
          <w:szCs w:val="24"/>
          <w:lang w:val="en-US"/>
        </w:rPr>
        <w:t>forecast</w:t>
      </w:r>
      <w:r w:rsidR="008900C3">
        <w:rPr>
          <w:rFonts w:ascii="Garamond" w:hAnsi="Garamond"/>
          <w:sz w:val="24"/>
          <w:szCs w:val="24"/>
          <w:lang w:val="en-US"/>
        </w:rPr>
        <w:t xml:space="preserve"> issued on </w:t>
      </w:r>
      <w:r w:rsidR="00EA3C04" w:rsidRPr="00D06F2B">
        <w:rPr>
          <w:rFonts w:ascii="Garamond" w:hAnsi="Garamond"/>
          <w:sz w:val="24"/>
          <w:szCs w:val="24"/>
          <w:lang w:val="en-US"/>
        </w:rPr>
        <w:t xml:space="preserve">day </w:t>
      </w:r>
      <w:r w:rsidR="00EA3C04" w:rsidRPr="00D06F2B">
        <w:rPr>
          <w:rFonts w:ascii="Garamond" w:hAnsi="Garamond"/>
          <w:i/>
          <w:iCs/>
          <w:sz w:val="24"/>
          <w:szCs w:val="24"/>
          <w:lang w:val="en-US"/>
        </w:rPr>
        <w:t>d</w:t>
      </w:r>
      <w:r w:rsidR="005B1A7F" w:rsidRPr="00D06F2B">
        <w:rPr>
          <w:rFonts w:ascii="Garamond" w:hAnsi="Garamond"/>
          <w:sz w:val="24"/>
          <w:szCs w:val="24"/>
          <w:lang w:val="en-US"/>
        </w:rPr>
        <w:t>, scaled by 1 plus the absolute value of the actual:</w:t>
      </w:r>
    </w:p>
    <w:p w14:paraId="63EBE4D5" w14:textId="595F0303" w:rsidR="005B1A7F" w:rsidRPr="00D06F2B" w:rsidRDefault="00A22DEC" w:rsidP="009D3EB2">
      <w:pPr>
        <w:widowControl w:val="0"/>
        <w:spacing w:after="0" w:line="480" w:lineRule="auto"/>
        <w:ind w:firstLine="720"/>
        <w:jc w:val="right"/>
        <w:rPr>
          <w:rFonts w:ascii="Garamond" w:hAnsi="Garamond"/>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Ferror</m:t>
            </m:r>
          </m:e>
          <m:sub>
            <m:r>
              <w:rPr>
                <w:rFonts w:ascii="Cambria Math" w:hAnsi="Cambria Math"/>
                <w:sz w:val="24"/>
                <w:szCs w:val="24"/>
                <w:lang w:val="en-US"/>
              </w:rPr>
              <m:t>i,j,d,q,t+1</m:t>
            </m:r>
          </m:sub>
        </m:sSub>
        <m:r>
          <w:rPr>
            <w:rFonts w:ascii="Cambria Math" w:hAnsi="Cambria Math"/>
            <w:sz w:val="24"/>
            <w:szCs w:val="24"/>
            <w:lang w:val="en-US"/>
          </w:rPr>
          <m:t>=</m:t>
        </m:r>
        <m:f>
          <m:fPr>
            <m:ctrlPr>
              <w:rPr>
                <w:rFonts w:ascii="Cambria Math" w:hAnsi="Cambria Math"/>
                <w:i/>
                <w:sz w:val="24"/>
                <w:szCs w:val="24"/>
                <w:lang w:val="en-US"/>
              </w:rPr>
            </m:ctrlPr>
          </m:fPr>
          <m:num>
            <m:d>
              <m:dPr>
                <m:begChr m:val="|"/>
                <m:endChr m:val="|"/>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Actual</m:t>
                    </m:r>
                  </m:e>
                  <m:sub>
                    <m:r>
                      <w:rPr>
                        <w:rFonts w:ascii="Cambria Math" w:hAnsi="Cambria Math"/>
                        <w:sz w:val="24"/>
                        <w:szCs w:val="24"/>
                        <w:lang w:val="en-US"/>
                      </w:rPr>
                      <m:t>i,q,t+1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Forecast</m:t>
                    </m:r>
                  </m:e>
                  <m:sub>
                    <m:r>
                      <w:rPr>
                        <w:rFonts w:ascii="Cambria Math" w:hAnsi="Cambria Math"/>
                        <w:sz w:val="24"/>
                        <w:szCs w:val="24"/>
                        <w:lang w:val="en-US"/>
                      </w:rPr>
                      <m:t>i,j,d,q,t+1</m:t>
                    </m:r>
                  </m:sub>
                </m:sSub>
              </m:e>
            </m:d>
          </m:num>
          <m:den>
            <m:r>
              <w:rPr>
                <w:rFonts w:ascii="Cambria Math" w:hAnsi="Cambria Math"/>
                <w:sz w:val="24"/>
                <w:szCs w:val="24"/>
                <w:lang w:val="en-US"/>
              </w:rPr>
              <m:t>1+|</m:t>
            </m:r>
            <m:sSub>
              <m:sSubPr>
                <m:ctrlPr>
                  <w:rPr>
                    <w:rFonts w:ascii="Cambria Math" w:hAnsi="Cambria Math"/>
                    <w:i/>
                    <w:sz w:val="24"/>
                    <w:szCs w:val="24"/>
                    <w:lang w:val="en-US"/>
                  </w:rPr>
                </m:ctrlPr>
              </m:sSubPr>
              <m:e>
                <m:r>
                  <w:rPr>
                    <w:rFonts w:ascii="Cambria Math" w:hAnsi="Cambria Math"/>
                    <w:sz w:val="24"/>
                    <w:szCs w:val="24"/>
                    <w:lang w:val="en-US"/>
                  </w:rPr>
                  <m:t>Actual</m:t>
                </m:r>
              </m:e>
              <m:sub>
                <m:r>
                  <w:rPr>
                    <w:rFonts w:ascii="Cambria Math" w:hAnsi="Cambria Math"/>
                    <w:sz w:val="24"/>
                    <w:szCs w:val="24"/>
                    <w:lang w:val="en-US"/>
                  </w:rPr>
                  <m:t>i,q,t+1</m:t>
                </m:r>
              </m:sub>
            </m:sSub>
            <m:r>
              <w:rPr>
                <w:rFonts w:ascii="Cambria Math" w:hAnsi="Cambria Math"/>
                <w:sz w:val="24"/>
                <w:szCs w:val="24"/>
                <w:lang w:val="en-US"/>
              </w:rPr>
              <m:t>|</m:t>
            </m:r>
          </m:den>
        </m:f>
      </m:oMath>
      <w:r w:rsidR="005B1A7F" w:rsidRPr="00D06F2B">
        <w:rPr>
          <w:rFonts w:ascii="Garamond" w:hAnsi="Garamond"/>
          <w:sz w:val="24"/>
          <w:szCs w:val="24"/>
          <w:lang w:val="en-US"/>
        </w:rPr>
        <w:t>.</w:t>
      </w:r>
      <w:r w:rsidR="009D3EB2" w:rsidRPr="00D06F2B">
        <w:rPr>
          <w:rFonts w:ascii="Garamond" w:hAnsi="Garamond"/>
          <w:sz w:val="24"/>
          <w:szCs w:val="24"/>
          <w:lang w:val="en-US"/>
        </w:rPr>
        <w:t xml:space="preserve"> </w:t>
      </w:r>
      <w:r w:rsidR="009D3EB2" w:rsidRPr="00D06F2B">
        <w:rPr>
          <w:rFonts w:ascii="Garamond" w:hAnsi="Garamond"/>
          <w:sz w:val="24"/>
          <w:szCs w:val="24"/>
          <w:lang w:val="en-US"/>
        </w:rPr>
        <w:tab/>
      </w:r>
      <w:r w:rsidR="009D3EB2" w:rsidRPr="00D06F2B">
        <w:rPr>
          <w:rFonts w:ascii="Garamond" w:hAnsi="Garamond"/>
          <w:sz w:val="24"/>
          <w:szCs w:val="24"/>
          <w:lang w:val="en-US"/>
        </w:rPr>
        <w:tab/>
      </w:r>
      <w:r w:rsidR="009D3EB2" w:rsidRPr="00D06F2B">
        <w:rPr>
          <w:rFonts w:ascii="Garamond" w:hAnsi="Garamond"/>
          <w:sz w:val="24"/>
          <w:szCs w:val="24"/>
          <w:lang w:val="en-US"/>
        </w:rPr>
        <w:tab/>
      </w:r>
      <w:r w:rsidR="009D3EB2" w:rsidRPr="00D06F2B">
        <w:rPr>
          <w:rFonts w:ascii="Garamond" w:hAnsi="Garamond"/>
          <w:sz w:val="24"/>
          <w:szCs w:val="24"/>
          <w:lang w:val="en-US"/>
        </w:rPr>
        <w:tab/>
        <w:t>(1)</w:t>
      </w:r>
    </w:p>
    <w:p w14:paraId="6C209607" w14:textId="0376FC23" w:rsidR="005B1A7F" w:rsidRPr="00D06F2B" w:rsidRDefault="008900C3" w:rsidP="005B1A7F">
      <w:pPr>
        <w:widowControl w:val="0"/>
        <w:spacing w:after="0" w:line="480" w:lineRule="auto"/>
        <w:rPr>
          <w:rFonts w:ascii="Garamond" w:hAnsi="Garamond"/>
          <w:sz w:val="24"/>
          <w:szCs w:val="24"/>
          <w:lang w:val="en-US"/>
        </w:rPr>
      </w:pPr>
      <w:r>
        <w:rPr>
          <w:rFonts w:ascii="Garamond" w:hAnsi="Garamond"/>
          <w:sz w:val="24"/>
          <w:szCs w:val="24"/>
          <w:lang w:val="en-US"/>
        </w:rPr>
        <w:t>To minimize the impact of outliers, w</w:t>
      </w:r>
      <w:r w:rsidR="00A27700" w:rsidRPr="00D06F2B">
        <w:rPr>
          <w:rFonts w:ascii="Garamond" w:hAnsi="Garamond"/>
          <w:sz w:val="24"/>
          <w:szCs w:val="24"/>
          <w:lang w:val="en-US"/>
        </w:rPr>
        <w:t xml:space="preserve">e winsorize forecast errors at the 1% and 99%. </w:t>
      </w:r>
    </w:p>
    <w:p w14:paraId="5D510E34" w14:textId="1E131826" w:rsidR="005B1A7F" w:rsidRPr="00D06F2B" w:rsidRDefault="005B1A7F" w:rsidP="005B1A7F">
      <w:pPr>
        <w:widowControl w:val="0"/>
        <w:spacing w:after="0" w:line="480" w:lineRule="auto"/>
        <w:rPr>
          <w:rFonts w:ascii="Garamond" w:hAnsi="Garamond"/>
          <w:sz w:val="24"/>
          <w:szCs w:val="24"/>
          <w:lang w:val="en-US"/>
        </w:rPr>
      </w:pPr>
      <w:r w:rsidRPr="00D06F2B">
        <w:rPr>
          <w:rFonts w:ascii="Garamond" w:hAnsi="Garamond"/>
          <w:sz w:val="24"/>
          <w:szCs w:val="24"/>
          <w:lang w:val="en-US"/>
        </w:rPr>
        <w:tab/>
        <w:t>Figure 2 presents the mean quarterly forecast error for analyst earnings, revenue, cash flow and dividend estimates.</w:t>
      </w:r>
      <w:r w:rsidR="00B41C0F" w:rsidRPr="00D06F2B">
        <w:rPr>
          <w:rStyle w:val="FootnoteReference"/>
          <w:rFonts w:ascii="Garamond" w:hAnsi="Garamond"/>
          <w:sz w:val="24"/>
          <w:szCs w:val="24"/>
          <w:lang w:val="en-US"/>
        </w:rPr>
        <w:footnoteReference w:id="11"/>
      </w:r>
      <w:r w:rsidRPr="00D06F2B">
        <w:rPr>
          <w:rFonts w:ascii="Garamond" w:hAnsi="Garamond"/>
          <w:sz w:val="24"/>
          <w:szCs w:val="24"/>
          <w:lang w:val="en-US"/>
        </w:rPr>
        <w:t xml:space="preserve"> </w:t>
      </w:r>
      <w:r w:rsidR="00953B87">
        <w:rPr>
          <w:rFonts w:ascii="Garamond" w:hAnsi="Garamond"/>
          <w:sz w:val="24"/>
          <w:szCs w:val="24"/>
          <w:lang w:val="en-US"/>
        </w:rPr>
        <w:t>W</w:t>
      </w:r>
      <w:r w:rsidR="00B41C0F" w:rsidRPr="00D06F2B">
        <w:rPr>
          <w:rFonts w:ascii="Garamond" w:hAnsi="Garamond"/>
          <w:sz w:val="24"/>
          <w:szCs w:val="24"/>
          <w:lang w:val="en-US"/>
        </w:rPr>
        <w:t xml:space="preserve">e </w:t>
      </w:r>
      <w:r w:rsidR="00F0230F" w:rsidRPr="00D06F2B">
        <w:rPr>
          <w:rFonts w:ascii="Garamond" w:hAnsi="Garamond"/>
          <w:sz w:val="24"/>
          <w:szCs w:val="24"/>
          <w:lang w:val="en-US"/>
        </w:rPr>
        <w:t>observe</w:t>
      </w:r>
      <w:r w:rsidR="00B41C0F" w:rsidRPr="00D06F2B">
        <w:rPr>
          <w:rFonts w:ascii="Garamond" w:hAnsi="Garamond"/>
          <w:sz w:val="24"/>
          <w:szCs w:val="24"/>
          <w:lang w:val="en-US"/>
        </w:rPr>
        <w:t xml:space="preserve"> comparable</w:t>
      </w:r>
      <w:r w:rsidR="00413E00" w:rsidRPr="00D06F2B">
        <w:rPr>
          <w:rFonts w:ascii="Garamond" w:hAnsi="Garamond"/>
          <w:sz w:val="24"/>
          <w:szCs w:val="24"/>
          <w:lang w:val="en-US"/>
        </w:rPr>
        <w:t xml:space="preserve"> forecast</w:t>
      </w:r>
      <w:r w:rsidR="00B41C0F" w:rsidRPr="00D06F2B">
        <w:rPr>
          <w:rFonts w:ascii="Garamond" w:hAnsi="Garamond"/>
          <w:sz w:val="24"/>
          <w:szCs w:val="24"/>
          <w:lang w:val="en-US"/>
        </w:rPr>
        <w:t xml:space="preserve"> errors across all measures in 2018 and 2019 (we cannot reject the null hypothesis that the average forecast error is the same in 2018 and </w:t>
      </w:r>
      <w:r w:rsidR="00B41C0F" w:rsidRPr="00D06F2B">
        <w:rPr>
          <w:rFonts w:ascii="Garamond" w:hAnsi="Garamond"/>
          <w:sz w:val="24"/>
          <w:szCs w:val="24"/>
          <w:lang w:val="en-US"/>
        </w:rPr>
        <w:lastRenderedPageBreak/>
        <w:t xml:space="preserve">2019). We observe a significant increase in the average forecast error in Q1 of 2020 compared to the average forecasts error in Q1 for 2018 and 2019. </w:t>
      </w:r>
      <w:r w:rsidR="003A5CC3" w:rsidRPr="00D06F2B">
        <w:rPr>
          <w:rFonts w:ascii="Garamond" w:hAnsi="Garamond"/>
          <w:sz w:val="24"/>
          <w:szCs w:val="24"/>
          <w:lang w:val="en-US"/>
        </w:rPr>
        <w:t xml:space="preserve">Forecast errors peak in Q2 of 2020 as firm fundamentals start to fully reflect the impact of </w:t>
      </w:r>
      <w:r w:rsidR="003F5C24" w:rsidRPr="00D06F2B">
        <w:rPr>
          <w:rFonts w:ascii="Garamond" w:hAnsi="Garamond"/>
          <w:sz w:val="24"/>
          <w:szCs w:val="24"/>
          <w:lang w:val="en-US"/>
        </w:rPr>
        <w:t xml:space="preserve">the </w:t>
      </w:r>
      <w:r w:rsidR="003A5CC3" w:rsidRPr="00D06F2B">
        <w:rPr>
          <w:rFonts w:ascii="Garamond" w:hAnsi="Garamond"/>
          <w:sz w:val="24"/>
          <w:szCs w:val="24"/>
          <w:lang w:val="en-US"/>
        </w:rPr>
        <w:t xml:space="preserve">pandemic, including state lockdowns. </w:t>
      </w:r>
      <w:r w:rsidR="00696392" w:rsidRPr="00D06F2B">
        <w:rPr>
          <w:rFonts w:ascii="Garamond" w:hAnsi="Garamond"/>
          <w:sz w:val="24"/>
          <w:szCs w:val="24"/>
          <w:lang w:val="en-US"/>
        </w:rPr>
        <w:t>Forecasts errors gradually decline in Q3 and Q4</w:t>
      </w:r>
      <w:r w:rsidR="0060526B" w:rsidRPr="00D06F2B">
        <w:rPr>
          <w:rFonts w:ascii="Garamond" w:hAnsi="Garamond"/>
          <w:sz w:val="24"/>
          <w:szCs w:val="24"/>
          <w:lang w:val="en-US"/>
        </w:rPr>
        <w:t>.</w:t>
      </w:r>
    </w:p>
    <w:p w14:paraId="107DB84A" w14:textId="083864D9" w:rsidR="000762B0" w:rsidRPr="00D06F2B" w:rsidRDefault="000762B0" w:rsidP="00A27700">
      <w:pPr>
        <w:widowControl w:val="0"/>
        <w:spacing w:after="0" w:line="480" w:lineRule="auto"/>
        <w:jc w:val="center"/>
        <w:rPr>
          <w:rFonts w:ascii="Garamond" w:hAnsi="Garamond"/>
          <w:sz w:val="24"/>
          <w:szCs w:val="24"/>
          <w:lang w:val="en-US"/>
        </w:rPr>
      </w:pPr>
      <w:r w:rsidRPr="00D06F2B">
        <w:rPr>
          <w:rFonts w:ascii="Garamond" w:hAnsi="Garamond"/>
          <w:sz w:val="24"/>
          <w:szCs w:val="24"/>
          <w:lang w:val="en-US"/>
        </w:rPr>
        <w:t>[Figure 2]</w:t>
      </w:r>
    </w:p>
    <w:p w14:paraId="56B279CD" w14:textId="57578A57" w:rsidR="003B2386" w:rsidRPr="00D06F2B" w:rsidRDefault="0060526B" w:rsidP="002E0EB2">
      <w:pPr>
        <w:widowControl w:val="0"/>
        <w:spacing w:after="0" w:line="480" w:lineRule="auto"/>
        <w:rPr>
          <w:rFonts w:ascii="Garamond" w:hAnsi="Garamond"/>
          <w:sz w:val="24"/>
          <w:szCs w:val="24"/>
          <w:lang w:val="en-US"/>
        </w:rPr>
      </w:pPr>
      <w:r w:rsidRPr="00D06F2B">
        <w:rPr>
          <w:rFonts w:ascii="Garamond" w:hAnsi="Garamond"/>
          <w:sz w:val="24"/>
          <w:szCs w:val="24"/>
          <w:lang w:val="en-US"/>
        </w:rPr>
        <w:tab/>
      </w:r>
      <w:r w:rsidR="00502A2F" w:rsidRPr="00D06F2B">
        <w:rPr>
          <w:rFonts w:ascii="Garamond" w:hAnsi="Garamond"/>
          <w:sz w:val="24"/>
          <w:szCs w:val="24"/>
          <w:lang w:val="en-US"/>
        </w:rPr>
        <w:t>Figure 2 evidence suggests a</w:t>
      </w:r>
      <w:r w:rsidR="00953B87">
        <w:rPr>
          <w:rFonts w:ascii="Garamond" w:hAnsi="Garamond"/>
          <w:sz w:val="24"/>
          <w:szCs w:val="24"/>
          <w:lang w:val="en-US"/>
        </w:rPr>
        <w:t>n</w:t>
      </w:r>
      <w:r w:rsidR="00502A2F" w:rsidRPr="00D06F2B">
        <w:rPr>
          <w:rFonts w:ascii="Garamond" w:hAnsi="Garamond"/>
          <w:sz w:val="24"/>
          <w:szCs w:val="24"/>
          <w:lang w:val="en-US"/>
        </w:rPr>
        <w:t xml:space="preserve"> increase in forecast errors, </w:t>
      </w:r>
      <w:r w:rsidR="00442D3E" w:rsidRPr="00D06F2B">
        <w:rPr>
          <w:rFonts w:ascii="Garamond" w:hAnsi="Garamond"/>
          <w:sz w:val="24"/>
          <w:szCs w:val="24"/>
          <w:lang w:val="en-US"/>
        </w:rPr>
        <w:t>which is unsurprising given the uncertainty increase du</w:t>
      </w:r>
      <w:r w:rsidR="00953B87">
        <w:rPr>
          <w:rFonts w:ascii="Garamond" w:hAnsi="Garamond"/>
          <w:sz w:val="24"/>
          <w:szCs w:val="24"/>
          <w:lang w:val="en-US"/>
        </w:rPr>
        <w:t>ring</w:t>
      </w:r>
      <w:r w:rsidR="00442D3E" w:rsidRPr="00D06F2B">
        <w:rPr>
          <w:rFonts w:ascii="Garamond" w:hAnsi="Garamond"/>
          <w:sz w:val="24"/>
          <w:szCs w:val="24"/>
          <w:lang w:val="en-US"/>
        </w:rPr>
        <w:t xml:space="preserve"> to the pandemic. However, standard measures of forecast error do not answer the question of how forecast accuracy changes per unit of uncertainty: if analyst forecast errors increase at a lower rate compared to the increase in </w:t>
      </w:r>
      <w:r w:rsidR="00953B87">
        <w:rPr>
          <w:rFonts w:ascii="Garamond" w:hAnsi="Garamond"/>
          <w:sz w:val="24"/>
          <w:szCs w:val="24"/>
          <w:lang w:val="en-US"/>
        </w:rPr>
        <w:t xml:space="preserve">underlying firm </w:t>
      </w:r>
      <w:r w:rsidR="00442D3E" w:rsidRPr="00D06F2B">
        <w:rPr>
          <w:rFonts w:ascii="Garamond" w:hAnsi="Garamond"/>
          <w:sz w:val="24"/>
          <w:szCs w:val="24"/>
          <w:lang w:val="en-US"/>
        </w:rPr>
        <w:t>uncertainty, investors would find analyst forecast useful (</w:t>
      </w:r>
      <w:proofErr w:type="spellStart"/>
      <w:r w:rsidR="00442D3E" w:rsidRPr="00D06F2B">
        <w:rPr>
          <w:rFonts w:ascii="Garamond" w:hAnsi="Garamond"/>
          <w:sz w:val="24"/>
          <w:szCs w:val="24"/>
          <w:lang w:val="en-US"/>
        </w:rPr>
        <w:t>Loh</w:t>
      </w:r>
      <w:proofErr w:type="spellEnd"/>
      <w:r w:rsidR="00442D3E" w:rsidRPr="00D06F2B">
        <w:rPr>
          <w:rFonts w:ascii="Garamond" w:hAnsi="Garamond"/>
          <w:sz w:val="24"/>
          <w:szCs w:val="24"/>
          <w:lang w:val="en-US"/>
        </w:rPr>
        <w:t xml:space="preserve"> and </w:t>
      </w:r>
      <w:proofErr w:type="spellStart"/>
      <w:r w:rsidR="00442D3E" w:rsidRPr="00D06F2B">
        <w:rPr>
          <w:rFonts w:ascii="Garamond" w:hAnsi="Garamond"/>
          <w:sz w:val="24"/>
          <w:szCs w:val="24"/>
          <w:lang w:val="en-US"/>
        </w:rPr>
        <w:t>Stulz</w:t>
      </w:r>
      <w:proofErr w:type="spellEnd"/>
      <w:r w:rsidR="00442D3E" w:rsidRPr="00D06F2B">
        <w:rPr>
          <w:rFonts w:ascii="Garamond" w:hAnsi="Garamond"/>
          <w:sz w:val="24"/>
          <w:szCs w:val="24"/>
          <w:lang w:val="en-US"/>
        </w:rPr>
        <w:t xml:space="preserve"> 2018). Figure 3 repeats the analysis when we scale forecast errors calculated in equation (1) by firm-specific return volatility calculated as</w:t>
      </w:r>
      <w:r w:rsidR="00953B87">
        <w:rPr>
          <w:rFonts w:ascii="Garamond" w:hAnsi="Garamond"/>
          <w:sz w:val="24"/>
          <w:szCs w:val="24"/>
          <w:lang w:val="en-US"/>
        </w:rPr>
        <w:t xml:space="preserve"> the</w:t>
      </w:r>
      <w:r w:rsidR="00442D3E" w:rsidRPr="00D06F2B">
        <w:rPr>
          <w:rFonts w:ascii="Garamond" w:hAnsi="Garamond"/>
          <w:sz w:val="24"/>
          <w:szCs w:val="24"/>
          <w:lang w:val="en-US"/>
        </w:rPr>
        <w:t xml:space="preserve"> variance of residuals from the Carhart (1997) model estimated over 100 days before analyst forecast announcement, an approach similar to </w:t>
      </w:r>
      <w:proofErr w:type="spellStart"/>
      <w:r w:rsidR="00442D3E" w:rsidRPr="00D06F2B">
        <w:rPr>
          <w:rFonts w:ascii="Garamond" w:hAnsi="Garamond"/>
          <w:sz w:val="24"/>
          <w:szCs w:val="24"/>
          <w:lang w:val="en-US"/>
        </w:rPr>
        <w:t>Loh</w:t>
      </w:r>
      <w:proofErr w:type="spellEnd"/>
      <w:r w:rsidR="00442D3E" w:rsidRPr="00D06F2B">
        <w:rPr>
          <w:rFonts w:ascii="Garamond" w:hAnsi="Garamond"/>
          <w:sz w:val="24"/>
          <w:szCs w:val="24"/>
          <w:lang w:val="en-US"/>
        </w:rPr>
        <w:t xml:space="preserve"> and </w:t>
      </w:r>
      <w:proofErr w:type="spellStart"/>
      <w:r w:rsidR="00442D3E" w:rsidRPr="00D06F2B">
        <w:rPr>
          <w:rFonts w:ascii="Garamond" w:hAnsi="Garamond"/>
          <w:sz w:val="24"/>
          <w:szCs w:val="24"/>
          <w:lang w:val="en-US"/>
        </w:rPr>
        <w:t>Stulz</w:t>
      </w:r>
      <w:proofErr w:type="spellEnd"/>
      <w:r w:rsidR="00442D3E" w:rsidRPr="00D06F2B">
        <w:rPr>
          <w:rFonts w:ascii="Garamond" w:hAnsi="Garamond"/>
          <w:sz w:val="24"/>
          <w:szCs w:val="24"/>
          <w:lang w:val="en-US"/>
        </w:rPr>
        <w:t xml:space="preserve"> (2018). We observe a significant increase in forecast errors per unit of uncertainty in Q1 of </w:t>
      </w:r>
      <w:proofErr w:type="gramStart"/>
      <w:r w:rsidR="00442D3E" w:rsidRPr="00D06F2B">
        <w:rPr>
          <w:rFonts w:ascii="Garamond" w:hAnsi="Garamond"/>
          <w:sz w:val="24"/>
          <w:szCs w:val="24"/>
          <w:lang w:val="en-US"/>
        </w:rPr>
        <w:t>2020, but</w:t>
      </w:r>
      <w:proofErr w:type="gramEnd"/>
      <w:r w:rsidR="00442D3E" w:rsidRPr="00D06F2B">
        <w:rPr>
          <w:rFonts w:ascii="Garamond" w:hAnsi="Garamond"/>
          <w:sz w:val="24"/>
          <w:szCs w:val="24"/>
          <w:lang w:val="en-US"/>
        </w:rPr>
        <w:t xml:space="preserve"> forecast errors for the reminder of the year are either comparable to corresponding pre-pandemic quarters or lower.</w:t>
      </w:r>
      <w:r w:rsidR="002E0EB2" w:rsidRPr="00D06F2B">
        <w:rPr>
          <w:rFonts w:ascii="Garamond" w:hAnsi="Garamond"/>
          <w:sz w:val="24"/>
          <w:szCs w:val="24"/>
          <w:lang w:val="en-US"/>
        </w:rPr>
        <w:t xml:space="preserve"> Figure 3 evidence suggests that after the initial ‘pandemic shock’ in Q1 of 2020, analysts were able to apply their skill to produce </w:t>
      </w:r>
      <w:r w:rsidR="00953B87">
        <w:rPr>
          <w:rFonts w:ascii="Garamond" w:hAnsi="Garamond"/>
          <w:sz w:val="24"/>
          <w:szCs w:val="24"/>
          <w:lang w:val="en-US"/>
        </w:rPr>
        <w:t>comparatively more</w:t>
      </w:r>
      <w:r w:rsidR="002E0EB2" w:rsidRPr="00D06F2B">
        <w:rPr>
          <w:rFonts w:ascii="Garamond" w:hAnsi="Garamond"/>
          <w:sz w:val="24"/>
          <w:szCs w:val="24"/>
          <w:lang w:val="en-US"/>
        </w:rPr>
        <w:t xml:space="preserve"> accurate forecasts</w:t>
      </w:r>
      <w:r w:rsidR="00953B87">
        <w:rPr>
          <w:rFonts w:ascii="Garamond" w:hAnsi="Garamond"/>
          <w:sz w:val="24"/>
          <w:szCs w:val="24"/>
          <w:lang w:val="en-US"/>
        </w:rPr>
        <w:t xml:space="preserve"> per unit of uncertainty</w:t>
      </w:r>
      <w:r w:rsidR="002E0EB2" w:rsidRPr="00D06F2B">
        <w:rPr>
          <w:rFonts w:ascii="Garamond" w:hAnsi="Garamond"/>
          <w:sz w:val="24"/>
          <w:szCs w:val="24"/>
          <w:lang w:val="en-US"/>
        </w:rPr>
        <w:t xml:space="preserve"> in the later part of 2020.</w:t>
      </w:r>
    </w:p>
    <w:p w14:paraId="4E58294D" w14:textId="379CB70C" w:rsidR="002E0EB2" w:rsidRPr="00D06F2B" w:rsidRDefault="002E0EB2" w:rsidP="002E0EB2">
      <w:pPr>
        <w:widowControl w:val="0"/>
        <w:spacing w:after="0" w:line="480" w:lineRule="auto"/>
        <w:jc w:val="center"/>
        <w:rPr>
          <w:rFonts w:ascii="Garamond" w:hAnsi="Garamond"/>
          <w:sz w:val="24"/>
          <w:szCs w:val="24"/>
          <w:lang w:val="en-US"/>
        </w:rPr>
      </w:pPr>
      <w:r w:rsidRPr="00D06F2B">
        <w:rPr>
          <w:rFonts w:ascii="Garamond" w:hAnsi="Garamond"/>
          <w:sz w:val="24"/>
          <w:szCs w:val="24"/>
          <w:lang w:val="en-US"/>
        </w:rPr>
        <w:t>[Figure 3]</w:t>
      </w:r>
    </w:p>
    <w:p w14:paraId="7F091D63" w14:textId="48FFD807" w:rsidR="00553988" w:rsidRPr="00D06F2B" w:rsidRDefault="00553988" w:rsidP="00993E51">
      <w:pPr>
        <w:widowControl w:val="0"/>
        <w:spacing w:after="0" w:line="480" w:lineRule="auto"/>
        <w:rPr>
          <w:rFonts w:ascii="Garamond" w:hAnsi="Garamond"/>
          <w:sz w:val="24"/>
          <w:szCs w:val="24"/>
          <w:lang w:val="en-US"/>
        </w:rPr>
      </w:pPr>
    </w:p>
    <w:p w14:paraId="5E0FA07A" w14:textId="2EEBED32" w:rsidR="00686B4B" w:rsidRPr="00D06F2B" w:rsidRDefault="00484999" w:rsidP="00993E51">
      <w:pPr>
        <w:widowControl w:val="0"/>
        <w:spacing w:after="0" w:line="480" w:lineRule="auto"/>
        <w:rPr>
          <w:rFonts w:ascii="Garamond" w:hAnsi="Garamond"/>
          <w:i/>
          <w:iCs/>
          <w:sz w:val="24"/>
          <w:szCs w:val="24"/>
          <w:lang w:val="en-US"/>
        </w:rPr>
      </w:pPr>
      <w:r w:rsidRPr="00D06F2B">
        <w:rPr>
          <w:rFonts w:ascii="Garamond" w:hAnsi="Garamond"/>
          <w:i/>
          <w:iCs/>
          <w:sz w:val="24"/>
          <w:szCs w:val="24"/>
          <w:lang w:val="en-US"/>
        </w:rPr>
        <w:t>3.</w:t>
      </w:r>
      <w:r w:rsidR="002E0EB2" w:rsidRPr="00D06F2B">
        <w:rPr>
          <w:rFonts w:ascii="Garamond" w:hAnsi="Garamond"/>
          <w:i/>
          <w:iCs/>
          <w:sz w:val="24"/>
          <w:szCs w:val="24"/>
          <w:lang w:val="en-US"/>
        </w:rPr>
        <w:t>3</w:t>
      </w:r>
      <w:r w:rsidRPr="00D06F2B">
        <w:rPr>
          <w:rFonts w:ascii="Garamond" w:hAnsi="Garamond"/>
          <w:i/>
          <w:iCs/>
          <w:sz w:val="24"/>
          <w:szCs w:val="24"/>
          <w:lang w:val="en-US"/>
        </w:rPr>
        <w:t xml:space="preserve"> </w:t>
      </w:r>
      <w:r w:rsidR="00686B4B" w:rsidRPr="00D06F2B">
        <w:rPr>
          <w:rFonts w:ascii="Garamond" w:hAnsi="Garamond"/>
          <w:i/>
          <w:iCs/>
          <w:sz w:val="24"/>
          <w:szCs w:val="24"/>
          <w:lang w:val="en-US"/>
        </w:rPr>
        <w:t xml:space="preserve">Institutional attention and price reactions to analyst forecast revisions </w:t>
      </w:r>
    </w:p>
    <w:p w14:paraId="0FE372CD" w14:textId="48787EBA" w:rsidR="00484999" w:rsidRPr="00D06F2B" w:rsidRDefault="00484999" w:rsidP="00993E51">
      <w:pPr>
        <w:widowControl w:val="0"/>
        <w:spacing w:after="0" w:line="480" w:lineRule="auto"/>
        <w:rPr>
          <w:rFonts w:ascii="Garamond" w:hAnsi="Garamond"/>
          <w:sz w:val="24"/>
          <w:szCs w:val="24"/>
          <w:lang w:val="en-US"/>
        </w:rPr>
      </w:pPr>
      <w:r w:rsidRPr="00D06F2B">
        <w:rPr>
          <w:rFonts w:ascii="Garamond" w:hAnsi="Garamond"/>
          <w:sz w:val="24"/>
          <w:szCs w:val="24"/>
          <w:lang w:val="en-US"/>
        </w:rPr>
        <w:t xml:space="preserve">Our next test looks at </w:t>
      </w:r>
      <w:r w:rsidR="00686B4B" w:rsidRPr="00D06F2B">
        <w:rPr>
          <w:rFonts w:ascii="Garamond" w:hAnsi="Garamond"/>
          <w:sz w:val="24"/>
          <w:szCs w:val="24"/>
          <w:lang w:val="en-US"/>
        </w:rPr>
        <w:t xml:space="preserve">institutional attention and </w:t>
      </w:r>
      <w:r w:rsidRPr="00D06F2B">
        <w:rPr>
          <w:rFonts w:ascii="Garamond" w:hAnsi="Garamond"/>
          <w:sz w:val="24"/>
          <w:szCs w:val="24"/>
          <w:lang w:val="en-US"/>
        </w:rPr>
        <w:t>price reaction</w:t>
      </w:r>
      <w:r w:rsidR="003F5C24" w:rsidRPr="00D06F2B">
        <w:rPr>
          <w:rFonts w:ascii="Garamond" w:hAnsi="Garamond"/>
          <w:sz w:val="24"/>
          <w:szCs w:val="24"/>
          <w:lang w:val="en-US"/>
        </w:rPr>
        <w:t>s</w:t>
      </w:r>
      <w:r w:rsidRPr="00D06F2B">
        <w:rPr>
          <w:rFonts w:ascii="Garamond" w:hAnsi="Garamond"/>
          <w:sz w:val="24"/>
          <w:szCs w:val="24"/>
          <w:lang w:val="en-US"/>
        </w:rPr>
        <w:t xml:space="preserve"> to analyst forecast revision</w:t>
      </w:r>
      <w:r w:rsidR="003F5C24" w:rsidRPr="00D06F2B">
        <w:rPr>
          <w:rFonts w:ascii="Garamond" w:hAnsi="Garamond"/>
          <w:sz w:val="24"/>
          <w:szCs w:val="24"/>
          <w:lang w:val="en-US"/>
        </w:rPr>
        <w:t>s</w:t>
      </w:r>
      <w:r w:rsidRPr="00D06F2B">
        <w:rPr>
          <w:rFonts w:ascii="Garamond" w:hAnsi="Garamond"/>
          <w:sz w:val="24"/>
          <w:szCs w:val="24"/>
          <w:lang w:val="en-US"/>
        </w:rPr>
        <w:t xml:space="preserve"> to assess the</w:t>
      </w:r>
      <w:r w:rsidR="00953B87">
        <w:rPr>
          <w:rFonts w:ascii="Garamond" w:hAnsi="Garamond"/>
          <w:sz w:val="24"/>
          <w:szCs w:val="24"/>
          <w:lang w:val="en-US"/>
        </w:rPr>
        <w:t>ir</w:t>
      </w:r>
      <w:r w:rsidR="002E0EB2" w:rsidRPr="00D06F2B">
        <w:rPr>
          <w:rFonts w:ascii="Garamond" w:hAnsi="Garamond"/>
          <w:sz w:val="24"/>
          <w:szCs w:val="24"/>
          <w:lang w:val="en-US"/>
        </w:rPr>
        <w:t xml:space="preserve"> usefulness</w:t>
      </w:r>
      <w:r w:rsidRPr="00D06F2B">
        <w:rPr>
          <w:rFonts w:ascii="Garamond" w:hAnsi="Garamond"/>
          <w:sz w:val="24"/>
          <w:szCs w:val="24"/>
          <w:lang w:val="en-US"/>
        </w:rPr>
        <w:t xml:space="preserve">. </w:t>
      </w:r>
      <w:r w:rsidR="00064708" w:rsidRPr="00D06F2B">
        <w:rPr>
          <w:rFonts w:ascii="Garamond" w:hAnsi="Garamond"/>
          <w:sz w:val="24"/>
          <w:szCs w:val="24"/>
          <w:lang w:val="en-US"/>
        </w:rPr>
        <w:t xml:space="preserve">We calculate </w:t>
      </w:r>
      <w:r w:rsidR="008D74F9" w:rsidRPr="00D06F2B">
        <w:rPr>
          <w:rFonts w:ascii="Garamond" w:hAnsi="Garamond"/>
          <w:sz w:val="24"/>
          <w:szCs w:val="24"/>
          <w:lang w:val="en-US"/>
        </w:rPr>
        <w:t>the</w:t>
      </w:r>
      <w:r w:rsidR="00A15CFD" w:rsidRPr="00D06F2B">
        <w:rPr>
          <w:rFonts w:ascii="Garamond" w:hAnsi="Garamond"/>
          <w:sz w:val="24"/>
          <w:szCs w:val="24"/>
          <w:lang w:val="en-US"/>
        </w:rPr>
        <w:t xml:space="preserve"> forecast</w:t>
      </w:r>
      <w:r w:rsidR="00064708" w:rsidRPr="00D06F2B">
        <w:rPr>
          <w:rFonts w:ascii="Garamond" w:hAnsi="Garamond"/>
          <w:sz w:val="24"/>
          <w:szCs w:val="24"/>
          <w:lang w:val="en-US"/>
        </w:rPr>
        <w:t xml:space="preserve"> revision</w:t>
      </w:r>
      <w:r w:rsidR="00A15CFD" w:rsidRPr="00D06F2B">
        <w:rPr>
          <w:rFonts w:ascii="Garamond" w:hAnsi="Garamond"/>
          <w:sz w:val="24"/>
          <w:szCs w:val="24"/>
          <w:lang w:val="en-US"/>
        </w:rPr>
        <w:t xml:space="preserve">, </w:t>
      </w:r>
      <m:oMath>
        <m:r>
          <m:rPr>
            <m:sty m:val="p"/>
          </m:rPr>
          <w:rPr>
            <w:rFonts w:ascii="Cambria Math" w:hAnsi="Cambria Math"/>
            <w:lang w:val="en-US"/>
          </w:rPr>
          <m:t>Δ</m:t>
        </m:r>
        <m:r>
          <w:rPr>
            <w:rFonts w:ascii="Cambria Math" w:hAnsi="Cambria Math"/>
            <w:lang w:val="en-US"/>
          </w:rPr>
          <m:t>Forecast</m:t>
        </m:r>
      </m:oMath>
      <w:r w:rsidR="00A15CFD" w:rsidRPr="00D06F2B">
        <w:rPr>
          <w:rFonts w:ascii="Garamond" w:hAnsi="Garamond"/>
          <w:sz w:val="24"/>
          <w:szCs w:val="24"/>
          <w:lang w:val="en-US"/>
        </w:rPr>
        <w:t>,</w:t>
      </w:r>
      <w:r w:rsidR="00064708" w:rsidRPr="00D06F2B">
        <w:rPr>
          <w:rFonts w:ascii="Garamond" w:hAnsi="Garamond"/>
          <w:sz w:val="24"/>
          <w:szCs w:val="24"/>
          <w:lang w:val="en-US"/>
        </w:rPr>
        <w:t xml:space="preserve"> as the difference between the analyst current and previous forecast issued for the same fiscal quarter</w:t>
      </w:r>
      <w:r w:rsidR="009215F8" w:rsidRPr="00D06F2B">
        <w:rPr>
          <w:rFonts w:ascii="Garamond" w:hAnsi="Garamond"/>
          <w:sz w:val="24"/>
          <w:szCs w:val="24"/>
          <w:lang w:val="en-US"/>
        </w:rPr>
        <w:t xml:space="preserve"> </w:t>
      </w:r>
      <w:r w:rsidR="008D74F9" w:rsidRPr="00D06F2B">
        <w:rPr>
          <w:rFonts w:ascii="Garamond" w:hAnsi="Garamond"/>
          <w:sz w:val="24"/>
          <w:szCs w:val="24"/>
          <w:lang w:val="en-US"/>
        </w:rPr>
        <w:t>and</w:t>
      </w:r>
      <w:r w:rsidR="00953B87">
        <w:rPr>
          <w:rFonts w:ascii="Garamond" w:hAnsi="Garamond"/>
          <w:sz w:val="24"/>
          <w:szCs w:val="24"/>
          <w:lang w:val="en-US"/>
        </w:rPr>
        <w:t xml:space="preserve"> the</w:t>
      </w:r>
      <w:r w:rsidR="008D74F9" w:rsidRPr="00D06F2B">
        <w:rPr>
          <w:rFonts w:ascii="Garamond" w:hAnsi="Garamond"/>
          <w:sz w:val="24"/>
          <w:szCs w:val="24"/>
          <w:lang w:val="en-US"/>
        </w:rPr>
        <w:t xml:space="preserve"> same firm</w:t>
      </w:r>
      <w:r w:rsidR="009215F8" w:rsidRPr="00D06F2B">
        <w:rPr>
          <w:rFonts w:ascii="Garamond" w:hAnsi="Garamond"/>
          <w:sz w:val="24"/>
          <w:szCs w:val="24"/>
          <w:lang w:val="en-US"/>
        </w:rPr>
        <w:t xml:space="preserve"> </w:t>
      </w:r>
      <w:r w:rsidR="00064708" w:rsidRPr="00D06F2B">
        <w:rPr>
          <w:rFonts w:ascii="Garamond" w:hAnsi="Garamond"/>
          <w:sz w:val="24"/>
          <w:szCs w:val="24"/>
          <w:lang w:val="en-US"/>
        </w:rPr>
        <w:t>scaled by the absolute value of the previous forecast</w:t>
      </w:r>
      <w:r w:rsidR="00A15CFD" w:rsidRPr="00D06F2B">
        <w:rPr>
          <w:rFonts w:ascii="Garamond" w:hAnsi="Garamond"/>
          <w:sz w:val="24"/>
          <w:szCs w:val="24"/>
          <w:lang w:val="en-US"/>
        </w:rPr>
        <w:t>,</w:t>
      </w:r>
    </w:p>
    <w:p w14:paraId="63C6D859" w14:textId="1885214C" w:rsidR="00064708" w:rsidRPr="00D06F2B" w:rsidRDefault="00661E5B" w:rsidP="009D3EB2">
      <w:pPr>
        <w:widowControl w:val="0"/>
        <w:spacing w:after="0" w:line="480" w:lineRule="auto"/>
        <w:jc w:val="right"/>
        <w:rPr>
          <w:rFonts w:ascii="Garamond" w:hAnsi="Garamond"/>
          <w:sz w:val="24"/>
          <w:szCs w:val="24"/>
          <w:lang w:val="en-US"/>
        </w:rPr>
      </w:pPr>
      <m:oMath>
        <m:r>
          <m:rPr>
            <m:sty m:val="p"/>
          </m:rPr>
          <w:rPr>
            <w:rFonts w:ascii="Cambria Math" w:hAnsi="Cambria Math"/>
            <w:lang w:val="en-US"/>
          </w:rPr>
          <w:lastRenderedPageBreak/>
          <m:t>Δ</m:t>
        </m:r>
        <m:sSub>
          <m:sSubPr>
            <m:ctrlPr>
              <w:rPr>
                <w:rFonts w:ascii="Cambria Math" w:hAnsi="Cambria Math"/>
                <w:i/>
                <w:lang w:val="en-US"/>
              </w:rPr>
            </m:ctrlPr>
          </m:sSubPr>
          <m:e>
            <m:r>
              <w:rPr>
                <w:rFonts w:ascii="Cambria Math" w:hAnsi="Cambria Math"/>
                <w:lang w:val="en-US"/>
              </w:rPr>
              <m:t>Forecast</m:t>
            </m:r>
          </m:e>
          <m:sub>
            <m:r>
              <w:rPr>
                <w:rFonts w:ascii="Cambria Math" w:hAnsi="Cambria Math"/>
                <w:lang w:val="en-US"/>
              </w:rPr>
              <m:t>i,j,d+1,q,t+1</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Forecast</m:t>
                </m:r>
              </m:e>
              <m:sub>
                <m:r>
                  <w:rPr>
                    <w:rFonts w:ascii="Cambria Math" w:hAnsi="Cambria Math"/>
                    <w:lang w:val="en-US"/>
                  </w:rPr>
                  <m:t>i,j,d+1,q,t+1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Forecast</m:t>
                </m:r>
              </m:e>
              <m:sub>
                <m:r>
                  <w:rPr>
                    <w:rFonts w:ascii="Cambria Math" w:hAnsi="Cambria Math"/>
                    <w:lang w:val="en-US"/>
                  </w:rPr>
                  <m:t>i,j,d,q,t+1</m:t>
                </m:r>
              </m:sub>
            </m:sSub>
          </m:num>
          <m:den>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Forecast</m:t>
                    </m:r>
                  </m:e>
                  <m:sub>
                    <m:r>
                      <w:rPr>
                        <w:rFonts w:ascii="Cambria Math" w:hAnsi="Cambria Math"/>
                        <w:lang w:val="en-US"/>
                      </w:rPr>
                      <m:t>i,j,d,q,t+1</m:t>
                    </m:r>
                  </m:sub>
                </m:sSub>
              </m:e>
            </m:d>
          </m:den>
        </m:f>
        <m:r>
          <w:rPr>
            <w:rFonts w:ascii="Cambria Math" w:hAnsi="Cambria Math"/>
            <w:lang w:val="en-US"/>
          </w:rPr>
          <m:t>.</m:t>
        </m:r>
      </m:oMath>
      <w:r w:rsidR="009D3EB2" w:rsidRPr="00D06F2B">
        <w:rPr>
          <w:rFonts w:ascii="Garamond" w:eastAsiaTheme="minorEastAsia" w:hAnsi="Garamond"/>
          <w:sz w:val="24"/>
          <w:szCs w:val="24"/>
          <w:lang w:val="en-US"/>
        </w:rPr>
        <w:t xml:space="preserve"> </w:t>
      </w:r>
      <w:r w:rsidR="009D3EB2" w:rsidRPr="00D06F2B">
        <w:rPr>
          <w:rFonts w:ascii="Garamond" w:eastAsiaTheme="minorEastAsia" w:hAnsi="Garamond"/>
          <w:sz w:val="24"/>
          <w:szCs w:val="24"/>
          <w:lang w:val="en-US"/>
        </w:rPr>
        <w:tab/>
      </w:r>
      <w:r w:rsidR="009D3EB2" w:rsidRPr="00D06F2B">
        <w:rPr>
          <w:rFonts w:ascii="Garamond" w:eastAsiaTheme="minorEastAsia" w:hAnsi="Garamond"/>
          <w:sz w:val="24"/>
          <w:szCs w:val="24"/>
          <w:lang w:val="en-US"/>
        </w:rPr>
        <w:tab/>
      </w:r>
      <w:r w:rsidR="009D3EB2" w:rsidRPr="00D06F2B">
        <w:rPr>
          <w:rFonts w:ascii="Garamond" w:eastAsiaTheme="minorEastAsia" w:hAnsi="Garamond"/>
          <w:sz w:val="24"/>
          <w:szCs w:val="24"/>
          <w:lang w:val="en-US"/>
        </w:rPr>
        <w:tab/>
      </w:r>
      <w:r w:rsidR="009D3EB2" w:rsidRPr="00D06F2B">
        <w:rPr>
          <w:rFonts w:ascii="Garamond" w:eastAsiaTheme="minorEastAsia" w:hAnsi="Garamond"/>
          <w:sz w:val="24"/>
          <w:szCs w:val="24"/>
          <w:lang w:val="en-US"/>
        </w:rPr>
        <w:tab/>
        <w:t>(2)</w:t>
      </w:r>
    </w:p>
    <w:p w14:paraId="75D04D48" w14:textId="6396DE73" w:rsidR="00A61E50" w:rsidRPr="00D06F2B" w:rsidRDefault="009A34FE" w:rsidP="00A61E50">
      <w:pPr>
        <w:widowControl w:val="0"/>
        <w:spacing w:after="0" w:line="480" w:lineRule="auto"/>
        <w:rPr>
          <w:rFonts w:ascii="Garamond" w:hAnsi="Garamond"/>
          <w:sz w:val="24"/>
          <w:szCs w:val="24"/>
          <w:lang w:val="en-US"/>
        </w:rPr>
      </w:pPr>
      <w:r w:rsidRPr="00D06F2B">
        <w:rPr>
          <w:rFonts w:ascii="Garamond" w:hAnsi="Garamond"/>
          <w:sz w:val="24"/>
          <w:szCs w:val="24"/>
          <w:lang w:val="en-US"/>
        </w:rPr>
        <w:t>Using percentage revisions make</w:t>
      </w:r>
      <w:r w:rsidR="00CB739F" w:rsidRPr="00D06F2B">
        <w:rPr>
          <w:rFonts w:ascii="Garamond" w:hAnsi="Garamond"/>
          <w:sz w:val="24"/>
          <w:szCs w:val="24"/>
          <w:lang w:val="en-US"/>
        </w:rPr>
        <w:t>s</w:t>
      </w:r>
      <w:r w:rsidRPr="00D06F2B">
        <w:rPr>
          <w:rFonts w:ascii="Garamond" w:hAnsi="Garamond"/>
          <w:sz w:val="24"/>
          <w:szCs w:val="24"/>
          <w:lang w:val="en-US"/>
        </w:rPr>
        <w:t xml:space="preserve"> forecasts expressed on a per-share basis,</w:t>
      </w:r>
      <w:r w:rsidR="00CB739F" w:rsidRPr="00D06F2B">
        <w:rPr>
          <w:rFonts w:ascii="Garamond" w:hAnsi="Garamond"/>
          <w:sz w:val="24"/>
          <w:szCs w:val="24"/>
          <w:lang w:val="en-US"/>
        </w:rPr>
        <w:t xml:space="preserve"> e.g.</w:t>
      </w:r>
      <w:r w:rsidRPr="00D06F2B">
        <w:rPr>
          <w:rFonts w:ascii="Garamond" w:hAnsi="Garamond"/>
          <w:sz w:val="24"/>
          <w:szCs w:val="24"/>
          <w:lang w:val="en-US"/>
        </w:rPr>
        <w:t xml:space="preserve"> EPS</w:t>
      </w:r>
      <w:r w:rsidR="00CB739F" w:rsidRPr="00D06F2B">
        <w:rPr>
          <w:rFonts w:ascii="Garamond" w:hAnsi="Garamond"/>
          <w:sz w:val="24"/>
          <w:szCs w:val="24"/>
          <w:lang w:val="en-US"/>
        </w:rPr>
        <w:t xml:space="preserve"> estimates</w:t>
      </w:r>
      <w:r w:rsidRPr="00D06F2B">
        <w:rPr>
          <w:rFonts w:ascii="Garamond" w:hAnsi="Garamond"/>
          <w:sz w:val="24"/>
          <w:szCs w:val="24"/>
          <w:lang w:val="en-US"/>
        </w:rPr>
        <w:t xml:space="preserve">, </w:t>
      </w:r>
      <w:r w:rsidR="00D74F1A" w:rsidRPr="00D06F2B">
        <w:rPr>
          <w:rFonts w:ascii="Garamond" w:hAnsi="Garamond"/>
          <w:sz w:val="24"/>
          <w:szCs w:val="24"/>
          <w:lang w:val="en-US"/>
        </w:rPr>
        <w:t xml:space="preserve">more </w:t>
      </w:r>
      <w:r w:rsidRPr="00D06F2B">
        <w:rPr>
          <w:rFonts w:ascii="Garamond" w:hAnsi="Garamond"/>
          <w:sz w:val="24"/>
          <w:szCs w:val="24"/>
          <w:lang w:val="en-US"/>
        </w:rPr>
        <w:t>comparable with forecasts on non-per-share basis</w:t>
      </w:r>
      <w:r w:rsidR="00CB739F" w:rsidRPr="00D06F2B">
        <w:rPr>
          <w:rFonts w:ascii="Garamond" w:hAnsi="Garamond"/>
          <w:sz w:val="24"/>
          <w:szCs w:val="24"/>
          <w:lang w:val="en-US"/>
        </w:rPr>
        <w:t>,</w:t>
      </w:r>
      <w:r w:rsidRPr="00D06F2B">
        <w:rPr>
          <w:rFonts w:ascii="Garamond" w:hAnsi="Garamond"/>
          <w:sz w:val="24"/>
          <w:szCs w:val="24"/>
          <w:lang w:val="en-US"/>
        </w:rPr>
        <w:t xml:space="preserve"> such as revenue. </w:t>
      </w:r>
      <w:r w:rsidR="00A61E50" w:rsidRPr="00D06F2B">
        <w:rPr>
          <w:rFonts w:ascii="Garamond" w:hAnsi="Garamond"/>
          <w:sz w:val="24"/>
          <w:szCs w:val="24"/>
          <w:lang w:val="en-US"/>
        </w:rPr>
        <w:t xml:space="preserve">We winsorize revisions at 1% and 99%. </w:t>
      </w:r>
    </w:p>
    <w:p w14:paraId="793B3329" w14:textId="0495A885" w:rsidR="009A34FE" w:rsidRPr="00D06F2B" w:rsidRDefault="009A34FE" w:rsidP="006777E9">
      <w:pPr>
        <w:widowControl w:val="0"/>
        <w:spacing w:after="0" w:line="480" w:lineRule="auto"/>
        <w:rPr>
          <w:rFonts w:ascii="Garamond" w:hAnsi="Garamond"/>
          <w:sz w:val="24"/>
          <w:szCs w:val="24"/>
          <w:lang w:val="en-US"/>
        </w:rPr>
      </w:pPr>
      <w:r w:rsidRPr="00D06F2B">
        <w:rPr>
          <w:rFonts w:ascii="Garamond" w:hAnsi="Garamond"/>
          <w:sz w:val="24"/>
          <w:szCs w:val="24"/>
          <w:lang w:val="en-US"/>
        </w:rPr>
        <w:tab/>
        <w:t xml:space="preserve">Figure </w:t>
      </w:r>
      <w:r w:rsidR="002E0EB2" w:rsidRPr="00D06F2B">
        <w:rPr>
          <w:rFonts w:ascii="Garamond" w:hAnsi="Garamond"/>
          <w:sz w:val="24"/>
          <w:szCs w:val="24"/>
          <w:lang w:val="en-US"/>
        </w:rPr>
        <w:t>4</w:t>
      </w:r>
      <w:r w:rsidRPr="00D06F2B">
        <w:rPr>
          <w:rFonts w:ascii="Garamond" w:hAnsi="Garamond"/>
          <w:sz w:val="24"/>
          <w:szCs w:val="24"/>
          <w:lang w:val="en-US"/>
        </w:rPr>
        <w:t xml:space="preserve"> reports the monthly average revisions for the pre-pandemic years and for 2020. We observe very similar magnitudes of revisions across months</w:t>
      </w:r>
      <w:r w:rsidR="00CB739F" w:rsidRPr="00D06F2B">
        <w:rPr>
          <w:rFonts w:ascii="Garamond" w:hAnsi="Garamond"/>
          <w:sz w:val="24"/>
          <w:szCs w:val="24"/>
          <w:lang w:val="en-US"/>
        </w:rPr>
        <w:t xml:space="preserve"> before the pandemic</w:t>
      </w:r>
      <w:r w:rsidRPr="00D06F2B">
        <w:rPr>
          <w:rFonts w:ascii="Garamond" w:hAnsi="Garamond"/>
          <w:sz w:val="24"/>
          <w:szCs w:val="24"/>
          <w:lang w:val="en-US"/>
        </w:rPr>
        <w:t>. EPS revisions tend to be negative, which reflects that analysts tend to start at a high level and firms walk-down forecasts to beatable levels (</w:t>
      </w:r>
      <w:bookmarkStart w:id="17" w:name="_Hlk66964803"/>
      <w:r w:rsidRPr="00D06F2B">
        <w:rPr>
          <w:rFonts w:ascii="Garamond" w:hAnsi="Garamond"/>
          <w:sz w:val="24"/>
          <w:szCs w:val="24"/>
          <w:lang w:val="en-US"/>
        </w:rPr>
        <w:t>Richardson</w:t>
      </w:r>
      <w:r w:rsidR="006C32D5" w:rsidRPr="00D06F2B">
        <w:rPr>
          <w:rFonts w:ascii="Garamond" w:hAnsi="Garamond"/>
          <w:sz w:val="24"/>
          <w:szCs w:val="24"/>
          <w:lang w:val="en-US"/>
        </w:rPr>
        <w:t xml:space="preserve"> et al. 2004,</w:t>
      </w:r>
      <w:r w:rsidRPr="00D06F2B">
        <w:rPr>
          <w:rFonts w:ascii="Garamond" w:hAnsi="Garamond"/>
          <w:sz w:val="24"/>
          <w:szCs w:val="24"/>
          <w:lang w:val="en-US"/>
        </w:rPr>
        <w:t xml:space="preserve"> Graham, Harvey and </w:t>
      </w:r>
      <w:proofErr w:type="spellStart"/>
      <w:r w:rsidRPr="00D06F2B">
        <w:rPr>
          <w:rFonts w:ascii="Garamond" w:hAnsi="Garamond"/>
          <w:sz w:val="24"/>
          <w:szCs w:val="24"/>
          <w:lang w:val="en-US"/>
        </w:rPr>
        <w:t>Rajgopal</w:t>
      </w:r>
      <w:proofErr w:type="spellEnd"/>
      <w:r w:rsidRPr="00D06F2B">
        <w:rPr>
          <w:rFonts w:ascii="Garamond" w:hAnsi="Garamond"/>
          <w:sz w:val="24"/>
          <w:szCs w:val="24"/>
          <w:lang w:val="en-US"/>
        </w:rPr>
        <w:t xml:space="preserve"> 2005</w:t>
      </w:r>
      <w:bookmarkEnd w:id="17"/>
      <w:r w:rsidRPr="00D06F2B">
        <w:rPr>
          <w:rFonts w:ascii="Garamond" w:hAnsi="Garamond"/>
          <w:sz w:val="24"/>
          <w:szCs w:val="24"/>
          <w:lang w:val="en-US"/>
        </w:rPr>
        <w:t xml:space="preserve">). </w:t>
      </w:r>
      <w:r w:rsidR="006777E9" w:rsidRPr="00D06F2B">
        <w:rPr>
          <w:rFonts w:ascii="Garamond" w:hAnsi="Garamond"/>
          <w:sz w:val="24"/>
          <w:szCs w:val="24"/>
          <w:lang w:val="en-US"/>
        </w:rPr>
        <w:t xml:space="preserve">The picture during the pandemic is markedly different: analysts revise downwards all forecasts starting in March up till June 2020 </w:t>
      </w:r>
      <w:r w:rsidR="009215F8" w:rsidRPr="00D06F2B">
        <w:rPr>
          <w:rFonts w:ascii="Garamond" w:hAnsi="Garamond"/>
          <w:sz w:val="24"/>
          <w:szCs w:val="24"/>
          <w:lang w:val="en-US"/>
        </w:rPr>
        <w:t xml:space="preserve">and </w:t>
      </w:r>
      <w:r w:rsidR="006777E9" w:rsidRPr="00D06F2B">
        <w:rPr>
          <w:rFonts w:ascii="Garamond" w:hAnsi="Garamond"/>
          <w:sz w:val="24"/>
          <w:szCs w:val="24"/>
          <w:lang w:val="en-US"/>
        </w:rPr>
        <w:t xml:space="preserve">revisions become </w:t>
      </w:r>
      <w:r w:rsidR="00CB739F" w:rsidRPr="00D06F2B">
        <w:rPr>
          <w:rFonts w:ascii="Garamond" w:hAnsi="Garamond"/>
          <w:sz w:val="24"/>
          <w:szCs w:val="24"/>
          <w:lang w:val="en-US"/>
        </w:rPr>
        <w:t>smaller in magnitude</w:t>
      </w:r>
      <w:r w:rsidR="009215F8" w:rsidRPr="00D06F2B">
        <w:rPr>
          <w:rFonts w:ascii="Garamond" w:hAnsi="Garamond"/>
          <w:sz w:val="24"/>
          <w:szCs w:val="24"/>
          <w:lang w:val="en-US"/>
        </w:rPr>
        <w:t xml:space="preserve"> towards the end of 2020</w:t>
      </w:r>
      <w:r w:rsidR="006777E9" w:rsidRPr="00D06F2B">
        <w:rPr>
          <w:rFonts w:ascii="Garamond" w:hAnsi="Garamond"/>
          <w:sz w:val="24"/>
          <w:szCs w:val="24"/>
          <w:lang w:val="en-US"/>
        </w:rPr>
        <w:t xml:space="preserve">.  </w:t>
      </w:r>
    </w:p>
    <w:p w14:paraId="5B05CF80" w14:textId="25C33D72" w:rsidR="009A2EA7" w:rsidRPr="00D06F2B" w:rsidRDefault="009A2EA7" w:rsidP="009A2EA7">
      <w:pPr>
        <w:widowControl w:val="0"/>
        <w:spacing w:after="0" w:line="480" w:lineRule="auto"/>
        <w:jc w:val="center"/>
        <w:rPr>
          <w:rFonts w:ascii="Garamond" w:hAnsi="Garamond"/>
          <w:sz w:val="24"/>
          <w:szCs w:val="24"/>
          <w:lang w:val="en-US"/>
        </w:rPr>
      </w:pPr>
      <w:r w:rsidRPr="00D06F2B">
        <w:rPr>
          <w:rFonts w:ascii="Garamond" w:hAnsi="Garamond"/>
          <w:sz w:val="24"/>
          <w:szCs w:val="24"/>
          <w:lang w:val="en-US"/>
        </w:rPr>
        <w:t xml:space="preserve">[Figure </w:t>
      </w:r>
      <w:r w:rsidR="00953B87">
        <w:rPr>
          <w:rFonts w:ascii="Garamond" w:hAnsi="Garamond"/>
          <w:sz w:val="24"/>
          <w:szCs w:val="24"/>
          <w:lang w:val="en-US"/>
        </w:rPr>
        <w:t>4</w:t>
      </w:r>
      <w:r w:rsidRPr="00D06F2B">
        <w:rPr>
          <w:rFonts w:ascii="Garamond" w:hAnsi="Garamond"/>
          <w:sz w:val="24"/>
          <w:szCs w:val="24"/>
          <w:lang w:val="en-US"/>
        </w:rPr>
        <w:t>]</w:t>
      </w:r>
    </w:p>
    <w:p w14:paraId="29C3EA4F" w14:textId="5DB573C4" w:rsidR="005C485C" w:rsidRPr="00D06F2B" w:rsidRDefault="009D3EB2" w:rsidP="00340AF9">
      <w:pPr>
        <w:widowControl w:val="0"/>
        <w:spacing w:after="0" w:line="480" w:lineRule="auto"/>
        <w:rPr>
          <w:rFonts w:ascii="Garamond" w:hAnsi="Garamond"/>
          <w:sz w:val="24"/>
          <w:szCs w:val="24"/>
        </w:rPr>
      </w:pPr>
      <w:r w:rsidRPr="00D06F2B">
        <w:rPr>
          <w:rFonts w:ascii="Garamond" w:hAnsi="Garamond"/>
          <w:sz w:val="24"/>
          <w:szCs w:val="24"/>
          <w:lang w:val="en-US"/>
        </w:rPr>
        <w:tab/>
      </w:r>
      <w:r w:rsidR="00953B87">
        <w:rPr>
          <w:rFonts w:ascii="Garamond" w:hAnsi="Garamond"/>
          <w:sz w:val="24"/>
          <w:szCs w:val="24"/>
          <w:lang w:val="en-US"/>
        </w:rPr>
        <w:t>Next, w</w:t>
      </w:r>
      <w:r w:rsidR="002E0EB2" w:rsidRPr="00D06F2B">
        <w:rPr>
          <w:rFonts w:ascii="Garamond" w:hAnsi="Garamond"/>
          <w:sz w:val="24"/>
          <w:szCs w:val="24"/>
          <w:lang w:val="en-US"/>
        </w:rPr>
        <w:t>e examine</w:t>
      </w:r>
      <w:r w:rsidRPr="00D06F2B">
        <w:rPr>
          <w:rFonts w:ascii="Garamond" w:hAnsi="Garamond"/>
          <w:sz w:val="24"/>
          <w:szCs w:val="24"/>
          <w:lang w:val="en-US"/>
        </w:rPr>
        <w:t xml:space="preserve"> if </w:t>
      </w:r>
      <w:r w:rsidR="00CB739F" w:rsidRPr="00D06F2B">
        <w:rPr>
          <w:rFonts w:ascii="Garamond" w:hAnsi="Garamond"/>
          <w:sz w:val="24"/>
          <w:szCs w:val="24"/>
          <w:lang w:val="en-US"/>
        </w:rPr>
        <w:t>forecast</w:t>
      </w:r>
      <w:r w:rsidRPr="00D06F2B">
        <w:rPr>
          <w:rFonts w:ascii="Garamond" w:hAnsi="Garamond"/>
          <w:sz w:val="24"/>
          <w:szCs w:val="24"/>
          <w:lang w:val="en-US"/>
        </w:rPr>
        <w:t xml:space="preserve"> revisions associate with significant</w:t>
      </w:r>
      <w:r w:rsidR="00340AF9" w:rsidRPr="00D06F2B">
        <w:rPr>
          <w:rFonts w:ascii="Garamond" w:hAnsi="Garamond"/>
          <w:sz w:val="24"/>
          <w:szCs w:val="24"/>
          <w:lang w:val="en-US"/>
        </w:rPr>
        <w:t xml:space="preserve"> institutional attention</w:t>
      </w:r>
      <w:r w:rsidR="002E0EB2" w:rsidRPr="00D06F2B">
        <w:rPr>
          <w:rFonts w:ascii="Garamond" w:hAnsi="Garamond"/>
          <w:sz w:val="24"/>
          <w:szCs w:val="24"/>
          <w:lang w:val="en-US"/>
        </w:rPr>
        <w:t xml:space="preserve"> as investors first need to become aware of information before they</w:t>
      </w:r>
      <w:r w:rsidR="006B1862" w:rsidRPr="00D06F2B">
        <w:rPr>
          <w:rFonts w:ascii="Garamond" w:hAnsi="Garamond"/>
          <w:sz w:val="24"/>
          <w:szCs w:val="24"/>
          <w:lang w:val="en-US"/>
        </w:rPr>
        <w:t xml:space="preserve"> would</w:t>
      </w:r>
      <w:r w:rsidR="002E0EB2" w:rsidRPr="00D06F2B">
        <w:rPr>
          <w:rFonts w:ascii="Garamond" w:hAnsi="Garamond"/>
          <w:sz w:val="24"/>
          <w:szCs w:val="24"/>
          <w:lang w:val="en-US"/>
        </w:rPr>
        <w:t xml:space="preserve"> trade on it. For this test,</w:t>
      </w:r>
      <w:r w:rsidR="00340AF9" w:rsidRPr="00D06F2B">
        <w:rPr>
          <w:rFonts w:ascii="Garamond" w:hAnsi="Garamond"/>
          <w:sz w:val="24"/>
          <w:szCs w:val="24"/>
          <w:lang w:val="en-US"/>
        </w:rPr>
        <w:t xml:space="preserve"> we use the Bloomberg’s News Heat Average Readership Score, which captures firm-specific search</w:t>
      </w:r>
      <w:r w:rsidR="002E0EB2" w:rsidRPr="00D06F2B">
        <w:rPr>
          <w:rFonts w:ascii="Garamond" w:hAnsi="Garamond"/>
          <w:sz w:val="24"/>
          <w:szCs w:val="24"/>
          <w:lang w:val="en-US"/>
        </w:rPr>
        <w:t xml:space="preserve"> </w:t>
      </w:r>
      <w:r w:rsidR="00340AF9" w:rsidRPr="00D06F2B">
        <w:rPr>
          <w:rFonts w:ascii="Garamond" w:hAnsi="Garamond"/>
          <w:sz w:val="24"/>
          <w:szCs w:val="24"/>
          <w:lang w:val="en-US"/>
        </w:rPr>
        <w:t xml:space="preserve">activity on Bloomberg terminals. </w:t>
      </w:r>
      <w:proofErr w:type="spellStart"/>
      <w:r w:rsidR="00340AF9" w:rsidRPr="00D06F2B">
        <w:rPr>
          <w:rFonts w:ascii="Garamond" w:hAnsi="Garamond"/>
          <w:sz w:val="24"/>
          <w:szCs w:val="24"/>
          <w:lang w:val="en-US"/>
        </w:rPr>
        <w:t>BenRephael</w:t>
      </w:r>
      <w:proofErr w:type="spellEnd"/>
      <w:r w:rsidR="00340AF9" w:rsidRPr="00D06F2B">
        <w:rPr>
          <w:rFonts w:ascii="Garamond" w:hAnsi="Garamond"/>
          <w:sz w:val="24"/>
          <w:szCs w:val="24"/>
          <w:lang w:val="en-US"/>
        </w:rPr>
        <w:t xml:space="preserve"> et al. (2017) highlight that </w:t>
      </w:r>
      <w:r w:rsidR="00340AF9" w:rsidRPr="00D06F2B">
        <w:rPr>
          <w:rFonts w:ascii="Garamond" w:hAnsi="Garamond"/>
          <w:sz w:val="24"/>
          <w:szCs w:val="24"/>
        </w:rPr>
        <w:t>Bloomberg aggregates users’ news search</w:t>
      </w:r>
      <w:r w:rsidR="00953B87">
        <w:rPr>
          <w:rFonts w:ascii="Garamond" w:hAnsi="Garamond"/>
          <w:sz w:val="24"/>
          <w:szCs w:val="24"/>
        </w:rPr>
        <w:t xml:space="preserve"> and</w:t>
      </w:r>
      <w:r w:rsidR="00340AF9" w:rsidRPr="00D06F2B">
        <w:rPr>
          <w:rFonts w:ascii="Garamond" w:hAnsi="Garamond"/>
          <w:sz w:val="24"/>
          <w:szCs w:val="24"/>
        </w:rPr>
        <w:t xml:space="preserve"> reading of news to create an investor attention score. The attention score, </w:t>
      </w:r>
      <w:r w:rsidR="00340AF9" w:rsidRPr="00D06F2B">
        <w:rPr>
          <w:rFonts w:ascii="Garamond" w:hAnsi="Garamond"/>
          <w:i/>
          <w:iCs/>
          <w:sz w:val="24"/>
          <w:szCs w:val="24"/>
        </w:rPr>
        <w:t>Attention</w:t>
      </w:r>
      <w:r w:rsidR="00340AF9" w:rsidRPr="00D06F2B">
        <w:rPr>
          <w:rFonts w:ascii="Garamond" w:hAnsi="Garamond"/>
          <w:sz w:val="24"/>
          <w:szCs w:val="24"/>
        </w:rPr>
        <w:t xml:space="preserve">, is calculated over a 32-hour period and is assigned a score ranging from 0-4 by comparing readership to the previous 30 days. A score of 0 indicates readership is less than 80% of the previous 30 days activity, scores 1, 2, 3, and 4 represent 80%, 90%, 94% and greater than 96% of the previous readership activity, respectively. </w:t>
      </w:r>
      <w:r w:rsidR="005C485C" w:rsidRPr="00D06F2B">
        <w:rPr>
          <w:rFonts w:ascii="Garamond" w:hAnsi="Garamond"/>
          <w:sz w:val="24"/>
          <w:szCs w:val="24"/>
        </w:rPr>
        <w:t>We measure attention on the analyst forecast revision day</w:t>
      </w:r>
      <w:r w:rsidR="00C04688" w:rsidRPr="00D06F2B">
        <w:rPr>
          <w:rFonts w:ascii="Garamond" w:hAnsi="Garamond"/>
          <w:sz w:val="24"/>
          <w:szCs w:val="24"/>
        </w:rPr>
        <w:t xml:space="preserve">. If the Bloomberg readership score is missing, we assign a value of 0. To distinguish cases with missing data from cases where readership is low, we create an indicator variable </w:t>
      </w:r>
      <w:r w:rsidR="00C04688" w:rsidRPr="00D06F2B">
        <w:rPr>
          <w:rFonts w:ascii="Garamond" w:hAnsi="Garamond"/>
          <w:i/>
          <w:iCs/>
          <w:sz w:val="24"/>
          <w:szCs w:val="24"/>
        </w:rPr>
        <w:t>Missing news dummy</w:t>
      </w:r>
      <w:r w:rsidR="00C04688" w:rsidRPr="00D06F2B">
        <w:rPr>
          <w:rFonts w:ascii="Garamond" w:hAnsi="Garamond"/>
          <w:sz w:val="24"/>
          <w:szCs w:val="24"/>
        </w:rPr>
        <w:t xml:space="preserve"> that takes a value of 1 if the Bloomberg readership score is missing and zero otherwise. We then </w:t>
      </w:r>
      <w:r w:rsidR="005C485C" w:rsidRPr="00D06F2B">
        <w:rPr>
          <w:rFonts w:ascii="Garamond" w:hAnsi="Garamond"/>
          <w:sz w:val="24"/>
          <w:szCs w:val="24"/>
        </w:rPr>
        <w:t xml:space="preserve">regress institutional attention measure on absolute forecasts revisions using the following model: </w:t>
      </w:r>
    </w:p>
    <w:tbl>
      <w:tblPr>
        <w:tblStyle w:val="TableGrid"/>
        <w:tblW w:w="95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0"/>
      </w:tblGrid>
      <w:tr w:rsidR="005C485C" w:rsidRPr="00D06F2B" w14:paraId="10CDF73C" w14:textId="77777777" w:rsidTr="00953B87">
        <w:trPr>
          <w:jc w:val="center"/>
        </w:trPr>
        <w:tc>
          <w:tcPr>
            <w:tcW w:w="9072" w:type="dxa"/>
          </w:tcPr>
          <w:p w14:paraId="3C8FA4BE" w14:textId="501F8B54" w:rsidR="005C485C" w:rsidRPr="00D06F2B" w:rsidRDefault="00A22DEC" w:rsidP="00E538B2">
            <w:pPr>
              <w:widowControl w:val="0"/>
              <w:spacing w:after="120" w:line="360" w:lineRule="auto"/>
              <w:ind w:left="591" w:right="-403" w:hanging="706"/>
              <w:rPr>
                <w:rFonts w:ascii="Garamond" w:hAnsi="Garamond"/>
                <w:lang w:val="en-US"/>
              </w:rPr>
            </w:pPr>
            <m:oMathPara>
              <m:oMath>
                <m:sSub>
                  <m:sSubPr>
                    <m:ctrlPr>
                      <w:rPr>
                        <w:rFonts w:ascii="Cambria Math" w:hAnsi="Cambria Math"/>
                        <w:i/>
                        <w:lang w:val="en-US"/>
                      </w:rPr>
                    </m:ctrlPr>
                  </m:sSubPr>
                  <m:e>
                    <m:r>
                      <w:rPr>
                        <w:rFonts w:ascii="Cambria Math" w:hAnsi="Cambria Math"/>
                        <w:lang w:val="en-US"/>
                      </w:rPr>
                      <m:t>Attention</m:t>
                    </m:r>
                  </m:e>
                  <m:sub>
                    <m:r>
                      <w:rPr>
                        <w:rFonts w:ascii="Cambria Math" w:hAnsi="Cambria Math"/>
                        <w:lang w:val="en-US"/>
                      </w:rPr>
                      <m:t>d</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d>
                  <m:dPr>
                    <m:begChr m:val="|"/>
                    <m:endChr m:val="|"/>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Δ</m:t>
                        </m:r>
                        <m:r>
                          <w:rPr>
                            <w:rFonts w:ascii="Cambria Math" w:hAnsi="Cambria Math"/>
                            <w:lang w:val="en-US"/>
                          </w:rPr>
                          <m:t>EPS</m:t>
                        </m:r>
                      </m:e>
                      <m:sub>
                        <m:r>
                          <w:rPr>
                            <w:rFonts w:ascii="Cambria Math" w:hAnsi="Cambria Math"/>
                            <w:lang w:val="en-US"/>
                          </w:rPr>
                          <m:t>d</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d>
                  <m:dPr>
                    <m:begChr m:val="|"/>
                    <m:endChr m:val="|"/>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Δ</m:t>
                        </m:r>
                        <m:r>
                          <w:rPr>
                            <w:rFonts w:ascii="Cambria Math" w:hAnsi="Cambria Math"/>
                            <w:lang w:val="en-US"/>
                          </w:rPr>
                          <m:t>SAL</m:t>
                        </m:r>
                      </m:e>
                      <m:sub>
                        <m:r>
                          <w:rPr>
                            <w:rFonts w:ascii="Cambria Math" w:hAnsi="Cambria Math"/>
                            <w:lang w:val="en-US"/>
                          </w:rPr>
                          <m:t>d</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d>
                  <m:dPr>
                    <m:begChr m:val="|"/>
                    <m:endChr m:val="|"/>
                    <m:ctrlPr>
                      <w:rPr>
                        <w:rFonts w:ascii="Cambria Math" w:hAnsi="Cambria Math"/>
                        <w:lang w:val="en-US"/>
                      </w:rPr>
                    </m:ctrlPr>
                  </m:dPr>
                  <m:e>
                    <m:r>
                      <m:rPr>
                        <m:sty m:val="p"/>
                      </m:rPr>
                      <w:rPr>
                        <w:rFonts w:ascii="Cambria Math" w:hAnsi="Cambria Math"/>
                        <w:lang w:val="en-US"/>
                      </w:rPr>
                      <m:t>Δ</m:t>
                    </m:r>
                    <m:sSub>
                      <m:sSubPr>
                        <m:ctrlPr>
                          <w:rPr>
                            <w:rFonts w:ascii="Cambria Math" w:hAnsi="Cambria Math"/>
                            <w:i/>
                            <w:lang w:val="en-US"/>
                          </w:rPr>
                        </m:ctrlPr>
                      </m:sSubPr>
                      <m:e>
                        <m:r>
                          <w:rPr>
                            <w:rFonts w:ascii="Cambria Math" w:hAnsi="Cambria Math"/>
                            <w:lang w:val="en-US"/>
                          </w:rPr>
                          <m:t>CPS</m:t>
                        </m:r>
                      </m:e>
                      <m:sub>
                        <m:r>
                          <w:rPr>
                            <w:rFonts w:ascii="Cambria Math" w:hAnsi="Cambria Math"/>
                            <w:lang w:val="en-US"/>
                          </w:rPr>
                          <m:t>d</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4</m:t>
                    </m:r>
                  </m:sub>
                </m:sSub>
                <m:d>
                  <m:dPr>
                    <m:begChr m:val="|"/>
                    <m:endChr m:val="|"/>
                    <m:ctrlPr>
                      <w:rPr>
                        <w:rFonts w:ascii="Cambria Math" w:hAnsi="Cambria Math"/>
                        <w:lang w:val="en-US"/>
                      </w:rPr>
                    </m:ctrlPr>
                  </m:dPr>
                  <m:e>
                    <m:r>
                      <m:rPr>
                        <m:sty m:val="p"/>
                      </m:rPr>
                      <w:rPr>
                        <w:rFonts w:ascii="Cambria Math" w:hAnsi="Cambria Math"/>
                        <w:lang w:val="en-US"/>
                      </w:rPr>
                      <m:t>Δ</m:t>
                    </m:r>
                    <m:sSub>
                      <m:sSubPr>
                        <m:ctrlPr>
                          <w:rPr>
                            <w:rFonts w:ascii="Cambria Math" w:hAnsi="Cambria Math"/>
                            <w:i/>
                            <w:lang w:val="en-US"/>
                          </w:rPr>
                        </m:ctrlPr>
                      </m:sSubPr>
                      <m:e>
                        <m:r>
                          <w:rPr>
                            <w:rFonts w:ascii="Cambria Math" w:hAnsi="Cambria Math"/>
                            <w:lang w:val="en-US"/>
                          </w:rPr>
                          <m:t>DPS</m:t>
                        </m:r>
                      </m:e>
                      <m:sub>
                        <m:r>
                          <w:rPr>
                            <w:rFonts w:ascii="Cambria Math" w:hAnsi="Cambria Math"/>
                            <w:lang w:val="en-US"/>
                          </w:rPr>
                          <m:t>d</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d>
                  <m:dPr>
                    <m:begChr m:val="|"/>
                    <m:endChr m:val="|"/>
                    <m:ctrlPr>
                      <w:rPr>
                        <w:rFonts w:ascii="Cambria Math" w:hAnsi="Cambria Math"/>
                        <w:lang w:val="en-US"/>
                      </w:rPr>
                    </m:ctrlPr>
                  </m:dPr>
                  <m:e>
                    <m:r>
                      <m:rPr>
                        <m:sty m:val="p"/>
                      </m:rPr>
                      <w:rPr>
                        <w:rFonts w:ascii="Cambria Math" w:hAnsi="Cambria Math"/>
                        <w:lang w:val="en-US"/>
                      </w:rPr>
                      <m:t>Δ</m:t>
                    </m:r>
                    <m:sSub>
                      <m:sSubPr>
                        <m:ctrlPr>
                          <w:rPr>
                            <w:rFonts w:ascii="Cambria Math" w:hAnsi="Cambria Math"/>
                            <w:i/>
                            <w:lang w:val="en-US"/>
                          </w:rPr>
                        </m:ctrlPr>
                      </m:sSubPr>
                      <m:e>
                        <m:r>
                          <w:rPr>
                            <w:rFonts w:ascii="Cambria Math" w:hAnsi="Cambria Math"/>
                            <w:lang w:val="en-US"/>
                          </w:rPr>
                          <m:t>REC</m:t>
                        </m:r>
                      </m:e>
                      <m:sub>
                        <m:r>
                          <w:rPr>
                            <w:rFonts w:ascii="Cambria Math" w:hAnsi="Cambria Math"/>
                            <w:lang w:val="en-US"/>
                          </w:rPr>
                          <m:t>d</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6</m:t>
                    </m:r>
                  </m:sub>
                </m:sSub>
                <m:d>
                  <m:dPr>
                    <m:begChr m:val="|"/>
                    <m:endChr m:val="|"/>
                    <m:ctrlPr>
                      <w:rPr>
                        <w:rFonts w:ascii="Cambria Math" w:hAnsi="Cambria Math"/>
                        <w:lang w:val="en-US"/>
                      </w:rPr>
                    </m:ctrlPr>
                  </m:dPr>
                  <m:e>
                    <m:r>
                      <m:rPr>
                        <m:sty m:val="p"/>
                      </m:rPr>
                      <w:rPr>
                        <w:rFonts w:ascii="Cambria Math" w:hAnsi="Cambria Math"/>
                        <w:lang w:val="en-US"/>
                      </w:rPr>
                      <m:t>Δ</m:t>
                    </m:r>
                    <m:sSub>
                      <m:sSubPr>
                        <m:ctrlPr>
                          <w:rPr>
                            <w:rFonts w:ascii="Cambria Math" w:hAnsi="Cambria Math"/>
                            <w:i/>
                            <w:lang w:val="en-US"/>
                          </w:rPr>
                        </m:ctrlPr>
                      </m:sSubPr>
                      <m:e>
                        <m:r>
                          <w:rPr>
                            <w:rFonts w:ascii="Cambria Math" w:hAnsi="Cambria Math"/>
                            <w:lang w:val="en-US"/>
                          </w:rPr>
                          <m:t>TP</m:t>
                        </m:r>
                      </m:e>
                      <m:sub>
                        <m:r>
                          <w:rPr>
                            <w:rFonts w:ascii="Cambria Math" w:hAnsi="Cambria Math"/>
                            <w:lang w:val="en-US"/>
                          </w:rPr>
                          <m:t>d</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7</m:t>
                    </m:r>
                  </m:sub>
                </m:sSub>
                <m:d>
                  <m:dPr>
                    <m:begChr m:val="|"/>
                    <m:endChr m:val="|"/>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Δ</m:t>
                        </m:r>
                        <m:r>
                          <w:rPr>
                            <w:rFonts w:ascii="Cambria Math" w:hAnsi="Cambria Math"/>
                            <w:lang w:val="en-US"/>
                          </w:rPr>
                          <m:t>EPS</m:t>
                        </m:r>
                      </m:e>
                      <m:sub>
                        <m:r>
                          <w:rPr>
                            <w:rFonts w:ascii="Cambria Math" w:hAnsi="Cambria Math"/>
                            <w:lang w:val="en-US"/>
                          </w:rPr>
                          <m:t>d</m:t>
                        </m:r>
                      </m:sub>
                    </m:sSub>
                  </m:e>
                </m:d>
                <m:r>
                  <w:rPr>
                    <w:rFonts w:ascii="Cambria Math" w:hAnsi="Cambria Math"/>
                    <w:lang w:val="en-US"/>
                  </w:rPr>
                  <m:t>×Covid+</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8</m:t>
                    </m:r>
                  </m:sub>
                </m:sSub>
                <m:d>
                  <m:dPr>
                    <m:begChr m:val="|"/>
                    <m:endChr m:val="|"/>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Δ</m:t>
                        </m:r>
                        <m:r>
                          <w:rPr>
                            <w:rFonts w:ascii="Cambria Math" w:hAnsi="Cambria Math"/>
                            <w:lang w:val="en-US"/>
                          </w:rPr>
                          <m:t>SAL</m:t>
                        </m:r>
                      </m:e>
                      <m:sub>
                        <m:r>
                          <w:rPr>
                            <w:rFonts w:ascii="Cambria Math" w:hAnsi="Cambria Math"/>
                            <w:lang w:val="en-US"/>
                          </w:rPr>
                          <m:t>d</m:t>
                        </m:r>
                      </m:sub>
                    </m:sSub>
                  </m:e>
                </m:d>
                <m:r>
                  <w:rPr>
                    <w:rFonts w:ascii="Cambria Math" w:hAnsi="Cambria Math"/>
                    <w:lang w:val="en-US"/>
                  </w:rPr>
                  <m:t>×Covid+</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9</m:t>
                    </m:r>
                  </m:sub>
                </m:sSub>
                <m:d>
                  <m:dPr>
                    <m:begChr m:val="|"/>
                    <m:endChr m:val="|"/>
                    <m:ctrlPr>
                      <w:rPr>
                        <w:rFonts w:ascii="Cambria Math" w:hAnsi="Cambria Math"/>
                        <w:lang w:val="en-US"/>
                      </w:rPr>
                    </m:ctrlPr>
                  </m:dPr>
                  <m:e>
                    <m:r>
                      <m:rPr>
                        <m:sty m:val="p"/>
                      </m:rPr>
                      <w:rPr>
                        <w:rFonts w:ascii="Cambria Math" w:hAnsi="Cambria Math"/>
                        <w:lang w:val="en-US"/>
                      </w:rPr>
                      <m:t>Δ</m:t>
                    </m:r>
                    <m:sSub>
                      <m:sSubPr>
                        <m:ctrlPr>
                          <w:rPr>
                            <w:rFonts w:ascii="Cambria Math" w:hAnsi="Cambria Math"/>
                            <w:i/>
                            <w:lang w:val="en-US"/>
                          </w:rPr>
                        </m:ctrlPr>
                      </m:sSubPr>
                      <m:e>
                        <m:r>
                          <w:rPr>
                            <w:rFonts w:ascii="Cambria Math" w:hAnsi="Cambria Math"/>
                            <w:lang w:val="en-US"/>
                          </w:rPr>
                          <m:t>CPS</m:t>
                        </m:r>
                      </m:e>
                      <m:sub>
                        <m:r>
                          <w:rPr>
                            <w:rFonts w:ascii="Cambria Math" w:hAnsi="Cambria Math"/>
                            <w:lang w:val="en-US"/>
                          </w:rPr>
                          <m:t>d</m:t>
                        </m:r>
                      </m:sub>
                    </m:sSub>
                  </m:e>
                </m:d>
                <m:r>
                  <w:rPr>
                    <w:rFonts w:ascii="Cambria Math" w:hAnsi="Cambria Math"/>
                    <w:lang w:val="en-US"/>
                  </w:rPr>
                  <m:t>×Covid+</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10</m:t>
                    </m:r>
                  </m:sub>
                </m:sSub>
                <m:d>
                  <m:dPr>
                    <m:begChr m:val="|"/>
                    <m:endChr m:val="|"/>
                    <m:ctrlPr>
                      <w:rPr>
                        <w:rFonts w:ascii="Cambria Math" w:hAnsi="Cambria Math"/>
                        <w:lang w:val="en-US"/>
                      </w:rPr>
                    </m:ctrlPr>
                  </m:dPr>
                  <m:e>
                    <m:r>
                      <m:rPr>
                        <m:sty m:val="p"/>
                      </m:rPr>
                      <w:rPr>
                        <w:rFonts w:ascii="Cambria Math" w:hAnsi="Cambria Math"/>
                        <w:lang w:val="en-US"/>
                      </w:rPr>
                      <m:t>Δ</m:t>
                    </m:r>
                    <m:sSub>
                      <m:sSubPr>
                        <m:ctrlPr>
                          <w:rPr>
                            <w:rFonts w:ascii="Cambria Math" w:hAnsi="Cambria Math"/>
                            <w:i/>
                            <w:lang w:val="en-US"/>
                          </w:rPr>
                        </m:ctrlPr>
                      </m:sSubPr>
                      <m:e>
                        <m:r>
                          <w:rPr>
                            <w:rFonts w:ascii="Cambria Math" w:hAnsi="Cambria Math"/>
                            <w:lang w:val="en-US"/>
                          </w:rPr>
                          <m:t>DPS</m:t>
                        </m:r>
                      </m:e>
                      <m:sub>
                        <m:r>
                          <w:rPr>
                            <w:rFonts w:ascii="Cambria Math" w:hAnsi="Cambria Math"/>
                            <w:lang w:val="en-US"/>
                          </w:rPr>
                          <m:t>d</m:t>
                        </m:r>
                      </m:sub>
                    </m:sSub>
                  </m:e>
                </m:d>
                <m:r>
                  <w:rPr>
                    <w:rFonts w:ascii="Cambria Math" w:hAnsi="Cambria Math"/>
                    <w:lang w:val="en-US"/>
                  </w:rPr>
                  <m:t>×Covid+</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11</m:t>
                    </m:r>
                  </m:sub>
                </m:sSub>
                <m:d>
                  <m:dPr>
                    <m:begChr m:val="|"/>
                    <m:endChr m:val="|"/>
                    <m:ctrlPr>
                      <w:rPr>
                        <w:rFonts w:ascii="Cambria Math" w:hAnsi="Cambria Math"/>
                        <w:lang w:val="en-US"/>
                      </w:rPr>
                    </m:ctrlPr>
                  </m:dPr>
                  <m:e>
                    <m:r>
                      <m:rPr>
                        <m:sty m:val="p"/>
                      </m:rPr>
                      <w:rPr>
                        <w:rFonts w:ascii="Cambria Math" w:hAnsi="Cambria Math"/>
                        <w:lang w:val="en-US"/>
                      </w:rPr>
                      <m:t>Δ</m:t>
                    </m:r>
                    <m:sSub>
                      <m:sSubPr>
                        <m:ctrlPr>
                          <w:rPr>
                            <w:rFonts w:ascii="Cambria Math" w:hAnsi="Cambria Math"/>
                            <w:i/>
                            <w:lang w:val="en-US"/>
                          </w:rPr>
                        </m:ctrlPr>
                      </m:sSubPr>
                      <m:e>
                        <m:r>
                          <w:rPr>
                            <w:rFonts w:ascii="Cambria Math" w:hAnsi="Cambria Math"/>
                            <w:lang w:val="en-US"/>
                          </w:rPr>
                          <m:t>REC</m:t>
                        </m:r>
                      </m:e>
                      <m:sub>
                        <m:r>
                          <w:rPr>
                            <w:rFonts w:ascii="Cambria Math" w:hAnsi="Cambria Math"/>
                            <w:lang w:val="en-US"/>
                          </w:rPr>
                          <m:t>d</m:t>
                        </m:r>
                      </m:sub>
                    </m:sSub>
                  </m:e>
                </m:d>
                <m:r>
                  <w:rPr>
                    <w:rFonts w:ascii="Cambria Math" w:hAnsi="Cambria Math"/>
                    <w:lang w:val="en-US"/>
                  </w:rPr>
                  <m:t>×Covid+</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12</m:t>
                    </m:r>
                  </m:sub>
                </m:sSub>
                <m:d>
                  <m:dPr>
                    <m:begChr m:val="|"/>
                    <m:endChr m:val="|"/>
                    <m:ctrlPr>
                      <w:rPr>
                        <w:rFonts w:ascii="Cambria Math" w:hAnsi="Cambria Math"/>
                        <w:lang w:val="en-US"/>
                      </w:rPr>
                    </m:ctrlPr>
                  </m:dPr>
                  <m:e>
                    <m:r>
                      <m:rPr>
                        <m:sty m:val="p"/>
                      </m:rPr>
                      <w:rPr>
                        <w:rFonts w:ascii="Cambria Math" w:hAnsi="Cambria Math"/>
                        <w:lang w:val="en-US"/>
                      </w:rPr>
                      <m:t>Δ</m:t>
                    </m:r>
                    <m:sSub>
                      <m:sSubPr>
                        <m:ctrlPr>
                          <w:rPr>
                            <w:rFonts w:ascii="Cambria Math" w:hAnsi="Cambria Math"/>
                            <w:i/>
                            <w:lang w:val="en-US"/>
                          </w:rPr>
                        </m:ctrlPr>
                      </m:sSubPr>
                      <m:e>
                        <m:r>
                          <w:rPr>
                            <w:rFonts w:ascii="Cambria Math" w:hAnsi="Cambria Math"/>
                            <w:lang w:val="en-US"/>
                          </w:rPr>
                          <m:t>TP</m:t>
                        </m:r>
                      </m:e>
                      <m:sub>
                        <m:r>
                          <w:rPr>
                            <w:rFonts w:ascii="Cambria Math" w:hAnsi="Cambria Math"/>
                            <w:lang w:val="en-US"/>
                          </w:rPr>
                          <m:t>d</m:t>
                        </m:r>
                      </m:sub>
                    </m:sSub>
                  </m:e>
                </m:d>
                <m:r>
                  <w:rPr>
                    <w:rFonts w:ascii="Cambria Math" w:hAnsi="Cambria Math"/>
                    <w:lang w:val="en-US"/>
                  </w:rPr>
                  <m:t>×Covid+Missing news dummy+Firm/Year/Quarter effects+ξ.</m:t>
                </m:r>
              </m:oMath>
            </m:oMathPara>
          </w:p>
        </w:tc>
        <w:tc>
          <w:tcPr>
            <w:tcW w:w="500" w:type="dxa"/>
            <w:vAlign w:val="center"/>
          </w:tcPr>
          <w:p w14:paraId="6DAFEAC2" w14:textId="77777777" w:rsidR="005C485C" w:rsidRPr="00D06F2B" w:rsidRDefault="005C485C" w:rsidP="00E538B2">
            <w:pPr>
              <w:widowControl w:val="0"/>
              <w:spacing w:line="480" w:lineRule="auto"/>
              <w:rPr>
                <w:rFonts w:ascii="Garamond" w:hAnsi="Garamond"/>
                <w:lang w:val="en-US"/>
              </w:rPr>
            </w:pPr>
            <w:r w:rsidRPr="00D06F2B">
              <w:rPr>
                <w:rFonts w:ascii="Garamond" w:hAnsi="Garamond"/>
                <w:lang w:val="en-US"/>
              </w:rPr>
              <w:t>(3)</w:t>
            </w:r>
          </w:p>
        </w:tc>
      </w:tr>
    </w:tbl>
    <w:p w14:paraId="39EC62BB" w14:textId="314D3752" w:rsidR="005C485C" w:rsidRPr="00D06F2B" w:rsidRDefault="005C485C" w:rsidP="005C485C">
      <w:pPr>
        <w:widowControl w:val="0"/>
        <w:spacing w:after="0" w:line="480" w:lineRule="auto"/>
        <w:rPr>
          <w:rFonts w:ascii="Garamond" w:hAnsi="Garamond"/>
          <w:sz w:val="24"/>
          <w:szCs w:val="24"/>
        </w:rPr>
      </w:pPr>
      <w:r w:rsidRPr="00D06F2B">
        <w:rPr>
          <w:rFonts w:ascii="Garamond" w:hAnsi="Garamond"/>
          <w:sz w:val="24"/>
          <w:szCs w:val="24"/>
          <w:lang w:val="en-US"/>
        </w:rPr>
        <w:t>We omit</w:t>
      </w:r>
      <w:r w:rsidR="00953B87">
        <w:rPr>
          <w:rFonts w:ascii="Garamond" w:hAnsi="Garamond"/>
          <w:sz w:val="24"/>
          <w:szCs w:val="24"/>
          <w:lang w:val="en-US"/>
        </w:rPr>
        <w:t xml:space="preserve"> analyst and firm</w:t>
      </w:r>
      <w:r w:rsidRPr="00D06F2B">
        <w:rPr>
          <w:rFonts w:ascii="Garamond" w:hAnsi="Garamond"/>
          <w:sz w:val="24"/>
          <w:szCs w:val="24"/>
          <w:lang w:val="en-US"/>
        </w:rPr>
        <w:t xml:space="preserve"> subscripts in equation (3) for brevity. Δ</w:t>
      </w:r>
      <w:r w:rsidRPr="00D06F2B">
        <w:rPr>
          <w:rFonts w:ascii="Garamond" w:hAnsi="Garamond"/>
          <w:i/>
          <w:sz w:val="24"/>
          <w:szCs w:val="24"/>
          <w:lang w:val="en-US"/>
        </w:rPr>
        <w:t>EPS</w:t>
      </w:r>
      <w:r w:rsidRPr="00D06F2B">
        <w:rPr>
          <w:rFonts w:ascii="Garamond" w:hAnsi="Garamond"/>
          <w:sz w:val="24"/>
          <w:szCs w:val="24"/>
          <w:lang w:val="en-US"/>
        </w:rPr>
        <w:t xml:space="preserve"> is the EPS forecast revision, Δ</w:t>
      </w:r>
      <w:r w:rsidRPr="00D06F2B">
        <w:rPr>
          <w:rFonts w:ascii="Garamond" w:hAnsi="Garamond"/>
          <w:i/>
          <w:sz w:val="24"/>
          <w:szCs w:val="24"/>
          <w:lang w:val="en-US"/>
        </w:rPr>
        <w:t>SAL</w:t>
      </w:r>
      <w:r w:rsidRPr="00D06F2B">
        <w:rPr>
          <w:rFonts w:ascii="Garamond" w:hAnsi="Garamond"/>
          <w:sz w:val="24"/>
          <w:szCs w:val="24"/>
          <w:lang w:val="en-US"/>
        </w:rPr>
        <w:t xml:space="preserve"> is the revenue forecast revision, Δ</w:t>
      </w:r>
      <w:r w:rsidRPr="00D06F2B">
        <w:rPr>
          <w:rFonts w:ascii="Garamond" w:hAnsi="Garamond"/>
          <w:i/>
          <w:sz w:val="24"/>
          <w:szCs w:val="24"/>
          <w:lang w:val="en-US"/>
        </w:rPr>
        <w:t>CPS</w:t>
      </w:r>
      <w:r w:rsidRPr="00D06F2B">
        <w:rPr>
          <w:rFonts w:ascii="Garamond" w:hAnsi="Garamond"/>
          <w:sz w:val="24"/>
          <w:szCs w:val="24"/>
          <w:lang w:val="en-US"/>
        </w:rPr>
        <w:t xml:space="preserve"> the cash flow forecast revision, Δ</w:t>
      </w:r>
      <w:r w:rsidRPr="00D06F2B">
        <w:rPr>
          <w:rFonts w:ascii="Garamond" w:hAnsi="Garamond"/>
          <w:i/>
          <w:sz w:val="24"/>
          <w:szCs w:val="24"/>
          <w:lang w:val="en-US"/>
        </w:rPr>
        <w:t>DPS</w:t>
      </w:r>
      <w:r w:rsidRPr="00D06F2B">
        <w:rPr>
          <w:rFonts w:ascii="Garamond" w:hAnsi="Garamond"/>
          <w:sz w:val="24"/>
          <w:szCs w:val="24"/>
          <w:lang w:val="en-US"/>
        </w:rPr>
        <w:t xml:space="preserve"> is the dividend forecast revision, Δ</w:t>
      </w:r>
      <w:r w:rsidRPr="00D06F2B">
        <w:rPr>
          <w:rFonts w:ascii="Garamond" w:hAnsi="Garamond"/>
          <w:i/>
          <w:sz w:val="24"/>
          <w:szCs w:val="24"/>
          <w:lang w:val="en-US"/>
        </w:rPr>
        <w:t>REC</w:t>
      </w:r>
      <w:r w:rsidRPr="00D06F2B">
        <w:rPr>
          <w:rFonts w:ascii="Garamond" w:hAnsi="Garamond"/>
          <w:sz w:val="24"/>
          <w:szCs w:val="24"/>
          <w:lang w:val="en-US"/>
        </w:rPr>
        <w:t xml:space="preserve"> the stock recommendation revisions, and Δ</w:t>
      </w:r>
      <w:r w:rsidRPr="00D06F2B">
        <w:rPr>
          <w:rFonts w:ascii="Garamond" w:hAnsi="Garamond"/>
          <w:i/>
          <w:sz w:val="24"/>
          <w:szCs w:val="24"/>
          <w:lang w:val="en-US"/>
        </w:rPr>
        <w:t xml:space="preserve">TP </w:t>
      </w:r>
      <w:r w:rsidRPr="00D06F2B">
        <w:rPr>
          <w:rFonts w:ascii="Garamond" w:hAnsi="Garamond"/>
          <w:sz w:val="24"/>
          <w:szCs w:val="24"/>
          <w:lang w:val="en-US"/>
        </w:rPr>
        <w:t>the target price revision. We use absolute values</w:t>
      </w:r>
      <w:r w:rsidR="002A459A">
        <w:rPr>
          <w:rFonts w:ascii="Garamond" w:hAnsi="Garamond"/>
          <w:sz w:val="24"/>
          <w:szCs w:val="24"/>
          <w:lang w:val="en-US"/>
        </w:rPr>
        <w:t xml:space="preserve"> of revisions</w:t>
      </w:r>
      <w:r w:rsidRPr="00D06F2B">
        <w:rPr>
          <w:rFonts w:ascii="Garamond" w:hAnsi="Garamond"/>
          <w:sz w:val="24"/>
          <w:szCs w:val="24"/>
          <w:lang w:val="en-US"/>
        </w:rPr>
        <w:t xml:space="preserve"> as we expect analyst revisions</w:t>
      </w:r>
      <w:r w:rsidR="002A459A">
        <w:rPr>
          <w:rFonts w:ascii="Garamond" w:hAnsi="Garamond"/>
          <w:sz w:val="24"/>
          <w:szCs w:val="24"/>
          <w:lang w:val="en-US"/>
        </w:rPr>
        <w:t xml:space="preserve"> to</w:t>
      </w:r>
      <w:r w:rsidRPr="00D06F2B">
        <w:rPr>
          <w:rFonts w:ascii="Garamond" w:hAnsi="Garamond"/>
          <w:sz w:val="24"/>
          <w:szCs w:val="24"/>
          <w:lang w:val="en-US"/>
        </w:rPr>
        <w:t xml:space="preserve"> spur investor attention independently of whether revisions are positive or negative.</w:t>
      </w:r>
      <w:r w:rsidR="00010052" w:rsidRPr="00D06F2B">
        <w:rPr>
          <w:rFonts w:ascii="Garamond" w:hAnsi="Garamond"/>
          <w:sz w:val="24"/>
          <w:szCs w:val="24"/>
          <w:lang w:val="en-US"/>
        </w:rPr>
        <w:t xml:space="preserve"> </w:t>
      </w:r>
      <w:r w:rsidR="006C3964">
        <w:rPr>
          <w:rFonts w:ascii="Garamond" w:hAnsi="Garamond"/>
          <w:sz w:val="24"/>
          <w:szCs w:val="24"/>
          <w:lang w:val="en-US"/>
        </w:rPr>
        <w:t>To</w:t>
      </w:r>
      <w:r w:rsidR="00010052" w:rsidRPr="00D06F2B">
        <w:rPr>
          <w:rFonts w:ascii="Garamond" w:hAnsi="Garamond"/>
          <w:sz w:val="24"/>
          <w:szCs w:val="24"/>
          <w:lang w:val="en-US"/>
        </w:rPr>
        <w:t xml:space="preserve"> make economic magnitudes </w:t>
      </w:r>
      <w:r w:rsidR="006C3964">
        <w:rPr>
          <w:rFonts w:ascii="Garamond" w:hAnsi="Garamond"/>
          <w:sz w:val="24"/>
          <w:szCs w:val="24"/>
          <w:lang w:val="en-US"/>
        </w:rPr>
        <w:t xml:space="preserve">of coefficients </w:t>
      </w:r>
      <w:r w:rsidR="00010052" w:rsidRPr="00D06F2B">
        <w:rPr>
          <w:rFonts w:ascii="Garamond" w:hAnsi="Garamond"/>
          <w:sz w:val="24"/>
          <w:szCs w:val="24"/>
          <w:lang w:val="en-US"/>
        </w:rPr>
        <w:t>comparable between variables, we standardize all revisions to a mean of zero and unit standard deviation.</w:t>
      </w:r>
      <w:r w:rsidR="00D245D3" w:rsidRPr="00D06F2B">
        <w:rPr>
          <w:rStyle w:val="FootnoteReference"/>
          <w:rFonts w:ascii="Garamond" w:hAnsi="Garamond"/>
          <w:sz w:val="24"/>
          <w:szCs w:val="24"/>
          <w:lang w:val="en-US"/>
        </w:rPr>
        <w:footnoteReference w:id="12"/>
      </w:r>
      <w:r w:rsidR="00010052" w:rsidRPr="00D06F2B">
        <w:rPr>
          <w:rFonts w:ascii="Garamond" w:hAnsi="Garamond"/>
          <w:sz w:val="24"/>
          <w:szCs w:val="24"/>
          <w:lang w:val="en-US"/>
        </w:rPr>
        <w:t xml:space="preserve"> </w:t>
      </w:r>
      <w:r w:rsidRPr="00D06F2B">
        <w:rPr>
          <w:rFonts w:ascii="Garamond" w:hAnsi="Garamond"/>
          <w:sz w:val="24"/>
          <w:szCs w:val="24"/>
          <w:lang w:val="en-US"/>
        </w:rPr>
        <w:t xml:space="preserve">To capture incremental price effects during the pandemic, we interact the revisions with an indicator variable, </w:t>
      </w:r>
      <w:proofErr w:type="spellStart"/>
      <w:r w:rsidRPr="00D06F2B">
        <w:rPr>
          <w:rFonts w:ascii="Garamond" w:hAnsi="Garamond"/>
          <w:i/>
          <w:iCs/>
          <w:sz w:val="24"/>
          <w:szCs w:val="24"/>
          <w:lang w:val="en-US"/>
        </w:rPr>
        <w:t>Covid</w:t>
      </w:r>
      <w:proofErr w:type="spellEnd"/>
      <w:r w:rsidRPr="00D06F2B">
        <w:rPr>
          <w:rFonts w:ascii="Garamond" w:hAnsi="Garamond"/>
          <w:sz w:val="24"/>
          <w:szCs w:val="24"/>
          <w:lang w:val="en-US"/>
        </w:rPr>
        <w:t>, that takes a value of one during 2020 and zero otherwise.</w:t>
      </w:r>
      <w:r w:rsidRPr="00D06F2B">
        <w:rPr>
          <w:rStyle w:val="FootnoteReference"/>
          <w:rFonts w:ascii="Garamond" w:hAnsi="Garamond"/>
          <w:sz w:val="24"/>
          <w:szCs w:val="24"/>
          <w:lang w:val="en-US"/>
        </w:rPr>
        <w:footnoteReference w:id="13"/>
      </w:r>
      <w:r w:rsidRPr="00D06F2B">
        <w:rPr>
          <w:rFonts w:ascii="Garamond" w:hAnsi="Garamond"/>
          <w:sz w:val="24"/>
          <w:szCs w:val="24"/>
          <w:lang w:val="en-US"/>
        </w:rPr>
        <w:t xml:space="preserve"> Similar to earlier research, e.g. Keung (2010), we assume a zero revision for a forecast not revised jointly with the earnings estimate on day </w:t>
      </w:r>
      <w:r w:rsidRPr="00D06F2B">
        <w:rPr>
          <w:rFonts w:ascii="Garamond" w:hAnsi="Garamond"/>
          <w:i/>
          <w:iCs/>
          <w:sz w:val="24"/>
          <w:szCs w:val="24"/>
          <w:lang w:val="en-US"/>
        </w:rPr>
        <w:t>d</w:t>
      </w:r>
      <w:r w:rsidRPr="00D06F2B">
        <w:rPr>
          <w:rFonts w:ascii="Garamond" w:hAnsi="Garamond"/>
          <w:sz w:val="24"/>
          <w:szCs w:val="24"/>
          <w:lang w:val="en-US"/>
        </w:rPr>
        <w:t xml:space="preserve">. The regression controls for firm-, </w:t>
      </w:r>
      <w:r w:rsidR="009865F4" w:rsidRPr="00D06F2B">
        <w:rPr>
          <w:rFonts w:ascii="Garamond" w:hAnsi="Garamond"/>
          <w:sz w:val="24"/>
          <w:szCs w:val="24"/>
          <w:lang w:val="en-US"/>
        </w:rPr>
        <w:t xml:space="preserve">calendar </w:t>
      </w:r>
      <w:r w:rsidRPr="00D06F2B">
        <w:rPr>
          <w:rFonts w:ascii="Garamond" w:hAnsi="Garamond"/>
          <w:sz w:val="24"/>
          <w:szCs w:val="24"/>
          <w:lang w:val="en-US"/>
        </w:rPr>
        <w:t>year- and</w:t>
      </w:r>
      <w:r w:rsidR="009865F4" w:rsidRPr="00D06F2B">
        <w:rPr>
          <w:rFonts w:ascii="Garamond" w:hAnsi="Garamond"/>
          <w:sz w:val="24"/>
          <w:szCs w:val="24"/>
          <w:lang w:val="en-US"/>
        </w:rPr>
        <w:t xml:space="preserve"> calendar</w:t>
      </w:r>
      <w:r w:rsidRPr="00D06F2B">
        <w:rPr>
          <w:rFonts w:ascii="Garamond" w:hAnsi="Garamond"/>
          <w:sz w:val="24"/>
          <w:szCs w:val="24"/>
          <w:lang w:val="en-US"/>
        </w:rPr>
        <w:t xml:space="preserve"> quarte</w:t>
      </w:r>
      <w:r w:rsidR="009865F4" w:rsidRPr="00D06F2B">
        <w:rPr>
          <w:rFonts w:ascii="Garamond" w:hAnsi="Garamond"/>
          <w:sz w:val="24"/>
          <w:szCs w:val="24"/>
          <w:lang w:val="en-US"/>
        </w:rPr>
        <w:t>r</w:t>
      </w:r>
      <w:r w:rsidRPr="00D06F2B">
        <w:rPr>
          <w:rFonts w:ascii="Garamond" w:hAnsi="Garamond"/>
          <w:sz w:val="24"/>
          <w:szCs w:val="24"/>
          <w:lang w:val="en-US"/>
        </w:rPr>
        <w:t xml:space="preserve">-fixed effects and </w:t>
      </w:r>
      <m:oMath>
        <m:r>
          <w:rPr>
            <w:rFonts w:ascii="Cambria Math" w:hAnsi="Cambria Math"/>
            <w:sz w:val="24"/>
            <w:szCs w:val="24"/>
            <w:lang w:val="en-US"/>
          </w:rPr>
          <m:t>ξ</m:t>
        </m:r>
      </m:oMath>
      <w:r w:rsidRPr="00D06F2B">
        <w:rPr>
          <w:rFonts w:ascii="Garamond" w:eastAsiaTheme="minorEastAsia" w:hAnsi="Garamond"/>
          <w:sz w:val="24"/>
          <w:szCs w:val="24"/>
          <w:lang w:val="en-US"/>
        </w:rPr>
        <w:t xml:space="preserve"> is the error term</w:t>
      </w:r>
      <w:r w:rsidRPr="00D06F2B">
        <w:rPr>
          <w:rFonts w:ascii="Garamond" w:hAnsi="Garamond"/>
          <w:sz w:val="24"/>
          <w:szCs w:val="24"/>
          <w:lang w:val="en-US"/>
        </w:rPr>
        <w:t xml:space="preserve">. </w:t>
      </w:r>
      <w:r w:rsidR="008D62D2" w:rsidRPr="00D06F2B">
        <w:rPr>
          <w:rFonts w:ascii="Garamond" w:hAnsi="Garamond"/>
          <w:sz w:val="24"/>
          <w:szCs w:val="24"/>
          <w:lang w:val="en-US"/>
        </w:rPr>
        <w:t xml:space="preserve">To avoid confounding effects, we exclude a three-day window centered on the quarterly earnings announcements. </w:t>
      </w:r>
      <w:r w:rsidRPr="00D06F2B">
        <w:rPr>
          <w:rFonts w:ascii="Garamond" w:hAnsi="Garamond"/>
          <w:sz w:val="24"/>
          <w:szCs w:val="24"/>
        </w:rPr>
        <w:t xml:space="preserve">Zhang (2008) and </w:t>
      </w:r>
      <w:proofErr w:type="spellStart"/>
      <w:r w:rsidRPr="00D06F2B">
        <w:rPr>
          <w:rFonts w:ascii="Garamond" w:hAnsi="Garamond"/>
          <w:sz w:val="24"/>
          <w:szCs w:val="24"/>
        </w:rPr>
        <w:t>Altinkilic</w:t>
      </w:r>
      <w:proofErr w:type="spellEnd"/>
      <w:r w:rsidRPr="00D06F2B">
        <w:rPr>
          <w:rFonts w:ascii="Garamond" w:hAnsi="Garamond"/>
          <w:sz w:val="24"/>
          <w:szCs w:val="24"/>
        </w:rPr>
        <w:t xml:space="preserve"> and Hansen (2009) highlight that analysts revise their forecasts shortly after quarterly earnings announcements. </w:t>
      </w:r>
    </w:p>
    <w:p w14:paraId="49139D84" w14:textId="66728AD1" w:rsidR="00176496" w:rsidRPr="00D06F2B" w:rsidRDefault="00FD1F72" w:rsidP="009D3EB2">
      <w:pPr>
        <w:widowControl w:val="0"/>
        <w:spacing w:after="0" w:line="480" w:lineRule="auto"/>
        <w:rPr>
          <w:rFonts w:ascii="Garamond" w:hAnsi="Garamond"/>
          <w:sz w:val="24"/>
          <w:szCs w:val="24"/>
          <w:lang w:val="en-US"/>
        </w:rPr>
      </w:pPr>
      <w:r w:rsidRPr="00D06F2B">
        <w:rPr>
          <w:rFonts w:ascii="Garamond" w:hAnsi="Garamond"/>
          <w:sz w:val="24"/>
          <w:szCs w:val="24"/>
          <w:lang w:val="en-US"/>
        </w:rPr>
        <w:tab/>
        <w:t>The standard measure of forecast informativeness is the price reaction. To test if investors react more strongly to revisions in analyst forecasts during the pandemic, we</w:t>
      </w:r>
      <w:r w:rsidR="00176496" w:rsidRPr="00D06F2B">
        <w:rPr>
          <w:rFonts w:ascii="Garamond" w:hAnsi="Garamond"/>
          <w:sz w:val="24"/>
          <w:szCs w:val="24"/>
          <w:lang w:val="en-US"/>
        </w:rPr>
        <w:t xml:space="preserve"> follow Jung, Naughton, Tahoun and Wang (2018) and</w:t>
      </w:r>
      <w:r w:rsidRPr="00D06F2B">
        <w:rPr>
          <w:rFonts w:ascii="Garamond" w:hAnsi="Garamond"/>
          <w:sz w:val="24"/>
          <w:szCs w:val="24"/>
          <w:lang w:val="en-US"/>
        </w:rPr>
        <w:t xml:space="preserve"> calculate a three-day absolute cumulative abnormal return, </w:t>
      </w:r>
      <w:r w:rsidRPr="00D06F2B">
        <w:rPr>
          <w:rFonts w:ascii="Garamond" w:hAnsi="Garamond"/>
          <w:i/>
          <w:iCs/>
          <w:sz w:val="24"/>
          <w:szCs w:val="24"/>
          <w:lang w:val="en-US"/>
        </w:rPr>
        <w:t>A</w:t>
      </w:r>
      <w:r w:rsidRPr="00D06F2B">
        <w:rPr>
          <w:rFonts w:ascii="Garamond" w:hAnsi="Garamond"/>
          <w:i/>
          <w:sz w:val="24"/>
          <w:szCs w:val="24"/>
          <w:lang w:val="en-US"/>
        </w:rPr>
        <w:t>CAR,</w:t>
      </w:r>
      <w:r w:rsidRPr="00D06F2B">
        <w:rPr>
          <w:rFonts w:ascii="Garamond" w:hAnsi="Garamond"/>
          <w:sz w:val="24"/>
          <w:szCs w:val="24"/>
          <w:lang w:val="en-US"/>
        </w:rPr>
        <w:t xml:space="preserve"> </w:t>
      </w:r>
      <w:r w:rsidRPr="00D06F2B">
        <w:rPr>
          <w:rFonts w:ascii="Garamond" w:hAnsi="Garamond"/>
          <w:sz w:val="24"/>
          <w:szCs w:val="24"/>
          <w:lang w:val="en-US"/>
        </w:rPr>
        <w:lastRenderedPageBreak/>
        <w:t>centered on the forecast revision date, which we then use as a dependent variable in equation (3).</w:t>
      </w:r>
      <w:r w:rsidR="00645BF1" w:rsidRPr="00D06F2B">
        <w:rPr>
          <w:rStyle w:val="FootnoteReference"/>
          <w:rFonts w:ascii="Garamond" w:hAnsi="Garamond"/>
          <w:sz w:val="24"/>
          <w:szCs w:val="24"/>
          <w:lang w:val="en-US"/>
        </w:rPr>
        <w:footnoteReference w:id="14"/>
      </w:r>
      <w:r w:rsidRPr="00D06F2B">
        <w:rPr>
          <w:rFonts w:ascii="Garamond" w:hAnsi="Garamond"/>
          <w:sz w:val="24"/>
          <w:szCs w:val="24"/>
          <w:lang w:val="en-US"/>
        </w:rPr>
        <w:t xml:space="preserve"> We calculate abnormal returns for </w:t>
      </w:r>
      <w:r w:rsidRPr="00D06F2B">
        <w:rPr>
          <w:rFonts w:ascii="Garamond" w:hAnsi="Garamond"/>
          <w:i/>
          <w:iCs/>
          <w:sz w:val="24"/>
          <w:szCs w:val="24"/>
          <w:lang w:val="en-US"/>
        </w:rPr>
        <w:t>ACAR</w:t>
      </w:r>
      <w:r w:rsidRPr="00D06F2B">
        <w:rPr>
          <w:rFonts w:ascii="Garamond" w:hAnsi="Garamond"/>
          <w:sz w:val="24"/>
          <w:szCs w:val="24"/>
          <w:lang w:val="en-US"/>
        </w:rPr>
        <w:t xml:space="preserve"> using the Carhart (1997) model as the normal return benchmark using daily data over 1</w:t>
      </w:r>
      <w:r w:rsidR="008D62D2" w:rsidRPr="00D06F2B">
        <w:rPr>
          <w:rFonts w:ascii="Garamond" w:hAnsi="Garamond"/>
          <w:sz w:val="24"/>
          <w:szCs w:val="24"/>
          <w:lang w:val="en-US"/>
        </w:rPr>
        <w:t>0</w:t>
      </w:r>
      <w:r w:rsidRPr="00D06F2B">
        <w:rPr>
          <w:rFonts w:ascii="Garamond" w:hAnsi="Garamond"/>
          <w:sz w:val="24"/>
          <w:szCs w:val="24"/>
          <w:lang w:val="en-US"/>
        </w:rPr>
        <w:t xml:space="preserve">0 trading days before the forecast announcement. Robustness tests </w:t>
      </w:r>
      <w:r w:rsidR="008D62D2" w:rsidRPr="00D06F2B">
        <w:rPr>
          <w:rFonts w:ascii="Garamond" w:hAnsi="Garamond"/>
          <w:sz w:val="24"/>
          <w:szCs w:val="24"/>
          <w:lang w:val="en-US"/>
        </w:rPr>
        <w:t xml:space="preserve">show </w:t>
      </w:r>
      <w:r w:rsidRPr="00D06F2B">
        <w:rPr>
          <w:rFonts w:ascii="Garamond" w:hAnsi="Garamond"/>
          <w:sz w:val="24"/>
          <w:szCs w:val="24"/>
          <w:lang w:val="en-US"/>
        </w:rPr>
        <w:t xml:space="preserve">our conclusion are unchanged when we use the market-adjusted return and the market model to calculate the return benchmark. </w:t>
      </w:r>
    </w:p>
    <w:p w14:paraId="101EE16F" w14:textId="561035B3" w:rsidR="005C485C" w:rsidRDefault="000A02EA" w:rsidP="00176496">
      <w:pPr>
        <w:widowControl w:val="0"/>
        <w:spacing w:after="0" w:line="480" w:lineRule="auto"/>
        <w:ind w:firstLine="720"/>
        <w:rPr>
          <w:rFonts w:ascii="Garamond" w:hAnsi="Garamond"/>
          <w:sz w:val="24"/>
          <w:szCs w:val="24"/>
          <w:lang w:val="en-US"/>
        </w:rPr>
      </w:pPr>
      <w:r w:rsidRPr="00D06F2B">
        <w:rPr>
          <w:rFonts w:ascii="Garamond" w:hAnsi="Garamond"/>
          <w:sz w:val="24"/>
          <w:szCs w:val="24"/>
          <w:lang w:val="en-US"/>
        </w:rPr>
        <w:t>An important benefit of i</w:t>
      </w:r>
      <w:r w:rsidR="005C485C" w:rsidRPr="00D06F2B">
        <w:rPr>
          <w:rFonts w:ascii="Garamond" w:hAnsi="Garamond"/>
          <w:sz w:val="24"/>
          <w:szCs w:val="24"/>
          <w:lang w:val="en-US"/>
        </w:rPr>
        <w:t xml:space="preserve">ncluding revisions in target prices with revisions in fundamentals </w:t>
      </w:r>
      <w:r w:rsidR="00176496" w:rsidRPr="00D06F2B">
        <w:rPr>
          <w:rFonts w:ascii="Garamond" w:hAnsi="Garamond"/>
          <w:sz w:val="24"/>
          <w:szCs w:val="24"/>
          <w:lang w:val="en-US"/>
        </w:rPr>
        <w:t>in the price reaction regression</w:t>
      </w:r>
      <w:r w:rsidRPr="00D06F2B">
        <w:rPr>
          <w:rFonts w:ascii="Garamond" w:hAnsi="Garamond"/>
          <w:sz w:val="24"/>
          <w:szCs w:val="24"/>
          <w:lang w:val="en-US"/>
        </w:rPr>
        <w:t xml:space="preserve"> is that </w:t>
      </w:r>
      <w:r w:rsidR="003B2386" w:rsidRPr="00D06F2B">
        <w:rPr>
          <w:rFonts w:ascii="Garamond" w:hAnsi="Garamond"/>
          <w:sz w:val="24"/>
          <w:szCs w:val="24"/>
          <w:lang w:val="en-US"/>
        </w:rPr>
        <w:t>the former</w:t>
      </w:r>
      <w:r w:rsidRPr="00D06F2B">
        <w:rPr>
          <w:rFonts w:ascii="Garamond" w:hAnsi="Garamond"/>
          <w:sz w:val="24"/>
          <w:szCs w:val="24"/>
          <w:lang w:val="en-US"/>
        </w:rPr>
        <w:t xml:space="preserve"> </w:t>
      </w:r>
      <w:r w:rsidR="005C485C" w:rsidRPr="00D06F2B">
        <w:rPr>
          <w:rFonts w:ascii="Garamond" w:hAnsi="Garamond"/>
          <w:sz w:val="24"/>
          <w:szCs w:val="24"/>
          <w:lang w:val="en-US"/>
        </w:rPr>
        <w:t>control for the cross-sectional differences in the discount rate, that can associate with the magnitude of price reactions (Yeung 2009)</w:t>
      </w:r>
      <w:r w:rsidRPr="00D06F2B">
        <w:rPr>
          <w:rFonts w:ascii="Garamond" w:hAnsi="Garamond"/>
          <w:sz w:val="24"/>
          <w:szCs w:val="24"/>
          <w:lang w:val="en-US"/>
        </w:rPr>
        <w:t xml:space="preserve">. Specifically, </w:t>
      </w:r>
      <w:r w:rsidR="005C485C" w:rsidRPr="00D06F2B">
        <w:rPr>
          <w:rFonts w:ascii="Garamond" w:hAnsi="Garamond"/>
          <w:sz w:val="24"/>
          <w:szCs w:val="24"/>
          <w:lang w:val="en-US"/>
        </w:rPr>
        <w:t xml:space="preserve">controlling for changes in cash flow expectations, a target price revision reflects changes in </w:t>
      </w:r>
      <w:r w:rsidR="006C3964">
        <w:rPr>
          <w:rFonts w:ascii="Garamond" w:hAnsi="Garamond"/>
          <w:sz w:val="24"/>
          <w:szCs w:val="24"/>
          <w:lang w:val="en-US"/>
        </w:rPr>
        <w:t xml:space="preserve">the </w:t>
      </w:r>
      <w:r w:rsidR="005C485C" w:rsidRPr="00D06F2B">
        <w:rPr>
          <w:rFonts w:ascii="Garamond" w:hAnsi="Garamond"/>
          <w:sz w:val="24"/>
          <w:szCs w:val="24"/>
          <w:lang w:val="en-US"/>
        </w:rPr>
        <w:t xml:space="preserve">analyst </w:t>
      </w:r>
      <w:r w:rsidR="006C3964">
        <w:rPr>
          <w:rFonts w:ascii="Garamond" w:hAnsi="Garamond"/>
          <w:sz w:val="24"/>
          <w:szCs w:val="24"/>
          <w:lang w:val="en-US"/>
        </w:rPr>
        <w:t xml:space="preserve">estimate of the </w:t>
      </w:r>
      <w:r w:rsidR="005C485C" w:rsidRPr="00D06F2B">
        <w:rPr>
          <w:rFonts w:ascii="Garamond" w:hAnsi="Garamond"/>
          <w:sz w:val="24"/>
          <w:szCs w:val="24"/>
          <w:lang w:val="en-US"/>
        </w:rPr>
        <w:t xml:space="preserve">expected return, thus </w:t>
      </w:r>
      <w:r w:rsidRPr="00D06F2B">
        <w:rPr>
          <w:rFonts w:ascii="Garamond" w:hAnsi="Garamond"/>
          <w:sz w:val="24"/>
          <w:szCs w:val="24"/>
          <w:lang w:val="en-US"/>
        </w:rPr>
        <w:t xml:space="preserve">our analysis captures </w:t>
      </w:r>
      <w:r w:rsidR="005C485C" w:rsidRPr="00D06F2B">
        <w:rPr>
          <w:rFonts w:ascii="Garamond" w:hAnsi="Garamond"/>
          <w:sz w:val="24"/>
          <w:szCs w:val="24"/>
          <w:lang w:val="en-US"/>
        </w:rPr>
        <w:t>both the numerator and denominator effect of changes in analyst expectation of firm value.</w:t>
      </w:r>
    </w:p>
    <w:p w14:paraId="02FCF51D" w14:textId="77777777" w:rsidR="006C3964" w:rsidRPr="00D06F2B" w:rsidRDefault="006C3964" w:rsidP="00176496">
      <w:pPr>
        <w:widowControl w:val="0"/>
        <w:spacing w:after="0" w:line="480" w:lineRule="auto"/>
        <w:ind w:firstLine="720"/>
        <w:rPr>
          <w:rFonts w:ascii="Garamond" w:hAnsi="Garamond"/>
          <w:sz w:val="24"/>
          <w:szCs w:val="24"/>
          <w:lang w:val="en-US"/>
        </w:rPr>
      </w:pPr>
    </w:p>
    <w:p w14:paraId="7B75595C" w14:textId="222FBAA2" w:rsidR="00176496" w:rsidRPr="00D06F2B" w:rsidRDefault="00176496" w:rsidP="00176496">
      <w:pPr>
        <w:widowControl w:val="0"/>
        <w:spacing w:after="0" w:line="480" w:lineRule="auto"/>
        <w:rPr>
          <w:rFonts w:ascii="Garamond" w:hAnsi="Garamond"/>
          <w:i/>
          <w:iCs/>
          <w:sz w:val="24"/>
          <w:szCs w:val="24"/>
          <w:lang w:val="en-US"/>
        </w:rPr>
      </w:pPr>
      <w:r w:rsidRPr="00D06F2B">
        <w:rPr>
          <w:rFonts w:ascii="Garamond" w:hAnsi="Garamond"/>
          <w:i/>
          <w:iCs/>
          <w:sz w:val="24"/>
          <w:szCs w:val="24"/>
          <w:lang w:val="en-US"/>
        </w:rPr>
        <w:t>3.</w:t>
      </w:r>
      <w:r w:rsidR="00645BF1" w:rsidRPr="00D06F2B">
        <w:rPr>
          <w:rFonts w:ascii="Garamond" w:hAnsi="Garamond"/>
          <w:i/>
          <w:iCs/>
          <w:sz w:val="24"/>
          <w:szCs w:val="24"/>
          <w:lang w:val="en-US"/>
        </w:rPr>
        <w:t>3</w:t>
      </w:r>
      <w:r w:rsidRPr="00D06F2B">
        <w:rPr>
          <w:rFonts w:ascii="Garamond" w:hAnsi="Garamond"/>
          <w:i/>
          <w:iCs/>
          <w:sz w:val="24"/>
          <w:szCs w:val="24"/>
          <w:lang w:val="en-US"/>
        </w:rPr>
        <w:t>.1 Regression results</w:t>
      </w:r>
    </w:p>
    <w:p w14:paraId="5F5FC6C3" w14:textId="0C470E17" w:rsidR="0004217B" w:rsidRPr="00D06F2B" w:rsidRDefault="005C485C" w:rsidP="00A2730F">
      <w:pPr>
        <w:widowControl w:val="0"/>
        <w:spacing w:after="0" w:line="480" w:lineRule="auto"/>
        <w:rPr>
          <w:rFonts w:ascii="Garamond" w:hAnsi="Garamond"/>
          <w:sz w:val="24"/>
          <w:szCs w:val="24"/>
          <w:lang w:val="en-US"/>
        </w:rPr>
      </w:pPr>
      <w:r w:rsidRPr="00D06F2B">
        <w:rPr>
          <w:rFonts w:ascii="Garamond" w:hAnsi="Garamond"/>
          <w:sz w:val="24"/>
          <w:szCs w:val="24"/>
          <w:lang w:val="en-US"/>
        </w:rPr>
        <w:t xml:space="preserve"> </w:t>
      </w:r>
      <w:r w:rsidR="0004217B" w:rsidRPr="00D06F2B">
        <w:rPr>
          <w:rFonts w:ascii="Garamond" w:hAnsi="Garamond"/>
          <w:sz w:val="24"/>
          <w:szCs w:val="24"/>
          <w:lang w:val="en-US"/>
        </w:rPr>
        <w:t>Panel A of T</w:t>
      </w:r>
      <w:r w:rsidR="00D45FA0" w:rsidRPr="00D06F2B">
        <w:rPr>
          <w:rFonts w:ascii="Garamond" w:hAnsi="Garamond"/>
          <w:sz w:val="24"/>
          <w:szCs w:val="24"/>
          <w:lang w:val="en-US"/>
        </w:rPr>
        <w:t xml:space="preserve">able </w:t>
      </w:r>
      <w:r w:rsidR="00645BF1" w:rsidRPr="00D06F2B">
        <w:rPr>
          <w:rFonts w:ascii="Garamond" w:hAnsi="Garamond"/>
          <w:sz w:val="24"/>
          <w:szCs w:val="24"/>
          <w:lang w:val="en-US"/>
        </w:rPr>
        <w:t>2</w:t>
      </w:r>
      <w:r w:rsidR="0004217B" w:rsidRPr="00D06F2B">
        <w:rPr>
          <w:rFonts w:ascii="Garamond" w:hAnsi="Garamond"/>
          <w:sz w:val="24"/>
          <w:szCs w:val="24"/>
          <w:lang w:val="en-US"/>
        </w:rPr>
        <w:t xml:space="preserve"> reports descriptive statistics for equation (3). The</w:t>
      </w:r>
      <w:r w:rsidR="00176496" w:rsidRPr="00D06F2B">
        <w:rPr>
          <w:rFonts w:ascii="Garamond" w:hAnsi="Garamond"/>
          <w:sz w:val="24"/>
          <w:szCs w:val="24"/>
          <w:lang w:val="en-US"/>
        </w:rPr>
        <w:t xml:space="preserve"> average </w:t>
      </w:r>
      <w:r w:rsidR="00A2730F" w:rsidRPr="00D06F2B">
        <w:rPr>
          <w:rFonts w:ascii="Garamond" w:hAnsi="Garamond"/>
          <w:sz w:val="24"/>
          <w:szCs w:val="24"/>
          <w:lang w:val="en-US"/>
        </w:rPr>
        <w:t>readership measure is 1.226, which reflects that on most forecast announcement days, readership is higher than 80% of readership measured over prior 30 days. The</w:t>
      </w:r>
      <w:r w:rsidR="0004217B" w:rsidRPr="00D06F2B">
        <w:rPr>
          <w:rFonts w:ascii="Garamond" w:hAnsi="Garamond"/>
          <w:sz w:val="24"/>
          <w:szCs w:val="24"/>
          <w:lang w:val="en-US"/>
        </w:rPr>
        <w:t xml:space="preserve"> mean absolute price reaction to analyst forecast revisions is 5% in 2018 and 5</w:t>
      </w:r>
      <w:r w:rsidR="00645BF1" w:rsidRPr="00D06F2B">
        <w:rPr>
          <w:rFonts w:ascii="Garamond" w:hAnsi="Garamond"/>
          <w:sz w:val="24"/>
          <w:szCs w:val="24"/>
          <w:lang w:val="en-US"/>
        </w:rPr>
        <w:t>.</w:t>
      </w:r>
      <w:r w:rsidR="0004217B" w:rsidRPr="00D06F2B">
        <w:rPr>
          <w:rFonts w:ascii="Garamond" w:hAnsi="Garamond"/>
          <w:sz w:val="24"/>
          <w:szCs w:val="24"/>
          <w:lang w:val="en-US"/>
        </w:rPr>
        <w:t>1% in 2019, but</w:t>
      </w:r>
      <w:r w:rsidR="00CB739F" w:rsidRPr="00D06F2B">
        <w:rPr>
          <w:rFonts w:ascii="Garamond" w:hAnsi="Garamond"/>
          <w:sz w:val="24"/>
          <w:szCs w:val="24"/>
          <w:lang w:val="en-US"/>
        </w:rPr>
        <w:t xml:space="preserve"> 6% in 2020</w:t>
      </w:r>
      <w:r w:rsidR="00FC752E" w:rsidRPr="00D06F2B">
        <w:rPr>
          <w:rFonts w:ascii="Garamond" w:hAnsi="Garamond"/>
          <w:sz w:val="24"/>
          <w:szCs w:val="24"/>
          <w:lang w:val="en-US"/>
        </w:rPr>
        <w:t xml:space="preserve">. </w:t>
      </w:r>
      <w:r w:rsidR="00645BF1" w:rsidRPr="00D06F2B">
        <w:rPr>
          <w:rFonts w:ascii="Garamond" w:hAnsi="Garamond"/>
          <w:sz w:val="24"/>
          <w:szCs w:val="24"/>
          <w:lang w:val="en-US"/>
        </w:rPr>
        <w:t xml:space="preserve">These </w:t>
      </w:r>
      <w:r w:rsidR="006C3964" w:rsidRPr="00D06F2B">
        <w:rPr>
          <w:rFonts w:ascii="Garamond" w:hAnsi="Garamond"/>
          <w:sz w:val="24"/>
          <w:szCs w:val="24"/>
          <w:lang w:val="en-US"/>
        </w:rPr>
        <w:t>magnitudes</w:t>
      </w:r>
      <w:r w:rsidR="00645BF1" w:rsidRPr="00D06F2B">
        <w:rPr>
          <w:rFonts w:ascii="Garamond" w:hAnsi="Garamond"/>
          <w:sz w:val="24"/>
          <w:szCs w:val="24"/>
          <w:lang w:val="en-US"/>
        </w:rPr>
        <w:t xml:space="preserve"> are comparable to </w:t>
      </w:r>
      <w:proofErr w:type="spellStart"/>
      <w:r w:rsidR="00645BF1" w:rsidRPr="00D06F2B">
        <w:rPr>
          <w:rFonts w:ascii="Garamond" w:hAnsi="Garamond"/>
          <w:sz w:val="24"/>
          <w:szCs w:val="24"/>
          <w:lang w:val="en-US"/>
        </w:rPr>
        <w:t>Loh</w:t>
      </w:r>
      <w:proofErr w:type="spellEnd"/>
      <w:r w:rsidR="00645BF1" w:rsidRPr="00D06F2B">
        <w:rPr>
          <w:rFonts w:ascii="Garamond" w:hAnsi="Garamond"/>
          <w:sz w:val="24"/>
          <w:szCs w:val="24"/>
          <w:lang w:val="en-US"/>
        </w:rPr>
        <w:t xml:space="preserve"> and </w:t>
      </w:r>
      <w:proofErr w:type="spellStart"/>
      <w:r w:rsidR="00645BF1" w:rsidRPr="00D06F2B">
        <w:rPr>
          <w:rFonts w:ascii="Garamond" w:hAnsi="Garamond"/>
          <w:sz w:val="24"/>
          <w:szCs w:val="24"/>
          <w:lang w:val="en-US"/>
        </w:rPr>
        <w:t>Stulz</w:t>
      </w:r>
      <w:proofErr w:type="spellEnd"/>
      <w:r w:rsidR="00645BF1" w:rsidRPr="00D06F2B">
        <w:rPr>
          <w:rFonts w:ascii="Garamond" w:hAnsi="Garamond"/>
          <w:sz w:val="24"/>
          <w:szCs w:val="24"/>
          <w:lang w:val="en-US"/>
        </w:rPr>
        <w:t xml:space="preserve"> (2011) and</w:t>
      </w:r>
      <w:r w:rsidR="00645BF1" w:rsidRPr="00D06F2B">
        <w:rPr>
          <w:rFonts w:ascii="Garamond" w:hAnsi="Garamond"/>
        </w:rPr>
        <w:t xml:space="preserve"> </w:t>
      </w:r>
      <w:proofErr w:type="spellStart"/>
      <w:r w:rsidR="00645BF1" w:rsidRPr="00D06F2B">
        <w:rPr>
          <w:rFonts w:ascii="Garamond" w:hAnsi="Garamond"/>
          <w:sz w:val="24"/>
          <w:szCs w:val="24"/>
          <w:lang w:val="en-US"/>
        </w:rPr>
        <w:t>Altinkilic</w:t>
      </w:r>
      <w:proofErr w:type="spellEnd"/>
      <w:r w:rsidR="00645BF1" w:rsidRPr="00D06F2B">
        <w:rPr>
          <w:rFonts w:ascii="Garamond" w:hAnsi="Garamond"/>
          <w:sz w:val="24"/>
          <w:szCs w:val="24"/>
          <w:lang w:val="en-US"/>
        </w:rPr>
        <w:t xml:space="preserve"> and Hansen (2009).</w:t>
      </w:r>
      <w:r w:rsidR="00645BF1" w:rsidRPr="00D06F2B">
        <w:rPr>
          <w:rStyle w:val="FootnoteReference"/>
          <w:rFonts w:ascii="Garamond" w:hAnsi="Garamond"/>
          <w:sz w:val="24"/>
          <w:szCs w:val="24"/>
          <w:lang w:val="en-US"/>
        </w:rPr>
        <w:footnoteReference w:id="15"/>
      </w:r>
      <w:r w:rsidR="00645BF1" w:rsidRPr="00D06F2B">
        <w:rPr>
          <w:rFonts w:ascii="Garamond" w:hAnsi="Garamond"/>
          <w:sz w:val="24"/>
          <w:szCs w:val="24"/>
          <w:lang w:val="en-US"/>
        </w:rPr>
        <w:t xml:space="preserve"> </w:t>
      </w:r>
      <w:r w:rsidR="0004217B" w:rsidRPr="00D06F2B">
        <w:rPr>
          <w:rFonts w:ascii="Garamond" w:hAnsi="Garamond"/>
          <w:sz w:val="24"/>
          <w:szCs w:val="24"/>
          <w:lang w:val="en-US"/>
        </w:rPr>
        <w:t>Compared to pre-pandemic</w:t>
      </w:r>
      <w:r w:rsidR="00FC752E" w:rsidRPr="00D06F2B">
        <w:rPr>
          <w:rFonts w:ascii="Garamond" w:hAnsi="Garamond"/>
          <w:sz w:val="24"/>
          <w:szCs w:val="24"/>
          <w:lang w:val="en-US"/>
        </w:rPr>
        <w:t xml:space="preserve"> years</w:t>
      </w:r>
      <w:r w:rsidR="0004217B" w:rsidRPr="00D06F2B">
        <w:rPr>
          <w:rFonts w:ascii="Garamond" w:hAnsi="Garamond"/>
          <w:sz w:val="24"/>
          <w:szCs w:val="24"/>
          <w:lang w:val="en-US"/>
        </w:rPr>
        <w:t>, we observe significant revisions in all analyst forecasts during the pandemic</w:t>
      </w:r>
      <w:r w:rsidR="00721513" w:rsidRPr="00D06F2B">
        <w:rPr>
          <w:rFonts w:ascii="Garamond" w:hAnsi="Garamond"/>
          <w:sz w:val="24"/>
          <w:szCs w:val="24"/>
          <w:lang w:val="en-US"/>
        </w:rPr>
        <w:t xml:space="preserve"> ranging between 9% for stock recommendations to 142% for sales revenue, a result consistent with Figure 3. </w:t>
      </w:r>
    </w:p>
    <w:p w14:paraId="2DF17B09" w14:textId="07087B4A" w:rsidR="00DF6317" w:rsidRPr="00D06F2B" w:rsidRDefault="00DF6317" w:rsidP="00DF6317">
      <w:pPr>
        <w:widowControl w:val="0"/>
        <w:spacing w:after="0" w:line="480" w:lineRule="auto"/>
        <w:jc w:val="center"/>
        <w:rPr>
          <w:rFonts w:ascii="Garamond" w:hAnsi="Garamond"/>
          <w:sz w:val="24"/>
          <w:szCs w:val="24"/>
          <w:lang w:val="en-US"/>
        </w:rPr>
      </w:pPr>
      <w:r w:rsidRPr="00D06F2B">
        <w:rPr>
          <w:rFonts w:ascii="Garamond" w:hAnsi="Garamond"/>
          <w:sz w:val="24"/>
          <w:szCs w:val="24"/>
          <w:lang w:val="en-US"/>
        </w:rPr>
        <w:t xml:space="preserve">[Table </w:t>
      </w:r>
      <w:r w:rsidR="00645BF1" w:rsidRPr="00D06F2B">
        <w:rPr>
          <w:rFonts w:ascii="Garamond" w:hAnsi="Garamond"/>
          <w:sz w:val="24"/>
          <w:szCs w:val="24"/>
          <w:lang w:val="en-US"/>
        </w:rPr>
        <w:t>2</w:t>
      </w:r>
      <w:r w:rsidRPr="00D06F2B">
        <w:rPr>
          <w:rFonts w:ascii="Garamond" w:hAnsi="Garamond"/>
          <w:sz w:val="24"/>
          <w:szCs w:val="24"/>
          <w:lang w:val="en-US"/>
        </w:rPr>
        <w:t>]</w:t>
      </w:r>
    </w:p>
    <w:p w14:paraId="2A81F476" w14:textId="37113ECA" w:rsidR="00553B15" w:rsidRPr="00D06F2B" w:rsidRDefault="00A2730F" w:rsidP="00553B15">
      <w:pPr>
        <w:widowControl w:val="0"/>
        <w:spacing w:after="0" w:line="480" w:lineRule="auto"/>
        <w:rPr>
          <w:rFonts w:ascii="Garamond" w:hAnsi="Garamond"/>
          <w:sz w:val="24"/>
          <w:szCs w:val="24"/>
          <w:lang w:val="en-US"/>
        </w:rPr>
      </w:pPr>
      <w:r w:rsidRPr="00D06F2B">
        <w:rPr>
          <w:rFonts w:ascii="Garamond" w:hAnsi="Garamond"/>
          <w:sz w:val="24"/>
          <w:szCs w:val="24"/>
          <w:lang w:val="en-US"/>
        </w:rPr>
        <w:tab/>
        <w:t xml:space="preserve">Table </w:t>
      </w:r>
      <w:r w:rsidR="00010052" w:rsidRPr="00D06F2B">
        <w:rPr>
          <w:rFonts w:ascii="Garamond" w:hAnsi="Garamond"/>
          <w:sz w:val="24"/>
          <w:szCs w:val="24"/>
          <w:lang w:val="en-US"/>
        </w:rPr>
        <w:t>3</w:t>
      </w:r>
      <w:r w:rsidRPr="00D06F2B">
        <w:rPr>
          <w:rFonts w:ascii="Garamond" w:hAnsi="Garamond"/>
          <w:sz w:val="24"/>
          <w:szCs w:val="24"/>
          <w:lang w:val="en-US"/>
        </w:rPr>
        <w:t xml:space="preserve"> reports results for equation (3). We </w:t>
      </w:r>
      <w:r w:rsidR="00FC752E" w:rsidRPr="00D06F2B">
        <w:rPr>
          <w:rFonts w:ascii="Garamond" w:hAnsi="Garamond"/>
          <w:sz w:val="24"/>
          <w:szCs w:val="24"/>
          <w:lang w:val="en-US"/>
        </w:rPr>
        <w:t xml:space="preserve">observe significantly higher institutional </w:t>
      </w:r>
      <w:r w:rsidR="00FC752E" w:rsidRPr="00D06F2B">
        <w:rPr>
          <w:rFonts w:ascii="Garamond" w:hAnsi="Garamond"/>
          <w:sz w:val="24"/>
          <w:szCs w:val="24"/>
          <w:lang w:val="en-US"/>
        </w:rPr>
        <w:lastRenderedPageBreak/>
        <w:t>information searches about a firm on analyst forecast announcement days</w:t>
      </w:r>
      <w:r w:rsidR="00642092" w:rsidRPr="00D06F2B">
        <w:rPr>
          <w:rFonts w:ascii="Garamond" w:hAnsi="Garamond"/>
          <w:sz w:val="24"/>
          <w:szCs w:val="24"/>
          <w:lang w:val="en-US"/>
        </w:rPr>
        <w:t xml:space="preserve"> during the pandemic</w:t>
      </w:r>
      <w:r w:rsidR="00FC752E" w:rsidRPr="00D06F2B">
        <w:rPr>
          <w:rFonts w:ascii="Garamond" w:hAnsi="Garamond"/>
          <w:sz w:val="24"/>
          <w:szCs w:val="24"/>
          <w:lang w:val="en-US"/>
        </w:rPr>
        <w:t xml:space="preserve">, consistent with analyst forecasts attracting investor attention to the firm. </w:t>
      </w:r>
      <w:r w:rsidR="00EC4566" w:rsidRPr="00D06F2B">
        <w:rPr>
          <w:rFonts w:ascii="Garamond" w:hAnsi="Garamond"/>
          <w:sz w:val="24"/>
          <w:szCs w:val="24"/>
          <w:lang w:val="en-US"/>
        </w:rPr>
        <w:t xml:space="preserve">For the </w:t>
      </w:r>
      <w:r w:rsidR="006C3964">
        <w:rPr>
          <w:rFonts w:ascii="Garamond" w:hAnsi="Garamond"/>
          <w:sz w:val="24"/>
          <w:szCs w:val="24"/>
          <w:lang w:val="en-US"/>
        </w:rPr>
        <w:t>baseline</w:t>
      </w:r>
      <w:r w:rsidR="00EC4566" w:rsidRPr="00D06F2B">
        <w:rPr>
          <w:rFonts w:ascii="Garamond" w:hAnsi="Garamond"/>
          <w:sz w:val="24"/>
          <w:szCs w:val="24"/>
          <w:lang w:val="en-US"/>
        </w:rPr>
        <w:t xml:space="preserve"> regression, we find that all forecasts illicit significant</w:t>
      </w:r>
      <w:r w:rsidR="006C3964">
        <w:rPr>
          <w:rFonts w:ascii="Garamond" w:hAnsi="Garamond"/>
          <w:sz w:val="24"/>
          <w:szCs w:val="24"/>
          <w:lang w:val="en-US"/>
        </w:rPr>
        <w:t>ly higher</w:t>
      </w:r>
      <w:r w:rsidR="00EC4566" w:rsidRPr="00D06F2B">
        <w:rPr>
          <w:rFonts w:ascii="Garamond" w:hAnsi="Garamond"/>
          <w:sz w:val="24"/>
          <w:szCs w:val="24"/>
          <w:lang w:val="en-US"/>
        </w:rPr>
        <w:t xml:space="preserve"> information searches on Bloomberg</w:t>
      </w:r>
      <w:r w:rsidR="006C3964">
        <w:rPr>
          <w:rFonts w:ascii="Garamond" w:hAnsi="Garamond"/>
          <w:sz w:val="24"/>
          <w:szCs w:val="24"/>
          <w:lang w:val="en-US"/>
        </w:rPr>
        <w:t xml:space="preserve"> during the pandemic</w:t>
      </w:r>
      <w:r w:rsidR="00EC4566" w:rsidRPr="00D06F2B">
        <w:rPr>
          <w:rFonts w:ascii="Garamond" w:hAnsi="Garamond"/>
          <w:sz w:val="24"/>
          <w:szCs w:val="24"/>
          <w:lang w:val="en-US"/>
        </w:rPr>
        <w:t>. Including firm-fixed effects in equation (3), shows that revisions in revenue and cash flow forecasts associate with a significant</w:t>
      </w:r>
      <w:r w:rsidR="006C3964">
        <w:rPr>
          <w:rFonts w:ascii="Garamond" w:hAnsi="Garamond"/>
          <w:sz w:val="24"/>
          <w:szCs w:val="24"/>
          <w:lang w:val="en-US"/>
        </w:rPr>
        <w:t xml:space="preserve"> incremental</w:t>
      </w:r>
      <w:r w:rsidR="00EC4566" w:rsidRPr="00D06F2B">
        <w:rPr>
          <w:rFonts w:ascii="Garamond" w:hAnsi="Garamond"/>
          <w:sz w:val="24"/>
          <w:szCs w:val="24"/>
          <w:lang w:val="en-US"/>
        </w:rPr>
        <w:t xml:space="preserve"> investor attention</w:t>
      </w:r>
      <w:r w:rsidR="00553B15" w:rsidRPr="00D06F2B">
        <w:rPr>
          <w:rFonts w:ascii="Garamond" w:hAnsi="Garamond"/>
          <w:sz w:val="24"/>
          <w:szCs w:val="24"/>
          <w:lang w:val="en-US"/>
        </w:rPr>
        <w:t xml:space="preserve"> and</w:t>
      </w:r>
      <w:r w:rsidR="00EC4566" w:rsidRPr="00D06F2B">
        <w:rPr>
          <w:rFonts w:ascii="Garamond" w:hAnsi="Garamond"/>
          <w:sz w:val="24"/>
          <w:szCs w:val="24"/>
          <w:lang w:val="en-US"/>
        </w:rPr>
        <w:t xml:space="preserve"> revisions in target prices </w:t>
      </w:r>
      <w:r w:rsidR="00553B15" w:rsidRPr="00D06F2B">
        <w:rPr>
          <w:rFonts w:ascii="Garamond" w:hAnsi="Garamond"/>
          <w:sz w:val="24"/>
          <w:szCs w:val="24"/>
          <w:lang w:val="en-US"/>
        </w:rPr>
        <w:t xml:space="preserve">with lower attention. </w:t>
      </w:r>
      <w:r w:rsidR="006C3964">
        <w:rPr>
          <w:rFonts w:ascii="Garamond" w:hAnsi="Garamond"/>
          <w:sz w:val="24"/>
          <w:szCs w:val="24"/>
          <w:lang w:val="en-US"/>
        </w:rPr>
        <w:t>These</w:t>
      </w:r>
      <w:r w:rsidR="00553B15" w:rsidRPr="00D06F2B">
        <w:rPr>
          <w:rFonts w:ascii="Garamond" w:hAnsi="Garamond"/>
          <w:sz w:val="24"/>
          <w:szCs w:val="24"/>
          <w:lang w:val="en-US"/>
        </w:rPr>
        <w:t xml:space="preserve"> results suggest investors weight more cash flow that discount rate news during the pandemic. </w:t>
      </w:r>
    </w:p>
    <w:p w14:paraId="17F30C0D" w14:textId="568C1387" w:rsidR="00A2730F" w:rsidRPr="00D06F2B" w:rsidRDefault="00553B15" w:rsidP="00553B15">
      <w:pPr>
        <w:widowControl w:val="0"/>
        <w:spacing w:after="0" w:line="480" w:lineRule="auto"/>
        <w:jc w:val="center"/>
        <w:rPr>
          <w:rFonts w:ascii="Garamond" w:hAnsi="Garamond"/>
          <w:sz w:val="24"/>
          <w:szCs w:val="24"/>
          <w:lang w:val="en-US"/>
        </w:rPr>
      </w:pPr>
      <w:r w:rsidRPr="00D06F2B">
        <w:rPr>
          <w:rFonts w:ascii="Garamond" w:hAnsi="Garamond"/>
          <w:sz w:val="24"/>
          <w:szCs w:val="24"/>
          <w:lang w:val="en-US"/>
        </w:rPr>
        <w:t>[Table 3]</w:t>
      </w:r>
    </w:p>
    <w:p w14:paraId="6E854CB9" w14:textId="6BE6D8E3" w:rsidR="00553B15" w:rsidRPr="00D06F2B" w:rsidRDefault="007B731D" w:rsidP="00553B15">
      <w:pPr>
        <w:widowControl w:val="0"/>
        <w:spacing w:after="0" w:line="480" w:lineRule="auto"/>
        <w:ind w:firstLine="720"/>
        <w:rPr>
          <w:rFonts w:ascii="Garamond" w:hAnsi="Garamond"/>
          <w:sz w:val="24"/>
          <w:szCs w:val="24"/>
          <w:lang w:val="en-US"/>
        </w:rPr>
      </w:pPr>
      <w:r w:rsidRPr="00D06F2B">
        <w:rPr>
          <w:rFonts w:ascii="Garamond" w:hAnsi="Garamond"/>
          <w:sz w:val="24"/>
          <w:szCs w:val="24"/>
          <w:lang w:val="en-US"/>
        </w:rPr>
        <w:t xml:space="preserve">Table 4 reports price reaction regression results for equation (3). </w:t>
      </w:r>
      <w:r w:rsidR="00553B15" w:rsidRPr="00D06F2B">
        <w:rPr>
          <w:rFonts w:ascii="Garamond" w:hAnsi="Garamond"/>
          <w:sz w:val="24"/>
          <w:szCs w:val="24"/>
          <w:lang w:val="en-US"/>
        </w:rPr>
        <w:t xml:space="preserve">For the model with firm-fixed effects, we find incremental price reactions to revisions in EPS, cash flow, dividend and stock recommendations, and lower price reactions to target price revisions. The economic magnitudes of incremental reactions during the pandemic are significant, for example, price reactions to analyst EPS forecast revisions are </w:t>
      </w:r>
      <w:r w:rsidR="00572F16" w:rsidRPr="00D06F2B">
        <w:rPr>
          <w:rFonts w:ascii="Garamond" w:hAnsi="Garamond"/>
          <w:sz w:val="24"/>
          <w:szCs w:val="24"/>
          <w:lang w:val="en-US"/>
        </w:rPr>
        <w:t>100</w:t>
      </w:r>
      <w:r w:rsidR="00553B15" w:rsidRPr="00D06F2B">
        <w:rPr>
          <w:rFonts w:ascii="Garamond" w:hAnsi="Garamond"/>
          <w:sz w:val="24"/>
          <w:szCs w:val="24"/>
          <w:lang w:val="en-US"/>
        </w:rPr>
        <w:t>% stronger during the pandemic compared to the pre-pandemic period.</w:t>
      </w:r>
      <w:r w:rsidR="00553B15" w:rsidRPr="00D06F2B">
        <w:rPr>
          <w:rStyle w:val="FootnoteReference"/>
          <w:rFonts w:ascii="Garamond" w:hAnsi="Garamond"/>
          <w:sz w:val="24"/>
          <w:szCs w:val="24"/>
          <w:lang w:val="en-US"/>
        </w:rPr>
        <w:footnoteReference w:id="16"/>
      </w:r>
      <w:r w:rsidR="00553B15" w:rsidRPr="00D06F2B">
        <w:rPr>
          <w:rFonts w:ascii="Garamond" w:hAnsi="Garamond"/>
          <w:sz w:val="24"/>
          <w:szCs w:val="24"/>
          <w:lang w:val="en-US"/>
        </w:rPr>
        <w:t xml:space="preserve"> </w:t>
      </w:r>
      <w:r w:rsidR="00572F16" w:rsidRPr="00D06F2B">
        <w:rPr>
          <w:rFonts w:ascii="Garamond" w:hAnsi="Garamond"/>
          <w:sz w:val="24"/>
          <w:szCs w:val="24"/>
          <w:lang w:val="en-US"/>
        </w:rPr>
        <w:t xml:space="preserve">These results are consistent with Figure 3 evidence that forecast errors, per unit of uncertainty, are lower </w:t>
      </w:r>
      <w:r w:rsidR="006C3964">
        <w:rPr>
          <w:rFonts w:ascii="Garamond" w:hAnsi="Garamond"/>
          <w:sz w:val="24"/>
          <w:szCs w:val="24"/>
          <w:lang w:val="en-US"/>
        </w:rPr>
        <w:t>in the later part of 2020</w:t>
      </w:r>
      <w:r w:rsidR="00572F16" w:rsidRPr="00D06F2B">
        <w:rPr>
          <w:rFonts w:ascii="Garamond" w:hAnsi="Garamond"/>
          <w:sz w:val="24"/>
          <w:szCs w:val="24"/>
          <w:lang w:val="en-US"/>
        </w:rPr>
        <w:t xml:space="preserve"> thus convey incrementally useful information to investors. The results are also consistent with </w:t>
      </w:r>
      <w:r w:rsidR="00553B15" w:rsidRPr="00D06F2B">
        <w:rPr>
          <w:rFonts w:ascii="Garamond" w:hAnsi="Garamond"/>
          <w:sz w:val="24"/>
          <w:szCs w:val="24"/>
          <w:lang w:val="en-US"/>
        </w:rPr>
        <w:t xml:space="preserve">Table 3 </w:t>
      </w:r>
      <w:r w:rsidR="00572F16" w:rsidRPr="00D06F2B">
        <w:rPr>
          <w:rFonts w:ascii="Garamond" w:hAnsi="Garamond"/>
          <w:sz w:val="24"/>
          <w:szCs w:val="24"/>
          <w:lang w:val="en-US"/>
        </w:rPr>
        <w:t>evidence</w:t>
      </w:r>
      <w:r w:rsidR="00553B15" w:rsidRPr="00D06F2B">
        <w:rPr>
          <w:rFonts w:ascii="Garamond" w:hAnsi="Garamond"/>
          <w:sz w:val="24"/>
          <w:szCs w:val="24"/>
          <w:lang w:val="en-US"/>
        </w:rPr>
        <w:t xml:space="preserve"> that investors attach more weight to cash flow signals tha</w:t>
      </w:r>
      <w:r w:rsidR="00572F16" w:rsidRPr="00D06F2B">
        <w:rPr>
          <w:rFonts w:ascii="Garamond" w:hAnsi="Garamond"/>
          <w:sz w:val="24"/>
          <w:szCs w:val="24"/>
          <w:lang w:val="en-US"/>
        </w:rPr>
        <w:t>n</w:t>
      </w:r>
      <w:r w:rsidR="00553B15" w:rsidRPr="00D06F2B">
        <w:rPr>
          <w:rFonts w:ascii="Garamond" w:hAnsi="Garamond"/>
          <w:sz w:val="24"/>
          <w:szCs w:val="24"/>
          <w:lang w:val="en-US"/>
        </w:rPr>
        <w:t xml:space="preserve"> discount rate information during the pandemic. </w:t>
      </w:r>
    </w:p>
    <w:p w14:paraId="6C23B522" w14:textId="77777777" w:rsidR="00572F16" w:rsidRPr="00D06F2B" w:rsidRDefault="00E90983" w:rsidP="00721513">
      <w:pPr>
        <w:widowControl w:val="0"/>
        <w:spacing w:after="0" w:line="480" w:lineRule="auto"/>
        <w:rPr>
          <w:rFonts w:ascii="Garamond" w:hAnsi="Garamond"/>
          <w:sz w:val="24"/>
          <w:szCs w:val="24"/>
          <w:lang w:val="en-US"/>
        </w:rPr>
      </w:pPr>
      <w:r w:rsidRPr="00D06F2B">
        <w:rPr>
          <w:rFonts w:ascii="Garamond" w:hAnsi="Garamond"/>
          <w:sz w:val="24"/>
          <w:szCs w:val="24"/>
          <w:lang w:val="en-US"/>
        </w:rPr>
        <w:tab/>
      </w:r>
    </w:p>
    <w:p w14:paraId="78A73502" w14:textId="73ADD654" w:rsidR="00E90983" w:rsidRPr="00D06F2B" w:rsidRDefault="00572F16" w:rsidP="00721513">
      <w:pPr>
        <w:widowControl w:val="0"/>
        <w:spacing w:after="0" w:line="480" w:lineRule="auto"/>
        <w:rPr>
          <w:rFonts w:ascii="Garamond" w:hAnsi="Garamond"/>
          <w:i/>
          <w:iCs/>
          <w:sz w:val="24"/>
          <w:szCs w:val="24"/>
          <w:lang w:val="en-US"/>
        </w:rPr>
      </w:pPr>
      <w:r w:rsidRPr="00D06F2B">
        <w:rPr>
          <w:rFonts w:ascii="Garamond" w:hAnsi="Garamond"/>
          <w:i/>
          <w:iCs/>
          <w:sz w:val="24"/>
          <w:szCs w:val="24"/>
          <w:lang w:val="en-US"/>
        </w:rPr>
        <w:t>3.3.2 Robustness tests</w:t>
      </w:r>
      <w:r w:rsidR="00E90983" w:rsidRPr="00D06F2B">
        <w:rPr>
          <w:rFonts w:ascii="Garamond" w:hAnsi="Garamond"/>
          <w:i/>
          <w:iCs/>
          <w:sz w:val="24"/>
          <w:szCs w:val="24"/>
          <w:lang w:val="en-US"/>
        </w:rPr>
        <w:t xml:space="preserve"> </w:t>
      </w:r>
    </w:p>
    <w:p w14:paraId="2519C2E4" w14:textId="798F14FE" w:rsidR="002725C0" w:rsidRPr="00D06F2B" w:rsidRDefault="00572F16" w:rsidP="00572F16">
      <w:pPr>
        <w:widowControl w:val="0"/>
        <w:spacing w:after="0" w:line="480" w:lineRule="auto"/>
        <w:rPr>
          <w:rFonts w:ascii="Garamond" w:hAnsi="Garamond"/>
          <w:sz w:val="24"/>
          <w:szCs w:val="24"/>
          <w:lang w:val="en-US"/>
        </w:rPr>
      </w:pPr>
      <w:r w:rsidRPr="00D06F2B">
        <w:rPr>
          <w:rFonts w:ascii="Garamond" w:hAnsi="Garamond"/>
          <w:sz w:val="24"/>
          <w:szCs w:val="24"/>
          <w:lang w:val="en-US"/>
        </w:rPr>
        <w:t xml:space="preserve">Table 5 reports robustness tests for the price reaction regressions. </w:t>
      </w:r>
      <w:r w:rsidR="00ED68FB" w:rsidRPr="00D06F2B">
        <w:rPr>
          <w:rFonts w:ascii="Garamond" w:hAnsi="Garamond"/>
          <w:sz w:val="24"/>
          <w:szCs w:val="24"/>
          <w:lang w:val="en-US"/>
        </w:rPr>
        <w:t xml:space="preserve">For brevity, we report the regressions for the model with firm-fixed effects. </w:t>
      </w:r>
      <w:r w:rsidRPr="00D06F2B">
        <w:rPr>
          <w:rFonts w:ascii="Garamond" w:hAnsi="Garamond"/>
          <w:sz w:val="24"/>
          <w:szCs w:val="24"/>
          <w:lang w:val="en-US"/>
        </w:rPr>
        <w:t xml:space="preserve">First, we confirm that our results are unchanged when we use the market-adjust returns to calculate </w:t>
      </w:r>
      <w:r w:rsidR="00ED68FB" w:rsidRPr="00D06F2B">
        <w:rPr>
          <w:rFonts w:ascii="Garamond" w:hAnsi="Garamond"/>
          <w:sz w:val="24"/>
          <w:szCs w:val="24"/>
          <w:lang w:val="en-US"/>
        </w:rPr>
        <w:t>abnormal</w:t>
      </w:r>
      <w:r w:rsidRPr="00D06F2B">
        <w:rPr>
          <w:rFonts w:ascii="Garamond" w:hAnsi="Garamond"/>
          <w:sz w:val="24"/>
          <w:szCs w:val="24"/>
          <w:lang w:val="en-US"/>
        </w:rPr>
        <w:t xml:space="preserve"> return</w:t>
      </w:r>
      <w:r w:rsidR="00ED68FB" w:rsidRPr="00D06F2B">
        <w:rPr>
          <w:rFonts w:ascii="Garamond" w:hAnsi="Garamond"/>
          <w:sz w:val="24"/>
          <w:szCs w:val="24"/>
          <w:lang w:val="en-US"/>
        </w:rPr>
        <w:t xml:space="preserve"> for the </w:t>
      </w:r>
      <w:r w:rsidR="00ED68FB" w:rsidRPr="006C3964">
        <w:rPr>
          <w:rFonts w:ascii="Garamond" w:hAnsi="Garamond"/>
          <w:i/>
          <w:iCs/>
          <w:sz w:val="24"/>
          <w:szCs w:val="24"/>
          <w:lang w:val="en-US"/>
        </w:rPr>
        <w:t>ACAR</w:t>
      </w:r>
      <w:r w:rsidR="00ED68FB" w:rsidRPr="00D06F2B">
        <w:rPr>
          <w:rFonts w:ascii="Garamond" w:hAnsi="Garamond"/>
          <w:sz w:val="24"/>
          <w:szCs w:val="24"/>
          <w:lang w:val="en-US"/>
        </w:rPr>
        <w:t>. This evidence suggests our results in Table 4 are no</w:t>
      </w:r>
      <w:r w:rsidR="006C3964">
        <w:rPr>
          <w:rFonts w:ascii="Garamond" w:hAnsi="Garamond"/>
          <w:sz w:val="24"/>
          <w:szCs w:val="24"/>
          <w:lang w:val="en-US"/>
        </w:rPr>
        <w:t>t</w:t>
      </w:r>
      <w:r w:rsidR="00ED68FB" w:rsidRPr="00D06F2B">
        <w:rPr>
          <w:rFonts w:ascii="Garamond" w:hAnsi="Garamond"/>
          <w:sz w:val="24"/>
          <w:szCs w:val="24"/>
          <w:lang w:val="en-US"/>
        </w:rPr>
        <w:t xml:space="preserve"> influenced by a potential correlation between higher return </w:t>
      </w:r>
      <w:r w:rsidR="00ED68FB" w:rsidRPr="00D06F2B">
        <w:rPr>
          <w:rFonts w:ascii="Garamond" w:hAnsi="Garamond"/>
          <w:sz w:val="24"/>
          <w:szCs w:val="24"/>
          <w:lang w:val="en-US"/>
        </w:rPr>
        <w:lastRenderedPageBreak/>
        <w:t xml:space="preserve">volatility during the pandemic that impacts the Carhart (1997) model estimates for the normal return benchmark and the pandemic period indicator. Second, our conclusions are unchanged when we use the market-model. Third, there is a concern that percentage revisions would be inflated for forecasts close to zero. Though we winsorize all revisions, we test </w:t>
      </w:r>
      <w:r w:rsidR="00205827" w:rsidRPr="00D06F2B">
        <w:rPr>
          <w:rFonts w:ascii="Garamond" w:hAnsi="Garamond"/>
          <w:sz w:val="24"/>
          <w:szCs w:val="24"/>
          <w:lang w:val="en-US"/>
        </w:rPr>
        <w:t>sensitivity</w:t>
      </w:r>
      <w:r w:rsidR="00ED68FB" w:rsidRPr="00D06F2B">
        <w:rPr>
          <w:rFonts w:ascii="Garamond" w:hAnsi="Garamond"/>
          <w:sz w:val="24"/>
          <w:szCs w:val="24"/>
          <w:lang w:val="en-US"/>
        </w:rPr>
        <w:t xml:space="preserve"> of our results to outliers in two ways. First, we re-calculate forecast revisions for EPS, cash flows and dividends by</w:t>
      </w:r>
      <w:r w:rsidR="00205827">
        <w:rPr>
          <w:rFonts w:ascii="Garamond" w:hAnsi="Garamond"/>
          <w:sz w:val="24"/>
          <w:szCs w:val="24"/>
          <w:lang w:val="en-US"/>
        </w:rPr>
        <w:t xml:space="preserve"> scaling by</w:t>
      </w:r>
      <w:r w:rsidR="00ED68FB" w:rsidRPr="00D06F2B">
        <w:rPr>
          <w:rFonts w:ascii="Garamond" w:hAnsi="Garamond"/>
          <w:sz w:val="24"/>
          <w:szCs w:val="24"/>
          <w:lang w:val="en-US"/>
        </w:rPr>
        <w:t xml:space="preserve"> 1+the previous forecast. Using these revisions in the regression model leaves our conclusions </w:t>
      </w:r>
      <w:r w:rsidR="00205827" w:rsidRPr="00D06F2B">
        <w:rPr>
          <w:rFonts w:ascii="Garamond" w:hAnsi="Garamond"/>
          <w:sz w:val="24"/>
          <w:szCs w:val="24"/>
          <w:lang w:val="en-US"/>
        </w:rPr>
        <w:t>unchanged</w:t>
      </w:r>
      <w:r w:rsidR="00ED68FB" w:rsidRPr="00D06F2B">
        <w:rPr>
          <w:rFonts w:ascii="Garamond" w:hAnsi="Garamond"/>
          <w:sz w:val="24"/>
          <w:szCs w:val="24"/>
          <w:lang w:val="en-US"/>
        </w:rPr>
        <w:t xml:space="preserve">. Second, we remove top and bottom 5% of observations based on each forecast revisions. The conclusions for the trimmed sample are </w:t>
      </w:r>
      <w:proofErr w:type="gramStart"/>
      <w:r w:rsidR="00ED68FB" w:rsidRPr="00D06F2B">
        <w:rPr>
          <w:rFonts w:ascii="Garamond" w:hAnsi="Garamond"/>
          <w:sz w:val="24"/>
          <w:szCs w:val="24"/>
          <w:lang w:val="en-US"/>
        </w:rPr>
        <w:t>similar to</w:t>
      </w:r>
      <w:proofErr w:type="gramEnd"/>
      <w:r w:rsidR="00ED68FB" w:rsidRPr="00D06F2B">
        <w:rPr>
          <w:rFonts w:ascii="Garamond" w:hAnsi="Garamond"/>
          <w:sz w:val="24"/>
          <w:szCs w:val="24"/>
          <w:lang w:val="en-US"/>
        </w:rPr>
        <w:t xml:space="preserve"> our main findings. Fourth, we follow </w:t>
      </w:r>
      <w:proofErr w:type="spellStart"/>
      <w:r w:rsidR="00ED68FB" w:rsidRPr="00D06F2B">
        <w:rPr>
          <w:rFonts w:ascii="Garamond" w:hAnsi="Garamond"/>
          <w:sz w:val="24"/>
          <w:szCs w:val="24"/>
          <w:lang w:val="en-US"/>
        </w:rPr>
        <w:t>Loh</w:t>
      </w:r>
      <w:proofErr w:type="spellEnd"/>
      <w:r w:rsidR="00ED68FB" w:rsidRPr="00D06F2B">
        <w:rPr>
          <w:rFonts w:ascii="Garamond" w:hAnsi="Garamond"/>
          <w:sz w:val="24"/>
          <w:szCs w:val="24"/>
          <w:lang w:val="en-US"/>
        </w:rPr>
        <w:t xml:space="preserve"> and </w:t>
      </w:r>
      <w:proofErr w:type="spellStart"/>
      <w:r w:rsidR="00ED68FB" w:rsidRPr="00D06F2B">
        <w:rPr>
          <w:rFonts w:ascii="Garamond" w:hAnsi="Garamond"/>
          <w:sz w:val="24"/>
          <w:szCs w:val="24"/>
          <w:lang w:val="en-US"/>
        </w:rPr>
        <w:t>Stulz</w:t>
      </w:r>
      <w:proofErr w:type="spellEnd"/>
      <w:r w:rsidR="00ED68FB" w:rsidRPr="00D06F2B">
        <w:rPr>
          <w:rFonts w:ascii="Garamond" w:hAnsi="Garamond"/>
          <w:sz w:val="24"/>
          <w:szCs w:val="24"/>
          <w:lang w:val="en-US"/>
        </w:rPr>
        <w:t xml:space="preserve"> (2018) and calculate uncertainty-adjusted revisions by normalizing revisions by firm-specific stock return volatility estimated from the Carhart (1997) model over 100 days before forecast announcement. This approach aligns with the normalized forecast errors in Figure 3. Using the normalized revisions confirms incrementally higher price reactions to analyst forecast revisions during the pandemic. Further, </w:t>
      </w:r>
      <w:r w:rsidR="00B95516" w:rsidRPr="00D06F2B">
        <w:rPr>
          <w:rFonts w:ascii="Garamond" w:hAnsi="Garamond"/>
          <w:sz w:val="24"/>
          <w:szCs w:val="24"/>
          <w:lang w:val="en-US"/>
        </w:rPr>
        <w:t>normalized revisions in revenue</w:t>
      </w:r>
      <w:r w:rsidR="00205827">
        <w:rPr>
          <w:rFonts w:ascii="Garamond" w:hAnsi="Garamond"/>
          <w:sz w:val="24"/>
          <w:szCs w:val="24"/>
          <w:lang w:val="en-US"/>
        </w:rPr>
        <w:t xml:space="preserve"> forecasts</w:t>
      </w:r>
      <w:r w:rsidR="00B95516" w:rsidRPr="00D06F2B">
        <w:rPr>
          <w:rFonts w:ascii="Garamond" w:hAnsi="Garamond"/>
          <w:sz w:val="24"/>
          <w:szCs w:val="24"/>
          <w:lang w:val="en-US"/>
        </w:rPr>
        <w:t xml:space="preserve"> show a significant association with price reaction, which suggest</w:t>
      </w:r>
      <w:r w:rsidR="00205827">
        <w:rPr>
          <w:rFonts w:ascii="Garamond" w:hAnsi="Garamond"/>
          <w:sz w:val="24"/>
          <w:szCs w:val="24"/>
          <w:lang w:val="en-US"/>
        </w:rPr>
        <w:t>s</w:t>
      </w:r>
      <w:r w:rsidR="00B95516" w:rsidRPr="00D06F2B">
        <w:rPr>
          <w:rFonts w:ascii="Garamond" w:hAnsi="Garamond"/>
          <w:sz w:val="24"/>
          <w:szCs w:val="24"/>
          <w:lang w:val="en-US"/>
        </w:rPr>
        <w:t xml:space="preserve"> that using standard measures of revision during high uncertainty periods may add noise to the analysis obscuring the relation between price reactions and revisions in analyst forecasts. </w:t>
      </w:r>
    </w:p>
    <w:p w14:paraId="7B96C0AA" w14:textId="2A66EAE6" w:rsidR="00B95516" w:rsidRPr="00D06F2B" w:rsidRDefault="00B95516" w:rsidP="00205827">
      <w:pPr>
        <w:widowControl w:val="0"/>
        <w:spacing w:after="0" w:line="480" w:lineRule="auto"/>
        <w:ind w:firstLine="720"/>
        <w:rPr>
          <w:rFonts w:ascii="Garamond" w:hAnsi="Garamond"/>
          <w:sz w:val="24"/>
          <w:szCs w:val="24"/>
          <w:lang w:val="en-US"/>
        </w:rPr>
      </w:pPr>
      <w:r w:rsidRPr="00D06F2B">
        <w:rPr>
          <w:rFonts w:ascii="Garamond" w:hAnsi="Garamond"/>
          <w:sz w:val="24"/>
          <w:szCs w:val="24"/>
          <w:lang w:val="en-US"/>
        </w:rPr>
        <w:t>In untabulated results, we re-estimated equation (3) with control variables that include the book-to-market ratio to capture firm’s growth opportunities, the price-to-sales ratio as a measure of the relative valuation of a firm,</w:t>
      </w:r>
      <w:r w:rsidRPr="00D06F2B">
        <w:rPr>
          <w:rStyle w:val="FootnoteReference"/>
          <w:rFonts w:ascii="Garamond" w:hAnsi="Garamond"/>
          <w:sz w:val="24"/>
          <w:szCs w:val="24"/>
          <w:lang w:val="en-US"/>
        </w:rPr>
        <w:footnoteReference w:id="17"/>
      </w:r>
      <w:r w:rsidRPr="00D06F2B">
        <w:rPr>
          <w:rFonts w:ascii="Garamond" w:hAnsi="Garamond"/>
          <w:sz w:val="24"/>
          <w:szCs w:val="24"/>
          <w:lang w:val="en-US"/>
        </w:rPr>
        <w:t xml:space="preserve"> debt-to-assets ratio to capture  financial leverage, firm’s return on assets to capture profitability, R&amp;D-to-sales to capture innovation, and advertising-to-sales to capture product visibility to investors</w:t>
      </w:r>
      <w:r w:rsidR="00205827">
        <w:rPr>
          <w:rFonts w:ascii="Garamond" w:hAnsi="Garamond"/>
          <w:sz w:val="24"/>
          <w:szCs w:val="24"/>
          <w:lang w:val="en-US"/>
        </w:rPr>
        <w:t>, in addition to firm-fixed effects</w:t>
      </w:r>
      <w:r w:rsidRPr="00D06F2B">
        <w:rPr>
          <w:rFonts w:ascii="Garamond" w:hAnsi="Garamond"/>
          <w:sz w:val="24"/>
          <w:szCs w:val="24"/>
          <w:lang w:val="en-US"/>
        </w:rPr>
        <w:t>. Including these controls reduces the sample size, but our conclusions remain unchanged.</w:t>
      </w:r>
    </w:p>
    <w:p w14:paraId="582129FF" w14:textId="709FC84C" w:rsidR="00B95516" w:rsidRPr="00D06F2B" w:rsidRDefault="00B95516" w:rsidP="00B95516">
      <w:pPr>
        <w:widowControl w:val="0"/>
        <w:spacing w:after="0" w:line="480" w:lineRule="auto"/>
        <w:jc w:val="center"/>
        <w:rPr>
          <w:rFonts w:ascii="Garamond" w:hAnsi="Garamond"/>
          <w:sz w:val="24"/>
          <w:szCs w:val="24"/>
          <w:lang w:val="en-US"/>
        </w:rPr>
      </w:pPr>
      <w:r w:rsidRPr="00D06F2B">
        <w:rPr>
          <w:rFonts w:ascii="Garamond" w:hAnsi="Garamond"/>
          <w:sz w:val="24"/>
          <w:szCs w:val="24"/>
          <w:lang w:val="en-US"/>
        </w:rPr>
        <w:t>[Table 5]</w:t>
      </w:r>
    </w:p>
    <w:p w14:paraId="4FDE5729" w14:textId="7B214BD1" w:rsidR="00B95516" w:rsidRPr="00D06F2B" w:rsidRDefault="00B95516" w:rsidP="00572F16">
      <w:pPr>
        <w:widowControl w:val="0"/>
        <w:spacing w:after="0" w:line="480" w:lineRule="auto"/>
        <w:rPr>
          <w:rFonts w:ascii="Garamond" w:hAnsi="Garamond"/>
          <w:sz w:val="24"/>
          <w:szCs w:val="24"/>
          <w:lang w:val="en-US"/>
        </w:rPr>
      </w:pPr>
      <w:r w:rsidRPr="00D06F2B">
        <w:rPr>
          <w:rFonts w:ascii="Garamond" w:hAnsi="Garamond"/>
          <w:sz w:val="24"/>
          <w:szCs w:val="24"/>
          <w:lang w:val="en-US"/>
        </w:rPr>
        <w:lastRenderedPageBreak/>
        <w:tab/>
        <w:t xml:space="preserve">Our main analysis uses absolute price reactions. Table 6 repeats equation (3) for signed measures of price reactions and normalized forecast revisions. The results are consistent with our main findings of incrementally stronger reactions to revisions in analyst forecasts during the pandemic. </w:t>
      </w:r>
    </w:p>
    <w:p w14:paraId="31277D17" w14:textId="5D7B11DE" w:rsidR="00B95516" w:rsidRPr="00D06F2B" w:rsidRDefault="00B95516" w:rsidP="00B95516">
      <w:pPr>
        <w:widowControl w:val="0"/>
        <w:spacing w:after="0" w:line="480" w:lineRule="auto"/>
        <w:jc w:val="center"/>
        <w:rPr>
          <w:rFonts w:ascii="Garamond" w:hAnsi="Garamond"/>
          <w:sz w:val="24"/>
          <w:szCs w:val="24"/>
          <w:lang w:val="en-US"/>
        </w:rPr>
      </w:pPr>
      <w:r w:rsidRPr="00D06F2B">
        <w:rPr>
          <w:rFonts w:ascii="Garamond" w:hAnsi="Garamond"/>
          <w:sz w:val="24"/>
          <w:szCs w:val="24"/>
          <w:lang w:val="en-US"/>
        </w:rPr>
        <w:t>[Table 6]</w:t>
      </w:r>
    </w:p>
    <w:p w14:paraId="12AF4731" w14:textId="2EE3E942" w:rsidR="009057FE" w:rsidRPr="00D06F2B" w:rsidRDefault="009057FE" w:rsidP="00721513">
      <w:pPr>
        <w:widowControl w:val="0"/>
        <w:spacing w:after="0" w:line="480" w:lineRule="auto"/>
        <w:rPr>
          <w:rFonts w:ascii="Garamond" w:hAnsi="Garamond"/>
          <w:sz w:val="24"/>
          <w:szCs w:val="24"/>
          <w:lang w:val="en-US"/>
        </w:rPr>
      </w:pPr>
    </w:p>
    <w:p w14:paraId="78785EFE" w14:textId="120E0409" w:rsidR="005439D2" w:rsidRPr="00D06F2B" w:rsidRDefault="005439D2" w:rsidP="00721513">
      <w:pPr>
        <w:widowControl w:val="0"/>
        <w:spacing w:after="0" w:line="480" w:lineRule="auto"/>
        <w:rPr>
          <w:rFonts w:ascii="Garamond" w:hAnsi="Garamond"/>
          <w:i/>
          <w:iCs/>
          <w:sz w:val="24"/>
          <w:szCs w:val="24"/>
          <w:lang w:val="en-US"/>
        </w:rPr>
      </w:pPr>
      <w:r w:rsidRPr="00D06F2B">
        <w:rPr>
          <w:rFonts w:ascii="Garamond" w:hAnsi="Garamond"/>
          <w:i/>
          <w:iCs/>
          <w:sz w:val="24"/>
          <w:szCs w:val="24"/>
          <w:lang w:val="en-US"/>
        </w:rPr>
        <w:t>3.</w:t>
      </w:r>
      <w:r w:rsidR="00B95516" w:rsidRPr="00D06F2B">
        <w:rPr>
          <w:rFonts w:ascii="Garamond" w:hAnsi="Garamond"/>
          <w:i/>
          <w:iCs/>
          <w:sz w:val="24"/>
          <w:szCs w:val="24"/>
          <w:lang w:val="en-US"/>
        </w:rPr>
        <w:t>4</w:t>
      </w:r>
      <w:r w:rsidRPr="00D06F2B">
        <w:rPr>
          <w:rFonts w:ascii="Garamond" w:hAnsi="Garamond"/>
          <w:i/>
          <w:iCs/>
          <w:sz w:val="24"/>
          <w:szCs w:val="24"/>
          <w:lang w:val="en-US"/>
        </w:rPr>
        <w:t xml:space="preserve"> </w:t>
      </w:r>
      <w:r w:rsidR="00B95516" w:rsidRPr="00D06F2B">
        <w:rPr>
          <w:rFonts w:ascii="Garamond" w:hAnsi="Garamond"/>
          <w:i/>
          <w:iCs/>
          <w:sz w:val="24"/>
          <w:szCs w:val="24"/>
          <w:lang w:val="en-US"/>
        </w:rPr>
        <w:t xml:space="preserve">Cross-sectional tests: </w:t>
      </w:r>
      <w:r w:rsidR="000A53D8" w:rsidRPr="00D06F2B">
        <w:rPr>
          <w:rFonts w:ascii="Garamond" w:hAnsi="Garamond"/>
          <w:i/>
          <w:iCs/>
          <w:sz w:val="24"/>
          <w:szCs w:val="24"/>
          <w:lang w:val="en-US"/>
        </w:rPr>
        <w:t>Periods of heighted information demand</w:t>
      </w:r>
    </w:p>
    <w:p w14:paraId="7C07086D" w14:textId="1CA92489" w:rsidR="00BA6C5D" w:rsidRPr="00D06F2B" w:rsidRDefault="005439D2" w:rsidP="00BA6C5D">
      <w:pPr>
        <w:widowControl w:val="0"/>
        <w:spacing w:after="0" w:line="480" w:lineRule="auto"/>
        <w:rPr>
          <w:rFonts w:ascii="Garamond" w:hAnsi="Garamond"/>
          <w:sz w:val="24"/>
          <w:szCs w:val="24"/>
          <w:lang w:val="en-US"/>
        </w:rPr>
      </w:pPr>
      <w:r w:rsidRPr="00D06F2B">
        <w:rPr>
          <w:rFonts w:ascii="Garamond" w:hAnsi="Garamond"/>
          <w:sz w:val="24"/>
          <w:szCs w:val="24"/>
          <w:lang w:val="en-US"/>
        </w:rPr>
        <w:t xml:space="preserve">The evidence in Table </w:t>
      </w:r>
      <w:r w:rsidR="00BA6C5D" w:rsidRPr="00D06F2B">
        <w:rPr>
          <w:rFonts w:ascii="Garamond" w:hAnsi="Garamond"/>
          <w:sz w:val="24"/>
          <w:szCs w:val="24"/>
          <w:lang w:val="en-US"/>
        </w:rPr>
        <w:t xml:space="preserve">4 suggests analyst forecasts convey </w:t>
      </w:r>
      <w:r w:rsidR="00B21F73" w:rsidRPr="00D06F2B">
        <w:rPr>
          <w:rFonts w:ascii="Garamond" w:hAnsi="Garamond"/>
          <w:sz w:val="24"/>
          <w:szCs w:val="24"/>
          <w:lang w:val="en-US"/>
        </w:rPr>
        <w:t xml:space="preserve">incrementally </w:t>
      </w:r>
      <w:r w:rsidR="00BA6C5D" w:rsidRPr="00D06F2B">
        <w:rPr>
          <w:rFonts w:ascii="Garamond" w:hAnsi="Garamond"/>
          <w:sz w:val="24"/>
          <w:szCs w:val="24"/>
          <w:lang w:val="en-US"/>
        </w:rPr>
        <w:t xml:space="preserve">valuable signals to investors during the pandemic. To sharpen this analysis, we next examine </w:t>
      </w:r>
      <w:r w:rsidR="00BA6C5D" w:rsidRPr="00D06F2B">
        <w:rPr>
          <w:rFonts w:ascii="Garamond" w:hAnsi="Garamond"/>
          <w:i/>
          <w:iCs/>
          <w:sz w:val="24"/>
          <w:szCs w:val="24"/>
          <w:lang w:val="en-US"/>
        </w:rPr>
        <w:t>when</w:t>
      </w:r>
      <w:r w:rsidR="00BA6C5D" w:rsidRPr="00D06F2B">
        <w:rPr>
          <w:rFonts w:ascii="Garamond" w:hAnsi="Garamond"/>
          <w:sz w:val="24"/>
          <w:szCs w:val="24"/>
          <w:lang w:val="en-US"/>
        </w:rPr>
        <w:t xml:space="preserve"> </w:t>
      </w:r>
      <w:r w:rsidR="00B21F73" w:rsidRPr="00D06F2B">
        <w:rPr>
          <w:rFonts w:ascii="Garamond" w:hAnsi="Garamond"/>
          <w:sz w:val="24"/>
          <w:szCs w:val="24"/>
          <w:lang w:val="en-US"/>
        </w:rPr>
        <w:t xml:space="preserve">during the pandemic </w:t>
      </w:r>
      <w:r w:rsidR="00BA6C5D" w:rsidRPr="00D06F2B">
        <w:rPr>
          <w:rFonts w:ascii="Garamond" w:hAnsi="Garamond"/>
          <w:sz w:val="24"/>
          <w:szCs w:val="24"/>
          <w:lang w:val="en-US"/>
        </w:rPr>
        <w:t xml:space="preserve">investors </w:t>
      </w:r>
      <w:r w:rsidR="00205827">
        <w:rPr>
          <w:rFonts w:ascii="Garamond" w:hAnsi="Garamond"/>
          <w:sz w:val="24"/>
          <w:szCs w:val="24"/>
          <w:lang w:val="en-US"/>
        </w:rPr>
        <w:t>found</w:t>
      </w:r>
      <w:r w:rsidR="00BA6C5D" w:rsidRPr="00D06F2B">
        <w:rPr>
          <w:rFonts w:ascii="Garamond" w:hAnsi="Garamond"/>
          <w:sz w:val="24"/>
          <w:szCs w:val="24"/>
          <w:lang w:val="en-US"/>
        </w:rPr>
        <w:t xml:space="preserve"> analyst research particularly valuable. First, we propose </w:t>
      </w:r>
      <w:r w:rsidR="00DA4124" w:rsidRPr="00D06F2B">
        <w:rPr>
          <w:rFonts w:ascii="Garamond" w:hAnsi="Garamond"/>
          <w:sz w:val="24"/>
          <w:szCs w:val="24"/>
          <w:lang w:val="en-US"/>
        </w:rPr>
        <w:t>that</w:t>
      </w:r>
      <w:r w:rsidR="00BA6C5D" w:rsidRPr="00D06F2B">
        <w:rPr>
          <w:rFonts w:ascii="Garamond" w:hAnsi="Garamond"/>
          <w:sz w:val="24"/>
          <w:szCs w:val="24"/>
          <w:lang w:val="en-US"/>
        </w:rPr>
        <w:t xml:space="preserve"> analyst signals</w:t>
      </w:r>
      <w:r w:rsidR="00DA4124" w:rsidRPr="00D06F2B">
        <w:rPr>
          <w:rFonts w:ascii="Garamond" w:hAnsi="Garamond"/>
          <w:sz w:val="24"/>
          <w:szCs w:val="24"/>
          <w:lang w:val="en-US"/>
        </w:rPr>
        <w:t xml:space="preserve"> are</w:t>
      </w:r>
      <w:r w:rsidR="00BA6C5D" w:rsidRPr="00D06F2B">
        <w:rPr>
          <w:rFonts w:ascii="Garamond" w:hAnsi="Garamond"/>
          <w:sz w:val="24"/>
          <w:szCs w:val="24"/>
          <w:lang w:val="en-US"/>
        </w:rPr>
        <w:t xml:space="preserve"> more useful in periods of increased </w:t>
      </w:r>
      <w:r w:rsidR="00DA4124" w:rsidRPr="00D06F2B">
        <w:rPr>
          <w:rFonts w:ascii="Garamond" w:hAnsi="Garamond"/>
          <w:sz w:val="24"/>
          <w:szCs w:val="24"/>
          <w:lang w:val="en-US"/>
        </w:rPr>
        <w:t xml:space="preserve">information demand. </w:t>
      </w:r>
      <w:r w:rsidR="00BA6C5D" w:rsidRPr="00D06F2B">
        <w:rPr>
          <w:rFonts w:ascii="Garamond" w:hAnsi="Garamond"/>
          <w:sz w:val="24"/>
          <w:szCs w:val="24"/>
          <w:lang w:val="en-US"/>
        </w:rPr>
        <w:t>To capture investor</w:t>
      </w:r>
      <w:r w:rsidR="00B21F73" w:rsidRPr="00D06F2B">
        <w:rPr>
          <w:rFonts w:ascii="Garamond" w:hAnsi="Garamond"/>
          <w:sz w:val="24"/>
          <w:szCs w:val="24"/>
          <w:lang w:val="en-US"/>
        </w:rPr>
        <w:t xml:space="preserve"> information</w:t>
      </w:r>
      <w:r w:rsidR="00BA6C5D" w:rsidRPr="00D06F2B">
        <w:rPr>
          <w:rFonts w:ascii="Garamond" w:hAnsi="Garamond"/>
          <w:sz w:val="24"/>
          <w:szCs w:val="24"/>
          <w:lang w:val="en-US"/>
        </w:rPr>
        <w:t xml:space="preserve"> search activity, we follow </w:t>
      </w:r>
      <w:bookmarkStart w:id="18" w:name="_Hlk66964885"/>
      <w:r w:rsidR="00DA4124" w:rsidRPr="00D06F2B">
        <w:rPr>
          <w:rFonts w:ascii="Garamond" w:hAnsi="Garamond"/>
          <w:sz w:val="24"/>
          <w:szCs w:val="24"/>
          <w:lang w:val="en-US"/>
        </w:rPr>
        <w:t xml:space="preserve">the approach from </w:t>
      </w:r>
      <w:r w:rsidR="00BA6C5D" w:rsidRPr="00D06F2B">
        <w:rPr>
          <w:rFonts w:ascii="Garamond" w:hAnsi="Garamond"/>
          <w:sz w:val="24"/>
          <w:szCs w:val="24"/>
          <w:lang w:val="en-US"/>
        </w:rPr>
        <w:t>Da</w:t>
      </w:r>
      <w:r w:rsidR="00482BE0" w:rsidRPr="00D06F2B">
        <w:rPr>
          <w:rFonts w:ascii="Garamond" w:hAnsi="Garamond"/>
          <w:sz w:val="24"/>
          <w:szCs w:val="24"/>
          <w:lang w:val="en-US"/>
        </w:rPr>
        <w:t xml:space="preserve"> et al.</w:t>
      </w:r>
      <w:r w:rsidR="00BA6C5D" w:rsidRPr="00D06F2B">
        <w:rPr>
          <w:rFonts w:ascii="Garamond" w:hAnsi="Garamond"/>
          <w:sz w:val="24"/>
          <w:szCs w:val="24"/>
          <w:lang w:val="en-US"/>
        </w:rPr>
        <w:t xml:space="preserve"> (2011</w:t>
      </w:r>
      <w:bookmarkEnd w:id="18"/>
      <w:r w:rsidR="00BA6C5D" w:rsidRPr="00D06F2B">
        <w:rPr>
          <w:rFonts w:ascii="Garamond" w:hAnsi="Garamond"/>
          <w:sz w:val="24"/>
          <w:szCs w:val="24"/>
          <w:lang w:val="en-US"/>
        </w:rPr>
        <w:t xml:space="preserve">) and use the </w:t>
      </w:r>
      <w:r w:rsidR="00DA4124" w:rsidRPr="00D06F2B">
        <w:rPr>
          <w:rFonts w:ascii="Garamond" w:hAnsi="Garamond"/>
          <w:sz w:val="24"/>
          <w:szCs w:val="24"/>
          <w:lang w:val="en-US"/>
        </w:rPr>
        <w:t xml:space="preserve">Google </w:t>
      </w:r>
      <w:r w:rsidR="009960B6" w:rsidRPr="00D06F2B">
        <w:rPr>
          <w:rFonts w:ascii="Garamond" w:hAnsi="Garamond"/>
          <w:sz w:val="24"/>
          <w:szCs w:val="24"/>
          <w:lang w:val="en-US"/>
        </w:rPr>
        <w:t xml:space="preserve">aggregate search frequency </w:t>
      </w:r>
      <w:r w:rsidR="00DA4124" w:rsidRPr="00D06F2B">
        <w:rPr>
          <w:rFonts w:ascii="Garamond" w:hAnsi="Garamond"/>
          <w:sz w:val="24"/>
          <w:szCs w:val="24"/>
          <w:lang w:val="en-US"/>
        </w:rPr>
        <w:t>for information about COVID-19 and its impact on the stock market.</w:t>
      </w:r>
      <w:r w:rsidR="00E475B3" w:rsidRPr="00D06F2B">
        <w:rPr>
          <w:rStyle w:val="FootnoteReference"/>
          <w:rFonts w:ascii="Garamond" w:hAnsi="Garamond"/>
          <w:sz w:val="24"/>
          <w:szCs w:val="24"/>
          <w:lang w:val="en-US"/>
        </w:rPr>
        <w:t xml:space="preserve"> </w:t>
      </w:r>
      <w:r w:rsidR="009960B6" w:rsidRPr="00D06F2B">
        <w:rPr>
          <w:rFonts w:ascii="Garamond" w:hAnsi="Garamond"/>
          <w:sz w:val="24"/>
          <w:szCs w:val="24"/>
          <w:lang w:val="en-US"/>
        </w:rPr>
        <w:t>We focus on Google, which account</w:t>
      </w:r>
      <w:r w:rsidR="00DA4124" w:rsidRPr="00D06F2B">
        <w:rPr>
          <w:rFonts w:ascii="Garamond" w:hAnsi="Garamond"/>
          <w:sz w:val="24"/>
          <w:szCs w:val="24"/>
          <w:lang w:val="en-US"/>
        </w:rPr>
        <w:t>s</w:t>
      </w:r>
      <w:r w:rsidR="009960B6" w:rsidRPr="00D06F2B">
        <w:rPr>
          <w:rFonts w:ascii="Garamond" w:hAnsi="Garamond"/>
          <w:sz w:val="24"/>
          <w:szCs w:val="24"/>
          <w:lang w:val="en-US"/>
        </w:rPr>
        <w:t xml:space="preserve"> for </w:t>
      </w:r>
      <w:r w:rsidR="008D657F" w:rsidRPr="00D06F2B">
        <w:rPr>
          <w:rFonts w:ascii="Garamond" w:hAnsi="Garamond"/>
          <w:sz w:val="24"/>
          <w:szCs w:val="24"/>
          <w:lang w:val="en-US"/>
        </w:rPr>
        <w:t>close to</w:t>
      </w:r>
      <w:r w:rsidR="009960B6" w:rsidRPr="00D06F2B">
        <w:rPr>
          <w:rFonts w:ascii="Garamond" w:hAnsi="Garamond"/>
          <w:sz w:val="24"/>
          <w:szCs w:val="24"/>
          <w:lang w:val="en-US"/>
        </w:rPr>
        <w:t xml:space="preserve"> </w:t>
      </w:r>
      <w:r w:rsidR="00B6297B" w:rsidRPr="00D06F2B">
        <w:rPr>
          <w:rFonts w:ascii="Garamond" w:hAnsi="Garamond"/>
          <w:sz w:val="24"/>
          <w:szCs w:val="24"/>
          <w:lang w:val="en-US"/>
        </w:rPr>
        <w:t>9</w:t>
      </w:r>
      <w:r w:rsidR="008D657F" w:rsidRPr="00D06F2B">
        <w:rPr>
          <w:rFonts w:ascii="Garamond" w:hAnsi="Garamond"/>
          <w:sz w:val="24"/>
          <w:szCs w:val="24"/>
          <w:lang w:val="en-US"/>
        </w:rPr>
        <w:t>0</w:t>
      </w:r>
      <w:r w:rsidR="009960B6" w:rsidRPr="00D06F2B">
        <w:rPr>
          <w:rFonts w:ascii="Garamond" w:hAnsi="Garamond"/>
          <w:sz w:val="24"/>
          <w:szCs w:val="24"/>
          <w:lang w:val="en-US"/>
        </w:rPr>
        <w:t>% of internet searches in the U</w:t>
      </w:r>
      <w:r w:rsidR="00B21F73" w:rsidRPr="00D06F2B">
        <w:rPr>
          <w:rFonts w:ascii="Garamond" w:hAnsi="Garamond"/>
          <w:sz w:val="24"/>
          <w:szCs w:val="24"/>
          <w:lang w:val="en-US"/>
        </w:rPr>
        <w:t>.</w:t>
      </w:r>
      <w:r w:rsidR="009960B6" w:rsidRPr="00D06F2B">
        <w:rPr>
          <w:rFonts w:ascii="Garamond" w:hAnsi="Garamond"/>
          <w:sz w:val="24"/>
          <w:szCs w:val="24"/>
          <w:lang w:val="en-US"/>
        </w:rPr>
        <w:t>S</w:t>
      </w:r>
      <w:r w:rsidR="00B21F73" w:rsidRPr="00D06F2B">
        <w:rPr>
          <w:rFonts w:ascii="Garamond" w:hAnsi="Garamond"/>
          <w:sz w:val="24"/>
          <w:szCs w:val="24"/>
          <w:lang w:val="en-US"/>
        </w:rPr>
        <w:t>.</w:t>
      </w:r>
      <w:r w:rsidR="009960B6" w:rsidRPr="00D06F2B">
        <w:rPr>
          <w:rFonts w:ascii="Garamond" w:hAnsi="Garamond"/>
          <w:sz w:val="24"/>
          <w:szCs w:val="24"/>
          <w:lang w:val="en-US"/>
        </w:rPr>
        <w:t>.</w:t>
      </w:r>
      <w:r w:rsidR="009960B6" w:rsidRPr="00D06F2B">
        <w:rPr>
          <w:rStyle w:val="FootnoteReference"/>
          <w:rFonts w:ascii="Garamond" w:hAnsi="Garamond"/>
          <w:sz w:val="24"/>
          <w:szCs w:val="24"/>
          <w:lang w:val="en-US"/>
        </w:rPr>
        <w:footnoteReference w:id="18"/>
      </w:r>
      <w:r w:rsidR="009960B6" w:rsidRPr="00D06F2B">
        <w:rPr>
          <w:rFonts w:ascii="Garamond" w:hAnsi="Garamond"/>
          <w:sz w:val="24"/>
          <w:szCs w:val="24"/>
          <w:lang w:val="en-US"/>
        </w:rPr>
        <w:t xml:space="preserve"> </w:t>
      </w:r>
      <w:r w:rsidR="00BA6C5D" w:rsidRPr="00D06F2B">
        <w:rPr>
          <w:rFonts w:ascii="Garamond" w:hAnsi="Garamond"/>
          <w:sz w:val="24"/>
          <w:szCs w:val="24"/>
          <w:lang w:val="en-US"/>
        </w:rPr>
        <w:t xml:space="preserve">Specifically, we create a variable </w:t>
      </w:r>
      <w:r w:rsidR="00BA6C5D" w:rsidRPr="00D06F2B">
        <w:rPr>
          <w:rFonts w:ascii="Garamond" w:hAnsi="Garamond"/>
          <w:i/>
          <w:iCs/>
          <w:sz w:val="24"/>
          <w:szCs w:val="24"/>
          <w:lang w:val="en-US"/>
        </w:rPr>
        <w:t>Google</w:t>
      </w:r>
      <w:r w:rsidR="00BA6C5D" w:rsidRPr="00D06F2B">
        <w:rPr>
          <w:rFonts w:ascii="Garamond" w:hAnsi="Garamond"/>
          <w:sz w:val="24"/>
          <w:szCs w:val="24"/>
          <w:lang w:val="en-US"/>
        </w:rPr>
        <w:t xml:space="preserve">, which is the sum of weekly Google searches for the terms </w:t>
      </w:r>
      <w:r w:rsidR="00205827">
        <w:rPr>
          <w:rFonts w:ascii="Garamond" w:hAnsi="Garamond"/>
          <w:sz w:val="24"/>
          <w:szCs w:val="24"/>
          <w:lang w:val="en-US"/>
        </w:rPr>
        <w:t>‘</w:t>
      </w:r>
      <w:r w:rsidR="00BA6C5D" w:rsidRPr="00D06F2B">
        <w:rPr>
          <w:rFonts w:ascii="Garamond" w:hAnsi="Garamond"/>
          <w:sz w:val="24"/>
          <w:szCs w:val="24"/>
          <w:lang w:val="en-US"/>
        </w:rPr>
        <w:t>Covid19</w:t>
      </w:r>
      <w:r w:rsidR="00205827">
        <w:rPr>
          <w:rFonts w:ascii="Garamond" w:hAnsi="Garamond"/>
          <w:sz w:val="24"/>
          <w:szCs w:val="24"/>
          <w:lang w:val="en-US"/>
        </w:rPr>
        <w:t>’</w:t>
      </w:r>
      <w:r w:rsidR="00BA6C5D" w:rsidRPr="00D06F2B">
        <w:rPr>
          <w:rFonts w:ascii="Garamond" w:hAnsi="Garamond"/>
          <w:sz w:val="24"/>
          <w:szCs w:val="24"/>
          <w:lang w:val="en-US"/>
        </w:rPr>
        <w:t xml:space="preserve">, </w:t>
      </w:r>
      <w:r w:rsidR="00205827">
        <w:rPr>
          <w:rFonts w:ascii="Garamond" w:hAnsi="Garamond"/>
          <w:sz w:val="24"/>
          <w:szCs w:val="24"/>
          <w:lang w:val="en-US"/>
        </w:rPr>
        <w:t>‘</w:t>
      </w:r>
      <w:proofErr w:type="spellStart"/>
      <w:r w:rsidR="00205827">
        <w:rPr>
          <w:rFonts w:ascii="Garamond" w:hAnsi="Garamond"/>
          <w:sz w:val="24"/>
          <w:szCs w:val="24"/>
          <w:lang w:val="en-US"/>
        </w:rPr>
        <w:t>C</w:t>
      </w:r>
      <w:r w:rsidR="00BA6C5D" w:rsidRPr="00D06F2B">
        <w:rPr>
          <w:rFonts w:ascii="Garamond" w:hAnsi="Garamond"/>
          <w:sz w:val="24"/>
          <w:szCs w:val="24"/>
          <w:lang w:val="en-US"/>
        </w:rPr>
        <w:t>ovid</w:t>
      </w:r>
      <w:proofErr w:type="spellEnd"/>
      <w:r w:rsidR="00205827">
        <w:rPr>
          <w:rFonts w:ascii="Garamond" w:hAnsi="Garamond"/>
          <w:sz w:val="24"/>
          <w:szCs w:val="24"/>
          <w:lang w:val="en-US"/>
        </w:rPr>
        <w:t>’</w:t>
      </w:r>
      <w:r w:rsidR="00BA6C5D" w:rsidRPr="00D06F2B">
        <w:rPr>
          <w:rFonts w:ascii="Garamond" w:hAnsi="Garamond"/>
          <w:sz w:val="24"/>
          <w:szCs w:val="24"/>
          <w:lang w:val="en-US"/>
        </w:rPr>
        <w:t xml:space="preserve">, </w:t>
      </w:r>
      <w:r w:rsidR="00205827">
        <w:rPr>
          <w:rFonts w:ascii="Garamond" w:hAnsi="Garamond"/>
          <w:sz w:val="24"/>
          <w:szCs w:val="24"/>
          <w:lang w:val="en-US"/>
        </w:rPr>
        <w:t>‘</w:t>
      </w:r>
      <w:r w:rsidR="00BA6C5D" w:rsidRPr="00D06F2B">
        <w:rPr>
          <w:rFonts w:ascii="Garamond" w:hAnsi="Garamond"/>
          <w:sz w:val="24"/>
          <w:szCs w:val="24"/>
          <w:lang w:val="en-US"/>
        </w:rPr>
        <w:t>Coronavirus</w:t>
      </w:r>
      <w:r w:rsidR="00205827">
        <w:rPr>
          <w:rFonts w:ascii="Garamond" w:hAnsi="Garamond"/>
          <w:sz w:val="24"/>
          <w:szCs w:val="24"/>
          <w:lang w:val="en-US"/>
        </w:rPr>
        <w:t>’</w:t>
      </w:r>
      <w:r w:rsidR="00BA6C5D" w:rsidRPr="00D06F2B">
        <w:rPr>
          <w:rFonts w:ascii="Garamond" w:hAnsi="Garamond"/>
          <w:sz w:val="24"/>
          <w:szCs w:val="24"/>
          <w:lang w:val="en-US"/>
        </w:rPr>
        <w:t xml:space="preserve">, </w:t>
      </w:r>
      <w:r w:rsidR="00205827">
        <w:rPr>
          <w:rFonts w:ascii="Garamond" w:hAnsi="Garamond"/>
          <w:sz w:val="24"/>
          <w:szCs w:val="24"/>
          <w:lang w:val="en-US"/>
        </w:rPr>
        <w:t>‘</w:t>
      </w:r>
      <w:r w:rsidR="00BA6C5D" w:rsidRPr="00D06F2B">
        <w:rPr>
          <w:rFonts w:ascii="Garamond" w:hAnsi="Garamond"/>
          <w:sz w:val="24"/>
          <w:szCs w:val="24"/>
          <w:lang w:val="en-US"/>
        </w:rPr>
        <w:t>SP500</w:t>
      </w:r>
      <w:r w:rsidR="00205827">
        <w:rPr>
          <w:rFonts w:ascii="Garamond" w:hAnsi="Garamond"/>
          <w:sz w:val="24"/>
          <w:szCs w:val="24"/>
          <w:lang w:val="en-US"/>
        </w:rPr>
        <w:t>’</w:t>
      </w:r>
      <w:r w:rsidR="00DA4124" w:rsidRPr="00D06F2B">
        <w:rPr>
          <w:rFonts w:ascii="Garamond" w:hAnsi="Garamond"/>
          <w:sz w:val="24"/>
          <w:szCs w:val="24"/>
          <w:lang w:val="en-US"/>
        </w:rPr>
        <w:t xml:space="preserve"> and</w:t>
      </w:r>
      <w:r w:rsidR="00BA6C5D" w:rsidRPr="00D06F2B">
        <w:rPr>
          <w:rFonts w:ascii="Garamond" w:hAnsi="Garamond"/>
          <w:sz w:val="24"/>
          <w:szCs w:val="24"/>
          <w:lang w:val="en-US"/>
        </w:rPr>
        <w:t xml:space="preserve"> </w:t>
      </w:r>
      <w:r w:rsidR="00205827">
        <w:rPr>
          <w:rFonts w:ascii="Garamond" w:hAnsi="Garamond"/>
          <w:sz w:val="24"/>
          <w:szCs w:val="24"/>
          <w:lang w:val="en-US"/>
        </w:rPr>
        <w:t>‘</w:t>
      </w:r>
      <w:r w:rsidR="00BA6C5D" w:rsidRPr="00D06F2B">
        <w:rPr>
          <w:rFonts w:ascii="Garamond" w:hAnsi="Garamond"/>
          <w:sz w:val="24"/>
          <w:szCs w:val="24"/>
          <w:lang w:val="en-US"/>
        </w:rPr>
        <w:t>stock market</w:t>
      </w:r>
      <w:r w:rsidR="00205827">
        <w:rPr>
          <w:rFonts w:ascii="Garamond" w:hAnsi="Garamond"/>
          <w:sz w:val="24"/>
          <w:szCs w:val="24"/>
          <w:lang w:val="en-US"/>
        </w:rPr>
        <w:t>’</w:t>
      </w:r>
      <w:r w:rsidR="005612B4" w:rsidRPr="00D06F2B">
        <w:rPr>
          <w:rFonts w:ascii="Garamond" w:hAnsi="Garamond"/>
          <w:sz w:val="24"/>
          <w:szCs w:val="24"/>
          <w:lang w:val="en-US"/>
        </w:rPr>
        <w:t xml:space="preserve"> over the period January 2020 to December 2020</w:t>
      </w:r>
      <w:r w:rsidR="00BA6C5D" w:rsidRPr="00D06F2B">
        <w:rPr>
          <w:rFonts w:ascii="Garamond" w:hAnsi="Garamond"/>
          <w:sz w:val="24"/>
          <w:szCs w:val="24"/>
          <w:lang w:val="en-US"/>
        </w:rPr>
        <w:t xml:space="preserve">. </w:t>
      </w:r>
      <w:r w:rsidR="00B6297B" w:rsidRPr="00D06F2B">
        <w:rPr>
          <w:rFonts w:ascii="Garamond" w:hAnsi="Garamond"/>
          <w:sz w:val="24"/>
          <w:szCs w:val="24"/>
          <w:lang w:val="en-US"/>
        </w:rPr>
        <w:t xml:space="preserve">Each weekly </w:t>
      </w:r>
      <w:r w:rsidR="00B77C29" w:rsidRPr="00D06F2B">
        <w:rPr>
          <w:rFonts w:ascii="Garamond" w:hAnsi="Garamond"/>
          <w:sz w:val="24"/>
          <w:szCs w:val="24"/>
          <w:lang w:val="en-US"/>
        </w:rPr>
        <w:t xml:space="preserve">google </w:t>
      </w:r>
      <w:r w:rsidR="00B6297B" w:rsidRPr="00D06F2B">
        <w:rPr>
          <w:rFonts w:ascii="Garamond" w:hAnsi="Garamond"/>
          <w:sz w:val="24"/>
          <w:szCs w:val="24"/>
          <w:lang w:val="en-US"/>
        </w:rPr>
        <w:t>search term is</w:t>
      </w:r>
      <w:r w:rsidR="00DA4124" w:rsidRPr="00D06F2B">
        <w:rPr>
          <w:rFonts w:ascii="Garamond" w:hAnsi="Garamond"/>
          <w:sz w:val="24"/>
          <w:szCs w:val="24"/>
          <w:lang w:val="en-US"/>
        </w:rPr>
        <w:t xml:space="preserve"> returned</w:t>
      </w:r>
      <w:r w:rsidR="00B6297B" w:rsidRPr="00D06F2B">
        <w:rPr>
          <w:rFonts w:ascii="Garamond" w:hAnsi="Garamond"/>
          <w:sz w:val="24"/>
          <w:szCs w:val="24"/>
          <w:lang w:val="en-US"/>
        </w:rPr>
        <w:t xml:space="preserve"> scaled by the average search volume over the </w:t>
      </w:r>
      <w:r w:rsidR="001C15A4" w:rsidRPr="00D06F2B">
        <w:rPr>
          <w:rFonts w:ascii="Garamond" w:hAnsi="Garamond"/>
          <w:sz w:val="24"/>
          <w:szCs w:val="24"/>
          <w:lang w:val="en-US"/>
        </w:rPr>
        <w:t xml:space="preserve">search period. Figure </w:t>
      </w:r>
      <w:r w:rsidR="00B95516" w:rsidRPr="00D06F2B">
        <w:rPr>
          <w:rFonts w:ascii="Garamond" w:hAnsi="Garamond"/>
          <w:sz w:val="24"/>
          <w:szCs w:val="24"/>
          <w:lang w:val="en-US"/>
        </w:rPr>
        <w:t>5</w:t>
      </w:r>
      <w:r w:rsidR="001C15A4" w:rsidRPr="00D06F2B">
        <w:rPr>
          <w:rFonts w:ascii="Garamond" w:hAnsi="Garamond"/>
          <w:sz w:val="24"/>
          <w:szCs w:val="24"/>
          <w:lang w:val="en-US"/>
        </w:rPr>
        <w:t xml:space="preserve"> presents the time-series distribution of the </w:t>
      </w:r>
      <w:r w:rsidR="001C15A4" w:rsidRPr="00D06F2B">
        <w:rPr>
          <w:rFonts w:ascii="Garamond" w:hAnsi="Garamond"/>
          <w:i/>
          <w:iCs/>
          <w:sz w:val="24"/>
          <w:szCs w:val="24"/>
          <w:lang w:val="en-US"/>
        </w:rPr>
        <w:t>Google</w:t>
      </w:r>
      <w:r w:rsidR="001C15A4" w:rsidRPr="00D06F2B">
        <w:rPr>
          <w:rFonts w:ascii="Garamond" w:hAnsi="Garamond"/>
          <w:sz w:val="24"/>
          <w:szCs w:val="24"/>
          <w:lang w:val="en-US"/>
        </w:rPr>
        <w:t xml:space="preserve"> measure</w:t>
      </w:r>
      <w:r w:rsidR="005612B4" w:rsidRPr="00D06F2B">
        <w:rPr>
          <w:rFonts w:ascii="Garamond" w:hAnsi="Garamond"/>
          <w:sz w:val="24"/>
          <w:szCs w:val="24"/>
          <w:lang w:val="en-US"/>
        </w:rPr>
        <w:t xml:space="preserve"> </w:t>
      </w:r>
      <w:r w:rsidR="00DA4124" w:rsidRPr="00D06F2B">
        <w:rPr>
          <w:rFonts w:ascii="Garamond" w:hAnsi="Garamond"/>
          <w:sz w:val="24"/>
          <w:szCs w:val="24"/>
          <w:lang w:val="en-US"/>
        </w:rPr>
        <w:t>and it shows</w:t>
      </w:r>
      <w:r w:rsidR="005612B4" w:rsidRPr="00D06F2B">
        <w:rPr>
          <w:rFonts w:ascii="Garamond" w:hAnsi="Garamond"/>
          <w:sz w:val="24"/>
          <w:szCs w:val="24"/>
          <w:lang w:val="en-US"/>
        </w:rPr>
        <w:t xml:space="preserve"> a clear spike in search activity at the start of the pandemic, March 2020, and</w:t>
      </w:r>
      <w:r w:rsidR="00B21F73" w:rsidRPr="00D06F2B">
        <w:rPr>
          <w:rFonts w:ascii="Garamond" w:hAnsi="Garamond"/>
          <w:sz w:val="24"/>
          <w:szCs w:val="24"/>
          <w:lang w:val="en-US"/>
        </w:rPr>
        <w:t xml:space="preserve"> </w:t>
      </w:r>
      <w:r w:rsidR="00205827">
        <w:rPr>
          <w:rFonts w:ascii="Garamond" w:hAnsi="Garamond"/>
          <w:sz w:val="24"/>
          <w:szCs w:val="24"/>
          <w:lang w:val="en-US"/>
        </w:rPr>
        <w:t xml:space="preserve">a </w:t>
      </w:r>
      <w:r w:rsidR="00B21F73" w:rsidRPr="00D06F2B">
        <w:rPr>
          <w:rFonts w:ascii="Garamond" w:hAnsi="Garamond"/>
          <w:sz w:val="24"/>
          <w:szCs w:val="24"/>
          <w:lang w:val="en-US"/>
        </w:rPr>
        <w:t xml:space="preserve">later </w:t>
      </w:r>
      <w:r w:rsidR="005612B4" w:rsidRPr="00D06F2B">
        <w:rPr>
          <w:rFonts w:ascii="Garamond" w:hAnsi="Garamond"/>
          <w:sz w:val="24"/>
          <w:szCs w:val="24"/>
          <w:lang w:val="en-US"/>
        </w:rPr>
        <w:t>levelling of</w:t>
      </w:r>
      <w:r w:rsidR="00B21F73" w:rsidRPr="00D06F2B">
        <w:rPr>
          <w:rFonts w:ascii="Garamond" w:hAnsi="Garamond"/>
          <w:sz w:val="24"/>
          <w:szCs w:val="24"/>
          <w:lang w:val="en-US"/>
        </w:rPr>
        <w:t xml:space="preserve"> internet searches</w:t>
      </w:r>
      <w:r w:rsidR="005612B4" w:rsidRPr="00D06F2B">
        <w:rPr>
          <w:rFonts w:ascii="Garamond" w:hAnsi="Garamond"/>
          <w:sz w:val="24"/>
          <w:szCs w:val="24"/>
          <w:lang w:val="en-US"/>
        </w:rPr>
        <w:t xml:space="preserve"> over the reminder of 2020. We then interact </w:t>
      </w:r>
      <w:r w:rsidR="005612B4" w:rsidRPr="00D06F2B">
        <w:rPr>
          <w:rFonts w:ascii="Garamond" w:hAnsi="Garamond"/>
          <w:i/>
          <w:iCs/>
          <w:sz w:val="24"/>
          <w:szCs w:val="24"/>
          <w:lang w:val="en-US"/>
        </w:rPr>
        <w:t>Google</w:t>
      </w:r>
      <w:r w:rsidR="005612B4" w:rsidRPr="00D06F2B">
        <w:rPr>
          <w:rFonts w:ascii="Garamond" w:hAnsi="Garamond"/>
          <w:sz w:val="24"/>
          <w:szCs w:val="24"/>
          <w:lang w:val="en-US"/>
        </w:rPr>
        <w:t xml:space="preserve"> with revisions in analyst forecasts</w:t>
      </w:r>
      <w:r w:rsidR="00A95740" w:rsidRPr="00D06F2B">
        <w:rPr>
          <w:rFonts w:ascii="Garamond" w:hAnsi="Garamond"/>
          <w:sz w:val="24"/>
          <w:szCs w:val="24"/>
          <w:lang w:val="en-US"/>
        </w:rPr>
        <w:t xml:space="preserve"> over the pandemic period</w:t>
      </w:r>
      <w:r w:rsidR="005612B4" w:rsidRPr="00D06F2B">
        <w:rPr>
          <w:rFonts w:ascii="Garamond" w:hAnsi="Garamond"/>
          <w:sz w:val="24"/>
          <w:szCs w:val="24"/>
          <w:lang w:val="en-US"/>
        </w:rPr>
        <w:t>.</w:t>
      </w:r>
      <w:r w:rsidR="00217C8A" w:rsidRPr="00D06F2B">
        <w:rPr>
          <w:rStyle w:val="FootnoteReference"/>
          <w:rFonts w:ascii="Garamond" w:hAnsi="Garamond"/>
          <w:sz w:val="24"/>
          <w:szCs w:val="24"/>
          <w:lang w:val="en-US"/>
        </w:rPr>
        <w:footnoteReference w:id="19"/>
      </w:r>
      <w:r w:rsidR="00217C8A" w:rsidRPr="00D06F2B">
        <w:rPr>
          <w:rFonts w:ascii="Garamond" w:hAnsi="Garamond"/>
          <w:sz w:val="24"/>
          <w:szCs w:val="24"/>
          <w:lang w:val="en-US"/>
        </w:rPr>
        <w:t xml:space="preserve"> </w:t>
      </w:r>
      <w:r w:rsidR="005612B4" w:rsidRPr="00D06F2B">
        <w:rPr>
          <w:rFonts w:ascii="Garamond" w:hAnsi="Garamond"/>
          <w:sz w:val="24"/>
          <w:szCs w:val="24"/>
          <w:lang w:val="en-US"/>
        </w:rPr>
        <w:t xml:space="preserve"> </w:t>
      </w:r>
      <w:r w:rsidR="00CE68B9" w:rsidRPr="00D06F2B">
        <w:rPr>
          <w:rFonts w:ascii="Garamond" w:hAnsi="Garamond"/>
          <w:sz w:val="24"/>
          <w:szCs w:val="24"/>
          <w:lang w:val="en-US"/>
        </w:rPr>
        <w:t xml:space="preserve"> </w:t>
      </w:r>
    </w:p>
    <w:p w14:paraId="20670DC5" w14:textId="07646C0E" w:rsidR="00502537" w:rsidRPr="00D06F2B" w:rsidRDefault="00502537" w:rsidP="00502537">
      <w:pPr>
        <w:widowControl w:val="0"/>
        <w:spacing w:after="0" w:line="480" w:lineRule="auto"/>
        <w:jc w:val="center"/>
        <w:rPr>
          <w:rFonts w:ascii="Garamond" w:hAnsi="Garamond"/>
          <w:sz w:val="24"/>
          <w:szCs w:val="24"/>
          <w:lang w:val="en-US"/>
        </w:rPr>
      </w:pPr>
      <w:r w:rsidRPr="00D06F2B">
        <w:rPr>
          <w:rFonts w:ascii="Garamond" w:hAnsi="Garamond"/>
          <w:sz w:val="24"/>
          <w:szCs w:val="24"/>
          <w:lang w:val="en-US"/>
        </w:rPr>
        <w:t xml:space="preserve">[Figure </w:t>
      </w:r>
      <w:r w:rsidR="00B95516" w:rsidRPr="00D06F2B">
        <w:rPr>
          <w:rFonts w:ascii="Garamond" w:hAnsi="Garamond"/>
          <w:sz w:val="24"/>
          <w:szCs w:val="24"/>
          <w:lang w:val="en-US"/>
        </w:rPr>
        <w:t>5</w:t>
      </w:r>
      <w:r w:rsidRPr="00D06F2B">
        <w:rPr>
          <w:rFonts w:ascii="Garamond" w:hAnsi="Garamond"/>
          <w:sz w:val="24"/>
          <w:szCs w:val="24"/>
          <w:lang w:val="en-US"/>
        </w:rPr>
        <w:t>]</w:t>
      </w:r>
    </w:p>
    <w:p w14:paraId="5EF940E0" w14:textId="537F3236" w:rsidR="00C30273" w:rsidRPr="00D06F2B" w:rsidRDefault="00CE68B9" w:rsidP="00B95516">
      <w:pPr>
        <w:widowControl w:val="0"/>
        <w:spacing w:after="0" w:line="480" w:lineRule="auto"/>
        <w:ind w:firstLine="720"/>
        <w:rPr>
          <w:rFonts w:ascii="Garamond" w:hAnsi="Garamond"/>
          <w:sz w:val="24"/>
          <w:szCs w:val="24"/>
          <w:lang w:val="en-US"/>
        </w:rPr>
      </w:pPr>
      <w:r w:rsidRPr="00D06F2B">
        <w:rPr>
          <w:rFonts w:ascii="Garamond" w:hAnsi="Garamond"/>
          <w:sz w:val="24"/>
          <w:szCs w:val="24"/>
          <w:lang w:val="en-US"/>
        </w:rPr>
        <w:lastRenderedPageBreak/>
        <w:t xml:space="preserve">Table </w:t>
      </w:r>
      <w:r w:rsidR="00B95516" w:rsidRPr="00D06F2B">
        <w:rPr>
          <w:rFonts w:ascii="Garamond" w:hAnsi="Garamond"/>
          <w:sz w:val="24"/>
          <w:szCs w:val="24"/>
          <w:lang w:val="en-US"/>
        </w:rPr>
        <w:t>7</w:t>
      </w:r>
      <w:r w:rsidRPr="00D06F2B">
        <w:rPr>
          <w:rFonts w:ascii="Garamond" w:hAnsi="Garamond"/>
          <w:sz w:val="24"/>
          <w:szCs w:val="24"/>
          <w:lang w:val="en-US"/>
        </w:rPr>
        <w:t xml:space="preserve"> report</w:t>
      </w:r>
      <w:r w:rsidR="00B77C29" w:rsidRPr="00D06F2B">
        <w:rPr>
          <w:rFonts w:ascii="Garamond" w:hAnsi="Garamond"/>
          <w:sz w:val="24"/>
          <w:szCs w:val="24"/>
          <w:lang w:val="en-US"/>
        </w:rPr>
        <w:t xml:space="preserve"> </w:t>
      </w:r>
      <w:r w:rsidR="00B95516" w:rsidRPr="00D06F2B">
        <w:rPr>
          <w:rFonts w:ascii="Garamond" w:hAnsi="Garamond"/>
          <w:sz w:val="24"/>
          <w:szCs w:val="24"/>
          <w:lang w:val="en-US"/>
        </w:rPr>
        <w:t xml:space="preserve">abbreviated </w:t>
      </w:r>
      <w:r w:rsidR="00B77C29" w:rsidRPr="00D06F2B">
        <w:rPr>
          <w:rFonts w:ascii="Garamond" w:hAnsi="Garamond"/>
          <w:sz w:val="24"/>
          <w:szCs w:val="24"/>
          <w:lang w:val="en-US"/>
        </w:rPr>
        <w:t>equation (3)</w:t>
      </w:r>
      <w:r w:rsidRPr="00D06F2B">
        <w:rPr>
          <w:rFonts w:ascii="Garamond" w:hAnsi="Garamond"/>
          <w:sz w:val="24"/>
          <w:szCs w:val="24"/>
          <w:lang w:val="en-US"/>
        </w:rPr>
        <w:t xml:space="preserve"> results</w:t>
      </w:r>
      <w:r w:rsidR="00B77C29" w:rsidRPr="00D06F2B">
        <w:rPr>
          <w:rFonts w:ascii="Garamond" w:hAnsi="Garamond"/>
          <w:sz w:val="24"/>
          <w:szCs w:val="24"/>
          <w:lang w:val="en-US"/>
        </w:rPr>
        <w:t xml:space="preserve"> augmented with </w:t>
      </w:r>
      <w:r w:rsidRPr="00D06F2B">
        <w:rPr>
          <w:rFonts w:ascii="Garamond" w:hAnsi="Garamond"/>
          <w:sz w:val="24"/>
          <w:szCs w:val="24"/>
          <w:lang w:val="en-US"/>
        </w:rPr>
        <w:t xml:space="preserve">the interaction terms between analyst forecast revisions </w:t>
      </w:r>
      <w:r w:rsidR="00205827">
        <w:rPr>
          <w:rFonts w:ascii="Garamond" w:hAnsi="Garamond"/>
          <w:sz w:val="24"/>
          <w:szCs w:val="24"/>
          <w:lang w:val="en-US"/>
        </w:rPr>
        <w:t xml:space="preserve">during the pandemic </w:t>
      </w:r>
      <w:r w:rsidRPr="00D06F2B">
        <w:rPr>
          <w:rFonts w:ascii="Garamond" w:hAnsi="Garamond"/>
          <w:sz w:val="24"/>
          <w:szCs w:val="24"/>
          <w:lang w:val="en-US"/>
        </w:rPr>
        <w:t xml:space="preserve">and </w:t>
      </w:r>
      <w:r w:rsidR="00B77C29" w:rsidRPr="00D06F2B">
        <w:rPr>
          <w:rFonts w:ascii="Garamond" w:hAnsi="Garamond"/>
          <w:sz w:val="24"/>
          <w:szCs w:val="24"/>
          <w:lang w:val="en-US"/>
        </w:rPr>
        <w:t xml:space="preserve">the </w:t>
      </w:r>
      <w:r w:rsidRPr="00D06F2B">
        <w:rPr>
          <w:rFonts w:ascii="Garamond" w:hAnsi="Garamond"/>
          <w:sz w:val="24"/>
          <w:szCs w:val="24"/>
          <w:lang w:val="en-US"/>
        </w:rPr>
        <w:t>google search</w:t>
      </w:r>
      <w:r w:rsidR="00B77C29" w:rsidRPr="00D06F2B">
        <w:rPr>
          <w:rFonts w:ascii="Garamond" w:hAnsi="Garamond"/>
          <w:sz w:val="24"/>
          <w:szCs w:val="24"/>
          <w:lang w:val="en-US"/>
        </w:rPr>
        <w:t xml:space="preserve"> measure</w:t>
      </w:r>
      <w:r w:rsidRPr="00D06F2B">
        <w:rPr>
          <w:rFonts w:ascii="Garamond" w:hAnsi="Garamond"/>
          <w:sz w:val="24"/>
          <w:szCs w:val="24"/>
          <w:lang w:val="en-US"/>
        </w:rPr>
        <w:t xml:space="preserve">. We observe that all interaction terms are positive, which suggests that investors find analyst forecasts particularly useful when their information demand, as captured by their online search activity, is high. </w:t>
      </w:r>
    </w:p>
    <w:p w14:paraId="2CA24E15" w14:textId="5A359E70" w:rsidR="00B95516" w:rsidRPr="00D06F2B" w:rsidRDefault="00B95516" w:rsidP="00B95516">
      <w:pPr>
        <w:widowControl w:val="0"/>
        <w:spacing w:after="0" w:line="480" w:lineRule="auto"/>
        <w:jc w:val="center"/>
        <w:rPr>
          <w:rFonts w:ascii="Garamond" w:hAnsi="Garamond"/>
          <w:sz w:val="24"/>
          <w:szCs w:val="24"/>
          <w:lang w:val="en-US"/>
        </w:rPr>
      </w:pPr>
      <w:r w:rsidRPr="00D06F2B">
        <w:rPr>
          <w:rFonts w:ascii="Garamond" w:hAnsi="Garamond"/>
          <w:sz w:val="24"/>
          <w:szCs w:val="24"/>
          <w:lang w:val="en-US"/>
        </w:rPr>
        <w:t>[Table 7]</w:t>
      </w:r>
    </w:p>
    <w:p w14:paraId="4CE9EFD6" w14:textId="45A2B105" w:rsidR="000A53D8" w:rsidRPr="00D06F2B" w:rsidRDefault="000A53D8" w:rsidP="00BA6C5D">
      <w:pPr>
        <w:widowControl w:val="0"/>
        <w:spacing w:after="0" w:line="480" w:lineRule="auto"/>
        <w:rPr>
          <w:rFonts w:ascii="Garamond" w:hAnsi="Garamond"/>
          <w:sz w:val="24"/>
          <w:szCs w:val="24"/>
          <w:lang w:val="en-US"/>
        </w:rPr>
      </w:pPr>
    </w:p>
    <w:p w14:paraId="0D6DE336" w14:textId="09EC4F70" w:rsidR="000A53D8" w:rsidRPr="00D06F2B" w:rsidRDefault="000A53D8" w:rsidP="00BA6C5D">
      <w:pPr>
        <w:widowControl w:val="0"/>
        <w:spacing w:after="0" w:line="480" w:lineRule="auto"/>
        <w:rPr>
          <w:rFonts w:ascii="Garamond" w:hAnsi="Garamond"/>
          <w:i/>
          <w:iCs/>
          <w:sz w:val="24"/>
          <w:szCs w:val="24"/>
          <w:lang w:val="en-US"/>
        </w:rPr>
      </w:pPr>
      <w:r w:rsidRPr="00D06F2B">
        <w:rPr>
          <w:rFonts w:ascii="Garamond" w:hAnsi="Garamond"/>
          <w:i/>
          <w:iCs/>
          <w:sz w:val="24"/>
          <w:szCs w:val="24"/>
          <w:lang w:val="en-US"/>
        </w:rPr>
        <w:t>3.</w:t>
      </w:r>
      <w:r w:rsidR="00B95516" w:rsidRPr="00D06F2B">
        <w:rPr>
          <w:rFonts w:ascii="Garamond" w:hAnsi="Garamond"/>
          <w:i/>
          <w:iCs/>
          <w:sz w:val="24"/>
          <w:szCs w:val="24"/>
          <w:lang w:val="en-US"/>
        </w:rPr>
        <w:t>5</w:t>
      </w:r>
      <w:r w:rsidRPr="00D06F2B">
        <w:rPr>
          <w:rFonts w:ascii="Garamond" w:hAnsi="Garamond"/>
          <w:i/>
          <w:iCs/>
          <w:sz w:val="24"/>
          <w:szCs w:val="24"/>
          <w:lang w:val="en-US"/>
        </w:rPr>
        <w:t xml:space="preserve"> Analyst information discovery vs. interpretation roles</w:t>
      </w:r>
    </w:p>
    <w:p w14:paraId="47FD264C" w14:textId="7F9828DF" w:rsidR="00CE68B9" w:rsidRPr="00D06F2B" w:rsidRDefault="00CE68B9" w:rsidP="00C55A1B">
      <w:pPr>
        <w:widowControl w:val="0"/>
        <w:spacing w:after="0" w:line="480" w:lineRule="auto"/>
        <w:rPr>
          <w:rFonts w:ascii="Garamond" w:hAnsi="Garamond"/>
          <w:sz w:val="24"/>
          <w:szCs w:val="24"/>
          <w:lang w:val="en-US"/>
        </w:rPr>
      </w:pPr>
      <w:r w:rsidRPr="00D06F2B">
        <w:rPr>
          <w:rFonts w:ascii="Garamond" w:hAnsi="Garamond"/>
          <w:sz w:val="24"/>
          <w:szCs w:val="24"/>
          <w:lang w:val="en-US"/>
        </w:rPr>
        <w:t>Several studies examine the role analysts play in discovering private information compared to their role in interpreting public information (</w:t>
      </w:r>
      <w:r w:rsidR="00924DED" w:rsidRPr="00D06F2B">
        <w:rPr>
          <w:rFonts w:ascii="Garamond" w:hAnsi="Garamond"/>
          <w:sz w:val="24"/>
          <w:szCs w:val="24"/>
          <w:lang w:val="en-US"/>
        </w:rPr>
        <w:t>e.g</w:t>
      </w:r>
      <w:bookmarkStart w:id="19" w:name="_Hlk66964893"/>
      <w:r w:rsidR="00924DED" w:rsidRPr="00D06F2B">
        <w:rPr>
          <w:rFonts w:ascii="Garamond" w:hAnsi="Garamond"/>
          <w:sz w:val="24"/>
          <w:szCs w:val="24"/>
          <w:lang w:val="en-US"/>
        </w:rPr>
        <w:t xml:space="preserve">. </w:t>
      </w:r>
      <w:proofErr w:type="spellStart"/>
      <w:r w:rsidRPr="00D06F2B">
        <w:rPr>
          <w:rFonts w:ascii="Garamond" w:hAnsi="Garamond"/>
          <w:sz w:val="24"/>
          <w:szCs w:val="24"/>
          <w:lang w:val="en-US"/>
        </w:rPr>
        <w:t>Ivkovic</w:t>
      </w:r>
      <w:proofErr w:type="spellEnd"/>
      <w:r w:rsidRPr="00D06F2B">
        <w:rPr>
          <w:rFonts w:ascii="Garamond" w:hAnsi="Garamond"/>
          <w:sz w:val="24"/>
          <w:szCs w:val="24"/>
          <w:lang w:val="en-US"/>
        </w:rPr>
        <w:t xml:space="preserve"> and </w:t>
      </w:r>
      <w:proofErr w:type="spellStart"/>
      <w:r w:rsidRPr="00D06F2B">
        <w:rPr>
          <w:rFonts w:ascii="Garamond" w:hAnsi="Garamond"/>
          <w:sz w:val="24"/>
          <w:szCs w:val="24"/>
          <w:lang w:val="en-US"/>
        </w:rPr>
        <w:t>Jegadeesh</w:t>
      </w:r>
      <w:proofErr w:type="spellEnd"/>
      <w:r w:rsidRPr="00D06F2B">
        <w:rPr>
          <w:rFonts w:ascii="Garamond" w:hAnsi="Garamond"/>
          <w:sz w:val="24"/>
          <w:szCs w:val="24"/>
          <w:lang w:val="en-US"/>
        </w:rPr>
        <w:t>, 2004, Asquith et al. 2005).</w:t>
      </w:r>
      <w:r w:rsidR="00205827">
        <w:rPr>
          <w:rFonts w:ascii="Garamond" w:hAnsi="Garamond"/>
          <w:sz w:val="24"/>
          <w:szCs w:val="24"/>
          <w:lang w:val="en-US"/>
        </w:rPr>
        <w:t xml:space="preserve"> </w:t>
      </w:r>
      <w:r w:rsidRPr="00D06F2B">
        <w:rPr>
          <w:rFonts w:ascii="Garamond" w:hAnsi="Garamond"/>
          <w:sz w:val="24"/>
          <w:szCs w:val="24"/>
          <w:lang w:val="en-US"/>
        </w:rPr>
        <w:t>Francis et al. (2002) and Frankel et al. (2006</w:t>
      </w:r>
      <w:bookmarkEnd w:id="19"/>
      <w:r w:rsidRPr="00D06F2B">
        <w:rPr>
          <w:rFonts w:ascii="Garamond" w:hAnsi="Garamond"/>
          <w:sz w:val="24"/>
          <w:szCs w:val="24"/>
          <w:lang w:val="en-US"/>
        </w:rPr>
        <w:t xml:space="preserve">) report that both </w:t>
      </w:r>
      <w:r w:rsidR="00DA4124" w:rsidRPr="00D06F2B">
        <w:rPr>
          <w:rFonts w:ascii="Garamond" w:hAnsi="Garamond"/>
          <w:sz w:val="24"/>
          <w:szCs w:val="24"/>
          <w:lang w:val="en-US"/>
        </w:rPr>
        <w:t>functions</w:t>
      </w:r>
      <w:r w:rsidRPr="00D06F2B">
        <w:rPr>
          <w:rFonts w:ascii="Garamond" w:hAnsi="Garamond"/>
          <w:sz w:val="24"/>
          <w:szCs w:val="24"/>
          <w:lang w:val="en-US"/>
        </w:rPr>
        <w:t xml:space="preserve"> are important to investors. </w:t>
      </w:r>
      <w:r w:rsidR="000A0F02" w:rsidRPr="00D06F2B">
        <w:rPr>
          <w:rFonts w:ascii="Garamond" w:hAnsi="Garamond"/>
          <w:sz w:val="24"/>
          <w:szCs w:val="24"/>
          <w:lang w:val="en-US"/>
        </w:rPr>
        <w:t xml:space="preserve">Chen et al. (2010) </w:t>
      </w:r>
      <w:r w:rsidR="00B77C29" w:rsidRPr="00D06F2B">
        <w:rPr>
          <w:rFonts w:ascii="Garamond" w:hAnsi="Garamond"/>
          <w:sz w:val="24"/>
          <w:szCs w:val="24"/>
          <w:lang w:val="en-US"/>
        </w:rPr>
        <w:t>document</w:t>
      </w:r>
      <w:r w:rsidR="000A0F02" w:rsidRPr="00D06F2B">
        <w:rPr>
          <w:rFonts w:ascii="Garamond" w:hAnsi="Garamond"/>
          <w:sz w:val="24"/>
          <w:szCs w:val="24"/>
          <w:lang w:val="en-US"/>
        </w:rPr>
        <w:t xml:space="preserve"> that analyst information discovery</w:t>
      </w:r>
      <w:r w:rsidR="00B77C29" w:rsidRPr="00D06F2B">
        <w:rPr>
          <w:rFonts w:ascii="Garamond" w:hAnsi="Garamond"/>
          <w:sz w:val="24"/>
          <w:szCs w:val="24"/>
          <w:lang w:val="en-US"/>
        </w:rPr>
        <w:t xml:space="preserve"> role</w:t>
      </w:r>
      <w:r w:rsidRPr="00D06F2B">
        <w:rPr>
          <w:rFonts w:ascii="Garamond" w:hAnsi="Garamond"/>
          <w:sz w:val="24"/>
          <w:szCs w:val="24"/>
          <w:lang w:val="en-US"/>
        </w:rPr>
        <w:t xml:space="preserve"> dominates in the week</w:t>
      </w:r>
      <w:r w:rsidR="008D331E" w:rsidRPr="00D06F2B">
        <w:rPr>
          <w:rFonts w:ascii="Garamond" w:hAnsi="Garamond"/>
          <w:sz w:val="24"/>
          <w:szCs w:val="24"/>
          <w:lang w:val="en-US"/>
        </w:rPr>
        <w:t>s</w:t>
      </w:r>
      <w:r w:rsidRPr="00D06F2B">
        <w:rPr>
          <w:rFonts w:ascii="Garamond" w:hAnsi="Garamond"/>
          <w:sz w:val="24"/>
          <w:szCs w:val="24"/>
          <w:lang w:val="en-US"/>
        </w:rPr>
        <w:t xml:space="preserve"> before firms announce their earnings and information interpretation is more important in the week</w:t>
      </w:r>
      <w:r w:rsidR="008D331E" w:rsidRPr="00D06F2B">
        <w:rPr>
          <w:rFonts w:ascii="Garamond" w:hAnsi="Garamond"/>
          <w:sz w:val="24"/>
          <w:szCs w:val="24"/>
          <w:lang w:val="en-US"/>
        </w:rPr>
        <w:t>s</w:t>
      </w:r>
      <w:r w:rsidRPr="00D06F2B">
        <w:rPr>
          <w:rFonts w:ascii="Garamond" w:hAnsi="Garamond"/>
          <w:sz w:val="24"/>
          <w:szCs w:val="24"/>
          <w:lang w:val="en-US"/>
        </w:rPr>
        <w:t xml:space="preserve"> after earnings announcement</w:t>
      </w:r>
      <w:r w:rsidR="00322CA1" w:rsidRPr="00D06F2B">
        <w:rPr>
          <w:rFonts w:ascii="Garamond" w:hAnsi="Garamond"/>
          <w:sz w:val="24"/>
          <w:szCs w:val="24"/>
          <w:lang w:val="en-US"/>
        </w:rPr>
        <w:t>s</w:t>
      </w:r>
      <w:r w:rsidRPr="00D06F2B">
        <w:rPr>
          <w:rFonts w:ascii="Garamond" w:hAnsi="Garamond"/>
          <w:sz w:val="24"/>
          <w:szCs w:val="24"/>
          <w:lang w:val="en-US"/>
        </w:rPr>
        <w:t xml:space="preserve">. </w:t>
      </w:r>
      <w:r w:rsidR="000A0F02" w:rsidRPr="00D06F2B">
        <w:rPr>
          <w:rFonts w:ascii="Garamond" w:hAnsi="Garamond"/>
          <w:sz w:val="24"/>
          <w:szCs w:val="24"/>
          <w:lang w:val="en-US"/>
        </w:rPr>
        <w:t xml:space="preserve">We use this insight to examine the weight investors attach to these two roles. Specifically, we select earnings forecasts issued in a 10-day window before and after quarterly earnings announcements and create a variable </w:t>
      </w:r>
      <w:proofErr w:type="spellStart"/>
      <w:r w:rsidR="000A0F02" w:rsidRPr="00D06F2B">
        <w:rPr>
          <w:rFonts w:ascii="Garamond" w:hAnsi="Garamond"/>
          <w:i/>
          <w:iCs/>
          <w:sz w:val="24"/>
          <w:szCs w:val="24"/>
          <w:lang w:val="en-US"/>
        </w:rPr>
        <w:t>Pre_EA</w:t>
      </w:r>
      <w:proofErr w:type="spellEnd"/>
      <w:r w:rsidR="00DA4124" w:rsidRPr="00D06F2B">
        <w:rPr>
          <w:rFonts w:ascii="Garamond" w:hAnsi="Garamond"/>
          <w:sz w:val="24"/>
          <w:szCs w:val="24"/>
          <w:lang w:val="en-US"/>
        </w:rPr>
        <w:t>,</w:t>
      </w:r>
      <w:r w:rsidR="000A0F02" w:rsidRPr="00D06F2B">
        <w:rPr>
          <w:rFonts w:ascii="Garamond" w:hAnsi="Garamond"/>
          <w:sz w:val="24"/>
          <w:szCs w:val="24"/>
          <w:lang w:val="en-US"/>
        </w:rPr>
        <w:t xml:space="preserve"> which takes a value one for analyst EPS forecast revisions issued in a 10-day period </w:t>
      </w:r>
      <w:r w:rsidR="00DA4124" w:rsidRPr="00D06F2B">
        <w:rPr>
          <w:rFonts w:ascii="Garamond" w:hAnsi="Garamond"/>
          <w:sz w:val="24"/>
          <w:szCs w:val="24"/>
          <w:lang w:val="en-US"/>
        </w:rPr>
        <w:t>before</w:t>
      </w:r>
      <w:r w:rsidR="000A0F02" w:rsidRPr="00D06F2B">
        <w:rPr>
          <w:rFonts w:ascii="Garamond" w:hAnsi="Garamond"/>
          <w:sz w:val="24"/>
          <w:szCs w:val="24"/>
          <w:lang w:val="en-US"/>
        </w:rPr>
        <w:t xml:space="preserve"> quarterly earnings announcements and zero otherwise. We then interact this variable</w:t>
      </w:r>
      <w:r w:rsidR="00DA4124" w:rsidRPr="00D06F2B">
        <w:rPr>
          <w:rFonts w:ascii="Garamond" w:hAnsi="Garamond"/>
          <w:sz w:val="24"/>
          <w:szCs w:val="24"/>
          <w:lang w:val="en-US"/>
        </w:rPr>
        <w:t xml:space="preserve"> with</w:t>
      </w:r>
      <w:r w:rsidR="000A0F02" w:rsidRPr="00D06F2B">
        <w:rPr>
          <w:rFonts w:ascii="Garamond" w:hAnsi="Garamond"/>
          <w:sz w:val="24"/>
          <w:szCs w:val="24"/>
          <w:lang w:val="en-US"/>
        </w:rPr>
        <w:t xml:space="preserve"> revisions in analyst earnings forecasts </w:t>
      </w:r>
      <w:r w:rsidR="00DA4124" w:rsidRPr="00D06F2B">
        <w:rPr>
          <w:rFonts w:ascii="Garamond" w:hAnsi="Garamond"/>
          <w:sz w:val="24"/>
          <w:szCs w:val="24"/>
          <w:lang w:val="en-US"/>
        </w:rPr>
        <w:t xml:space="preserve">and </w:t>
      </w:r>
      <w:r w:rsidR="00AE7DCA" w:rsidRPr="00D06F2B">
        <w:rPr>
          <w:rFonts w:ascii="Garamond" w:hAnsi="Garamond"/>
          <w:sz w:val="24"/>
          <w:szCs w:val="24"/>
          <w:lang w:val="en-US"/>
        </w:rPr>
        <w:t>estimate the following model</w:t>
      </w:r>
    </w:p>
    <w:tbl>
      <w:tblPr>
        <w:tblStyle w:val="TableGrid"/>
        <w:tblW w:w="95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0"/>
      </w:tblGrid>
      <w:tr w:rsidR="006C32D5" w:rsidRPr="00D06F2B" w14:paraId="0AB9403E" w14:textId="77777777" w:rsidTr="00322CA1">
        <w:trPr>
          <w:jc w:val="center"/>
        </w:trPr>
        <w:tc>
          <w:tcPr>
            <w:tcW w:w="9072" w:type="dxa"/>
          </w:tcPr>
          <w:p w14:paraId="74C8E1ED" w14:textId="4F49F955" w:rsidR="000A0F02" w:rsidRPr="00D06F2B" w:rsidRDefault="00A22DEC" w:rsidP="005A6AA9">
            <w:pPr>
              <w:widowControl w:val="0"/>
              <w:spacing w:after="120" w:line="360" w:lineRule="auto"/>
              <w:ind w:left="591" w:right="-403" w:hanging="706"/>
              <w:rPr>
                <w:rFonts w:ascii="Garamond" w:hAnsi="Garamond"/>
                <w:lang w:val="en-US"/>
              </w:rPr>
            </w:pPr>
            <m:oMathPara>
              <m:oMath>
                <m:sSub>
                  <m:sSubPr>
                    <m:ctrlPr>
                      <w:rPr>
                        <w:rFonts w:ascii="Cambria Math" w:hAnsi="Cambria Math"/>
                        <w:i/>
                        <w:lang w:val="en-US"/>
                      </w:rPr>
                    </m:ctrlPr>
                  </m:sSubPr>
                  <m:e>
                    <m:r>
                      <w:rPr>
                        <w:rFonts w:ascii="Cambria Math" w:hAnsi="Cambria Math"/>
                        <w:lang w:val="en-US"/>
                      </w:rPr>
                      <m:t>ACAR</m:t>
                    </m:r>
                  </m:e>
                  <m:sub>
                    <m:r>
                      <w:rPr>
                        <w:rFonts w:ascii="Cambria Math" w:hAnsi="Cambria Math"/>
                        <w:lang w:val="en-US"/>
                      </w:rPr>
                      <m:t>d</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1</m:t>
                    </m:r>
                  </m:sub>
                </m:sSub>
                <m:d>
                  <m:dPr>
                    <m:begChr m:val="|"/>
                    <m:endChr m:val="|"/>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Δ</m:t>
                        </m:r>
                        <m:r>
                          <w:rPr>
                            <w:rFonts w:ascii="Cambria Math" w:hAnsi="Cambria Math"/>
                            <w:lang w:val="en-US"/>
                          </w:rPr>
                          <m:t>EPS</m:t>
                        </m:r>
                      </m:e>
                      <m:sub>
                        <m:r>
                          <w:rPr>
                            <w:rFonts w:ascii="Cambria Math" w:hAnsi="Cambria Math"/>
                            <w:lang w:val="en-US"/>
                          </w:rPr>
                          <m:t>d</m:t>
                        </m:r>
                      </m:sub>
                    </m:sSub>
                  </m:e>
                </m:d>
                <m:r>
                  <w:rPr>
                    <w:rFonts w:ascii="Cambria Math" w:hAnsi="Cambria Math"/>
                    <w:lang w:val="en-US"/>
                  </w:rPr>
                  <m:t>×Pre_EA+</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2</m:t>
                    </m:r>
                  </m:sub>
                </m:sSub>
                <m:d>
                  <m:dPr>
                    <m:begChr m:val="|"/>
                    <m:endChr m:val="|"/>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Δ</m:t>
                        </m:r>
                        <m:r>
                          <w:rPr>
                            <w:rFonts w:ascii="Cambria Math" w:hAnsi="Cambria Math"/>
                            <w:lang w:val="en-US"/>
                          </w:rPr>
                          <m:t>EPS</m:t>
                        </m:r>
                      </m:e>
                      <m:sub>
                        <m:r>
                          <w:rPr>
                            <w:rFonts w:ascii="Cambria Math" w:hAnsi="Cambria Math"/>
                            <w:lang w:val="en-US"/>
                          </w:rPr>
                          <m:t>d</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3</m:t>
                    </m:r>
                  </m:sub>
                </m:sSub>
                <m:d>
                  <m:dPr>
                    <m:begChr m:val="|"/>
                    <m:endChr m:val="|"/>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Δ</m:t>
                        </m:r>
                        <m:r>
                          <w:rPr>
                            <w:rFonts w:ascii="Cambria Math" w:hAnsi="Cambria Math"/>
                            <w:lang w:val="en-US"/>
                          </w:rPr>
                          <m:t>EPS</m:t>
                        </m:r>
                      </m:e>
                      <m:sub>
                        <m:r>
                          <w:rPr>
                            <w:rFonts w:ascii="Cambria Math" w:hAnsi="Cambria Math"/>
                            <w:lang w:val="en-US"/>
                          </w:rPr>
                          <m:t>d</m:t>
                        </m:r>
                      </m:sub>
                    </m:sSub>
                  </m:e>
                </m:d>
                <m:r>
                  <w:rPr>
                    <w:rFonts w:ascii="Cambria Math" w:hAnsi="Cambria Math"/>
                    <w:lang w:val="en-US"/>
                  </w:rPr>
                  <m:t>×Pre_EA×Covid+</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4</m:t>
                    </m:r>
                  </m:sub>
                </m:sSub>
                <m:d>
                  <m:dPr>
                    <m:begChr m:val="|"/>
                    <m:endChr m:val="|"/>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Δ</m:t>
                        </m:r>
                        <m:r>
                          <w:rPr>
                            <w:rFonts w:ascii="Cambria Math" w:hAnsi="Cambria Math"/>
                            <w:lang w:val="en-US"/>
                          </w:rPr>
                          <m:t>EPS</m:t>
                        </m:r>
                      </m:e>
                      <m:sub>
                        <m:r>
                          <w:rPr>
                            <w:rFonts w:ascii="Cambria Math" w:hAnsi="Cambria Math"/>
                            <w:lang w:val="en-US"/>
                          </w:rPr>
                          <m:t>d</m:t>
                        </m:r>
                      </m:sub>
                    </m:sSub>
                  </m:e>
                </m:d>
                <m:r>
                  <w:rPr>
                    <w:rFonts w:ascii="Cambria Math" w:hAnsi="Cambria Math"/>
                    <w:lang w:val="en-US"/>
                  </w:rPr>
                  <m:t>×Covid+</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5</m:t>
                    </m:r>
                  </m:sub>
                </m:sSub>
                <m:r>
                  <w:rPr>
                    <w:rFonts w:ascii="Cambria Math" w:hAnsi="Cambria Math"/>
                    <w:lang w:val="en-US"/>
                  </w:rPr>
                  <m:t>Pre_EA+</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6</m:t>
                    </m:r>
                  </m:sub>
                </m:sSub>
                <m:r>
                  <w:rPr>
                    <w:rFonts w:ascii="Cambria Math" w:hAnsi="Cambria Math"/>
                    <w:lang w:val="en-US"/>
                  </w:rPr>
                  <m:t>Pre_EA×Covid+Firm/Year/Quarter effects+u</m:t>
                </m:r>
              </m:oMath>
            </m:oMathPara>
          </w:p>
        </w:tc>
        <w:tc>
          <w:tcPr>
            <w:tcW w:w="500" w:type="dxa"/>
            <w:vAlign w:val="center"/>
          </w:tcPr>
          <w:p w14:paraId="59902A72" w14:textId="0696CF3C" w:rsidR="000A0F02" w:rsidRPr="00D06F2B" w:rsidRDefault="000A0F02" w:rsidP="005A6AA9">
            <w:pPr>
              <w:widowControl w:val="0"/>
              <w:spacing w:line="480" w:lineRule="auto"/>
              <w:rPr>
                <w:rFonts w:ascii="Garamond" w:hAnsi="Garamond"/>
                <w:lang w:val="en-US"/>
              </w:rPr>
            </w:pPr>
            <w:r w:rsidRPr="00D06F2B">
              <w:rPr>
                <w:rFonts w:ascii="Garamond" w:hAnsi="Garamond"/>
                <w:lang w:val="en-US"/>
              </w:rPr>
              <w:t>(</w:t>
            </w:r>
            <w:r w:rsidR="00DC75CF" w:rsidRPr="00D06F2B">
              <w:rPr>
                <w:rFonts w:ascii="Garamond" w:hAnsi="Garamond"/>
                <w:lang w:val="en-US"/>
              </w:rPr>
              <w:t>4</w:t>
            </w:r>
            <w:r w:rsidRPr="00D06F2B">
              <w:rPr>
                <w:rFonts w:ascii="Garamond" w:hAnsi="Garamond"/>
                <w:lang w:val="en-US"/>
              </w:rPr>
              <w:t>)</w:t>
            </w:r>
          </w:p>
        </w:tc>
      </w:tr>
    </w:tbl>
    <w:p w14:paraId="590A220B" w14:textId="567745BB" w:rsidR="000A0F02" w:rsidRPr="00D06F2B" w:rsidRDefault="00252E0E" w:rsidP="00CE68B9">
      <w:pPr>
        <w:widowControl w:val="0"/>
        <w:spacing w:after="0" w:line="480" w:lineRule="auto"/>
        <w:rPr>
          <w:rFonts w:ascii="Garamond" w:eastAsiaTheme="minorEastAsia" w:hAnsi="Garamond"/>
          <w:sz w:val="24"/>
          <w:szCs w:val="24"/>
          <w:lang w:val="en-US"/>
        </w:rPr>
      </w:pPr>
      <w:r w:rsidRPr="00D06F2B">
        <w:rPr>
          <w:rFonts w:ascii="Garamond" w:hAnsi="Garamond"/>
          <w:sz w:val="24"/>
          <w:szCs w:val="24"/>
          <w:lang w:val="en-US"/>
        </w:rPr>
        <w:t xml:space="preserve">where </w:t>
      </w:r>
      <m:oMath>
        <m:sSub>
          <m:sSubPr>
            <m:ctrlPr>
              <w:rPr>
                <w:rFonts w:ascii="Cambria Math" w:hAnsi="Cambria Math"/>
                <w:i/>
                <w:sz w:val="24"/>
                <w:szCs w:val="24"/>
                <w:lang w:val="en-US"/>
              </w:rPr>
            </m:ctrlPr>
          </m:sSubPr>
          <m:e>
            <m:r>
              <w:rPr>
                <w:rFonts w:ascii="Cambria Math" w:hAnsi="Cambria Math"/>
                <w:sz w:val="24"/>
                <w:szCs w:val="24"/>
                <w:lang w:val="en-US"/>
              </w:rPr>
              <m:t>β</m:t>
            </m:r>
          </m:e>
          <m:sub>
            <m:r>
              <w:rPr>
                <w:rFonts w:ascii="Cambria Math" w:hAnsi="Cambria Math"/>
                <w:sz w:val="24"/>
                <w:szCs w:val="24"/>
                <w:lang w:val="en-US"/>
              </w:rPr>
              <m:t>1</m:t>
            </m:r>
          </m:sub>
        </m:sSub>
      </m:oMath>
      <w:r w:rsidRPr="00D06F2B">
        <w:rPr>
          <w:rFonts w:ascii="Garamond" w:eastAsiaTheme="minorEastAsia" w:hAnsi="Garamond"/>
          <w:sz w:val="24"/>
          <w:szCs w:val="24"/>
          <w:lang w:val="en-US"/>
        </w:rPr>
        <w:t xml:space="preserve"> and </w:t>
      </w:r>
      <m:oMath>
        <m:sSub>
          <m:sSubPr>
            <m:ctrlPr>
              <w:rPr>
                <w:rFonts w:ascii="Cambria Math" w:hAnsi="Cambria Math"/>
                <w:i/>
                <w:sz w:val="24"/>
                <w:szCs w:val="24"/>
                <w:lang w:val="en-US"/>
              </w:rPr>
            </m:ctrlPr>
          </m:sSubPr>
          <m:e>
            <m:r>
              <w:rPr>
                <w:rFonts w:ascii="Cambria Math" w:hAnsi="Cambria Math"/>
                <w:sz w:val="24"/>
                <w:szCs w:val="24"/>
                <w:lang w:val="en-US"/>
              </w:rPr>
              <m:t>β</m:t>
            </m:r>
          </m:e>
          <m:sub>
            <m:r>
              <w:rPr>
                <w:rFonts w:ascii="Cambria Math" w:hAnsi="Cambria Math"/>
                <w:sz w:val="24"/>
                <w:szCs w:val="24"/>
                <w:lang w:val="en-US"/>
              </w:rPr>
              <m:t>3</m:t>
            </m:r>
          </m:sub>
        </m:sSub>
      </m:oMath>
      <w:r w:rsidRPr="00D06F2B">
        <w:rPr>
          <w:rFonts w:ascii="Garamond" w:eastAsiaTheme="minorEastAsia" w:hAnsi="Garamond"/>
          <w:sz w:val="24"/>
          <w:szCs w:val="24"/>
          <w:lang w:val="en-US"/>
        </w:rPr>
        <w:t xml:space="preserve"> capture incremental price reaction</w:t>
      </w:r>
      <w:r w:rsidR="00F571DB" w:rsidRPr="00D06F2B">
        <w:rPr>
          <w:rFonts w:ascii="Garamond" w:eastAsiaTheme="minorEastAsia" w:hAnsi="Garamond"/>
          <w:sz w:val="24"/>
          <w:szCs w:val="24"/>
          <w:lang w:val="en-US"/>
        </w:rPr>
        <w:t>s</w:t>
      </w:r>
      <w:r w:rsidRPr="00D06F2B">
        <w:rPr>
          <w:rFonts w:ascii="Garamond" w:eastAsiaTheme="minorEastAsia" w:hAnsi="Garamond"/>
          <w:sz w:val="24"/>
          <w:szCs w:val="24"/>
          <w:lang w:val="en-US"/>
        </w:rPr>
        <w:t xml:space="preserve"> to analyst earnings forecast revision in the short window before earnings announcements</w:t>
      </w:r>
      <w:r w:rsidR="00F571DB" w:rsidRPr="00D06F2B">
        <w:rPr>
          <w:rFonts w:ascii="Garamond" w:eastAsiaTheme="minorEastAsia" w:hAnsi="Garamond"/>
          <w:sz w:val="24"/>
          <w:szCs w:val="24"/>
          <w:lang w:val="en-US"/>
        </w:rPr>
        <w:t>,</w:t>
      </w:r>
      <w:r w:rsidRPr="00D06F2B">
        <w:rPr>
          <w:rFonts w:ascii="Garamond" w:eastAsiaTheme="minorEastAsia" w:hAnsi="Garamond"/>
          <w:sz w:val="24"/>
          <w:szCs w:val="24"/>
          <w:lang w:val="en-US"/>
        </w:rPr>
        <w:t xml:space="preserve"> compared to revision</w:t>
      </w:r>
      <w:r w:rsidR="00DC75CF" w:rsidRPr="00D06F2B">
        <w:rPr>
          <w:rFonts w:ascii="Garamond" w:eastAsiaTheme="minorEastAsia" w:hAnsi="Garamond"/>
          <w:sz w:val="24"/>
          <w:szCs w:val="24"/>
          <w:lang w:val="en-US"/>
        </w:rPr>
        <w:t>s</w:t>
      </w:r>
      <w:r w:rsidRPr="00D06F2B">
        <w:rPr>
          <w:rFonts w:ascii="Garamond" w:eastAsiaTheme="minorEastAsia" w:hAnsi="Garamond"/>
          <w:sz w:val="24"/>
          <w:szCs w:val="24"/>
          <w:lang w:val="en-US"/>
        </w:rPr>
        <w:t xml:space="preserve"> after earnings announcement</w:t>
      </w:r>
      <w:r w:rsidR="00322CA1" w:rsidRPr="00D06F2B">
        <w:rPr>
          <w:rFonts w:ascii="Garamond" w:eastAsiaTheme="minorEastAsia" w:hAnsi="Garamond"/>
          <w:sz w:val="24"/>
          <w:szCs w:val="24"/>
          <w:lang w:val="en-US"/>
        </w:rPr>
        <w:t>s</w:t>
      </w:r>
      <w:r w:rsidR="00F571DB" w:rsidRPr="00D06F2B">
        <w:rPr>
          <w:rFonts w:ascii="Garamond" w:eastAsiaTheme="minorEastAsia" w:hAnsi="Garamond"/>
          <w:sz w:val="24"/>
          <w:szCs w:val="24"/>
          <w:lang w:val="en-US"/>
        </w:rPr>
        <w:t>,</w:t>
      </w:r>
      <w:r w:rsidR="00DA4124" w:rsidRPr="00D06F2B">
        <w:rPr>
          <w:rFonts w:ascii="Garamond" w:eastAsiaTheme="minorEastAsia" w:hAnsi="Garamond"/>
          <w:sz w:val="24"/>
          <w:szCs w:val="24"/>
          <w:lang w:val="en-US"/>
        </w:rPr>
        <w:t xml:space="preserve"> </w:t>
      </w:r>
      <w:r w:rsidR="00DA4124" w:rsidRPr="00D06F2B">
        <w:rPr>
          <w:rFonts w:ascii="Garamond" w:eastAsiaTheme="minorEastAsia" w:hAnsi="Garamond"/>
          <w:sz w:val="24"/>
          <w:szCs w:val="24"/>
          <w:lang w:val="en-US"/>
        </w:rPr>
        <w:lastRenderedPageBreak/>
        <w:t>before and during the pandemic</w:t>
      </w:r>
      <w:r w:rsidR="00322CA1" w:rsidRPr="00D06F2B">
        <w:rPr>
          <w:rFonts w:ascii="Garamond" w:eastAsiaTheme="minorEastAsia" w:hAnsi="Garamond"/>
          <w:sz w:val="24"/>
          <w:szCs w:val="24"/>
          <w:lang w:val="en-US"/>
        </w:rPr>
        <w:t xml:space="preserve"> respectively</w:t>
      </w:r>
      <w:r w:rsidR="00DA4124" w:rsidRPr="00D06F2B">
        <w:rPr>
          <w:rFonts w:ascii="Garamond" w:hAnsi="Garamond"/>
          <w:sz w:val="24"/>
          <w:szCs w:val="24"/>
          <w:lang w:val="en-US"/>
        </w:rPr>
        <w:t>.</w:t>
      </w:r>
      <w:r w:rsidR="00DA4124" w:rsidRPr="00D06F2B">
        <w:rPr>
          <w:rStyle w:val="FootnoteReference"/>
          <w:rFonts w:ascii="Garamond" w:hAnsi="Garamond"/>
          <w:sz w:val="24"/>
          <w:szCs w:val="24"/>
          <w:lang w:val="en-US"/>
        </w:rPr>
        <w:footnoteReference w:id="20"/>
      </w:r>
      <w:r w:rsidRPr="00D06F2B">
        <w:rPr>
          <w:rFonts w:ascii="Garamond" w:eastAsiaTheme="minorEastAsia" w:hAnsi="Garamond"/>
          <w:sz w:val="24"/>
          <w:szCs w:val="24"/>
          <w:lang w:val="en-US"/>
        </w:rPr>
        <w:t xml:space="preserve"> As </w:t>
      </w:r>
      <w:r w:rsidR="007A696C" w:rsidRPr="00D06F2B">
        <w:rPr>
          <w:rFonts w:ascii="Garamond" w:eastAsiaTheme="minorEastAsia" w:hAnsi="Garamond"/>
          <w:sz w:val="24"/>
          <w:szCs w:val="24"/>
          <w:lang w:val="en-US"/>
        </w:rPr>
        <w:t>with equation (3)</w:t>
      </w:r>
      <w:r w:rsidRPr="00D06F2B">
        <w:rPr>
          <w:rFonts w:ascii="Garamond" w:eastAsiaTheme="minorEastAsia" w:hAnsi="Garamond"/>
          <w:sz w:val="24"/>
          <w:szCs w:val="24"/>
          <w:lang w:val="en-US"/>
        </w:rPr>
        <w:t xml:space="preserve">, we exclude EPS </w:t>
      </w:r>
      <w:r w:rsidR="0053691C" w:rsidRPr="00D06F2B">
        <w:rPr>
          <w:rFonts w:ascii="Garamond" w:eastAsiaTheme="minorEastAsia" w:hAnsi="Garamond"/>
          <w:sz w:val="24"/>
          <w:szCs w:val="24"/>
          <w:lang w:val="en-US"/>
        </w:rPr>
        <w:t>forecasts</w:t>
      </w:r>
      <w:r w:rsidRPr="00D06F2B">
        <w:rPr>
          <w:rFonts w:ascii="Garamond" w:eastAsiaTheme="minorEastAsia" w:hAnsi="Garamond"/>
          <w:sz w:val="24"/>
          <w:szCs w:val="24"/>
          <w:lang w:val="en-US"/>
        </w:rPr>
        <w:t xml:space="preserve"> issued in a three-day window around earnings announcements</w:t>
      </w:r>
      <w:r w:rsidR="00DA4124" w:rsidRPr="00D06F2B">
        <w:rPr>
          <w:rFonts w:ascii="Garamond" w:eastAsiaTheme="minorEastAsia" w:hAnsi="Garamond"/>
          <w:sz w:val="24"/>
          <w:szCs w:val="24"/>
          <w:lang w:val="en-US"/>
        </w:rPr>
        <w:t xml:space="preserve"> to avoid the confounding effect of earnings announcements.</w:t>
      </w:r>
    </w:p>
    <w:p w14:paraId="05F65BCE" w14:textId="63EF17C8" w:rsidR="00DC75CF" w:rsidRDefault="00DC75CF" w:rsidP="00CE68B9">
      <w:pPr>
        <w:widowControl w:val="0"/>
        <w:spacing w:after="0" w:line="480" w:lineRule="auto"/>
        <w:rPr>
          <w:rFonts w:ascii="Garamond" w:hAnsi="Garamond"/>
          <w:sz w:val="24"/>
          <w:szCs w:val="24"/>
          <w:lang w:val="en-US"/>
        </w:rPr>
      </w:pPr>
      <w:r w:rsidRPr="00D06F2B">
        <w:rPr>
          <w:rFonts w:ascii="Garamond" w:eastAsiaTheme="minorEastAsia" w:hAnsi="Garamond"/>
          <w:sz w:val="24"/>
          <w:szCs w:val="24"/>
          <w:lang w:val="en-US"/>
        </w:rPr>
        <w:tab/>
        <w:t xml:space="preserve">Table </w:t>
      </w:r>
      <w:r w:rsidR="00B95516" w:rsidRPr="00D06F2B">
        <w:rPr>
          <w:rFonts w:ascii="Garamond" w:eastAsiaTheme="minorEastAsia" w:hAnsi="Garamond"/>
          <w:sz w:val="24"/>
          <w:szCs w:val="24"/>
          <w:lang w:val="en-US"/>
        </w:rPr>
        <w:t>8</w:t>
      </w:r>
      <w:r w:rsidR="00924DED" w:rsidRPr="00D06F2B">
        <w:rPr>
          <w:rFonts w:ascii="Garamond" w:eastAsiaTheme="minorEastAsia" w:hAnsi="Garamond"/>
          <w:sz w:val="24"/>
          <w:szCs w:val="24"/>
          <w:lang w:val="en-US"/>
        </w:rPr>
        <w:t xml:space="preserve"> results confirm </w:t>
      </w:r>
      <w:r w:rsidR="00DA4124" w:rsidRPr="00D06F2B">
        <w:rPr>
          <w:rFonts w:ascii="Garamond" w:eastAsiaTheme="minorEastAsia" w:hAnsi="Garamond"/>
          <w:sz w:val="24"/>
          <w:szCs w:val="24"/>
          <w:lang w:val="en-US"/>
        </w:rPr>
        <w:t xml:space="preserve">the </w:t>
      </w:r>
      <w:r w:rsidR="00924DED" w:rsidRPr="00D06F2B">
        <w:rPr>
          <w:rFonts w:ascii="Garamond" w:eastAsiaTheme="minorEastAsia" w:hAnsi="Garamond"/>
          <w:sz w:val="24"/>
          <w:szCs w:val="24"/>
          <w:lang w:val="en-US"/>
        </w:rPr>
        <w:t xml:space="preserve">evidence in </w:t>
      </w:r>
      <w:r w:rsidR="0016174B" w:rsidRPr="00D06F2B">
        <w:rPr>
          <w:rFonts w:ascii="Garamond" w:hAnsi="Garamond"/>
          <w:sz w:val="24"/>
          <w:szCs w:val="24"/>
          <w:lang w:val="en-US"/>
        </w:rPr>
        <w:t xml:space="preserve">Francis et al. (2002) and Frankel et al. (2006) that, in the pre-pandemic period, both analyst interpretation and information discovery </w:t>
      </w:r>
      <w:r w:rsidR="00322CA1" w:rsidRPr="00D06F2B">
        <w:rPr>
          <w:rFonts w:ascii="Garamond" w:hAnsi="Garamond"/>
          <w:sz w:val="24"/>
          <w:szCs w:val="24"/>
          <w:lang w:val="en-US"/>
        </w:rPr>
        <w:t xml:space="preserve">roles </w:t>
      </w:r>
      <w:r w:rsidR="0016174B" w:rsidRPr="00D06F2B">
        <w:rPr>
          <w:rFonts w:ascii="Garamond" w:hAnsi="Garamond"/>
          <w:sz w:val="24"/>
          <w:szCs w:val="24"/>
          <w:lang w:val="en-US"/>
        </w:rPr>
        <w:t xml:space="preserve">are important to investors. However, during the pandemic, investors attach more weight to analyst information discovery than interpretation </w:t>
      </w:r>
      <w:r w:rsidR="00322CA1" w:rsidRPr="00D06F2B">
        <w:rPr>
          <w:rFonts w:ascii="Garamond" w:hAnsi="Garamond"/>
          <w:sz w:val="24"/>
          <w:szCs w:val="24"/>
          <w:lang w:val="en-US"/>
        </w:rPr>
        <w:t>functions</w:t>
      </w:r>
      <w:r w:rsidR="0016174B" w:rsidRPr="00D06F2B">
        <w:rPr>
          <w:rFonts w:ascii="Garamond" w:hAnsi="Garamond"/>
          <w:sz w:val="24"/>
          <w:szCs w:val="24"/>
          <w:lang w:val="en-US"/>
        </w:rPr>
        <w:t xml:space="preserve">. </w:t>
      </w:r>
      <w:r w:rsidR="00B25495" w:rsidRPr="00D06F2B">
        <w:rPr>
          <w:rFonts w:ascii="Garamond" w:hAnsi="Garamond"/>
          <w:sz w:val="24"/>
          <w:szCs w:val="24"/>
          <w:lang w:val="en-US"/>
        </w:rPr>
        <w:t>This result is consistent with higher</w:t>
      </w:r>
      <w:r w:rsidR="00322CA1" w:rsidRPr="00D06F2B">
        <w:rPr>
          <w:rFonts w:ascii="Garamond" w:hAnsi="Garamond"/>
          <w:sz w:val="24"/>
          <w:szCs w:val="24"/>
          <w:lang w:val="en-US"/>
        </w:rPr>
        <w:t xml:space="preserve"> investor</w:t>
      </w:r>
      <w:r w:rsidR="00B25495" w:rsidRPr="00D06F2B">
        <w:rPr>
          <w:rFonts w:ascii="Garamond" w:hAnsi="Garamond"/>
          <w:sz w:val="24"/>
          <w:szCs w:val="24"/>
          <w:lang w:val="en-US"/>
        </w:rPr>
        <w:t xml:space="preserve"> information demand for new information that helps assess firm performance</w:t>
      </w:r>
      <w:r w:rsidR="00322CA1" w:rsidRPr="00D06F2B">
        <w:rPr>
          <w:rFonts w:ascii="Garamond" w:hAnsi="Garamond"/>
          <w:sz w:val="24"/>
          <w:szCs w:val="24"/>
          <w:lang w:val="en-US"/>
        </w:rPr>
        <w:t xml:space="preserve"> during the pandemic</w:t>
      </w:r>
      <w:r w:rsidR="00B25495" w:rsidRPr="00D06F2B">
        <w:rPr>
          <w:rFonts w:ascii="Garamond" w:hAnsi="Garamond"/>
          <w:sz w:val="24"/>
          <w:szCs w:val="24"/>
          <w:lang w:val="en-US"/>
        </w:rPr>
        <w:t xml:space="preserve">. </w:t>
      </w:r>
    </w:p>
    <w:p w14:paraId="66702EB1" w14:textId="40BDEA0B" w:rsidR="00205827" w:rsidRPr="00D06F2B" w:rsidRDefault="00205827" w:rsidP="00205827">
      <w:pPr>
        <w:widowControl w:val="0"/>
        <w:spacing w:after="0" w:line="480" w:lineRule="auto"/>
        <w:jc w:val="center"/>
        <w:rPr>
          <w:rFonts w:ascii="Garamond" w:hAnsi="Garamond"/>
          <w:sz w:val="24"/>
          <w:szCs w:val="24"/>
          <w:lang w:val="en-US"/>
        </w:rPr>
      </w:pPr>
      <w:r>
        <w:rPr>
          <w:rFonts w:ascii="Garamond" w:hAnsi="Garamond"/>
          <w:sz w:val="24"/>
          <w:szCs w:val="24"/>
          <w:lang w:val="en-US"/>
        </w:rPr>
        <w:t>[Table 8]</w:t>
      </w:r>
    </w:p>
    <w:p w14:paraId="7378EE16" w14:textId="0152B469" w:rsidR="00BA699E" w:rsidRPr="00D06F2B" w:rsidRDefault="00BA699E" w:rsidP="00CE68B9">
      <w:pPr>
        <w:widowControl w:val="0"/>
        <w:spacing w:after="0" w:line="480" w:lineRule="auto"/>
        <w:rPr>
          <w:rFonts w:ascii="Garamond" w:hAnsi="Garamond"/>
          <w:sz w:val="24"/>
          <w:szCs w:val="24"/>
          <w:lang w:val="en-US"/>
        </w:rPr>
      </w:pPr>
    </w:p>
    <w:p w14:paraId="5CDFE1B5" w14:textId="386B5736" w:rsidR="00BA699E" w:rsidRPr="00D06F2B" w:rsidRDefault="00BA699E" w:rsidP="00CE68B9">
      <w:pPr>
        <w:widowControl w:val="0"/>
        <w:spacing w:after="0" w:line="480" w:lineRule="auto"/>
        <w:rPr>
          <w:rFonts w:ascii="Garamond" w:hAnsi="Garamond"/>
          <w:b/>
          <w:bCs/>
          <w:sz w:val="24"/>
          <w:szCs w:val="24"/>
          <w:lang w:val="en-US"/>
        </w:rPr>
      </w:pPr>
      <w:r w:rsidRPr="00D06F2B">
        <w:rPr>
          <w:rFonts w:ascii="Garamond" w:hAnsi="Garamond"/>
          <w:b/>
          <w:bCs/>
          <w:sz w:val="24"/>
          <w:szCs w:val="24"/>
          <w:lang w:val="en-US"/>
        </w:rPr>
        <w:t>4. Conclusions</w:t>
      </w:r>
    </w:p>
    <w:p w14:paraId="0705C3B3" w14:textId="50C88EDF" w:rsidR="007A696C" w:rsidRPr="00D06F2B" w:rsidRDefault="00BA699E" w:rsidP="00993E51">
      <w:pPr>
        <w:widowControl w:val="0"/>
        <w:spacing w:after="0" w:line="480" w:lineRule="auto"/>
        <w:rPr>
          <w:rFonts w:ascii="Garamond" w:hAnsi="Garamond"/>
          <w:sz w:val="24"/>
          <w:szCs w:val="24"/>
          <w:lang w:val="en-US"/>
        </w:rPr>
      </w:pPr>
      <w:r w:rsidRPr="00D06F2B">
        <w:rPr>
          <w:rFonts w:ascii="Garamond" w:hAnsi="Garamond"/>
          <w:sz w:val="24"/>
          <w:szCs w:val="24"/>
          <w:lang w:val="en-US"/>
        </w:rPr>
        <w:t xml:space="preserve">This study examines </w:t>
      </w:r>
      <w:r w:rsidR="00E71611" w:rsidRPr="00D06F2B">
        <w:rPr>
          <w:rFonts w:ascii="Garamond" w:hAnsi="Garamond"/>
          <w:sz w:val="24"/>
          <w:szCs w:val="24"/>
          <w:lang w:val="en-US"/>
        </w:rPr>
        <w:t xml:space="preserve">how a tail-risk event, as captured by the COVID-19 pandemic, affected analyst research production and </w:t>
      </w:r>
      <w:r w:rsidR="00DA4124" w:rsidRPr="00D06F2B">
        <w:rPr>
          <w:rFonts w:ascii="Garamond" w:hAnsi="Garamond"/>
          <w:sz w:val="24"/>
          <w:szCs w:val="24"/>
          <w:lang w:val="en-US"/>
        </w:rPr>
        <w:t>analyst</w:t>
      </w:r>
      <w:r w:rsidR="00E71611" w:rsidRPr="00D06F2B">
        <w:rPr>
          <w:rFonts w:ascii="Garamond" w:hAnsi="Garamond"/>
          <w:sz w:val="24"/>
          <w:szCs w:val="24"/>
          <w:lang w:val="en-US"/>
        </w:rPr>
        <w:t xml:space="preserve"> information intermediation role in the market.</w:t>
      </w:r>
      <w:r w:rsidR="007C6F8D" w:rsidRPr="00D06F2B">
        <w:rPr>
          <w:rFonts w:ascii="Garamond" w:hAnsi="Garamond"/>
          <w:sz w:val="24"/>
          <w:szCs w:val="24"/>
          <w:lang w:val="en-US"/>
        </w:rPr>
        <w:t xml:space="preserve"> We document that analysts increase their research activity in the initial months of the pandemic compared to similar months before the</w:t>
      </w:r>
      <w:r w:rsidR="00DA4124" w:rsidRPr="00D06F2B">
        <w:rPr>
          <w:rFonts w:ascii="Garamond" w:hAnsi="Garamond"/>
          <w:sz w:val="24"/>
          <w:szCs w:val="24"/>
          <w:lang w:val="en-US"/>
        </w:rPr>
        <w:t xml:space="preserve"> COVID-19 outbreak</w:t>
      </w:r>
      <w:r w:rsidR="007C6F8D" w:rsidRPr="00D06F2B">
        <w:rPr>
          <w:rFonts w:ascii="Garamond" w:hAnsi="Garamond"/>
          <w:sz w:val="24"/>
          <w:szCs w:val="24"/>
          <w:lang w:val="en-US"/>
        </w:rPr>
        <w:t xml:space="preserve">. </w:t>
      </w:r>
      <w:r w:rsidR="00DA4124" w:rsidRPr="00D06F2B">
        <w:rPr>
          <w:rFonts w:ascii="Garamond" w:hAnsi="Garamond"/>
          <w:sz w:val="24"/>
          <w:szCs w:val="24"/>
          <w:lang w:val="en-US"/>
        </w:rPr>
        <w:t>F</w:t>
      </w:r>
      <w:r w:rsidR="007C6F8D" w:rsidRPr="00D06F2B">
        <w:rPr>
          <w:rFonts w:ascii="Garamond" w:hAnsi="Garamond"/>
          <w:sz w:val="24"/>
          <w:szCs w:val="24"/>
          <w:lang w:val="en-US"/>
        </w:rPr>
        <w:t xml:space="preserve">orecasts </w:t>
      </w:r>
      <w:r w:rsidR="00DA4124" w:rsidRPr="00D06F2B">
        <w:rPr>
          <w:rFonts w:ascii="Garamond" w:hAnsi="Garamond"/>
          <w:sz w:val="24"/>
          <w:szCs w:val="24"/>
          <w:lang w:val="en-US"/>
        </w:rPr>
        <w:t xml:space="preserve">issued </w:t>
      </w:r>
      <w:r w:rsidR="00B95516" w:rsidRPr="00D06F2B">
        <w:rPr>
          <w:rFonts w:ascii="Garamond" w:hAnsi="Garamond"/>
          <w:sz w:val="24"/>
          <w:szCs w:val="24"/>
          <w:lang w:val="en-US"/>
        </w:rPr>
        <w:t xml:space="preserve">in the later part of 2020 </w:t>
      </w:r>
      <w:r w:rsidR="007C6F8D" w:rsidRPr="00D06F2B">
        <w:rPr>
          <w:rFonts w:ascii="Garamond" w:hAnsi="Garamond"/>
          <w:sz w:val="24"/>
          <w:szCs w:val="24"/>
          <w:lang w:val="en-US"/>
        </w:rPr>
        <w:t xml:space="preserve">associate with </w:t>
      </w:r>
      <w:r w:rsidR="00B95516" w:rsidRPr="00D06F2B">
        <w:rPr>
          <w:rFonts w:ascii="Garamond" w:hAnsi="Garamond"/>
          <w:sz w:val="24"/>
          <w:szCs w:val="24"/>
          <w:lang w:val="en-US"/>
        </w:rPr>
        <w:t>similar or higher</w:t>
      </w:r>
      <w:r w:rsidR="007C6F8D" w:rsidRPr="00D06F2B">
        <w:rPr>
          <w:rFonts w:ascii="Garamond" w:hAnsi="Garamond"/>
          <w:sz w:val="24"/>
          <w:szCs w:val="24"/>
          <w:lang w:val="en-US"/>
        </w:rPr>
        <w:t xml:space="preserve"> accuracy</w:t>
      </w:r>
      <w:r w:rsidR="00B95516" w:rsidRPr="00D06F2B">
        <w:rPr>
          <w:rFonts w:ascii="Garamond" w:hAnsi="Garamond"/>
          <w:sz w:val="24"/>
          <w:szCs w:val="24"/>
          <w:lang w:val="en-US"/>
        </w:rPr>
        <w:t xml:space="preserve"> per unit of uncertainty and</w:t>
      </w:r>
      <w:r w:rsidR="007C6F8D" w:rsidRPr="00D06F2B">
        <w:rPr>
          <w:rFonts w:ascii="Garamond" w:hAnsi="Garamond"/>
          <w:sz w:val="24"/>
          <w:szCs w:val="24"/>
          <w:lang w:val="en-US"/>
        </w:rPr>
        <w:t xml:space="preserve"> investors react incrementally</w:t>
      </w:r>
      <w:r w:rsidR="00E167DA" w:rsidRPr="00D06F2B">
        <w:rPr>
          <w:rFonts w:ascii="Garamond" w:hAnsi="Garamond"/>
          <w:sz w:val="24"/>
          <w:szCs w:val="24"/>
          <w:lang w:val="en-US"/>
        </w:rPr>
        <w:t xml:space="preserve"> higher</w:t>
      </w:r>
      <w:r w:rsidR="007C6F8D" w:rsidRPr="00D06F2B">
        <w:rPr>
          <w:rFonts w:ascii="Garamond" w:hAnsi="Garamond"/>
          <w:sz w:val="24"/>
          <w:szCs w:val="24"/>
          <w:lang w:val="en-US"/>
        </w:rPr>
        <w:t xml:space="preserve"> to revisions in analyst estimates </w:t>
      </w:r>
      <w:r w:rsidR="00DA4124" w:rsidRPr="00D06F2B">
        <w:rPr>
          <w:rFonts w:ascii="Garamond" w:hAnsi="Garamond"/>
          <w:sz w:val="24"/>
          <w:szCs w:val="24"/>
          <w:lang w:val="en-US"/>
        </w:rPr>
        <w:t>compared to the pre-</w:t>
      </w:r>
      <w:r w:rsidR="007C6F8D" w:rsidRPr="00D06F2B">
        <w:rPr>
          <w:rFonts w:ascii="Garamond" w:hAnsi="Garamond"/>
          <w:sz w:val="24"/>
          <w:szCs w:val="24"/>
          <w:lang w:val="en-US"/>
        </w:rPr>
        <w:t>pandemic</w:t>
      </w:r>
      <w:r w:rsidR="00DA4124" w:rsidRPr="00D06F2B">
        <w:rPr>
          <w:rFonts w:ascii="Garamond" w:hAnsi="Garamond"/>
          <w:sz w:val="24"/>
          <w:szCs w:val="24"/>
          <w:lang w:val="en-US"/>
        </w:rPr>
        <w:t xml:space="preserve"> years</w:t>
      </w:r>
      <w:r w:rsidR="00A07EEC" w:rsidRPr="00D06F2B">
        <w:rPr>
          <w:rFonts w:ascii="Garamond" w:hAnsi="Garamond"/>
          <w:sz w:val="24"/>
          <w:szCs w:val="24"/>
          <w:lang w:val="en-US"/>
        </w:rPr>
        <w:t>. This effect is magnified in periods of increased information demand as captured by googles searches for coronavirus and stock market information</w:t>
      </w:r>
      <w:r w:rsidR="007C6F8D" w:rsidRPr="00D06F2B">
        <w:rPr>
          <w:rFonts w:ascii="Garamond" w:hAnsi="Garamond"/>
          <w:sz w:val="24"/>
          <w:szCs w:val="24"/>
          <w:lang w:val="en-US"/>
        </w:rPr>
        <w:t>. We attribute this result to increased investor demand for information that helps assess firm value</w:t>
      </w:r>
      <w:r w:rsidR="00A07EEC" w:rsidRPr="00D06F2B">
        <w:rPr>
          <w:rFonts w:ascii="Garamond" w:hAnsi="Garamond"/>
          <w:sz w:val="24"/>
          <w:szCs w:val="24"/>
          <w:lang w:val="en-US"/>
        </w:rPr>
        <w:t xml:space="preserve"> induced by the COVID-19 outbreak</w:t>
      </w:r>
      <w:r w:rsidR="007C6F8D" w:rsidRPr="00D06F2B">
        <w:rPr>
          <w:rFonts w:ascii="Garamond" w:hAnsi="Garamond"/>
          <w:sz w:val="24"/>
          <w:szCs w:val="24"/>
          <w:lang w:val="en-US"/>
        </w:rPr>
        <w:t xml:space="preserve">. Further tests </w:t>
      </w:r>
      <w:r w:rsidR="00A07EEC" w:rsidRPr="00D06F2B">
        <w:rPr>
          <w:rFonts w:ascii="Garamond" w:hAnsi="Garamond"/>
          <w:sz w:val="24"/>
          <w:szCs w:val="24"/>
          <w:lang w:val="en-US"/>
        </w:rPr>
        <w:t>reveal</w:t>
      </w:r>
      <w:r w:rsidR="007C6F8D" w:rsidRPr="00D06F2B">
        <w:rPr>
          <w:rFonts w:ascii="Garamond" w:hAnsi="Garamond"/>
          <w:sz w:val="24"/>
          <w:szCs w:val="24"/>
          <w:lang w:val="en-US"/>
        </w:rPr>
        <w:t xml:space="preserve"> that analyst private information discovery role is more important to investors during pandemic compared to the information intermediation role. Overall, the study adds important evidence to the debate on the </w:t>
      </w:r>
      <w:r w:rsidR="007C6F8D" w:rsidRPr="00D06F2B">
        <w:rPr>
          <w:rFonts w:ascii="Garamond" w:hAnsi="Garamond"/>
          <w:sz w:val="24"/>
          <w:szCs w:val="24"/>
          <w:lang w:val="en-US"/>
        </w:rPr>
        <w:lastRenderedPageBreak/>
        <w:t>usefulness of analyst</w:t>
      </w:r>
      <w:r w:rsidR="00E167DA" w:rsidRPr="00D06F2B">
        <w:rPr>
          <w:rFonts w:ascii="Garamond" w:hAnsi="Garamond"/>
          <w:sz w:val="24"/>
          <w:szCs w:val="24"/>
          <w:lang w:val="en-US"/>
        </w:rPr>
        <w:t>s as information intermediaries</w:t>
      </w:r>
      <w:r w:rsidR="007C6F8D" w:rsidRPr="00D06F2B">
        <w:rPr>
          <w:rFonts w:ascii="Garamond" w:hAnsi="Garamond"/>
          <w:sz w:val="24"/>
          <w:szCs w:val="24"/>
          <w:lang w:val="en-US"/>
        </w:rPr>
        <w:t xml:space="preserve"> in capital markets. </w:t>
      </w:r>
    </w:p>
    <w:p w14:paraId="47CD17CA" w14:textId="77777777" w:rsidR="007A696C" w:rsidRPr="00D06F2B" w:rsidRDefault="007A696C">
      <w:pPr>
        <w:rPr>
          <w:rFonts w:ascii="Garamond" w:hAnsi="Garamond"/>
          <w:sz w:val="24"/>
          <w:szCs w:val="24"/>
          <w:lang w:val="en-US"/>
        </w:rPr>
      </w:pPr>
      <w:r w:rsidRPr="00D06F2B">
        <w:rPr>
          <w:rFonts w:ascii="Garamond" w:hAnsi="Garamond"/>
          <w:sz w:val="24"/>
          <w:szCs w:val="24"/>
          <w:lang w:val="en-US"/>
        </w:rPr>
        <w:br w:type="page"/>
      </w:r>
    </w:p>
    <w:p w14:paraId="0CFAB565" w14:textId="2AC1987B" w:rsidR="003B04ED" w:rsidRPr="00D06F2B" w:rsidRDefault="00E55B57">
      <w:pPr>
        <w:rPr>
          <w:rFonts w:ascii="Garamond" w:hAnsi="Garamond"/>
          <w:b/>
          <w:bCs/>
          <w:sz w:val="24"/>
          <w:szCs w:val="24"/>
          <w:lang w:val="en-US"/>
        </w:rPr>
      </w:pPr>
      <w:r w:rsidRPr="00D06F2B">
        <w:rPr>
          <w:rFonts w:ascii="Garamond" w:hAnsi="Garamond"/>
          <w:b/>
          <w:bCs/>
          <w:sz w:val="24"/>
          <w:szCs w:val="24"/>
          <w:lang w:val="en-US"/>
        </w:rPr>
        <w:lastRenderedPageBreak/>
        <w:t>References</w:t>
      </w:r>
    </w:p>
    <w:p w14:paraId="2F8BC3BF" w14:textId="02F02A94" w:rsidR="00C67A40" w:rsidRPr="00D06F2B" w:rsidRDefault="00C67A40" w:rsidP="00794F34">
      <w:pPr>
        <w:spacing w:after="0" w:line="336" w:lineRule="auto"/>
        <w:ind w:left="567" w:hanging="567"/>
        <w:rPr>
          <w:rFonts w:ascii="Garamond" w:hAnsi="Garamond"/>
          <w:sz w:val="24"/>
          <w:szCs w:val="24"/>
          <w:shd w:val="clear" w:color="auto" w:fill="FFFFFF"/>
        </w:rPr>
      </w:pPr>
      <w:r w:rsidRPr="00D06F2B">
        <w:rPr>
          <w:rFonts w:ascii="Garamond" w:hAnsi="Garamond"/>
          <w:sz w:val="24"/>
          <w:szCs w:val="24"/>
          <w:shd w:val="clear" w:color="auto" w:fill="FFFFFF"/>
        </w:rPr>
        <w:t xml:space="preserve">Aaron, A., J. Kang, J. Ng, T. </w:t>
      </w:r>
      <w:proofErr w:type="spellStart"/>
      <w:r w:rsidRPr="00D06F2B">
        <w:rPr>
          <w:rFonts w:ascii="Garamond" w:hAnsi="Garamond"/>
          <w:sz w:val="24"/>
          <w:szCs w:val="24"/>
          <w:shd w:val="clear" w:color="auto" w:fill="FFFFFF"/>
        </w:rPr>
        <w:t>Rusticus</w:t>
      </w:r>
      <w:proofErr w:type="spellEnd"/>
      <w:r w:rsidRPr="00D06F2B">
        <w:rPr>
          <w:rFonts w:ascii="Garamond" w:hAnsi="Garamond"/>
          <w:sz w:val="24"/>
          <w:szCs w:val="24"/>
          <w:shd w:val="clear" w:color="auto" w:fill="FFFFFF"/>
        </w:rPr>
        <w:t xml:space="preserve"> (2021). Withdrawal of Management Earnings Guidance During the COVID-19 Pandemic. Available at SSRN: https://ssrn.com/abstract=3794964</w:t>
      </w:r>
    </w:p>
    <w:p w14:paraId="709C2509" w14:textId="09D79C17" w:rsidR="00DF2DE6" w:rsidRPr="00D06F2B" w:rsidRDefault="00DF2DE6" w:rsidP="00794F34">
      <w:pPr>
        <w:spacing w:after="0" w:line="336" w:lineRule="auto"/>
        <w:ind w:left="567" w:hanging="567"/>
        <w:rPr>
          <w:rFonts w:ascii="Garamond" w:hAnsi="Garamond"/>
          <w:sz w:val="24"/>
          <w:szCs w:val="24"/>
          <w:shd w:val="clear" w:color="auto" w:fill="FFFFFF"/>
        </w:rPr>
      </w:pPr>
      <w:r w:rsidRPr="00D06F2B">
        <w:rPr>
          <w:rFonts w:ascii="Garamond" w:hAnsi="Garamond"/>
          <w:sz w:val="24"/>
          <w:szCs w:val="24"/>
          <w:shd w:val="clear" w:color="auto" w:fill="FFFFFF"/>
        </w:rPr>
        <w:t xml:space="preserve">Amiram, D., W. Landsman, E. Owens, and S. </w:t>
      </w:r>
      <w:proofErr w:type="spellStart"/>
      <w:r w:rsidRPr="00D06F2B">
        <w:rPr>
          <w:rFonts w:ascii="Garamond" w:hAnsi="Garamond"/>
          <w:sz w:val="24"/>
          <w:szCs w:val="24"/>
          <w:shd w:val="clear" w:color="auto" w:fill="FFFFFF"/>
        </w:rPr>
        <w:t>Stubben</w:t>
      </w:r>
      <w:proofErr w:type="spellEnd"/>
      <w:r w:rsidRPr="00D06F2B">
        <w:rPr>
          <w:rFonts w:ascii="Garamond" w:hAnsi="Garamond"/>
          <w:sz w:val="24"/>
          <w:szCs w:val="24"/>
          <w:shd w:val="clear" w:color="auto" w:fill="FFFFFF"/>
        </w:rPr>
        <w:t xml:space="preserve">. 2018. How are analysts’ forecasts affected by high uncertainty? </w:t>
      </w:r>
      <w:r w:rsidRPr="00D06F2B">
        <w:rPr>
          <w:rFonts w:ascii="Garamond" w:hAnsi="Garamond"/>
          <w:i/>
          <w:iCs/>
          <w:sz w:val="24"/>
          <w:szCs w:val="24"/>
          <w:shd w:val="clear" w:color="auto" w:fill="FFFFFF"/>
        </w:rPr>
        <w:t>Journal of Business Finance and Accounting</w:t>
      </w:r>
      <w:r w:rsidRPr="00D06F2B">
        <w:rPr>
          <w:rFonts w:ascii="Garamond" w:hAnsi="Garamond"/>
        </w:rPr>
        <w:t xml:space="preserve"> </w:t>
      </w:r>
      <w:r w:rsidRPr="00D06F2B">
        <w:rPr>
          <w:rFonts w:ascii="Garamond" w:hAnsi="Garamond"/>
          <w:sz w:val="24"/>
          <w:szCs w:val="24"/>
          <w:shd w:val="clear" w:color="auto" w:fill="FFFFFF"/>
        </w:rPr>
        <w:t>45, 295-318.</w:t>
      </w:r>
    </w:p>
    <w:p w14:paraId="2544FFF3" w14:textId="5E7BF21B" w:rsidR="00E034B2" w:rsidRPr="00D06F2B" w:rsidRDefault="00E034B2" w:rsidP="00E034B2">
      <w:pPr>
        <w:spacing w:after="0" w:line="336" w:lineRule="auto"/>
        <w:ind w:left="567" w:hanging="567"/>
        <w:rPr>
          <w:rFonts w:ascii="Garamond" w:hAnsi="Garamond"/>
          <w:sz w:val="24"/>
          <w:szCs w:val="24"/>
          <w:shd w:val="clear" w:color="auto" w:fill="FFFFFF"/>
        </w:rPr>
      </w:pPr>
      <w:r w:rsidRPr="00D06F2B">
        <w:rPr>
          <w:rFonts w:ascii="Garamond" w:hAnsi="Garamond"/>
          <w:sz w:val="24"/>
          <w:szCs w:val="24"/>
          <w:shd w:val="clear" w:color="auto" w:fill="FFFFFF"/>
        </w:rPr>
        <w:t xml:space="preserve">An, Z., D. Li, and J. Yu, 2015, Firm crash risk, information environment, and speed of leverage adjustment, </w:t>
      </w:r>
      <w:r w:rsidRPr="00D06F2B">
        <w:rPr>
          <w:rFonts w:ascii="Garamond" w:hAnsi="Garamond"/>
          <w:i/>
          <w:iCs/>
          <w:sz w:val="24"/>
          <w:szCs w:val="24"/>
          <w:shd w:val="clear" w:color="auto" w:fill="FFFFFF"/>
        </w:rPr>
        <w:t>Journal of Corporate Finance</w:t>
      </w:r>
      <w:r w:rsidRPr="00D06F2B">
        <w:rPr>
          <w:rFonts w:ascii="Garamond" w:hAnsi="Garamond"/>
          <w:sz w:val="24"/>
          <w:szCs w:val="24"/>
          <w:shd w:val="clear" w:color="auto" w:fill="FFFFFF"/>
        </w:rPr>
        <w:t xml:space="preserve"> 31, 132–15</w:t>
      </w:r>
    </w:p>
    <w:p w14:paraId="3EEEEB43" w14:textId="73E14C9C" w:rsidR="00CF30E3" w:rsidRPr="00D06F2B" w:rsidRDefault="00CF30E3" w:rsidP="00794F34">
      <w:pPr>
        <w:spacing w:after="0" w:line="336" w:lineRule="auto"/>
        <w:ind w:left="567" w:hanging="567"/>
        <w:rPr>
          <w:rFonts w:ascii="Garamond" w:hAnsi="Garamond"/>
          <w:sz w:val="24"/>
          <w:szCs w:val="24"/>
          <w:lang w:val="en-US"/>
        </w:rPr>
      </w:pPr>
      <w:proofErr w:type="spellStart"/>
      <w:r w:rsidRPr="00D06F2B">
        <w:rPr>
          <w:rFonts w:ascii="Garamond" w:hAnsi="Garamond"/>
          <w:sz w:val="24"/>
          <w:szCs w:val="24"/>
          <w:shd w:val="clear" w:color="auto" w:fill="FFFFFF"/>
        </w:rPr>
        <w:t>Anginer</w:t>
      </w:r>
      <w:proofErr w:type="spellEnd"/>
      <w:r w:rsidRPr="00D06F2B">
        <w:rPr>
          <w:rFonts w:ascii="Garamond" w:hAnsi="Garamond"/>
          <w:sz w:val="24"/>
          <w:szCs w:val="24"/>
          <w:shd w:val="clear" w:color="auto" w:fill="FFFFFF"/>
        </w:rPr>
        <w:t xml:space="preserve">, D., A. </w:t>
      </w:r>
      <w:proofErr w:type="spellStart"/>
      <w:r w:rsidRPr="00D06F2B">
        <w:rPr>
          <w:rFonts w:ascii="Garamond" w:hAnsi="Garamond"/>
          <w:sz w:val="24"/>
          <w:szCs w:val="24"/>
          <w:shd w:val="clear" w:color="auto" w:fill="FFFFFF"/>
        </w:rPr>
        <w:t>Donmez</w:t>
      </w:r>
      <w:proofErr w:type="spellEnd"/>
      <w:r w:rsidRPr="00D06F2B">
        <w:rPr>
          <w:rFonts w:ascii="Garamond" w:hAnsi="Garamond"/>
          <w:sz w:val="24"/>
          <w:szCs w:val="24"/>
          <w:shd w:val="clear" w:color="auto" w:fill="FFFFFF"/>
        </w:rPr>
        <w:t xml:space="preserve">, H. </w:t>
      </w:r>
      <w:proofErr w:type="spellStart"/>
      <w:r w:rsidRPr="00D06F2B">
        <w:rPr>
          <w:rFonts w:ascii="Garamond" w:hAnsi="Garamond"/>
          <w:sz w:val="24"/>
          <w:szCs w:val="24"/>
          <w:shd w:val="clear" w:color="auto" w:fill="FFFFFF"/>
        </w:rPr>
        <w:t>Seyhun</w:t>
      </w:r>
      <w:proofErr w:type="spellEnd"/>
      <w:r w:rsidRPr="00D06F2B">
        <w:rPr>
          <w:rFonts w:ascii="Garamond" w:hAnsi="Garamond"/>
          <w:sz w:val="24"/>
          <w:szCs w:val="24"/>
          <w:shd w:val="clear" w:color="auto" w:fill="FFFFFF"/>
        </w:rPr>
        <w:t>, H., and R. Zhang.  2020. Global Economic Impact of COVID-19: Evidence from Insider Trades. Working paper</w:t>
      </w:r>
      <w:r w:rsidR="00302F87" w:rsidRPr="00D06F2B">
        <w:rPr>
          <w:rFonts w:ascii="Garamond" w:hAnsi="Garamond"/>
          <w:sz w:val="24"/>
          <w:szCs w:val="24"/>
          <w:shd w:val="clear" w:color="auto" w:fill="FFFFFF"/>
        </w:rPr>
        <w:t xml:space="preserve"> Simon Fraser University</w:t>
      </w:r>
      <w:r w:rsidRPr="00D06F2B">
        <w:rPr>
          <w:rFonts w:ascii="Garamond" w:hAnsi="Garamond"/>
          <w:sz w:val="24"/>
          <w:szCs w:val="24"/>
          <w:shd w:val="clear" w:color="auto" w:fill="FFFFFF"/>
        </w:rPr>
        <w:t xml:space="preserve">.  </w:t>
      </w:r>
      <w:r w:rsidRPr="00D06F2B">
        <w:rPr>
          <w:rFonts w:ascii="Garamond" w:hAnsi="Garamond"/>
          <w:sz w:val="24"/>
          <w:szCs w:val="24"/>
          <w:lang w:val="en-US"/>
        </w:rPr>
        <w:t xml:space="preserve"> </w:t>
      </w:r>
    </w:p>
    <w:p w14:paraId="6EC43AC9" w14:textId="6BE04B08"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Appel, I., T. Gormley and D. </w:t>
      </w:r>
      <w:proofErr w:type="spellStart"/>
      <w:r w:rsidRPr="00D06F2B">
        <w:rPr>
          <w:rFonts w:ascii="Garamond" w:hAnsi="Garamond"/>
          <w:sz w:val="24"/>
          <w:szCs w:val="24"/>
          <w:lang w:val="en-US"/>
        </w:rPr>
        <w:t>Keim</w:t>
      </w:r>
      <w:proofErr w:type="spellEnd"/>
      <w:r w:rsidRPr="00D06F2B">
        <w:rPr>
          <w:rFonts w:ascii="Garamond" w:hAnsi="Garamond"/>
          <w:sz w:val="24"/>
          <w:szCs w:val="24"/>
          <w:lang w:val="en-US"/>
        </w:rPr>
        <w:t>. 2016. Passive investors, not passive owners</w:t>
      </w:r>
      <w:r w:rsidRPr="00D06F2B">
        <w:rPr>
          <w:rFonts w:ascii="Garamond" w:hAnsi="Garamond"/>
          <w:i/>
          <w:iCs/>
          <w:sz w:val="24"/>
          <w:szCs w:val="24"/>
          <w:lang w:val="en-US"/>
        </w:rPr>
        <w:t>.</w:t>
      </w:r>
      <w:r w:rsidRPr="00D06F2B">
        <w:rPr>
          <w:rFonts w:ascii="Garamond" w:hAnsi="Garamond"/>
          <w:i/>
          <w:iCs/>
          <w:sz w:val="24"/>
          <w:szCs w:val="24"/>
        </w:rPr>
        <w:t xml:space="preserve"> </w:t>
      </w:r>
      <w:r w:rsidRPr="00D06F2B">
        <w:rPr>
          <w:rFonts w:ascii="Garamond" w:hAnsi="Garamond"/>
          <w:i/>
          <w:iCs/>
          <w:sz w:val="24"/>
          <w:szCs w:val="24"/>
          <w:lang w:val="en-US"/>
        </w:rPr>
        <w:t>Journal of Financial Economics</w:t>
      </w:r>
      <w:r w:rsidRPr="00D06F2B">
        <w:rPr>
          <w:rFonts w:ascii="Garamond" w:hAnsi="Garamond"/>
          <w:sz w:val="24"/>
          <w:szCs w:val="24"/>
          <w:lang w:val="en-US"/>
        </w:rPr>
        <w:t xml:space="preserve"> 2016, vol. 121, issue 1, 111-141.</w:t>
      </w:r>
      <w:r w:rsidR="00B822DA" w:rsidRPr="00D06F2B">
        <w:rPr>
          <w:rFonts w:ascii="Garamond" w:hAnsi="Garamond"/>
          <w:sz w:val="24"/>
          <w:szCs w:val="24"/>
          <w:lang w:val="en-US"/>
        </w:rPr>
        <w:t xml:space="preserve"> </w:t>
      </w:r>
    </w:p>
    <w:p w14:paraId="79101BDD" w14:textId="6AA1FBBF"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Asquith, P., M. </w:t>
      </w:r>
      <w:proofErr w:type="gramStart"/>
      <w:r w:rsidRPr="00D06F2B">
        <w:rPr>
          <w:rFonts w:ascii="Garamond" w:hAnsi="Garamond"/>
          <w:sz w:val="24"/>
          <w:szCs w:val="24"/>
          <w:lang w:val="en-US"/>
        </w:rPr>
        <w:t>Mikhail</w:t>
      </w:r>
      <w:proofErr w:type="gramEnd"/>
      <w:r w:rsidRPr="00D06F2B">
        <w:rPr>
          <w:rFonts w:ascii="Garamond" w:hAnsi="Garamond"/>
          <w:sz w:val="24"/>
          <w:szCs w:val="24"/>
          <w:lang w:val="en-US"/>
        </w:rPr>
        <w:t xml:space="preserve"> and A. Au 2005. Information Content of Equity Analyst Reports. </w:t>
      </w:r>
      <w:r w:rsidRPr="00D06F2B">
        <w:rPr>
          <w:rFonts w:ascii="Garamond" w:hAnsi="Garamond"/>
          <w:i/>
          <w:iCs/>
          <w:sz w:val="24"/>
          <w:szCs w:val="24"/>
          <w:lang w:val="en-US"/>
        </w:rPr>
        <w:t xml:space="preserve">Journal of Financial Economics </w:t>
      </w:r>
      <w:r w:rsidRPr="00D06F2B">
        <w:rPr>
          <w:rFonts w:ascii="Garamond" w:hAnsi="Garamond"/>
          <w:sz w:val="24"/>
          <w:szCs w:val="24"/>
          <w:lang w:val="en-US"/>
        </w:rPr>
        <w:t>75(2):245-282</w:t>
      </w:r>
    </w:p>
    <w:p w14:paraId="6343CF30" w14:textId="79548309" w:rsidR="00BA3B7D" w:rsidRPr="00D06F2B" w:rsidRDefault="00BA3B7D" w:rsidP="00794F34">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t>Baloria</w:t>
      </w:r>
      <w:proofErr w:type="spellEnd"/>
      <w:r w:rsidRPr="00D06F2B">
        <w:rPr>
          <w:rFonts w:ascii="Garamond" w:hAnsi="Garamond"/>
          <w:sz w:val="24"/>
          <w:szCs w:val="24"/>
          <w:lang w:val="en-US"/>
        </w:rPr>
        <w:t>, V. and K. Mamo 2017. Policy uncertainty and analyst performance. Working Paper, Boston College.</w:t>
      </w:r>
    </w:p>
    <w:p w14:paraId="7A09EE62" w14:textId="75F9ACC1" w:rsidR="00CF30E3" w:rsidRPr="00D06F2B" w:rsidRDefault="00CF30E3" w:rsidP="00794F34">
      <w:pPr>
        <w:spacing w:after="0" w:line="336" w:lineRule="auto"/>
        <w:ind w:left="567" w:hanging="567"/>
        <w:rPr>
          <w:rFonts w:ascii="Garamond" w:hAnsi="Garamond"/>
          <w:sz w:val="24"/>
          <w:szCs w:val="24"/>
        </w:rPr>
      </w:pPr>
      <w:r w:rsidRPr="00D06F2B">
        <w:rPr>
          <w:rFonts w:ascii="Garamond" w:hAnsi="Garamond"/>
          <w:sz w:val="24"/>
          <w:szCs w:val="24"/>
          <w:shd w:val="clear" w:color="auto" w:fill="FFFFFF"/>
        </w:rPr>
        <w:t xml:space="preserve">Baker, S., N. Bloom, S. Davis, K. </w:t>
      </w:r>
      <w:proofErr w:type="spellStart"/>
      <w:r w:rsidRPr="00D06F2B">
        <w:rPr>
          <w:rFonts w:ascii="Garamond" w:hAnsi="Garamond"/>
          <w:sz w:val="24"/>
          <w:szCs w:val="24"/>
          <w:shd w:val="clear" w:color="auto" w:fill="FFFFFF"/>
        </w:rPr>
        <w:t>Kost</w:t>
      </w:r>
      <w:proofErr w:type="spellEnd"/>
      <w:r w:rsidRPr="00D06F2B">
        <w:rPr>
          <w:rFonts w:ascii="Garamond" w:hAnsi="Garamond"/>
          <w:sz w:val="24"/>
          <w:szCs w:val="24"/>
          <w:shd w:val="clear" w:color="auto" w:fill="FFFFFF"/>
        </w:rPr>
        <w:t xml:space="preserve">, M. </w:t>
      </w:r>
      <w:proofErr w:type="spellStart"/>
      <w:r w:rsidRPr="00D06F2B">
        <w:rPr>
          <w:rFonts w:ascii="Garamond" w:hAnsi="Garamond"/>
          <w:sz w:val="24"/>
          <w:szCs w:val="24"/>
          <w:shd w:val="clear" w:color="auto" w:fill="FFFFFF"/>
        </w:rPr>
        <w:t>Sammon</w:t>
      </w:r>
      <w:proofErr w:type="spellEnd"/>
      <w:r w:rsidRPr="00D06F2B">
        <w:rPr>
          <w:rFonts w:ascii="Garamond" w:hAnsi="Garamond"/>
          <w:sz w:val="24"/>
          <w:szCs w:val="24"/>
          <w:shd w:val="clear" w:color="auto" w:fill="FFFFFF"/>
        </w:rPr>
        <w:t xml:space="preserve">, and T. </w:t>
      </w:r>
      <w:proofErr w:type="spellStart"/>
      <w:r w:rsidRPr="00D06F2B">
        <w:rPr>
          <w:rFonts w:ascii="Garamond" w:hAnsi="Garamond"/>
          <w:sz w:val="24"/>
          <w:szCs w:val="24"/>
          <w:shd w:val="clear" w:color="auto" w:fill="FFFFFF"/>
        </w:rPr>
        <w:t>Viratyosin</w:t>
      </w:r>
      <w:proofErr w:type="spellEnd"/>
      <w:r w:rsidRPr="00D06F2B">
        <w:rPr>
          <w:rFonts w:ascii="Garamond" w:hAnsi="Garamond"/>
          <w:sz w:val="24"/>
          <w:szCs w:val="24"/>
          <w:shd w:val="clear" w:color="auto" w:fill="FFFFFF"/>
        </w:rPr>
        <w:t>. 2020. The Unprecedented Stock Market Impact of Covid-19. NBER Working Paper No. w26945.</w:t>
      </w:r>
      <w:r w:rsidRPr="00D06F2B">
        <w:rPr>
          <w:rFonts w:ascii="Garamond" w:hAnsi="Garamond"/>
          <w:sz w:val="24"/>
          <w:szCs w:val="24"/>
        </w:rPr>
        <w:t xml:space="preserve"> </w:t>
      </w:r>
    </w:p>
    <w:p w14:paraId="06657116" w14:textId="042E18C2" w:rsidR="00154529" w:rsidRPr="00D06F2B" w:rsidRDefault="00154529" w:rsidP="00794F34">
      <w:pPr>
        <w:spacing w:after="0" w:line="336" w:lineRule="auto"/>
        <w:ind w:left="567" w:hanging="567"/>
        <w:rPr>
          <w:rFonts w:ascii="Garamond" w:hAnsi="Garamond"/>
          <w:sz w:val="24"/>
          <w:szCs w:val="24"/>
        </w:rPr>
      </w:pPr>
      <w:r w:rsidRPr="00D06F2B">
        <w:rPr>
          <w:rFonts w:ascii="Garamond" w:hAnsi="Garamond"/>
          <w:sz w:val="24"/>
          <w:szCs w:val="24"/>
        </w:rPr>
        <w:t>Ben-</w:t>
      </w:r>
      <w:proofErr w:type="spellStart"/>
      <w:r w:rsidRPr="00D06F2B">
        <w:rPr>
          <w:rFonts w:ascii="Garamond" w:hAnsi="Garamond"/>
          <w:sz w:val="24"/>
          <w:szCs w:val="24"/>
        </w:rPr>
        <w:t>Rephael</w:t>
      </w:r>
      <w:proofErr w:type="spellEnd"/>
      <w:r w:rsidRPr="00D06F2B">
        <w:rPr>
          <w:rFonts w:ascii="Garamond" w:hAnsi="Garamond"/>
          <w:sz w:val="24"/>
          <w:szCs w:val="24"/>
        </w:rPr>
        <w:t xml:space="preserve">, A, Z. Da, and R. </w:t>
      </w:r>
      <w:proofErr w:type="spellStart"/>
      <w:r w:rsidRPr="00D06F2B">
        <w:rPr>
          <w:rFonts w:ascii="Garamond" w:hAnsi="Garamond"/>
          <w:sz w:val="24"/>
          <w:szCs w:val="24"/>
        </w:rPr>
        <w:t>Israelsen</w:t>
      </w:r>
      <w:proofErr w:type="spellEnd"/>
      <w:r w:rsidRPr="00D06F2B">
        <w:rPr>
          <w:rFonts w:ascii="Garamond" w:hAnsi="Garamond"/>
          <w:sz w:val="24"/>
          <w:szCs w:val="24"/>
        </w:rPr>
        <w:t xml:space="preserve">. 2017. It depends on where you search: Institutional investor attention and underreaction to news. </w:t>
      </w:r>
      <w:r w:rsidRPr="00D06F2B">
        <w:rPr>
          <w:rFonts w:ascii="Garamond" w:hAnsi="Garamond"/>
          <w:i/>
          <w:iCs/>
          <w:sz w:val="24"/>
          <w:szCs w:val="24"/>
        </w:rPr>
        <w:t>Review of Financial Studies</w:t>
      </w:r>
      <w:r w:rsidRPr="00D06F2B">
        <w:rPr>
          <w:rFonts w:ascii="Garamond" w:hAnsi="Garamond"/>
          <w:sz w:val="24"/>
          <w:szCs w:val="24"/>
        </w:rPr>
        <w:t xml:space="preserve"> 30, 3009–3047</w:t>
      </w:r>
    </w:p>
    <w:p w14:paraId="4796DBD6" w14:textId="2C511FF6" w:rsidR="00DD4D2D" w:rsidRPr="00D06F2B" w:rsidRDefault="00DD4D2D" w:rsidP="00794F34">
      <w:pPr>
        <w:spacing w:after="0" w:line="336" w:lineRule="auto"/>
        <w:ind w:left="567" w:hanging="567"/>
        <w:rPr>
          <w:rFonts w:ascii="Garamond" w:hAnsi="Garamond"/>
          <w:sz w:val="24"/>
          <w:szCs w:val="24"/>
        </w:rPr>
      </w:pPr>
      <w:r w:rsidRPr="00D06F2B">
        <w:rPr>
          <w:rFonts w:ascii="Garamond" w:hAnsi="Garamond"/>
          <w:sz w:val="24"/>
          <w:szCs w:val="24"/>
        </w:rPr>
        <w:t>Bento, A., T. Nguyen, C. Wing, F. Lozano-Rojas, Y. Ahn, and K. Simon. 2020. Evidence from internet search data shows information-seeking responses to news of local COVID-19 cases.</w:t>
      </w:r>
      <w:r w:rsidRPr="00D06F2B">
        <w:rPr>
          <w:rFonts w:ascii="Garamond" w:hAnsi="Garamond"/>
        </w:rPr>
        <w:t xml:space="preserve"> </w:t>
      </w:r>
      <w:r w:rsidRPr="00D06F2B">
        <w:rPr>
          <w:rFonts w:ascii="Garamond" w:hAnsi="Garamond"/>
          <w:i/>
          <w:iCs/>
          <w:sz w:val="24"/>
          <w:szCs w:val="24"/>
        </w:rPr>
        <w:t>Proceedings of the National Academy of Sciences</w:t>
      </w:r>
      <w:r w:rsidRPr="00D06F2B">
        <w:rPr>
          <w:rFonts w:ascii="Garamond" w:hAnsi="Garamond"/>
          <w:sz w:val="24"/>
          <w:szCs w:val="24"/>
        </w:rPr>
        <w:t xml:space="preserve"> 117,</w:t>
      </w:r>
      <w:r w:rsidRPr="00D06F2B">
        <w:rPr>
          <w:rFonts w:ascii="Garamond" w:hAnsi="Garamond"/>
        </w:rPr>
        <w:t xml:space="preserve"> </w:t>
      </w:r>
      <w:r w:rsidRPr="00D06F2B">
        <w:rPr>
          <w:rFonts w:ascii="Garamond" w:hAnsi="Garamond"/>
          <w:sz w:val="24"/>
          <w:szCs w:val="24"/>
        </w:rPr>
        <w:t>11220–11222.</w:t>
      </w:r>
    </w:p>
    <w:p w14:paraId="6A0B249A" w14:textId="77777777"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Bilinski P. and M. Bradshaw. 2020.</w:t>
      </w:r>
      <w:r w:rsidRPr="00D06F2B">
        <w:rPr>
          <w:rFonts w:ascii="Garamond" w:hAnsi="Garamond"/>
          <w:sz w:val="24"/>
          <w:szCs w:val="24"/>
        </w:rPr>
        <w:t xml:space="preserve"> </w:t>
      </w:r>
      <w:r w:rsidRPr="00D06F2B">
        <w:rPr>
          <w:rFonts w:ascii="Garamond" w:hAnsi="Garamond"/>
          <w:sz w:val="24"/>
          <w:szCs w:val="24"/>
          <w:lang w:val="en-US"/>
        </w:rPr>
        <w:t xml:space="preserve">Analyst Dividend forecasts and their usefulness to investors. Working paper, Boston College. </w:t>
      </w:r>
    </w:p>
    <w:p w14:paraId="488823A7" w14:textId="77777777"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Bilinski, P. 2014. Do analysts disclose cash flow forecasts with earnings estimates when earnings quality is low? </w:t>
      </w:r>
      <w:r w:rsidRPr="00D06F2B">
        <w:rPr>
          <w:rFonts w:ascii="Garamond" w:hAnsi="Garamond"/>
          <w:i/>
          <w:sz w:val="24"/>
          <w:szCs w:val="24"/>
          <w:lang w:val="en-US"/>
        </w:rPr>
        <w:t>Journal of Business Finance and Accounting</w:t>
      </w:r>
      <w:r w:rsidRPr="00D06F2B">
        <w:rPr>
          <w:rFonts w:ascii="Garamond" w:hAnsi="Garamond"/>
          <w:sz w:val="24"/>
          <w:szCs w:val="24"/>
          <w:lang w:val="en-US"/>
        </w:rPr>
        <w:t xml:space="preserve"> 41, 401–434</w:t>
      </w:r>
    </w:p>
    <w:p w14:paraId="29CC933D" w14:textId="62F3C9AF"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Bradshaw, M., L. </w:t>
      </w:r>
      <w:proofErr w:type="gramStart"/>
      <w:r w:rsidRPr="00D06F2B">
        <w:rPr>
          <w:rFonts w:ascii="Garamond" w:hAnsi="Garamond"/>
          <w:sz w:val="24"/>
          <w:szCs w:val="24"/>
          <w:lang w:val="en-US"/>
        </w:rPr>
        <w:t>Brown</w:t>
      </w:r>
      <w:proofErr w:type="gramEnd"/>
      <w:r w:rsidRPr="00D06F2B">
        <w:rPr>
          <w:rFonts w:ascii="Garamond" w:hAnsi="Garamond"/>
          <w:sz w:val="24"/>
          <w:szCs w:val="24"/>
          <w:lang w:val="en-US"/>
        </w:rPr>
        <w:t xml:space="preserve"> and K. Huang. 2013.</w:t>
      </w:r>
      <w:r w:rsidRPr="00D06F2B">
        <w:rPr>
          <w:rFonts w:ascii="Garamond" w:hAnsi="Garamond"/>
          <w:sz w:val="24"/>
          <w:szCs w:val="24"/>
        </w:rPr>
        <w:t xml:space="preserve"> </w:t>
      </w:r>
      <w:r w:rsidRPr="00D06F2B">
        <w:rPr>
          <w:rFonts w:ascii="Garamond" w:hAnsi="Garamond"/>
          <w:sz w:val="24"/>
          <w:szCs w:val="24"/>
          <w:lang w:val="en-US"/>
        </w:rPr>
        <w:t xml:space="preserve">Do sell-side analysts exhibit differential target price forecasting ability? </w:t>
      </w:r>
      <w:r w:rsidRPr="00D06F2B">
        <w:rPr>
          <w:rFonts w:ascii="Garamond" w:hAnsi="Garamond"/>
          <w:i/>
          <w:iCs/>
          <w:sz w:val="24"/>
          <w:szCs w:val="24"/>
          <w:lang w:val="en-US"/>
        </w:rPr>
        <w:t>Review of Accounting Studies</w:t>
      </w:r>
      <w:r w:rsidRPr="00D06F2B">
        <w:rPr>
          <w:rFonts w:ascii="Garamond" w:hAnsi="Garamond"/>
          <w:sz w:val="24"/>
          <w:szCs w:val="24"/>
          <w:lang w:val="en-US"/>
        </w:rPr>
        <w:t xml:space="preserve"> 18, 930–955(2013</w:t>
      </w:r>
    </w:p>
    <w:p w14:paraId="28394F46" w14:textId="77777777"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Carhart, M. 1997.</w:t>
      </w:r>
      <w:r w:rsidRPr="00D06F2B">
        <w:rPr>
          <w:rFonts w:ascii="Garamond" w:hAnsi="Garamond"/>
          <w:sz w:val="24"/>
          <w:szCs w:val="24"/>
        </w:rPr>
        <w:t xml:space="preserve"> </w:t>
      </w:r>
      <w:r w:rsidRPr="00D06F2B">
        <w:rPr>
          <w:rFonts w:ascii="Garamond" w:hAnsi="Garamond"/>
          <w:sz w:val="24"/>
          <w:szCs w:val="24"/>
          <w:lang w:val="en-US"/>
        </w:rPr>
        <w:t xml:space="preserve">On Persistence in Mutual Fund Performance. </w:t>
      </w:r>
      <w:r w:rsidRPr="00D06F2B">
        <w:rPr>
          <w:rFonts w:ascii="Garamond" w:hAnsi="Garamond"/>
          <w:i/>
          <w:iCs/>
          <w:sz w:val="24"/>
          <w:szCs w:val="24"/>
          <w:lang w:val="en-US"/>
        </w:rPr>
        <w:t>Journal of Finance</w:t>
      </w:r>
      <w:r w:rsidRPr="00D06F2B">
        <w:rPr>
          <w:rFonts w:ascii="Garamond" w:hAnsi="Garamond"/>
          <w:sz w:val="24"/>
          <w:szCs w:val="24"/>
          <w:lang w:val="en-US"/>
        </w:rPr>
        <w:t xml:space="preserve"> 52, 57-82.</w:t>
      </w:r>
    </w:p>
    <w:p w14:paraId="39A2E82D" w14:textId="77777777" w:rsidR="00CF30E3" w:rsidRPr="00D06F2B" w:rsidRDefault="00CF30E3" w:rsidP="00794F34">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t>Cejnek</w:t>
      </w:r>
      <w:proofErr w:type="spellEnd"/>
      <w:r w:rsidRPr="00D06F2B">
        <w:rPr>
          <w:rFonts w:ascii="Garamond" w:hAnsi="Garamond"/>
          <w:sz w:val="24"/>
          <w:szCs w:val="24"/>
          <w:lang w:val="en-US"/>
        </w:rPr>
        <w:t xml:space="preserve">, G., O. </w:t>
      </w:r>
      <w:proofErr w:type="spellStart"/>
      <w:proofErr w:type="gramStart"/>
      <w:r w:rsidRPr="00D06F2B">
        <w:rPr>
          <w:rFonts w:ascii="Garamond" w:hAnsi="Garamond"/>
          <w:sz w:val="24"/>
          <w:szCs w:val="24"/>
          <w:lang w:val="en-US"/>
        </w:rPr>
        <w:t>Randl,and</w:t>
      </w:r>
      <w:proofErr w:type="spellEnd"/>
      <w:proofErr w:type="gramEnd"/>
      <w:r w:rsidRPr="00D06F2B">
        <w:rPr>
          <w:rFonts w:ascii="Garamond" w:hAnsi="Garamond"/>
          <w:sz w:val="24"/>
          <w:szCs w:val="24"/>
          <w:lang w:val="en-US"/>
        </w:rPr>
        <w:t xml:space="preserve"> J. </w:t>
      </w:r>
      <w:proofErr w:type="spellStart"/>
      <w:r w:rsidRPr="00D06F2B">
        <w:rPr>
          <w:rFonts w:ascii="Garamond" w:hAnsi="Garamond"/>
          <w:sz w:val="24"/>
          <w:szCs w:val="24"/>
          <w:lang w:val="en-US"/>
        </w:rPr>
        <w:t>Zechner</w:t>
      </w:r>
      <w:proofErr w:type="spellEnd"/>
      <w:r w:rsidRPr="00D06F2B">
        <w:rPr>
          <w:rFonts w:ascii="Garamond" w:hAnsi="Garamond"/>
          <w:sz w:val="24"/>
          <w:szCs w:val="24"/>
          <w:lang w:val="en-US"/>
        </w:rPr>
        <w:t xml:space="preserve">. 2020. The COVID-19 Pandemic and Corporate Dividend Policy. Working paper ZZ </w:t>
      </w:r>
      <w:proofErr w:type="spellStart"/>
      <w:r w:rsidRPr="00D06F2B">
        <w:rPr>
          <w:rFonts w:ascii="Garamond" w:hAnsi="Garamond"/>
          <w:sz w:val="24"/>
          <w:szCs w:val="24"/>
          <w:lang w:val="en-US"/>
        </w:rPr>
        <w:t>Vermögensverwaltung</w:t>
      </w:r>
      <w:proofErr w:type="spellEnd"/>
      <w:r w:rsidRPr="00D06F2B">
        <w:rPr>
          <w:rFonts w:ascii="Garamond" w:hAnsi="Garamond"/>
          <w:sz w:val="24"/>
          <w:szCs w:val="24"/>
          <w:lang w:val="en-US"/>
        </w:rPr>
        <w:t>.</w:t>
      </w:r>
    </w:p>
    <w:p w14:paraId="39B1E595" w14:textId="2072D2C4"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Chen, X., Q. Cheng and K. Lo. 2010. On the relationship between analyst reports and corporate disclosures: Exploring the roles of information discovery and interpretation</w:t>
      </w:r>
      <w:r w:rsidRPr="00D06F2B">
        <w:rPr>
          <w:rFonts w:ascii="Garamond" w:hAnsi="Garamond"/>
          <w:i/>
          <w:iCs/>
          <w:sz w:val="24"/>
          <w:szCs w:val="24"/>
          <w:lang w:val="en-US"/>
        </w:rPr>
        <w:t>. Journal of Accounting and Economics</w:t>
      </w:r>
      <w:r w:rsidRPr="00D06F2B">
        <w:rPr>
          <w:rFonts w:ascii="Garamond" w:hAnsi="Garamond"/>
          <w:sz w:val="24"/>
          <w:szCs w:val="24"/>
          <w:lang w:val="en-US"/>
        </w:rPr>
        <w:t xml:space="preserve"> 49, 206–226</w:t>
      </w:r>
      <w:r w:rsidR="00DF27EB" w:rsidRPr="00D06F2B">
        <w:rPr>
          <w:rFonts w:ascii="Garamond" w:hAnsi="Garamond"/>
          <w:sz w:val="24"/>
          <w:szCs w:val="24"/>
          <w:lang w:val="en-US"/>
        </w:rPr>
        <w:t>.</w:t>
      </w:r>
    </w:p>
    <w:p w14:paraId="2233C69A" w14:textId="08660E2E" w:rsidR="00DF27EB" w:rsidRPr="00D06F2B" w:rsidRDefault="00DF27EB" w:rsidP="00794F34">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lastRenderedPageBreak/>
        <w:t>Costola</w:t>
      </w:r>
      <w:proofErr w:type="spellEnd"/>
      <w:r w:rsidRPr="00D06F2B">
        <w:rPr>
          <w:rFonts w:ascii="Garamond" w:hAnsi="Garamond"/>
          <w:sz w:val="24"/>
          <w:szCs w:val="24"/>
          <w:lang w:val="en-US"/>
        </w:rPr>
        <w:t xml:space="preserve">, M., M. </w:t>
      </w:r>
      <w:proofErr w:type="spellStart"/>
      <w:r w:rsidRPr="00D06F2B">
        <w:rPr>
          <w:rFonts w:ascii="Garamond" w:hAnsi="Garamond"/>
          <w:sz w:val="24"/>
          <w:szCs w:val="24"/>
          <w:lang w:val="en-US"/>
        </w:rPr>
        <w:t>Iacopini</w:t>
      </w:r>
      <w:proofErr w:type="spellEnd"/>
      <w:r w:rsidRPr="00D06F2B">
        <w:rPr>
          <w:rFonts w:ascii="Garamond" w:hAnsi="Garamond"/>
          <w:sz w:val="24"/>
          <w:szCs w:val="24"/>
          <w:lang w:val="en-US"/>
        </w:rPr>
        <w:t xml:space="preserve">, and C. </w:t>
      </w:r>
      <w:proofErr w:type="spellStart"/>
      <w:r w:rsidRPr="00D06F2B">
        <w:rPr>
          <w:rFonts w:ascii="Garamond" w:hAnsi="Garamond"/>
          <w:sz w:val="24"/>
          <w:szCs w:val="24"/>
          <w:lang w:val="en-US"/>
        </w:rPr>
        <w:t>Santagiustina</w:t>
      </w:r>
      <w:proofErr w:type="spellEnd"/>
      <w:r w:rsidRPr="00D06F2B">
        <w:rPr>
          <w:rFonts w:ascii="Garamond" w:hAnsi="Garamond"/>
          <w:sz w:val="24"/>
          <w:szCs w:val="24"/>
          <w:lang w:val="en-US"/>
        </w:rPr>
        <w:t>. 2020.</w:t>
      </w:r>
      <w:r w:rsidRPr="00D06F2B">
        <w:rPr>
          <w:rFonts w:ascii="Garamond" w:hAnsi="Garamond"/>
          <w:sz w:val="24"/>
          <w:szCs w:val="24"/>
        </w:rPr>
        <w:t xml:space="preserve"> </w:t>
      </w:r>
      <w:r w:rsidRPr="00D06F2B">
        <w:rPr>
          <w:rFonts w:ascii="Garamond" w:hAnsi="Garamond"/>
          <w:sz w:val="24"/>
          <w:szCs w:val="24"/>
          <w:lang w:val="en-US"/>
        </w:rPr>
        <w:t xml:space="preserve">Google search volumes and the financial markets during the COVID-19 outbreak. </w:t>
      </w:r>
      <w:r w:rsidRPr="00D06F2B">
        <w:rPr>
          <w:rFonts w:ascii="Garamond" w:hAnsi="Garamond"/>
          <w:sz w:val="24"/>
          <w:szCs w:val="24"/>
        </w:rPr>
        <w:t xml:space="preserve"> </w:t>
      </w:r>
      <w:r w:rsidRPr="00D06F2B">
        <w:rPr>
          <w:rFonts w:ascii="Garamond" w:hAnsi="Garamond"/>
          <w:sz w:val="24"/>
          <w:szCs w:val="24"/>
          <w:lang w:val="en-US"/>
        </w:rPr>
        <w:t xml:space="preserve">Finance Research Letters, forthcoming. </w:t>
      </w:r>
    </w:p>
    <w:p w14:paraId="78C159CB" w14:textId="77777777"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Cox, J., D. Greenwald, and S. </w:t>
      </w:r>
      <w:proofErr w:type="spellStart"/>
      <w:r w:rsidRPr="00D06F2B">
        <w:rPr>
          <w:rFonts w:ascii="Garamond" w:hAnsi="Garamond"/>
          <w:sz w:val="24"/>
          <w:szCs w:val="24"/>
          <w:lang w:val="en-US"/>
        </w:rPr>
        <w:t>Ludvigson</w:t>
      </w:r>
      <w:proofErr w:type="spellEnd"/>
      <w:r w:rsidRPr="00D06F2B">
        <w:rPr>
          <w:rFonts w:ascii="Garamond" w:hAnsi="Garamond"/>
          <w:sz w:val="24"/>
          <w:szCs w:val="24"/>
          <w:lang w:val="en-US"/>
        </w:rPr>
        <w:t xml:space="preserve"> 2020. What Explains the Covid-19 Stock Market? NBER Working Paper No. w27784</w:t>
      </w:r>
    </w:p>
    <w:p w14:paraId="2C9ECAB1" w14:textId="757FCA2B"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Da, Z., J. </w:t>
      </w:r>
      <w:proofErr w:type="spellStart"/>
      <w:r w:rsidRPr="00D06F2B">
        <w:rPr>
          <w:rFonts w:ascii="Garamond" w:hAnsi="Garamond"/>
          <w:sz w:val="24"/>
          <w:szCs w:val="24"/>
          <w:lang w:val="en-US"/>
        </w:rPr>
        <w:t>Engelberg</w:t>
      </w:r>
      <w:proofErr w:type="spellEnd"/>
      <w:r w:rsidRPr="00D06F2B">
        <w:rPr>
          <w:rFonts w:ascii="Garamond" w:hAnsi="Garamond"/>
          <w:sz w:val="24"/>
          <w:szCs w:val="24"/>
          <w:lang w:val="en-US"/>
        </w:rPr>
        <w:t xml:space="preserve">, and P. Gao. 2011. In search of attention. </w:t>
      </w:r>
      <w:r w:rsidRPr="00D06F2B">
        <w:rPr>
          <w:rFonts w:ascii="Garamond" w:hAnsi="Garamond"/>
          <w:i/>
          <w:iCs/>
          <w:sz w:val="24"/>
          <w:szCs w:val="24"/>
          <w:lang w:val="en-US"/>
        </w:rPr>
        <w:t>Journal of Finance</w:t>
      </w:r>
      <w:r w:rsidRPr="00D06F2B">
        <w:rPr>
          <w:rFonts w:ascii="Garamond" w:hAnsi="Garamond"/>
          <w:sz w:val="24"/>
          <w:szCs w:val="24"/>
          <w:lang w:val="en-US"/>
        </w:rPr>
        <w:t xml:space="preserve"> 66, 1461-1499</w:t>
      </w:r>
    </w:p>
    <w:p w14:paraId="62D2AB36" w14:textId="77777777"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Das, S., C. Levine, and K. </w:t>
      </w:r>
      <w:proofErr w:type="spellStart"/>
      <w:r w:rsidRPr="00D06F2B">
        <w:rPr>
          <w:rFonts w:ascii="Garamond" w:hAnsi="Garamond"/>
          <w:sz w:val="24"/>
          <w:szCs w:val="24"/>
          <w:lang w:val="en-US"/>
        </w:rPr>
        <w:t>Sivaramakrishnan</w:t>
      </w:r>
      <w:proofErr w:type="spellEnd"/>
      <w:r w:rsidRPr="00D06F2B">
        <w:rPr>
          <w:rFonts w:ascii="Garamond" w:hAnsi="Garamond"/>
          <w:sz w:val="24"/>
          <w:szCs w:val="24"/>
          <w:lang w:val="en-US"/>
        </w:rPr>
        <w:t xml:space="preserve">. 1998. Earnings predictability and bias in analysts' earnings forecasts. </w:t>
      </w:r>
      <w:r w:rsidRPr="00D06F2B">
        <w:rPr>
          <w:rFonts w:ascii="Garamond" w:hAnsi="Garamond"/>
          <w:i/>
          <w:sz w:val="24"/>
          <w:szCs w:val="24"/>
          <w:lang w:val="en-US"/>
        </w:rPr>
        <w:t>The Accounting Review</w:t>
      </w:r>
      <w:r w:rsidRPr="00D06F2B">
        <w:rPr>
          <w:rFonts w:ascii="Garamond" w:hAnsi="Garamond"/>
          <w:sz w:val="24"/>
          <w:szCs w:val="24"/>
          <w:lang w:val="en-US"/>
        </w:rPr>
        <w:t xml:space="preserve"> 73, 277–294.</w:t>
      </w:r>
    </w:p>
    <w:p w14:paraId="46FF1853" w14:textId="77777777" w:rsidR="00CF30E3" w:rsidRPr="00D06F2B" w:rsidRDefault="00CF30E3" w:rsidP="00794F34">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t>DeFond</w:t>
      </w:r>
      <w:proofErr w:type="spellEnd"/>
      <w:r w:rsidRPr="00D06F2B">
        <w:rPr>
          <w:rFonts w:ascii="Garamond" w:hAnsi="Garamond"/>
          <w:sz w:val="24"/>
          <w:szCs w:val="24"/>
          <w:lang w:val="en-US"/>
        </w:rPr>
        <w:t xml:space="preserve">, M., and M. Hung. 2003. An empirical analysis of analysts’ cash flow forecasts. </w:t>
      </w:r>
      <w:r w:rsidRPr="00D06F2B">
        <w:rPr>
          <w:rFonts w:ascii="Garamond" w:hAnsi="Garamond"/>
          <w:i/>
          <w:sz w:val="24"/>
          <w:szCs w:val="24"/>
          <w:lang w:val="en-US"/>
        </w:rPr>
        <w:t>Journal of Accounting and Economics</w:t>
      </w:r>
      <w:r w:rsidRPr="00D06F2B">
        <w:rPr>
          <w:rFonts w:ascii="Garamond" w:hAnsi="Garamond"/>
          <w:sz w:val="24"/>
          <w:szCs w:val="24"/>
          <w:lang w:val="en-US"/>
        </w:rPr>
        <w:t xml:space="preserve"> 35, 73–100.</w:t>
      </w:r>
    </w:p>
    <w:p w14:paraId="4354FC99" w14:textId="77777777"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Dempsey, S., 1989. </w:t>
      </w:r>
      <w:proofErr w:type="spellStart"/>
      <w:r w:rsidRPr="00D06F2B">
        <w:rPr>
          <w:rFonts w:ascii="Garamond" w:hAnsi="Garamond"/>
          <w:sz w:val="24"/>
          <w:szCs w:val="24"/>
          <w:lang w:val="en-US"/>
        </w:rPr>
        <w:t>Predisclosure</w:t>
      </w:r>
      <w:proofErr w:type="spellEnd"/>
      <w:r w:rsidRPr="00D06F2B">
        <w:rPr>
          <w:rFonts w:ascii="Garamond" w:hAnsi="Garamond"/>
          <w:sz w:val="24"/>
          <w:szCs w:val="24"/>
          <w:lang w:val="en-US"/>
        </w:rPr>
        <w:t xml:space="preserve"> information search incentives, analyst following, and earnings announcement price response. </w:t>
      </w:r>
      <w:r w:rsidRPr="00D06F2B">
        <w:rPr>
          <w:rFonts w:ascii="Garamond" w:hAnsi="Garamond"/>
          <w:i/>
          <w:iCs/>
          <w:sz w:val="24"/>
          <w:szCs w:val="24"/>
          <w:lang w:val="en-US"/>
        </w:rPr>
        <w:t>The Accounting Review</w:t>
      </w:r>
      <w:r w:rsidRPr="00D06F2B">
        <w:rPr>
          <w:rFonts w:ascii="Garamond" w:hAnsi="Garamond"/>
          <w:sz w:val="24"/>
          <w:szCs w:val="24"/>
          <w:lang w:val="en-US"/>
        </w:rPr>
        <w:t xml:space="preserve"> 64 (4), 748–757</w:t>
      </w:r>
    </w:p>
    <w:p w14:paraId="2E6B4842" w14:textId="0B4FDB55"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Ding, W., R. Levine, Ch. Lin, and W. Xie. 2020. Corporate Immunity to the COVID-19 Pandemic. </w:t>
      </w:r>
      <w:r w:rsidRPr="00D06F2B">
        <w:rPr>
          <w:rFonts w:ascii="Garamond" w:hAnsi="Garamond"/>
          <w:i/>
          <w:iCs/>
          <w:sz w:val="24"/>
          <w:szCs w:val="24"/>
          <w:lang w:val="en-US"/>
        </w:rPr>
        <w:t>Journal of Financial Economics</w:t>
      </w:r>
      <w:r w:rsidRPr="00D06F2B">
        <w:rPr>
          <w:rFonts w:ascii="Garamond" w:hAnsi="Garamond"/>
          <w:sz w:val="24"/>
          <w:szCs w:val="24"/>
          <w:lang w:val="en-US"/>
        </w:rPr>
        <w:t>, forthcoming</w:t>
      </w:r>
    </w:p>
    <w:p w14:paraId="119DFD8F" w14:textId="247F2A11" w:rsidR="008A057E" w:rsidRPr="00D06F2B" w:rsidRDefault="008A057E" w:rsidP="008A057E">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t>Dreman</w:t>
      </w:r>
      <w:proofErr w:type="spellEnd"/>
      <w:r w:rsidRPr="00D06F2B">
        <w:rPr>
          <w:rFonts w:ascii="Garamond" w:hAnsi="Garamond"/>
          <w:sz w:val="24"/>
          <w:szCs w:val="24"/>
          <w:lang w:val="en-US"/>
        </w:rPr>
        <w:t xml:space="preserve">, D. and M. Berry 1995. Analyst Forecasting Errors and Their Implications for Security Analysis. </w:t>
      </w:r>
      <w:r w:rsidRPr="00D06F2B">
        <w:rPr>
          <w:rFonts w:ascii="Garamond" w:hAnsi="Garamond"/>
          <w:i/>
          <w:iCs/>
          <w:sz w:val="24"/>
          <w:szCs w:val="24"/>
          <w:lang w:val="en-US"/>
        </w:rPr>
        <w:t>Financial Analysts Journal</w:t>
      </w:r>
      <w:r w:rsidRPr="00D06F2B">
        <w:rPr>
          <w:rFonts w:ascii="Garamond" w:hAnsi="Garamond"/>
          <w:sz w:val="24"/>
          <w:szCs w:val="24"/>
          <w:lang w:val="en-US"/>
        </w:rPr>
        <w:t>, 51, 30-41.</w:t>
      </w:r>
    </w:p>
    <w:p w14:paraId="64BFDB2D" w14:textId="77777777" w:rsidR="00CF30E3" w:rsidRPr="00D06F2B" w:rsidRDefault="00CF30E3" w:rsidP="00794F34">
      <w:pPr>
        <w:spacing w:after="0" w:line="336" w:lineRule="auto"/>
        <w:ind w:left="567" w:hanging="567"/>
        <w:rPr>
          <w:rFonts w:ascii="Garamond" w:hAnsi="Garamond"/>
          <w:sz w:val="24"/>
          <w:szCs w:val="24"/>
        </w:rPr>
      </w:pPr>
      <w:r w:rsidRPr="00D06F2B">
        <w:rPr>
          <w:rFonts w:ascii="Garamond" w:hAnsi="Garamond"/>
          <w:sz w:val="24"/>
          <w:szCs w:val="24"/>
          <w:shd w:val="clear" w:color="auto" w:fill="FFFFFF"/>
        </w:rPr>
        <w:t>Du, M. 2020. Locked-in at Home: Female Analysts' Attention at Work during the COVID-19 Pandemic. Working paper, University of Mannheim.</w:t>
      </w:r>
    </w:p>
    <w:p w14:paraId="2F4826F7" w14:textId="0F0E18F9" w:rsidR="00CF30E3" w:rsidRPr="00D06F2B" w:rsidRDefault="00CF30E3" w:rsidP="00794F34">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t>Ertimur</w:t>
      </w:r>
      <w:proofErr w:type="spellEnd"/>
      <w:r w:rsidRPr="00D06F2B">
        <w:rPr>
          <w:rFonts w:ascii="Garamond" w:hAnsi="Garamond"/>
          <w:sz w:val="24"/>
          <w:szCs w:val="24"/>
          <w:lang w:val="en-US"/>
        </w:rPr>
        <w:t xml:space="preserve">, Y., W. </w:t>
      </w:r>
      <w:proofErr w:type="spellStart"/>
      <w:r w:rsidRPr="00D06F2B">
        <w:rPr>
          <w:rFonts w:ascii="Garamond" w:hAnsi="Garamond"/>
          <w:sz w:val="24"/>
          <w:szCs w:val="24"/>
          <w:lang w:val="en-US"/>
        </w:rPr>
        <w:t>Mayew</w:t>
      </w:r>
      <w:proofErr w:type="spellEnd"/>
      <w:r w:rsidRPr="00D06F2B">
        <w:rPr>
          <w:rFonts w:ascii="Garamond" w:hAnsi="Garamond"/>
          <w:sz w:val="24"/>
          <w:szCs w:val="24"/>
          <w:lang w:val="en-US"/>
        </w:rPr>
        <w:t xml:space="preserve"> and S. </w:t>
      </w:r>
      <w:proofErr w:type="spellStart"/>
      <w:r w:rsidRPr="00D06F2B">
        <w:rPr>
          <w:rFonts w:ascii="Garamond" w:hAnsi="Garamond"/>
          <w:sz w:val="24"/>
          <w:szCs w:val="24"/>
          <w:lang w:val="en-US"/>
        </w:rPr>
        <w:t>Stubben</w:t>
      </w:r>
      <w:proofErr w:type="spellEnd"/>
      <w:r w:rsidRPr="00D06F2B">
        <w:rPr>
          <w:rFonts w:ascii="Garamond" w:hAnsi="Garamond"/>
          <w:sz w:val="24"/>
          <w:szCs w:val="24"/>
          <w:lang w:val="en-US"/>
        </w:rPr>
        <w:t>. 2011.</w:t>
      </w:r>
      <w:r w:rsidRPr="00D06F2B">
        <w:rPr>
          <w:rFonts w:ascii="Garamond" w:hAnsi="Garamond"/>
          <w:sz w:val="24"/>
          <w:szCs w:val="24"/>
        </w:rPr>
        <w:t xml:space="preserve"> </w:t>
      </w:r>
      <w:r w:rsidRPr="00D06F2B">
        <w:rPr>
          <w:rFonts w:ascii="Garamond" w:hAnsi="Garamond"/>
          <w:sz w:val="24"/>
          <w:szCs w:val="24"/>
          <w:lang w:val="en-US"/>
        </w:rPr>
        <w:t xml:space="preserve">Analyst reputation and the issuance of disaggregated earnings forecasts to I/B/E/S. </w:t>
      </w:r>
      <w:r w:rsidRPr="00D06F2B">
        <w:rPr>
          <w:rFonts w:ascii="Garamond" w:hAnsi="Garamond"/>
          <w:i/>
          <w:iCs/>
          <w:sz w:val="24"/>
          <w:szCs w:val="24"/>
          <w:lang w:val="en-US"/>
        </w:rPr>
        <w:t>Review of Accounting Studies</w:t>
      </w:r>
      <w:r w:rsidRPr="00D06F2B">
        <w:rPr>
          <w:rFonts w:ascii="Garamond" w:hAnsi="Garamond"/>
          <w:sz w:val="24"/>
          <w:szCs w:val="24"/>
          <w:lang w:val="en-US"/>
        </w:rPr>
        <w:t xml:space="preserve"> 16, 29–58</w:t>
      </w:r>
    </w:p>
    <w:p w14:paraId="2AE0BFE8" w14:textId="49D48058" w:rsidR="009D7113" w:rsidRPr="00D06F2B" w:rsidRDefault="009D7113" w:rsidP="009D7113">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Estrella, A. 1998. A new measure of fit for equations with dichotomous dependent variables. </w:t>
      </w:r>
      <w:r w:rsidRPr="00D06F2B">
        <w:rPr>
          <w:rFonts w:ascii="Garamond" w:hAnsi="Garamond"/>
          <w:i/>
          <w:iCs/>
          <w:sz w:val="24"/>
          <w:szCs w:val="24"/>
          <w:lang w:val="en-US"/>
        </w:rPr>
        <w:t>Journal of Business and Economic Statistics</w:t>
      </w:r>
      <w:r w:rsidRPr="00D06F2B">
        <w:rPr>
          <w:rFonts w:ascii="Garamond" w:hAnsi="Garamond"/>
          <w:sz w:val="24"/>
          <w:szCs w:val="24"/>
          <w:lang w:val="en-US"/>
        </w:rPr>
        <w:t xml:space="preserve"> 16, 198–205</w:t>
      </w:r>
    </w:p>
    <w:p w14:paraId="7E0B8E7E" w14:textId="77777777" w:rsidR="00CF30E3" w:rsidRPr="00D06F2B" w:rsidRDefault="00CF30E3" w:rsidP="00794F34">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t>Fahlenbrach</w:t>
      </w:r>
      <w:proofErr w:type="spellEnd"/>
      <w:r w:rsidRPr="00D06F2B">
        <w:rPr>
          <w:rFonts w:ascii="Garamond" w:hAnsi="Garamond"/>
          <w:sz w:val="24"/>
          <w:szCs w:val="24"/>
          <w:lang w:val="en-US"/>
        </w:rPr>
        <w:t xml:space="preserve">, R., K. </w:t>
      </w:r>
      <w:proofErr w:type="spellStart"/>
      <w:r w:rsidRPr="00D06F2B">
        <w:rPr>
          <w:rFonts w:ascii="Garamond" w:hAnsi="Garamond"/>
          <w:sz w:val="24"/>
          <w:szCs w:val="24"/>
          <w:lang w:val="en-US"/>
        </w:rPr>
        <w:t>Rageth</w:t>
      </w:r>
      <w:proofErr w:type="spellEnd"/>
      <w:r w:rsidRPr="00D06F2B">
        <w:rPr>
          <w:rFonts w:ascii="Garamond" w:hAnsi="Garamond"/>
          <w:sz w:val="24"/>
          <w:szCs w:val="24"/>
          <w:lang w:val="en-US"/>
        </w:rPr>
        <w:t xml:space="preserve">, and R. </w:t>
      </w:r>
      <w:proofErr w:type="spellStart"/>
      <w:r w:rsidRPr="00D06F2B">
        <w:rPr>
          <w:rFonts w:ascii="Garamond" w:hAnsi="Garamond"/>
          <w:sz w:val="24"/>
          <w:szCs w:val="24"/>
          <w:lang w:val="en-US"/>
        </w:rPr>
        <w:t>Stulz</w:t>
      </w:r>
      <w:proofErr w:type="spellEnd"/>
      <w:r w:rsidRPr="00D06F2B">
        <w:rPr>
          <w:rFonts w:ascii="Garamond" w:hAnsi="Garamond"/>
          <w:sz w:val="24"/>
          <w:szCs w:val="24"/>
          <w:lang w:val="en-US"/>
        </w:rPr>
        <w:t>. 2020. How Valuable is Financial Flexibility When Revenue Stops? Evidence from the COVID-19 Crisis. Fisher College of Business</w:t>
      </w:r>
    </w:p>
    <w:p w14:paraId="1C6683E4" w14:textId="3D8D22D4"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Fang, B., O-K. Hope, Z. </w:t>
      </w:r>
      <w:proofErr w:type="gramStart"/>
      <w:r w:rsidRPr="00D06F2B">
        <w:rPr>
          <w:rFonts w:ascii="Garamond" w:hAnsi="Garamond"/>
          <w:sz w:val="24"/>
          <w:szCs w:val="24"/>
          <w:lang w:val="en-US"/>
        </w:rPr>
        <w:t>Huang</w:t>
      </w:r>
      <w:proofErr w:type="gramEnd"/>
      <w:r w:rsidRPr="00D06F2B">
        <w:rPr>
          <w:rFonts w:ascii="Garamond" w:hAnsi="Garamond"/>
          <w:sz w:val="24"/>
          <w:szCs w:val="24"/>
          <w:lang w:val="en-US"/>
        </w:rPr>
        <w:t xml:space="preserve"> and R. Moldovan. 2020. The effects of MiFID II on sell-side analysts, buy-side analysts, and firms</w:t>
      </w:r>
      <w:r w:rsidR="00B822DA" w:rsidRPr="00D06F2B">
        <w:rPr>
          <w:rFonts w:ascii="Garamond" w:hAnsi="Garamond"/>
          <w:sz w:val="24"/>
          <w:szCs w:val="24"/>
          <w:lang w:val="en-US"/>
        </w:rPr>
        <w:t>.</w:t>
      </w:r>
      <w:r w:rsidRPr="00D06F2B">
        <w:rPr>
          <w:rFonts w:ascii="Garamond" w:hAnsi="Garamond"/>
          <w:sz w:val="24"/>
          <w:szCs w:val="24"/>
          <w:lang w:val="en-US"/>
        </w:rPr>
        <w:t xml:space="preserve"> </w:t>
      </w:r>
      <w:r w:rsidRPr="00D06F2B">
        <w:rPr>
          <w:rFonts w:ascii="Garamond" w:hAnsi="Garamond"/>
          <w:i/>
          <w:iCs/>
          <w:sz w:val="24"/>
          <w:szCs w:val="24"/>
          <w:lang w:val="en-US"/>
        </w:rPr>
        <w:t>Review of Accounting Studies</w:t>
      </w:r>
      <w:r w:rsidRPr="00D06F2B">
        <w:rPr>
          <w:rFonts w:ascii="Garamond" w:hAnsi="Garamond"/>
          <w:sz w:val="24"/>
          <w:szCs w:val="24"/>
          <w:lang w:val="en-US"/>
        </w:rPr>
        <w:t xml:space="preserve"> 25, 855-902.</w:t>
      </w:r>
    </w:p>
    <w:p w14:paraId="23DE8F15" w14:textId="77777777"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Francis, J., Schipper, K., Vincent, L., 2002. Earnings announcements and competing information. </w:t>
      </w:r>
      <w:r w:rsidRPr="00D06F2B">
        <w:rPr>
          <w:rFonts w:ascii="Garamond" w:hAnsi="Garamond"/>
          <w:i/>
          <w:iCs/>
          <w:sz w:val="24"/>
          <w:szCs w:val="24"/>
          <w:lang w:val="en-US"/>
        </w:rPr>
        <w:t>Journal of Accounting and Economics</w:t>
      </w:r>
      <w:r w:rsidRPr="00D06F2B">
        <w:rPr>
          <w:rFonts w:ascii="Garamond" w:hAnsi="Garamond"/>
          <w:sz w:val="24"/>
          <w:szCs w:val="24"/>
          <w:lang w:val="en-US"/>
        </w:rPr>
        <w:t xml:space="preserve"> 33 (3), 313–342.</w:t>
      </w:r>
    </w:p>
    <w:p w14:paraId="2C23D685" w14:textId="77777777"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Frankel, R., Kothari, S.P., Weber, J.P., 2006. Determinants of the informativeness of analyst research. </w:t>
      </w:r>
      <w:r w:rsidRPr="00D06F2B">
        <w:rPr>
          <w:rFonts w:ascii="Garamond" w:hAnsi="Garamond"/>
          <w:i/>
          <w:iCs/>
          <w:sz w:val="24"/>
          <w:szCs w:val="24"/>
          <w:lang w:val="en-US"/>
        </w:rPr>
        <w:t>Journal of Accounting and Economics</w:t>
      </w:r>
      <w:r w:rsidRPr="00D06F2B">
        <w:rPr>
          <w:rFonts w:ascii="Garamond" w:hAnsi="Garamond"/>
          <w:sz w:val="24"/>
          <w:szCs w:val="24"/>
          <w:lang w:val="en-US"/>
        </w:rPr>
        <w:t xml:space="preserve"> 41 (1–2), 29–54</w:t>
      </w:r>
    </w:p>
    <w:p w14:paraId="75E98780" w14:textId="77777777" w:rsidR="00CF30E3" w:rsidRPr="00D06F2B" w:rsidRDefault="00CF30E3" w:rsidP="00794F34">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t>Givoly</w:t>
      </w:r>
      <w:proofErr w:type="spellEnd"/>
      <w:r w:rsidRPr="00D06F2B">
        <w:rPr>
          <w:rFonts w:ascii="Garamond" w:hAnsi="Garamond"/>
          <w:sz w:val="24"/>
          <w:szCs w:val="24"/>
          <w:lang w:val="en-US"/>
        </w:rPr>
        <w:t xml:space="preserve">, D., C. </w:t>
      </w:r>
      <w:proofErr w:type="spellStart"/>
      <w:r w:rsidRPr="00D06F2B">
        <w:rPr>
          <w:rFonts w:ascii="Garamond" w:hAnsi="Garamond"/>
          <w:sz w:val="24"/>
          <w:szCs w:val="24"/>
          <w:lang w:val="en-US"/>
        </w:rPr>
        <w:t>Hayn</w:t>
      </w:r>
      <w:proofErr w:type="spellEnd"/>
      <w:r w:rsidRPr="00D06F2B">
        <w:rPr>
          <w:rFonts w:ascii="Garamond" w:hAnsi="Garamond"/>
          <w:sz w:val="24"/>
          <w:szCs w:val="24"/>
          <w:lang w:val="en-US"/>
        </w:rPr>
        <w:t xml:space="preserve">, and R. </w:t>
      </w:r>
      <w:proofErr w:type="spellStart"/>
      <w:r w:rsidRPr="00D06F2B">
        <w:rPr>
          <w:rFonts w:ascii="Garamond" w:hAnsi="Garamond"/>
          <w:sz w:val="24"/>
          <w:szCs w:val="24"/>
          <w:lang w:val="en-US"/>
        </w:rPr>
        <w:t>Lehavy</w:t>
      </w:r>
      <w:proofErr w:type="spellEnd"/>
      <w:r w:rsidRPr="00D06F2B">
        <w:rPr>
          <w:rFonts w:ascii="Garamond" w:hAnsi="Garamond"/>
          <w:sz w:val="24"/>
          <w:szCs w:val="24"/>
          <w:lang w:val="en-US"/>
        </w:rPr>
        <w:t xml:space="preserve">. 2009. The quality of analysts’ cash flow forecasts.  </w:t>
      </w:r>
      <w:r w:rsidRPr="00D06F2B">
        <w:rPr>
          <w:rFonts w:ascii="Garamond" w:hAnsi="Garamond"/>
          <w:i/>
          <w:sz w:val="24"/>
          <w:szCs w:val="24"/>
          <w:lang w:val="en-US"/>
        </w:rPr>
        <w:t>The Accounting Review</w:t>
      </w:r>
      <w:r w:rsidRPr="00D06F2B">
        <w:rPr>
          <w:rFonts w:ascii="Garamond" w:hAnsi="Garamond"/>
          <w:sz w:val="24"/>
          <w:szCs w:val="24"/>
          <w:lang w:val="en-US"/>
        </w:rPr>
        <w:t xml:space="preserve"> 84, 1877–911.</w:t>
      </w:r>
    </w:p>
    <w:p w14:paraId="1B003BE1" w14:textId="77777777"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Gleason C. and Ch. Lee. 2003. Analyst Forecast Revisions and Market Price Discovery.</w:t>
      </w:r>
      <w:r w:rsidRPr="00D06F2B">
        <w:rPr>
          <w:rFonts w:ascii="Garamond" w:hAnsi="Garamond"/>
          <w:sz w:val="24"/>
          <w:szCs w:val="24"/>
        </w:rPr>
        <w:t xml:space="preserve"> </w:t>
      </w:r>
      <w:r w:rsidRPr="00D06F2B">
        <w:rPr>
          <w:rFonts w:ascii="Garamond" w:hAnsi="Garamond"/>
          <w:i/>
          <w:iCs/>
          <w:sz w:val="24"/>
          <w:szCs w:val="24"/>
        </w:rPr>
        <w:t>T</w:t>
      </w:r>
      <w:r w:rsidRPr="00D06F2B">
        <w:rPr>
          <w:rFonts w:ascii="Garamond" w:hAnsi="Garamond"/>
          <w:i/>
          <w:iCs/>
          <w:sz w:val="24"/>
          <w:szCs w:val="24"/>
          <w:lang w:val="en-US"/>
        </w:rPr>
        <w:t>he</w:t>
      </w:r>
      <w:r w:rsidRPr="00D06F2B">
        <w:rPr>
          <w:rFonts w:ascii="Garamond" w:hAnsi="Garamond"/>
          <w:sz w:val="24"/>
          <w:szCs w:val="24"/>
          <w:lang w:val="en-US"/>
        </w:rPr>
        <w:t xml:space="preserve"> </w:t>
      </w:r>
      <w:r w:rsidRPr="00D06F2B">
        <w:rPr>
          <w:rFonts w:ascii="Garamond" w:hAnsi="Garamond"/>
          <w:i/>
          <w:iCs/>
          <w:sz w:val="24"/>
          <w:szCs w:val="24"/>
          <w:lang w:val="en-US"/>
        </w:rPr>
        <w:t>Accounting Review</w:t>
      </w:r>
      <w:r w:rsidRPr="00D06F2B">
        <w:rPr>
          <w:rFonts w:ascii="Garamond" w:hAnsi="Garamond"/>
          <w:sz w:val="24"/>
          <w:szCs w:val="24"/>
          <w:lang w:val="en-US"/>
        </w:rPr>
        <w:t xml:space="preserve"> 78, 193-225</w:t>
      </w:r>
    </w:p>
    <w:p w14:paraId="7305DC4F" w14:textId="29E8A718"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lastRenderedPageBreak/>
        <w:t xml:space="preserve">Graham, J., C. Harvey, and S. </w:t>
      </w:r>
      <w:proofErr w:type="spellStart"/>
      <w:r w:rsidRPr="00D06F2B">
        <w:rPr>
          <w:rFonts w:ascii="Garamond" w:hAnsi="Garamond"/>
          <w:sz w:val="24"/>
          <w:szCs w:val="24"/>
          <w:lang w:val="en-US"/>
        </w:rPr>
        <w:t>Rajgopal</w:t>
      </w:r>
      <w:proofErr w:type="spellEnd"/>
      <w:r w:rsidRPr="00D06F2B">
        <w:rPr>
          <w:rFonts w:ascii="Garamond" w:hAnsi="Garamond"/>
          <w:sz w:val="24"/>
          <w:szCs w:val="24"/>
          <w:lang w:val="en-US"/>
        </w:rPr>
        <w:t>. 2005.</w:t>
      </w:r>
      <w:r w:rsidRPr="00D06F2B">
        <w:rPr>
          <w:rFonts w:ascii="Garamond" w:hAnsi="Garamond"/>
          <w:sz w:val="24"/>
          <w:szCs w:val="24"/>
        </w:rPr>
        <w:t xml:space="preserve"> The economic implications of corporate financial reporting. </w:t>
      </w:r>
      <w:r w:rsidRPr="00D06F2B">
        <w:rPr>
          <w:rFonts w:ascii="Garamond" w:hAnsi="Garamond"/>
          <w:i/>
          <w:iCs/>
          <w:sz w:val="24"/>
          <w:szCs w:val="24"/>
          <w:lang w:val="en-US"/>
        </w:rPr>
        <w:t>Journal of Accounting and Economics</w:t>
      </w:r>
      <w:r w:rsidRPr="00D06F2B">
        <w:rPr>
          <w:rFonts w:ascii="Garamond" w:hAnsi="Garamond"/>
          <w:sz w:val="24"/>
          <w:szCs w:val="24"/>
          <w:lang w:val="en-US"/>
        </w:rPr>
        <w:t xml:space="preserve"> 40, 3-73.</w:t>
      </w:r>
    </w:p>
    <w:p w14:paraId="5D5F0F18" w14:textId="6D406C0E" w:rsidR="00154529" w:rsidRPr="00D06F2B" w:rsidRDefault="00154529"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Grossman, S., and J. Stiglitz. 1980. On the impossibility of informationally efficient markets, </w:t>
      </w:r>
      <w:r w:rsidRPr="00D06F2B">
        <w:rPr>
          <w:rFonts w:ascii="Garamond" w:hAnsi="Garamond"/>
          <w:i/>
          <w:iCs/>
          <w:sz w:val="24"/>
          <w:szCs w:val="24"/>
          <w:lang w:val="en-US"/>
        </w:rPr>
        <w:t>American Economic Review</w:t>
      </w:r>
      <w:r w:rsidRPr="00D06F2B">
        <w:rPr>
          <w:rFonts w:ascii="Garamond" w:hAnsi="Garamond"/>
          <w:sz w:val="24"/>
          <w:szCs w:val="24"/>
          <w:lang w:val="en-US"/>
        </w:rPr>
        <w:t xml:space="preserve"> 70, 393–408.</w:t>
      </w:r>
    </w:p>
    <w:p w14:paraId="66EABD85" w14:textId="701C0082" w:rsidR="00E3155C" w:rsidRPr="00D06F2B" w:rsidRDefault="00E3155C"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Hann, R., M. </w:t>
      </w:r>
      <w:proofErr w:type="spellStart"/>
      <w:r w:rsidRPr="00D06F2B">
        <w:rPr>
          <w:rFonts w:ascii="Garamond" w:hAnsi="Garamond"/>
          <w:sz w:val="24"/>
          <w:szCs w:val="24"/>
          <w:lang w:val="en-US"/>
        </w:rPr>
        <w:t>Ognev</w:t>
      </w:r>
      <w:proofErr w:type="spellEnd"/>
      <w:r w:rsidRPr="00D06F2B">
        <w:rPr>
          <w:rFonts w:ascii="Garamond" w:hAnsi="Garamond"/>
          <w:sz w:val="24"/>
          <w:szCs w:val="24"/>
          <w:lang w:val="en-US"/>
        </w:rPr>
        <w:t xml:space="preserve"> and H. </w:t>
      </w:r>
      <w:proofErr w:type="spellStart"/>
      <w:r w:rsidRPr="00D06F2B">
        <w:rPr>
          <w:rFonts w:ascii="Garamond" w:hAnsi="Garamond"/>
          <w:sz w:val="24"/>
          <w:szCs w:val="24"/>
          <w:lang w:val="en-US"/>
        </w:rPr>
        <w:t>Sapriza</w:t>
      </w:r>
      <w:proofErr w:type="spellEnd"/>
      <w:r w:rsidRPr="00D06F2B">
        <w:rPr>
          <w:rFonts w:ascii="Garamond" w:hAnsi="Garamond"/>
          <w:sz w:val="24"/>
          <w:szCs w:val="24"/>
          <w:lang w:val="en-US"/>
        </w:rPr>
        <w:t>. 2012. Forecasting the macroeconomy: Analysts versus economists. Working paper.</w:t>
      </w:r>
    </w:p>
    <w:p w14:paraId="42E1BE08" w14:textId="77777777"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Healy, P, and K. Palepu. 2001</w:t>
      </w:r>
      <w:r w:rsidRPr="00D06F2B">
        <w:rPr>
          <w:rFonts w:ascii="Garamond" w:hAnsi="Garamond"/>
          <w:sz w:val="24"/>
          <w:szCs w:val="24"/>
        </w:rPr>
        <w:t xml:space="preserve"> </w:t>
      </w:r>
      <w:r w:rsidRPr="00D06F2B">
        <w:rPr>
          <w:rFonts w:ascii="Garamond" w:hAnsi="Garamond"/>
          <w:sz w:val="24"/>
          <w:szCs w:val="24"/>
          <w:lang w:val="en-US"/>
        </w:rPr>
        <w:t>Information asymmetry, corporate disclosure, and the capital markets: A review of the empirical disclosure literature.</w:t>
      </w:r>
      <w:r w:rsidRPr="00D06F2B">
        <w:rPr>
          <w:rFonts w:ascii="Garamond" w:hAnsi="Garamond"/>
          <w:sz w:val="24"/>
          <w:szCs w:val="24"/>
        </w:rPr>
        <w:t xml:space="preserve"> </w:t>
      </w:r>
      <w:r w:rsidRPr="00D06F2B">
        <w:rPr>
          <w:rFonts w:ascii="Garamond" w:hAnsi="Garamond"/>
          <w:i/>
          <w:iCs/>
          <w:sz w:val="24"/>
          <w:szCs w:val="24"/>
          <w:lang w:val="en-US"/>
        </w:rPr>
        <w:t>Journal of Accounting and Economics</w:t>
      </w:r>
      <w:r w:rsidRPr="00D06F2B">
        <w:rPr>
          <w:rFonts w:ascii="Garamond" w:hAnsi="Garamond"/>
          <w:sz w:val="24"/>
          <w:szCs w:val="24"/>
          <w:lang w:val="en-US"/>
        </w:rPr>
        <w:t xml:space="preserve"> 31, 405-44</w:t>
      </w:r>
    </w:p>
    <w:p w14:paraId="69441225" w14:textId="79EFAE54"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Hope, O. 2003. Disclosure practices, enforcement of accounting standards and analysts’ forecast accuracy: An international study. </w:t>
      </w:r>
      <w:r w:rsidRPr="00D06F2B">
        <w:rPr>
          <w:rFonts w:ascii="Garamond" w:hAnsi="Garamond"/>
          <w:i/>
          <w:sz w:val="24"/>
          <w:szCs w:val="24"/>
          <w:lang w:val="en-US"/>
        </w:rPr>
        <w:t>Journal of Accounting Research</w:t>
      </w:r>
      <w:r w:rsidRPr="00D06F2B">
        <w:rPr>
          <w:rFonts w:ascii="Garamond" w:hAnsi="Garamond"/>
          <w:sz w:val="24"/>
          <w:szCs w:val="24"/>
          <w:lang w:val="en-US"/>
        </w:rPr>
        <w:t xml:space="preserve"> 41, 235–272.</w:t>
      </w:r>
    </w:p>
    <w:p w14:paraId="7AFFCD77" w14:textId="155B8825" w:rsidR="00B615C2" w:rsidRPr="00D06F2B" w:rsidRDefault="00B615C2" w:rsidP="00794F34">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t>Hugon</w:t>
      </w:r>
      <w:proofErr w:type="spellEnd"/>
      <w:r w:rsidRPr="00D06F2B">
        <w:rPr>
          <w:rFonts w:ascii="Garamond" w:hAnsi="Garamond"/>
          <w:sz w:val="24"/>
          <w:szCs w:val="24"/>
          <w:lang w:val="en-US"/>
        </w:rPr>
        <w:t xml:space="preserve">, A., A. Kumar, and A. Lin. 2016. Analysts, macroeconomic news, and the benefit of active in-house economist. </w:t>
      </w:r>
      <w:r w:rsidRPr="00D06F2B">
        <w:rPr>
          <w:rFonts w:ascii="Garamond" w:hAnsi="Garamond"/>
          <w:i/>
          <w:iCs/>
          <w:sz w:val="24"/>
          <w:szCs w:val="24"/>
          <w:lang w:val="en-US"/>
        </w:rPr>
        <w:t>The Accounting Review</w:t>
      </w:r>
      <w:r w:rsidRPr="00D06F2B">
        <w:rPr>
          <w:rFonts w:ascii="Garamond" w:hAnsi="Garamond"/>
          <w:sz w:val="24"/>
          <w:szCs w:val="24"/>
          <w:lang w:val="en-US"/>
        </w:rPr>
        <w:t xml:space="preserve"> 91, 513–534.</w:t>
      </w:r>
    </w:p>
    <w:p w14:paraId="7378FC17" w14:textId="77777777" w:rsidR="00CF30E3" w:rsidRPr="00D06F2B" w:rsidRDefault="00CF30E3" w:rsidP="00794F34">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t>Ivkovic</w:t>
      </w:r>
      <w:proofErr w:type="spellEnd"/>
      <w:r w:rsidRPr="00D06F2B">
        <w:rPr>
          <w:rFonts w:ascii="Garamond" w:hAnsi="Garamond"/>
          <w:sz w:val="24"/>
          <w:szCs w:val="24"/>
          <w:lang w:val="en-US"/>
        </w:rPr>
        <w:t xml:space="preserve">, Z., </w:t>
      </w:r>
      <w:proofErr w:type="spellStart"/>
      <w:r w:rsidRPr="00D06F2B">
        <w:rPr>
          <w:rFonts w:ascii="Garamond" w:hAnsi="Garamond"/>
          <w:sz w:val="24"/>
          <w:szCs w:val="24"/>
          <w:lang w:val="en-US"/>
        </w:rPr>
        <w:t>Jegadeesh</w:t>
      </w:r>
      <w:proofErr w:type="spellEnd"/>
      <w:r w:rsidRPr="00D06F2B">
        <w:rPr>
          <w:rFonts w:ascii="Garamond" w:hAnsi="Garamond"/>
          <w:sz w:val="24"/>
          <w:szCs w:val="24"/>
          <w:lang w:val="en-US"/>
        </w:rPr>
        <w:t xml:space="preserve">, N., 2004. The timing and value of forecast and recommendation revisions. </w:t>
      </w:r>
      <w:r w:rsidRPr="00D06F2B">
        <w:rPr>
          <w:rFonts w:ascii="Garamond" w:hAnsi="Garamond"/>
          <w:i/>
          <w:iCs/>
          <w:sz w:val="24"/>
          <w:szCs w:val="24"/>
          <w:lang w:val="en-US"/>
        </w:rPr>
        <w:t>Journal of Financial Economics</w:t>
      </w:r>
      <w:r w:rsidRPr="00D06F2B">
        <w:rPr>
          <w:rFonts w:ascii="Garamond" w:hAnsi="Garamond"/>
          <w:sz w:val="24"/>
          <w:szCs w:val="24"/>
          <w:lang w:val="en-US"/>
        </w:rPr>
        <w:t xml:space="preserve"> 73 (3), 433–463.</w:t>
      </w:r>
    </w:p>
    <w:p w14:paraId="036BF8B8" w14:textId="1A3ACD0C" w:rsidR="00CF30E3" w:rsidRPr="00D06F2B" w:rsidRDefault="00CF30E3" w:rsidP="00794F34">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t>Jegadeesh</w:t>
      </w:r>
      <w:proofErr w:type="spellEnd"/>
      <w:r w:rsidRPr="00D06F2B">
        <w:rPr>
          <w:rFonts w:ascii="Garamond" w:hAnsi="Garamond"/>
          <w:sz w:val="24"/>
          <w:szCs w:val="24"/>
          <w:lang w:val="en-US"/>
        </w:rPr>
        <w:t xml:space="preserve">, N., and J. </w:t>
      </w:r>
      <w:proofErr w:type="spellStart"/>
      <w:r w:rsidRPr="00D06F2B">
        <w:rPr>
          <w:rFonts w:ascii="Garamond" w:hAnsi="Garamond"/>
          <w:sz w:val="24"/>
          <w:szCs w:val="24"/>
          <w:lang w:val="en-US"/>
        </w:rPr>
        <w:t>Livnat</w:t>
      </w:r>
      <w:proofErr w:type="spellEnd"/>
      <w:r w:rsidRPr="00D06F2B">
        <w:rPr>
          <w:rFonts w:ascii="Garamond" w:hAnsi="Garamond"/>
          <w:sz w:val="24"/>
          <w:szCs w:val="24"/>
          <w:lang w:val="en-US"/>
        </w:rPr>
        <w:t>. 2006.</w:t>
      </w:r>
      <w:r w:rsidRPr="00D06F2B">
        <w:rPr>
          <w:rFonts w:ascii="Garamond" w:hAnsi="Garamond"/>
          <w:sz w:val="24"/>
          <w:szCs w:val="24"/>
        </w:rPr>
        <w:t xml:space="preserve"> </w:t>
      </w:r>
      <w:r w:rsidRPr="00D06F2B">
        <w:rPr>
          <w:rFonts w:ascii="Garamond" w:hAnsi="Garamond"/>
          <w:sz w:val="24"/>
          <w:szCs w:val="24"/>
          <w:lang w:val="en-US"/>
        </w:rPr>
        <w:t>Revenue surprises and stock returns</w:t>
      </w:r>
      <w:r w:rsidRPr="00D06F2B">
        <w:rPr>
          <w:rFonts w:ascii="Garamond" w:hAnsi="Garamond"/>
          <w:i/>
          <w:iCs/>
          <w:sz w:val="24"/>
          <w:szCs w:val="24"/>
          <w:lang w:val="en-US"/>
        </w:rPr>
        <w:t>.</w:t>
      </w:r>
      <w:r w:rsidRPr="00D06F2B">
        <w:rPr>
          <w:rFonts w:ascii="Garamond" w:hAnsi="Garamond"/>
          <w:i/>
          <w:iCs/>
          <w:sz w:val="24"/>
          <w:szCs w:val="24"/>
        </w:rPr>
        <w:t xml:space="preserve"> </w:t>
      </w:r>
      <w:r w:rsidRPr="00D06F2B">
        <w:rPr>
          <w:rFonts w:ascii="Garamond" w:hAnsi="Garamond"/>
          <w:i/>
          <w:iCs/>
          <w:sz w:val="24"/>
          <w:szCs w:val="24"/>
          <w:lang w:val="en-US"/>
        </w:rPr>
        <w:t>Journal of Accounting and Economics</w:t>
      </w:r>
      <w:r w:rsidRPr="00D06F2B">
        <w:rPr>
          <w:rFonts w:ascii="Garamond" w:hAnsi="Garamond"/>
          <w:sz w:val="24"/>
          <w:szCs w:val="24"/>
          <w:lang w:val="en-US"/>
        </w:rPr>
        <w:t xml:space="preserve"> 41, 147-171</w:t>
      </w:r>
      <w:r w:rsidR="009D7113" w:rsidRPr="00D06F2B">
        <w:rPr>
          <w:rFonts w:ascii="Garamond" w:hAnsi="Garamond"/>
          <w:sz w:val="24"/>
          <w:szCs w:val="24"/>
          <w:lang w:val="en-US"/>
        </w:rPr>
        <w:t>.</w:t>
      </w:r>
    </w:p>
    <w:p w14:paraId="6B2B930B" w14:textId="69366497" w:rsidR="00176496" w:rsidRPr="00D06F2B" w:rsidRDefault="00176496" w:rsidP="00176496">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Jung, M., J. Naughton, A. Tahoun, and C. Wang (2018). Do Firms Strategically Disseminate? Evidence from Corporate Use of Social Media. </w:t>
      </w:r>
      <w:r w:rsidRPr="00D06F2B">
        <w:rPr>
          <w:rFonts w:ascii="Garamond" w:hAnsi="Garamond"/>
          <w:i/>
          <w:iCs/>
          <w:sz w:val="24"/>
          <w:szCs w:val="24"/>
          <w:lang w:val="en-US"/>
        </w:rPr>
        <w:t>The Accounting Review 93</w:t>
      </w:r>
      <w:r w:rsidRPr="00D06F2B">
        <w:rPr>
          <w:rFonts w:ascii="Garamond" w:hAnsi="Garamond"/>
          <w:sz w:val="24"/>
          <w:szCs w:val="24"/>
          <w:lang w:val="en-US"/>
        </w:rPr>
        <w:t>, 225-252.</w:t>
      </w:r>
    </w:p>
    <w:p w14:paraId="14D9CC3D" w14:textId="5DA1D8C4" w:rsidR="009D7113" w:rsidRPr="00D06F2B" w:rsidRDefault="009D7113" w:rsidP="009D7113">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Kauppi, H. and P. </w:t>
      </w:r>
      <w:proofErr w:type="spellStart"/>
      <w:r w:rsidRPr="00D06F2B">
        <w:rPr>
          <w:rFonts w:ascii="Garamond" w:hAnsi="Garamond"/>
          <w:sz w:val="24"/>
          <w:szCs w:val="24"/>
          <w:lang w:val="en-US"/>
        </w:rPr>
        <w:t>Saikkonen</w:t>
      </w:r>
      <w:proofErr w:type="spellEnd"/>
      <w:r w:rsidRPr="00D06F2B">
        <w:rPr>
          <w:rFonts w:ascii="Garamond" w:hAnsi="Garamond"/>
          <w:sz w:val="24"/>
          <w:szCs w:val="24"/>
          <w:lang w:val="en-US"/>
        </w:rPr>
        <w:t xml:space="preserve">. 2008. ‘Predicting U.S. recessions with dynamic binary response models. </w:t>
      </w:r>
      <w:r w:rsidRPr="00D06F2B">
        <w:rPr>
          <w:rFonts w:ascii="Garamond" w:hAnsi="Garamond"/>
          <w:i/>
          <w:iCs/>
          <w:sz w:val="24"/>
          <w:szCs w:val="24"/>
          <w:lang w:val="en-US"/>
        </w:rPr>
        <w:t>The Review of Economics and Statistics</w:t>
      </w:r>
      <w:r w:rsidRPr="00D06F2B">
        <w:rPr>
          <w:rFonts w:ascii="Garamond" w:hAnsi="Garamond"/>
          <w:sz w:val="24"/>
          <w:szCs w:val="24"/>
          <w:lang w:val="en-US"/>
        </w:rPr>
        <w:t xml:space="preserve"> 90, 777–791.</w:t>
      </w:r>
    </w:p>
    <w:p w14:paraId="60314FC8" w14:textId="3D7D8A0B"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Keung, E. 2010. Do supplementary sales forecasts increase the credibility of financial analysts’ earnings forecasts? </w:t>
      </w:r>
      <w:r w:rsidRPr="00D06F2B">
        <w:rPr>
          <w:rFonts w:ascii="Garamond" w:hAnsi="Garamond"/>
          <w:i/>
          <w:sz w:val="24"/>
          <w:szCs w:val="24"/>
          <w:lang w:val="en-US"/>
        </w:rPr>
        <w:t>The Accounting Review</w:t>
      </w:r>
      <w:r w:rsidRPr="00D06F2B">
        <w:rPr>
          <w:rFonts w:ascii="Garamond" w:hAnsi="Garamond"/>
          <w:sz w:val="24"/>
          <w:szCs w:val="24"/>
          <w:lang w:val="en-US"/>
        </w:rPr>
        <w:t xml:space="preserve"> </w:t>
      </w:r>
      <w:r w:rsidRPr="00D06F2B">
        <w:rPr>
          <w:rFonts w:ascii="Garamond" w:hAnsi="Garamond"/>
          <w:iCs/>
          <w:sz w:val="24"/>
          <w:szCs w:val="24"/>
          <w:lang w:val="en-US"/>
        </w:rPr>
        <w:t>85</w:t>
      </w:r>
      <w:r w:rsidRPr="00D06F2B">
        <w:rPr>
          <w:rFonts w:ascii="Garamond" w:hAnsi="Garamond"/>
          <w:sz w:val="24"/>
          <w:szCs w:val="24"/>
          <w:lang w:val="en-US"/>
        </w:rPr>
        <w:t>, 2047–74.</w:t>
      </w:r>
    </w:p>
    <w:p w14:paraId="1425A6DC" w14:textId="5977E47B" w:rsidR="008A057E" w:rsidRPr="00D06F2B" w:rsidRDefault="008A057E" w:rsidP="008A057E">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t>Kretzmann</w:t>
      </w:r>
      <w:proofErr w:type="spellEnd"/>
      <w:r w:rsidRPr="00D06F2B">
        <w:rPr>
          <w:rFonts w:ascii="Garamond" w:hAnsi="Garamond"/>
          <w:sz w:val="24"/>
          <w:szCs w:val="24"/>
          <w:lang w:val="en-US"/>
        </w:rPr>
        <w:t xml:space="preserve">, C., C. </w:t>
      </w:r>
      <w:proofErr w:type="spellStart"/>
      <w:r w:rsidRPr="00D06F2B">
        <w:rPr>
          <w:rFonts w:ascii="Garamond" w:hAnsi="Garamond"/>
          <w:sz w:val="24"/>
          <w:szCs w:val="24"/>
          <w:lang w:val="en-US"/>
        </w:rPr>
        <w:t>Maaz</w:t>
      </w:r>
      <w:proofErr w:type="spellEnd"/>
      <w:r w:rsidRPr="00D06F2B">
        <w:rPr>
          <w:rFonts w:ascii="Garamond" w:hAnsi="Garamond"/>
          <w:sz w:val="24"/>
          <w:szCs w:val="24"/>
          <w:lang w:val="en-US"/>
        </w:rPr>
        <w:t>, and O. Pucker. 2015, Sell side recommendations during booms and busts.</w:t>
      </w:r>
      <w:r w:rsidRPr="00D06F2B">
        <w:rPr>
          <w:rFonts w:ascii="Garamond" w:hAnsi="Garamond"/>
          <w:i/>
          <w:iCs/>
          <w:sz w:val="24"/>
          <w:szCs w:val="24"/>
          <w:lang w:val="en-US"/>
        </w:rPr>
        <w:t xml:space="preserve"> Risk Governance &amp; Control: Financial Markets &amp; Institutions</w:t>
      </w:r>
      <w:r w:rsidRPr="00D06F2B">
        <w:rPr>
          <w:rFonts w:ascii="Garamond" w:hAnsi="Garamond"/>
          <w:sz w:val="24"/>
          <w:szCs w:val="24"/>
          <w:lang w:val="en-US"/>
        </w:rPr>
        <w:t xml:space="preserve"> 5, 49–67</w:t>
      </w:r>
    </w:p>
    <w:p w14:paraId="5ECE9A8C" w14:textId="77777777" w:rsidR="00CF30E3" w:rsidRPr="00D06F2B" w:rsidRDefault="00CF30E3" w:rsidP="00794F34">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t>Landier</w:t>
      </w:r>
      <w:proofErr w:type="spellEnd"/>
      <w:r w:rsidRPr="00D06F2B">
        <w:rPr>
          <w:rFonts w:ascii="Garamond" w:hAnsi="Garamond"/>
          <w:sz w:val="24"/>
          <w:szCs w:val="24"/>
          <w:lang w:val="en-US"/>
        </w:rPr>
        <w:t xml:space="preserve">, A. and D. </w:t>
      </w:r>
      <w:proofErr w:type="spellStart"/>
      <w:r w:rsidRPr="00D06F2B">
        <w:rPr>
          <w:rFonts w:ascii="Garamond" w:hAnsi="Garamond"/>
          <w:sz w:val="24"/>
          <w:szCs w:val="24"/>
          <w:lang w:val="en-US"/>
        </w:rPr>
        <w:t>Thesmar</w:t>
      </w:r>
      <w:proofErr w:type="spellEnd"/>
      <w:r w:rsidRPr="00D06F2B">
        <w:rPr>
          <w:rFonts w:ascii="Garamond" w:hAnsi="Garamond"/>
          <w:sz w:val="24"/>
          <w:szCs w:val="24"/>
          <w:lang w:val="en-US"/>
        </w:rPr>
        <w:t>. 2020. Earnings Expectations in the COVID Crisis. HEC Paris Research Paper No. FIN-2020-1377.</w:t>
      </w:r>
    </w:p>
    <w:p w14:paraId="370BE678" w14:textId="51A7CDEA" w:rsidR="00CF30E3" w:rsidRPr="00D06F2B" w:rsidRDefault="00CF30E3" w:rsidP="00794F34">
      <w:pPr>
        <w:spacing w:after="0" w:line="336" w:lineRule="auto"/>
        <w:ind w:left="567" w:hanging="567"/>
        <w:rPr>
          <w:rFonts w:ascii="Garamond" w:hAnsi="Garamond"/>
          <w:sz w:val="24"/>
          <w:szCs w:val="24"/>
          <w:shd w:val="clear" w:color="auto" w:fill="FFFFFF"/>
        </w:rPr>
      </w:pPr>
      <w:r w:rsidRPr="00D06F2B">
        <w:rPr>
          <w:rFonts w:ascii="Garamond" w:hAnsi="Garamond"/>
          <w:sz w:val="24"/>
          <w:szCs w:val="24"/>
          <w:shd w:val="clear" w:color="auto" w:fill="FFFFFF"/>
        </w:rPr>
        <w:t>Li, K., X. Liu, F. Mai, and T. Zhang. 2020. The Role of Corporate Culture in Bad Times: Evidence from the COVID-19 Pandemic. European Corporate Governance Institute – Finance Working Paper No. 726/2021.</w:t>
      </w:r>
    </w:p>
    <w:p w14:paraId="5E955BDD" w14:textId="042CDCF2" w:rsidR="00CF30E3" w:rsidRPr="00D06F2B" w:rsidRDefault="00CF30E3" w:rsidP="00794F34">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t>Loh</w:t>
      </w:r>
      <w:proofErr w:type="spellEnd"/>
      <w:r w:rsidRPr="00D06F2B">
        <w:rPr>
          <w:rFonts w:ascii="Garamond" w:hAnsi="Garamond"/>
          <w:sz w:val="24"/>
          <w:szCs w:val="24"/>
          <w:lang w:val="en-US"/>
        </w:rPr>
        <w:t xml:space="preserve">, R., and R, </w:t>
      </w:r>
      <w:proofErr w:type="spellStart"/>
      <w:r w:rsidRPr="00D06F2B">
        <w:rPr>
          <w:rFonts w:ascii="Garamond" w:hAnsi="Garamond"/>
          <w:sz w:val="24"/>
          <w:szCs w:val="24"/>
          <w:lang w:val="en-US"/>
        </w:rPr>
        <w:t>Stulz</w:t>
      </w:r>
      <w:proofErr w:type="spellEnd"/>
      <w:r w:rsidRPr="00D06F2B">
        <w:rPr>
          <w:rFonts w:ascii="Garamond" w:hAnsi="Garamond"/>
          <w:sz w:val="24"/>
          <w:szCs w:val="24"/>
          <w:lang w:val="en-US"/>
        </w:rPr>
        <w:t>. 2011. When Are Analyst Recommendation Changes Influential?</w:t>
      </w:r>
      <w:r w:rsidRPr="00D06F2B">
        <w:rPr>
          <w:rFonts w:ascii="Garamond" w:hAnsi="Garamond"/>
          <w:sz w:val="24"/>
          <w:szCs w:val="24"/>
        </w:rPr>
        <w:t xml:space="preserve"> </w:t>
      </w:r>
      <w:r w:rsidRPr="00D06F2B">
        <w:rPr>
          <w:rFonts w:ascii="Garamond" w:hAnsi="Garamond"/>
          <w:i/>
          <w:iCs/>
          <w:sz w:val="24"/>
          <w:szCs w:val="24"/>
          <w:lang w:val="en-US"/>
        </w:rPr>
        <w:t xml:space="preserve">The Review of Financial Studies </w:t>
      </w:r>
      <w:r w:rsidRPr="00D06F2B">
        <w:rPr>
          <w:rFonts w:ascii="Garamond" w:hAnsi="Garamond"/>
          <w:sz w:val="24"/>
          <w:szCs w:val="24"/>
          <w:lang w:val="en-US"/>
        </w:rPr>
        <w:t>24, 593–627</w:t>
      </w:r>
      <w:r w:rsidR="00154529" w:rsidRPr="00D06F2B">
        <w:rPr>
          <w:rFonts w:ascii="Garamond" w:hAnsi="Garamond"/>
          <w:sz w:val="24"/>
          <w:szCs w:val="24"/>
          <w:lang w:val="en-US"/>
        </w:rPr>
        <w:t>.</w:t>
      </w:r>
    </w:p>
    <w:p w14:paraId="4824F1C7" w14:textId="56FA742B" w:rsidR="00154529" w:rsidRPr="00D06F2B" w:rsidRDefault="00154529"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Pastor, L., and P. Veronesi. 2012. Uncertainty about </w:t>
      </w:r>
      <w:proofErr w:type="spellStart"/>
      <w:r w:rsidRPr="00D06F2B">
        <w:rPr>
          <w:rFonts w:ascii="Garamond" w:hAnsi="Garamond"/>
          <w:sz w:val="24"/>
          <w:szCs w:val="24"/>
          <w:lang w:val="en-US"/>
        </w:rPr>
        <w:t>goverment</w:t>
      </w:r>
      <w:proofErr w:type="spellEnd"/>
      <w:r w:rsidRPr="00D06F2B">
        <w:rPr>
          <w:rFonts w:ascii="Garamond" w:hAnsi="Garamond"/>
          <w:sz w:val="24"/>
          <w:szCs w:val="24"/>
          <w:lang w:val="en-US"/>
        </w:rPr>
        <w:t xml:space="preserve"> policy and stock prices. </w:t>
      </w:r>
      <w:r w:rsidRPr="00D06F2B">
        <w:rPr>
          <w:rFonts w:ascii="Garamond" w:hAnsi="Garamond"/>
          <w:i/>
          <w:iCs/>
          <w:sz w:val="24"/>
          <w:szCs w:val="24"/>
          <w:lang w:val="en-US"/>
        </w:rPr>
        <w:t xml:space="preserve">Journal of Finance </w:t>
      </w:r>
      <w:r w:rsidRPr="00D06F2B">
        <w:rPr>
          <w:rFonts w:ascii="Garamond" w:hAnsi="Garamond"/>
          <w:sz w:val="24"/>
          <w:szCs w:val="24"/>
          <w:lang w:val="en-US"/>
        </w:rPr>
        <w:t>67, 1219–1263</w:t>
      </w:r>
    </w:p>
    <w:p w14:paraId="22F2180F" w14:textId="7927F5EE" w:rsidR="00CF30E3" w:rsidRPr="00D06F2B" w:rsidRDefault="00CF30E3" w:rsidP="00794F34">
      <w:pPr>
        <w:spacing w:after="0" w:line="336" w:lineRule="auto"/>
        <w:ind w:left="567" w:hanging="567"/>
        <w:rPr>
          <w:rFonts w:ascii="Garamond" w:hAnsi="Garamond"/>
          <w:sz w:val="24"/>
          <w:szCs w:val="24"/>
          <w:shd w:val="clear" w:color="auto" w:fill="FFFFFF"/>
        </w:rPr>
      </w:pPr>
      <w:proofErr w:type="spellStart"/>
      <w:r w:rsidRPr="00D06F2B">
        <w:rPr>
          <w:rFonts w:ascii="Garamond" w:hAnsi="Garamond"/>
          <w:sz w:val="24"/>
          <w:szCs w:val="24"/>
          <w:shd w:val="clear" w:color="auto" w:fill="FFFFFF"/>
        </w:rPr>
        <w:lastRenderedPageBreak/>
        <w:t>Ramelli</w:t>
      </w:r>
      <w:proofErr w:type="spellEnd"/>
      <w:r w:rsidRPr="00D06F2B">
        <w:rPr>
          <w:rFonts w:ascii="Garamond" w:hAnsi="Garamond"/>
          <w:sz w:val="24"/>
          <w:szCs w:val="24"/>
          <w:shd w:val="clear" w:color="auto" w:fill="FFFFFF"/>
        </w:rPr>
        <w:t xml:space="preserve">, S. and A. Wagner. 2020. Feverish Stock Price Reactions to COVID-19. </w:t>
      </w:r>
      <w:r w:rsidRPr="00D06F2B">
        <w:rPr>
          <w:rFonts w:ascii="Garamond" w:hAnsi="Garamond"/>
          <w:i/>
          <w:iCs/>
          <w:sz w:val="24"/>
          <w:szCs w:val="24"/>
          <w:shd w:val="clear" w:color="auto" w:fill="FFFFFF"/>
        </w:rPr>
        <w:t>Review of Corporate Finance Studies</w:t>
      </w:r>
      <w:r w:rsidRPr="00D06F2B">
        <w:rPr>
          <w:rFonts w:ascii="Garamond" w:hAnsi="Garamond"/>
          <w:sz w:val="24"/>
          <w:szCs w:val="24"/>
          <w:shd w:val="clear" w:color="auto" w:fill="FFFFFF"/>
        </w:rPr>
        <w:t xml:space="preserve">, forthcoming. </w:t>
      </w:r>
    </w:p>
    <w:p w14:paraId="0D129EA2" w14:textId="0AC5165B" w:rsidR="008A057E" w:rsidRPr="00D06F2B" w:rsidRDefault="008A057E" w:rsidP="008A057E">
      <w:pPr>
        <w:spacing w:after="0" w:line="336" w:lineRule="auto"/>
        <w:ind w:left="567" w:hanging="567"/>
        <w:rPr>
          <w:rFonts w:ascii="Garamond" w:hAnsi="Garamond"/>
          <w:sz w:val="24"/>
          <w:szCs w:val="24"/>
        </w:rPr>
      </w:pPr>
      <w:r w:rsidRPr="00D06F2B">
        <w:rPr>
          <w:rFonts w:ascii="Garamond" w:hAnsi="Garamond"/>
          <w:sz w:val="24"/>
          <w:szCs w:val="24"/>
        </w:rPr>
        <w:t xml:space="preserve">Richards, R., Benjamin, J., and R. Strawser. 1977. An Examination of the Accuracy of Earnings Forecasts. </w:t>
      </w:r>
      <w:r w:rsidRPr="00D06F2B">
        <w:rPr>
          <w:rFonts w:ascii="Garamond" w:hAnsi="Garamond"/>
          <w:i/>
          <w:iCs/>
          <w:sz w:val="24"/>
          <w:szCs w:val="24"/>
        </w:rPr>
        <w:t>Financial Management</w:t>
      </w:r>
      <w:r w:rsidRPr="00D06F2B">
        <w:rPr>
          <w:rFonts w:ascii="Garamond" w:hAnsi="Garamond"/>
          <w:sz w:val="24"/>
          <w:szCs w:val="24"/>
        </w:rPr>
        <w:t xml:space="preserve"> 6, 78-86.</w:t>
      </w:r>
    </w:p>
    <w:p w14:paraId="3C91CB12" w14:textId="6A7DFA33"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Richardson, S., S. Teoh, and P. Wysocki. 2004. The walk-down to beatable analyst forecasts: the role of equity issuance and insider-trading incentives. </w:t>
      </w:r>
      <w:r w:rsidRPr="00D06F2B">
        <w:rPr>
          <w:rFonts w:ascii="Garamond" w:hAnsi="Garamond"/>
          <w:i/>
          <w:iCs/>
          <w:sz w:val="24"/>
          <w:szCs w:val="24"/>
          <w:lang w:val="en-US"/>
        </w:rPr>
        <w:t>Contemporary Accounting Research</w:t>
      </w:r>
      <w:r w:rsidRPr="00D06F2B">
        <w:rPr>
          <w:rFonts w:ascii="Garamond" w:hAnsi="Garamond"/>
          <w:sz w:val="24"/>
          <w:szCs w:val="24"/>
          <w:lang w:val="en-US"/>
        </w:rPr>
        <w:t xml:space="preserve"> 21, 885–924.</w:t>
      </w:r>
    </w:p>
    <w:p w14:paraId="4028404A" w14:textId="77777777"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 xml:space="preserve">Shores, D., 1990. The association between interim information and security returns surrounding earnings announcements. </w:t>
      </w:r>
      <w:r w:rsidRPr="00D06F2B">
        <w:rPr>
          <w:rFonts w:ascii="Garamond" w:hAnsi="Garamond"/>
          <w:i/>
          <w:iCs/>
          <w:sz w:val="24"/>
          <w:szCs w:val="24"/>
          <w:lang w:val="en-US"/>
        </w:rPr>
        <w:t>Journal of Accounting Research</w:t>
      </w:r>
      <w:r w:rsidRPr="00D06F2B">
        <w:rPr>
          <w:rFonts w:ascii="Garamond" w:hAnsi="Garamond"/>
          <w:sz w:val="24"/>
          <w:szCs w:val="24"/>
          <w:lang w:val="en-US"/>
        </w:rPr>
        <w:t xml:space="preserve"> 28 (1), 164–181.</w:t>
      </w:r>
    </w:p>
    <w:p w14:paraId="63372D0C" w14:textId="77777777" w:rsidR="00CF30E3" w:rsidRPr="00D06F2B" w:rsidRDefault="00CF30E3" w:rsidP="00794F34">
      <w:pPr>
        <w:spacing w:after="0" w:line="336" w:lineRule="auto"/>
        <w:ind w:left="567" w:hanging="567"/>
        <w:rPr>
          <w:rFonts w:ascii="Garamond" w:hAnsi="Garamond"/>
          <w:sz w:val="24"/>
          <w:szCs w:val="24"/>
          <w:lang w:val="en-US"/>
        </w:rPr>
      </w:pPr>
      <w:proofErr w:type="spellStart"/>
      <w:r w:rsidRPr="00D06F2B">
        <w:rPr>
          <w:rFonts w:ascii="Garamond" w:hAnsi="Garamond"/>
          <w:sz w:val="24"/>
          <w:szCs w:val="24"/>
          <w:lang w:val="en-US"/>
        </w:rPr>
        <w:t>Tkachenko</w:t>
      </w:r>
      <w:proofErr w:type="spellEnd"/>
      <w:r w:rsidRPr="00D06F2B">
        <w:rPr>
          <w:rFonts w:ascii="Garamond" w:hAnsi="Garamond"/>
          <w:sz w:val="24"/>
          <w:szCs w:val="24"/>
          <w:lang w:val="en-US"/>
        </w:rPr>
        <w:t xml:space="preserve">, I. and B. </w:t>
      </w:r>
      <w:proofErr w:type="spellStart"/>
      <w:r w:rsidRPr="00D06F2B">
        <w:rPr>
          <w:rFonts w:ascii="Garamond" w:hAnsi="Garamond"/>
          <w:sz w:val="24"/>
          <w:szCs w:val="24"/>
          <w:lang w:val="en-US"/>
        </w:rPr>
        <w:t>Bataeva</w:t>
      </w:r>
      <w:proofErr w:type="spellEnd"/>
      <w:r w:rsidRPr="00D06F2B">
        <w:rPr>
          <w:rFonts w:ascii="Garamond" w:hAnsi="Garamond"/>
          <w:sz w:val="24"/>
          <w:szCs w:val="24"/>
          <w:lang w:val="en-US"/>
        </w:rPr>
        <w:t>. 2020.</w:t>
      </w:r>
      <w:r w:rsidRPr="00D06F2B">
        <w:rPr>
          <w:rFonts w:ascii="Garamond" w:hAnsi="Garamond"/>
          <w:sz w:val="24"/>
          <w:szCs w:val="24"/>
        </w:rPr>
        <w:t xml:space="preserve"> </w:t>
      </w:r>
      <w:r w:rsidRPr="00D06F2B">
        <w:rPr>
          <w:rFonts w:ascii="Garamond" w:hAnsi="Garamond"/>
          <w:sz w:val="24"/>
          <w:szCs w:val="24"/>
          <w:lang w:val="en-US"/>
        </w:rPr>
        <w:t xml:space="preserve">Share repurchases, </w:t>
      </w:r>
      <w:proofErr w:type="spellStart"/>
      <w:r w:rsidRPr="00D06F2B">
        <w:rPr>
          <w:rFonts w:ascii="Garamond" w:hAnsi="Garamond"/>
          <w:sz w:val="24"/>
          <w:szCs w:val="24"/>
          <w:lang w:val="en-US"/>
        </w:rPr>
        <w:t>coronaeconomy</w:t>
      </w:r>
      <w:proofErr w:type="spellEnd"/>
      <w:r w:rsidRPr="00D06F2B">
        <w:rPr>
          <w:rFonts w:ascii="Garamond" w:hAnsi="Garamond"/>
          <w:sz w:val="24"/>
          <w:szCs w:val="24"/>
          <w:lang w:val="en-US"/>
        </w:rPr>
        <w:t xml:space="preserve"> and stakeholders’ interests. Working paper. </w:t>
      </w:r>
    </w:p>
    <w:p w14:paraId="56C82137" w14:textId="77777777" w:rsidR="00CF30E3" w:rsidRPr="00D06F2B" w:rsidRDefault="00CF30E3" w:rsidP="00794F34">
      <w:pPr>
        <w:spacing w:after="0" w:line="336" w:lineRule="auto"/>
        <w:ind w:left="567" w:hanging="567"/>
        <w:rPr>
          <w:rFonts w:ascii="Garamond" w:hAnsi="Garamond"/>
          <w:sz w:val="24"/>
          <w:szCs w:val="24"/>
        </w:rPr>
      </w:pPr>
      <w:r w:rsidRPr="00D06F2B">
        <w:rPr>
          <w:rFonts w:ascii="Garamond" w:hAnsi="Garamond"/>
          <w:sz w:val="24"/>
          <w:szCs w:val="24"/>
          <w:shd w:val="clear" w:color="auto" w:fill="FFFFFF"/>
        </w:rPr>
        <w:t xml:space="preserve">Wang, </w:t>
      </w:r>
      <w:proofErr w:type="gramStart"/>
      <w:r w:rsidRPr="00D06F2B">
        <w:rPr>
          <w:rFonts w:ascii="Garamond" w:hAnsi="Garamond"/>
          <w:sz w:val="24"/>
          <w:szCs w:val="24"/>
          <w:shd w:val="clear" w:color="auto" w:fill="FFFFFF"/>
        </w:rPr>
        <w:t>V.</w:t>
      </w:r>
      <w:proofErr w:type="gramEnd"/>
      <w:r w:rsidRPr="00D06F2B">
        <w:rPr>
          <w:rFonts w:ascii="Garamond" w:hAnsi="Garamond"/>
          <w:sz w:val="24"/>
          <w:szCs w:val="24"/>
          <w:shd w:val="clear" w:color="auto" w:fill="FFFFFF"/>
        </w:rPr>
        <w:t xml:space="preserve"> and B. Xing 2020. Talk about the Coronavirus Pandemic: Initial Evidence from Corporate Disclosures. Working paper</w:t>
      </w:r>
      <w:r w:rsidRPr="00D06F2B">
        <w:rPr>
          <w:rFonts w:ascii="Garamond" w:hAnsi="Garamond"/>
          <w:sz w:val="24"/>
          <w:szCs w:val="24"/>
        </w:rPr>
        <w:t xml:space="preserve"> </w:t>
      </w:r>
      <w:r w:rsidRPr="00D06F2B">
        <w:rPr>
          <w:rFonts w:ascii="Garamond" w:hAnsi="Garamond"/>
          <w:sz w:val="24"/>
          <w:szCs w:val="24"/>
          <w:shd w:val="clear" w:color="auto" w:fill="FFFFFF"/>
        </w:rPr>
        <w:t>University of Waterloo</w:t>
      </w:r>
    </w:p>
    <w:p w14:paraId="56AF1E7C" w14:textId="676B6092" w:rsidR="00CF30E3" w:rsidRPr="00D06F2B" w:rsidRDefault="00CF30E3" w:rsidP="00794F34">
      <w:pPr>
        <w:spacing w:after="0" w:line="336" w:lineRule="auto"/>
        <w:ind w:left="567" w:hanging="567"/>
        <w:rPr>
          <w:rFonts w:ascii="Garamond" w:hAnsi="Garamond"/>
          <w:sz w:val="24"/>
          <w:szCs w:val="24"/>
          <w:lang w:val="en-US"/>
        </w:rPr>
      </w:pPr>
      <w:r w:rsidRPr="00D06F2B">
        <w:rPr>
          <w:rFonts w:ascii="Garamond" w:hAnsi="Garamond"/>
          <w:sz w:val="24"/>
          <w:szCs w:val="24"/>
          <w:lang w:val="en-US"/>
        </w:rPr>
        <w:t>Womack, K. 1996. Do Brokerage Analysts' Recommendations Have Investment Value</w:t>
      </w:r>
      <w:r w:rsidRPr="00D06F2B">
        <w:rPr>
          <w:rFonts w:ascii="Garamond" w:hAnsi="Garamond"/>
          <w:i/>
          <w:iCs/>
          <w:sz w:val="24"/>
          <w:szCs w:val="24"/>
          <w:lang w:val="en-US"/>
        </w:rPr>
        <w:t>? Journal of Finance</w:t>
      </w:r>
      <w:r w:rsidRPr="00D06F2B">
        <w:rPr>
          <w:rFonts w:ascii="Garamond" w:hAnsi="Garamond"/>
          <w:sz w:val="24"/>
          <w:szCs w:val="24"/>
          <w:lang w:val="en-US"/>
        </w:rPr>
        <w:t xml:space="preserve"> 51, 137-167. </w:t>
      </w:r>
    </w:p>
    <w:p w14:paraId="1D64AB97" w14:textId="2EA3A3CF" w:rsidR="00E034B2" w:rsidRPr="00D06F2B" w:rsidRDefault="00E034B2" w:rsidP="00E034B2">
      <w:pPr>
        <w:spacing w:after="0" w:line="336" w:lineRule="auto"/>
        <w:ind w:left="567" w:hanging="567"/>
        <w:rPr>
          <w:rFonts w:ascii="Garamond" w:hAnsi="Garamond"/>
          <w:sz w:val="24"/>
          <w:szCs w:val="24"/>
          <w:lang w:val="en-US"/>
        </w:rPr>
      </w:pPr>
      <w:r w:rsidRPr="00D06F2B">
        <w:rPr>
          <w:rFonts w:ascii="Garamond" w:hAnsi="Garamond"/>
          <w:sz w:val="24"/>
          <w:szCs w:val="24"/>
          <w:lang w:val="en-US"/>
        </w:rPr>
        <w:t>Wu, C. 2013. CEO turnover and stock price crash, DBA dissertation, Hong Kong Polytechnic University.</w:t>
      </w:r>
    </w:p>
    <w:p w14:paraId="56BFA706" w14:textId="77777777" w:rsidR="009A2740" w:rsidRPr="00D06F2B" w:rsidRDefault="009A2740">
      <w:pPr>
        <w:rPr>
          <w:rFonts w:ascii="Garamond" w:hAnsi="Garamond"/>
          <w:sz w:val="24"/>
          <w:szCs w:val="24"/>
          <w:lang w:val="en-US"/>
        </w:rPr>
      </w:pPr>
    </w:p>
    <w:p w14:paraId="1E96C71B" w14:textId="77777777" w:rsidR="003B04ED" w:rsidRPr="00D06F2B" w:rsidRDefault="003B04ED">
      <w:pPr>
        <w:rPr>
          <w:rFonts w:ascii="Garamond" w:hAnsi="Garamond"/>
          <w:sz w:val="24"/>
          <w:szCs w:val="24"/>
          <w:lang w:val="en-US"/>
        </w:rPr>
      </w:pPr>
      <w:r w:rsidRPr="00D06F2B">
        <w:rPr>
          <w:rFonts w:ascii="Garamond" w:hAnsi="Garamond"/>
          <w:sz w:val="24"/>
          <w:szCs w:val="24"/>
          <w:lang w:val="en-US"/>
        </w:rPr>
        <w:br w:type="page"/>
      </w:r>
    </w:p>
    <w:p w14:paraId="750AF133" w14:textId="77777777" w:rsidR="003B04ED" w:rsidRPr="00D06F2B" w:rsidRDefault="003B04ED">
      <w:pPr>
        <w:rPr>
          <w:rFonts w:ascii="Garamond" w:hAnsi="Garamond"/>
          <w:sz w:val="24"/>
          <w:szCs w:val="24"/>
          <w:lang w:val="en-US"/>
        </w:rPr>
        <w:sectPr w:rsidR="003B04ED" w:rsidRPr="00D06F2B" w:rsidSect="00CE11A2">
          <w:footerReference w:type="default" r:id="rId7"/>
          <w:pgSz w:w="12242" w:h="15842" w:code="1"/>
          <w:pgMar w:top="1440" w:right="1440" w:bottom="1440" w:left="1440" w:header="709" w:footer="709" w:gutter="0"/>
          <w:cols w:space="708"/>
          <w:docGrid w:linePitch="360"/>
        </w:sectPr>
      </w:pPr>
    </w:p>
    <w:p w14:paraId="2ECD6FA5" w14:textId="4FB72F81" w:rsidR="006F4197" w:rsidRPr="00D06F2B" w:rsidRDefault="006F4197" w:rsidP="00516D02">
      <w:pPr>
        <w:spacing w:after="0" w:line="240" w:lineRule="auto"/>
        <w:rPr>
          <w:rFonts w:ascii="Garamond" w:hAnsi="Garamond"/>
          <w:sz w:val="24"/>
          <w:szCs w:val="24"/>
          <w:lang w:val="en-US"/>
        </w:rPr>
      </w:pPr>
      <w:r w:rsidRPr="00D06F2B">
        <w:rPr>
          <w:rFonts w:ascii="Garamond" w:hAnsi="Garamond"/>
          <w:b/>
          <w:bCs/>
          <w:sz w:val="24"/>
          <w:szCs w:val="24"/>
          <w:lang w:val="en-US"/>
        </w:rPr>
        <w:lastRenderedPageBreak/>
        <w:t>Figure 1</w:t>
      </w:r>
      <w:r w:rsidR="002E0EB2" w:rsidRPr="00D06F2B">
        <w:rPr>
          <w:rFonts w:ascii="Garamond" w:hAnsi="Garamond"/>
          <w:b/>
          <w:bCs/>
          <w:sz w:val="24"/>
          <w:szCs w:val="24"/>
          <w:lang w:val="en-US"/>
        </w:rPr>
        <w:t>.</w:t>
      </w:r>
      <w:r w:rsidR="008B451B" w:rsidRPr="00D06F2B">
        <w:rPr>
          <w:rFonts w:ascii="Garamond" w:hAnsi="Garamond"/>
          <w:sz w:val="24"/>
          <w:szCs w:val="24"/>
          <w:lang w:val="en-US"/>
        </w:rPr>
        <w:t xml:space="preserve"> The</w:t>
      </w:r>
      <w:r w:rsidRPr="00D06F2B">
        <w:rPr>
          <w:rFonts w:ascii="Garamond" w:hAnsi="Garamond"/>
          <w:sz w:val="24"/>
          <w:szCs w:val="24"/>
          <w:lang w:val="en-US"/>
        </w:rPr>
        <w:t xml:space="preserve"> </w:t>
      </w:r>
      <w:r w:rsidR="008B451B" w:rsidRPr="00D06F2B">
        <w:rPr>
          <w:rFonts w:ascii="Garamond" w:hAnsi="Garamond"/>
          <w:sz w:val="24"/>
          <w:szCs w:val="24"/>
          <w:lang w:val="en-US"/>
        </w:rPr>
        <w:t>m</w:t>
      </w:r>
      <w:r w:rsidRPr="00D06F2B">
        <w:rPr>
          <w:rFonts w:ascii="Garamond" w:hAnsi="Garamond"/>
          <w:sz w:val="24"/>
          <w:szCs w:val="24"/>
          <w:lang w:val="en-US"/>
        </w:rPr>
        <w:t xml:space="preserve">onthly number of forecasts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08"/>
        <w:gridCol w:w="6329"/>
      </w:tblGrid>
      <w:tr w:rsidR="00516D02" w:rsidRPr="00D06F2B" w14:paraId="46F17410" w14:textId="77777777" w:rsidTr="0060175E">
        <w:trPr>
          <w:trHeight w:val="1570"/>
        </w:trPr>
        <w:tc>
          <w:tcPr>
            <w:tcW w:w="6408" w:type="dxa"/>
          </w:tcPr>
          <w:p w14:paraId="7D637828" w14:textId="3C4C063A" w:rsidR="006F4197" w:rsidRPr="00D06F2B" w:rsidRDefault="00A64BAB" w:rsidP="008B6B24">
            <w:pPr>
              <w:rPr>
                <w:rFonts w:ascii="Garamond" w:hAnsi="Garamond"/>
                <w:sz w:val="16"/>
                <w:szCs w:val="16"/>
                <w:lang w:val="en-US"/>
              </w:rPr>
            </w:pPr>
            <w:r w:rsidRPr="00D06F2B">
              <w:rPr>
                <w:rFonts w:ascii="Garamond" w:hAnsi="Garamond"/>
                <w:noProof/>
              </w:rPr>
              <w:drawing>
                <wp:inline distT="0" distB="0" distL="0" distR="0" wp14:anchorId="4B97C26D" wp14:editId="0E616D29">
                  <wp:extent cx="3931920" cy="1626870"/>
                  <wp:effectExtent l="0" t="0" r="11430" b="11430"/>
                  <wp:docPr id="1" name="Chart 1">
                    <a:extLst xmlns:a="http://schemas.openxmlformats.org/drawingml/2006/main">
                      <a:ext uri="{FF2B5EF4-FFF2-40B4-BE49-F238E27FC236}">
                        <a16:creationId xmlns:a16="http://schemas.microsoft.com/office/drawing/2014/main" id="{9C51DE2C-5349-4309-8F54-6A2F0C0E7A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67F359" w14:textId="3C6B1AE0" w:rsidR="00516D02" w:rsidRPr="00D06F2B" w:rsidRDefault="0060175E" w:rsidP="008B6B24">
            <w:pPr>
              <w:rPr>
                <w:rFonts w:ascii="Garamond" w:hAnsi="Garamond"/>
                <w:sz w:val="24"/>
                <w:szCs w:val="24"/>
                <w:lang w:val="en-US"/>
              </w:rPr>
            </w:pPr>
            <w:r w:rsidRPr="00D06F2B">
              <w:rPr>
                <w:rFonts w:ascii="Garamond" w:hAnsi="Garamond"/>
                <w:noProof/>
              </w:rPr>
              <w:drawing>
                <wp:inline distT="0" distB="0" distL="0" distR="0" wp14:anchorId="73F2CEFA" wp14:editId="73EA17A5">
                  <wp:extent cx="3931920" cy="1645530"/>
                  <wp:effectExtent l="0" t="0" r="11430" b="12065"/>
                  <wp:docPr id="16" name="Chart 16">
                    <a:extLst xmlns:a="http://schemas.openxmlformats.org/drawingml/2006/main">
                      <a:ext uri="{FF2B5EF4-FFF2-40B4-BE49-F238E27FC236}">
                        <a16:creationId xmlns:a16="http://schemas.microsoft.com/office/drawing/2014/main" id="{72FF4717-AB49-4E1A-BF51-73E755B01C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1C0F74" w14:textId="4DCDCE0F" w:rsidR="00516D02" w:rsidRPr="00D06F2B" w:rsidRDefault="0060175E" w:rsidP="008B6B24">
            <w:pPr>
              <w:rPr>
                <w:rFonts w:ascii="Garamond" w:hAnsi="Garamond"/>
                <w:sz w:val="24"/>
                <w:szCs w:val="24"/>
                <w:lang w:val="en-US"/>
              </w:rPr>
            </w:pPr>
            <w:r w:rsidRPr="00D06F2B">
              <w:rPr>
                <w:rFonts w:ascii="Garamond" w:hAnsi="Garamond"/>
                <w:noProof/>
              </w:rPr>
              <w:drawing>
                <wp:inline distT="0" distB="0" distL="0" distR="0" wp14:anchorId="6B67047E" wp14:editId="0C83C84C">
                  <wp:extent cx="3931920" cy="1589649"/>
                  <wp:effectExtent l="0" t="0" r="11430" b="10795"/>
                  <wp:docPr id="18" name="Chart 18">
                    <a:extLst xmlns:a="http://schemas.openxmlformats.org/drawingml/2006/main">
                      <a:ext uri="{FF2B5EF4-FFF2-40B4-BE49-F238E27FC236}">
                        <a16:creationId xmlns:a16="http://schemas.microsoft.com/office/drawing/2014/main" id="{5974487D-7735-4E0C-8BBE-14E7D36421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6329" w:type="dxa"/>
          </w:tcPr>
          <w:p w14:paraId="2403321C" w14:textId="77777777" w:rsidR="006F4197" w:rsidRPr="00D06F2B" w:rsidRDefault="006F4197" w:rsidP="008B6B24">
            <w:pPr>
              <w:rPr>
                <w:rFonts w:ascii="Garamond" w:hAnsi="Garamond"/>
                <w:sz w:val="24"/>
                <w:szCs w:val="24"/>
                <w:lang w:val="en-US"/>
              </w:rPr>
            </w:pPr>
            <w:r w:rsidRPr="00D06F2B">
              <w:rPr>
                <w:rFonts w:ascii="Garamond" w:hAnsi="Garamond"/>
                <w:noProof/>
                <w:lang w:val="en-US"/>
              </w:rPr>
              <w:drawing>
                <wp:inline distT="0" distB="0" distL="0" distR="0" wp14:anchorId="5C11DF76" wp14:editId="0290F707">
                  <wp:extent cx="3798276" cy="1673860"/>
                  <wp:effectExtent l="0" t="0" r="12065" b="2540"/>
                  <wp:docPr id="4" name="Chart 4">
                    <a:extLst xmlns:a="http://schemas.openxmlformats.org/drawingml/2006/main">
                      <a:ext uri="{FF2B5EF4-FFF2-40B4-BE49-F238E27FC236}">
                        <a16:creationId xmlns:a16="http://schemas.microsoft.com/office/drawing/2014/main" id="{C4136A0F-CF49-4F3C-8983-39B3A16074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FE8450" w14:textId="0647552C" w:rsidR="00516D02" w:rsidRPr="00D06F2B" w:rsidRDefault="0060175E" w:rsidP="008B6B24">
            <w:pPr>
              <w:rPr>
                <w:rFonts w:ascii="Garamond" w:hAnsi="Garamond"/>
                <w:sz w:val="24"/>
                <w:szCs w:val="24"/>
                <w:lang w:val="en-US"/>
              </w:rPr>
            </w:pPr>
            <w:r w:rsidRPr="00D06F2B">
              <w:rPr>
                <w:rFonts w:ascii="Garamond" w:hAnsi="Garamond"/>
                <w:noProof/>
              </w:rPr>
              <w:drawing>
                <wp:inline distT="0" distB="0" distL="0" distR="0" wp14:anchorId="799B2F87" wp14:editId="7699FCCA">
                  <wp:extent cx="3881755" cy="1610115"/>
                  <wp:effectExtent l="0" t="0" r="4445" b="9525"/>
                  <wp:docPr id="17" name="Chart 17">
                    <a:extLst xmlns:a="http://schemas.openxmlformats.org/drawingml/2006/main">
                      <a:ext uri="{FF2B5EF4-FFF2-40B4-BE49-F238E27FC236}">
                        <a16:creationId xmlns:a16="http://schemas.microsoft.com/office/drawing/2014/main" id="{A67CF509-24E6-41E4-9FE7-6DF531C3DB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8993A1" w14:textId="722F995F" w:rsidR="00516D02" w:rsidRPr="00D06F2B" w:rsidRDefault="0060175E" w:rsidP="008B6B24">
            <w:pPr>
              <w:rPr>
                <w:rFonts w:ascii="Garamond" w:hAnsi="Garamond"/>
                <w:sz w:val="24"/>
                <w:szCs w:val="24"/>
                <w:lang w:val="en-US"/>
              </w:rPr>
            </w:pPr>
            <w:r w:rsidRPr="00D06F2B">
              <w:rPr>
                <w:rFonts w:ascii="Garamond" w:hAnsi="Garamond"/>
                <w:noProof/>
              </w:rPr>
              <w:drawing>
                <wp:inline distT="0" distB="0" distL="0" distR="0" wp14:anchorId="271BC547" wp14:editId="36A7C947">
                  <wp:extent cx="3881755" cy="1568548"/>
                  <wp:effectExtent l="0" t="0" r="4445" b="12700"/>
                  <wp:docPr id="20" name="Chart 20">
                    <a:extLst xmlns:a="http://schemas.openxmlformats.org/drawingml/2006/main">
                      <a:ext uri="{FF2B5EF4-FFF2-40B4-BE49-F238E27FC236}">
                        <a16:creationId xmlns:a16="http://schemas.microsoft.com/office/drawing/2014/main" id="{7EEB7AE1-3174-4DE8-92B8-C6FAA8E98B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60981571" w14:textId="5862D4AF" w:rsidR="006F4197" w:rsidRPr="00D06F2B" w:rsidRDefault="008B6B24" w:rsidP="008B6B24">
      <w:pPr>
        <w:spacing w:after="0" w:line="240" w:lineRule="auto"/>
        <w:rPr>
          <w:rFonts w:ascii="Garamond" w:hAnsi="Garamond"/>
          <w:sz w:val="20"/>
          <w:szCs w:val="20"/>
          <w:lang w:val="en-US"/>
        </w:rPr>
        <w:sectPr w:rsidR="006F4197" w:rsidRPr="00D06F2B" w:rsidSect="006F4197">
          <w:pgSz w:w="15842" w:h="12242" w:orient="landscape" w:code="1"/>
          <w:pgMar w:top="1440" w:right="1440" w:bottom="1440" w:left="1440" w:header="709" w:footer="709" w:gutter="0"/>
          <w:cols w:space="708"/>
          <w:docGrid w:linePitch="360"/>
        </w:sectPr>
      </w:pPr>
      <w:r w:rsidRPr="00D06F2B">
        <w:rPr>
          <w:rFonts w:ascii="Garamond" w:hAnsi="Garamond"/>
          <w:sz w:val="20"/>
          <w:szCs w:val="20"/>
          <w:lang w:val="en-US"/>
        </w:rPr>
        <w:t xml:space="preserve">The figure reports the </w:t>
      </w:r>
      <w:r w:rsidR="00E44CF2" w:rsidRPr="00D06F2B">
        <w:rPr>
          <w:rFonts w:ascii="Garamond" w:hAnsi="Garamond"/>
          <w:sz w:val="20"/>
          <w:szCs w:val="20"/>
          <w:lang w:val="en-US"/>
        </w:rPr>
        <w:t>monthly</w:t>
      </w:r>
      <w:r w:rsidRPr="00D06F2B">
        <w:rPr>
          <w:rFonts w:ascii="Garamond" w:hAnsi="Garamond"/>
          <w:sz w:val="20"/>
          <w:szCs w:val="20"/>
          <w:lang w:val="en-US"/>
        </w:rPr>
        <w:t xml:space="preserve"> </w:t>
      </w:r>
      <w:r w:rsidR="00E44CF2" w:rsidRPr="00D06F2B">
        <w:rPr>
          <w:rFonts w:ascii="Garamond" w:hAnsi="Garamond"/>
          <w:sz w:val="20"/>
          <w:szCs w:val="20"/>
          <w:lang w:val="en-US"/>
        </w:rPr>
        <w:t xml:space="preserve">number of </w:t>
      </w:r>
      <w:r w:rsidRPr="00D06F2B">
        <w:rPr>
          <w:rFonts w:ascii="Garamond" w:hAnsi="Garamond"/>
          <w:sz w:val="20"/>
          <w:szCs w:val="20"/>
          <w:lang w:val="en-US"/>
        </w:rPr>
        <w:t>analyst earnings forecasts, revenue, cash flow, dividend, target price, stock recommendations</w:t>
      </w:r>
      <w:r w:rsidR="00E44CF2" w:rsidRPr="00D06F2B">
        <w:rPr>
          <w:rFonts w:ascii="Garamond" w:hAnsi="Garamond"/>
          <w:sz w:val="20"/>
          <w:szCs w:val="20"/>
          <w:lang w:val="en-US"/>
        </w:rPr>
        <w:t xml:space="preserve"> </w:t>
      </w:r>
      <w:r w:rsidR="003F5C24" w:rsidRPr="00D06F2B">
        <w:rPr>
          <w:rFonts w:ascii="Garamond" w:hAnsi="Garamond"/>
          <w:sz w:val="20"/>
          <w:szCs w:val="20"/>
          <w:lang w:val="en-US"/>
        </w:rPr>
        <w:t xml:space="preserve">issued </w:t>
      </w:r>
      <w:r w:rsidR="00E44CF2" w:rsidRPr="00D06F2B">
        <w:rPr>
          <w:rFonts w:ascii="Garamond" w:hAnsi="Garamond"/>
          <w:sz w:val="20"/>
          <w:szCs w:val="20"/>
          <w:lang w:val="en-US"/>
        </w:rPr>
        <w:t>between January 2018 and November 2020.</w:t>
      </w:r>
    </w:p>
    <w:p w14:paraId="55794577" w14:textId="694D25FC" w:rsidR="006F4197" w:rsidRPr="00D06F2B" w:rsidRDefault="00516D02" w:rsidP="00F75BBE">
      <w:pPr>
        <w:spacing w:after="0" w:line="480" w:lineRule="auto"/>
        <w:rPr>
          <w:rFonts w:ascii="Garamond" w:hAnsi="Garamond"/>
          <w:sz w:val="24"/>
          <w:szCs w:val="24"/>
          <w:lang w:val="en-US"/>
        </w:rPr>
      </w:pPr>
      <w:r w:rsidRPr="00D06F2B">
        <w:rPr>
          <w:rFonts w:ascii="Garamond" w:hAnsi="Garamond"/>
          <w:b/>
          <w:bCs/>
          <w:sz w:val="24"/>
          <w:szCs w:val="24"/>
          <w:lang w:val="en-US"/>
        </w:rPr>
        <w:lastRenderedPageBreak/>
        <w:t>Figure 2</w:t>
      </w:r>
      <w:r w:rsidR="002E0EB2" w:rsidRPr="00D06F2B">
        <w:rPr>
          <w:rFonts w:ascii="Garamond" w:hAnsi="Garamond"/>
          <w:b/>
          <w:bCs/>
          <w:sz w:val="24"/>
          <w:szCs w:val="24"/>
          <w:lang w:val="en-US"/>
        </w:rPr>
        <w:t>.</w:t>
      </w:r>
      <w:r w:rsidRPr="00D06F2B">
        <w:rPr>
          <w:rFonts w:ascii="Garamond" w:hAnsi="Garamond"/>
          <w:sz w:val="24"/>
          <w:szCs w:val="24"/>
          <w:lang w:val="en-US"/>
        </w:rPr>
        <w:t xml:space="preserve"> </w:t>
      </w:r>
      <w:r w:rsidR="007530E1" w:rsidRPr="00D06F2B">
        <w:rPr>
          <w:rFonts w:ascii="Garamond" w:hAnsi="Garamond"/>
          <w:sz w:val="24"/>
          <w:szCs w:val="24"/>
          <w:lang w:val="en-US"/>
        </w:rPr>
        <w:t>Quarterly f</w:t>
      </w:r>
      <w:r w:rsidRPr="00D06F2B">
        <w:rPr>
          <w:rFonts w:ascii="Garamond" w:hAnsi="Garamond"/>
          <w:sz w:val="24"/>
          <w:szCs w:val="24"/>
          <w:lang w:val="en-US"/>
        </w:rPr>
        <w:t>orecast error</w:t>
      </w:r>
    </w:p>
    <w:p w14:paraId="47275C7D" w14:textId="130F8C19" w:rsidR="003D74FE" w:rsidRPr="00D06F2B" w:rsidRDefault="003D74FE" w:rsidP="00E44CF2">
      <w:pPr>
        <w:spacing w:after="0" w:line="240" w:lineRule="auto"/>
        <w:rPr>
          <w:rFonts w:ascii="Garamond" w:hAnsi="Garamond"/>
          <w:sz w:val="20"/>
          <w:szCs w:val="20"/>
          <w:lang w:val="en-US"/>
        </w:rPr>
      </w:pPr>
      <w:r w:rsidRPr="00D06F2B">
        <w:rPr>
          <w:rFonts w:ascii="Garamond" w:hAnsi="Garamond"/>
          <w:noProof/>
        </w:rPr>
        <w:drawing>
          <wp:inline distT="0" distB="0" distL="0" distR="0" wp14:anchorId="567E56E0" wp14:editId="466D1BB3">
            <wp:extent cx="8209915" cy="3748135"/>
            <wp:effectExtent l="0" t="0" r="635" b="5080"/>
            <wp:docPr id="7" name="Chart 7">
              <a:extLst xmlns:a="http://schemas.openxmlformats.org/drawingml/2006/main">
                <a:ext uri="{FF2B5EF4-FFF2-40B4-BE49-F238E27FC236}">
                  <a16:creationId xmlns:a16="http://schemas.microsoft.com/office/drawing/2014/main" id="{C1DAC639-C7D9-4FFE-B90C-E2EE07C874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1DC0BD" w14:textId="78CF6374" w:rsidR="00484999" w:rsidRPr="00D06F2B" w:rsidRDefault="00E44CF2" w:rsidP="00E44CF2">
      <w:pPr>
        <w:spacing w:after="0" w:line="240" w:lineRule="auto"/>
        <w:rPr>
          <w:rFonts w:ascii="Garamond" w:hAnsi="Garamond"/>
          <w:sz w:val="20"/>
          <w:szCs w:val="20"/>
          <w:lang w:val="en-US"/>
        </w:rPr>
      </w:pPr>
      <w:r w:rsidRPr="00D06F2B">
        <w:rPr>
          <w:rFonts w:ascii="Garamond" w:hAnsi="Garamond"/>
          <w:sz w:val="20"/>
          <w:szCs w:val="20"/>
          <w:lang w:val="en-US"/>
        </w:rPr>
        <w:t>The figure reports the average quarterly percentage forecast error for analyst earnings, revenue, cash flow</w:t>
      </w:r>
      <w:r w:rsidR="00A6547C" w:rsidRPr="00D06F2B">
        <w:rPr>
          <w:rFonts w:ascii="Garamond" w:hAnsi="Garamond"/>
          <w:sz w:val="20"/>
          <w:szCs w:val="20"/>
          <w:lang w:val="en-US"/>
        </w:rPr>
        <w:t xml:space="preserve"> and dividend forecasts.</w:t>
      </w:r>
      <w:r w:rsidRPr="00D06F2B">
        <w:rPr>
          <w:rFonts w:ascii="Garamond" w:hAnsi="Garamond"/>
          <w:sz w:val="20"/>
          <w:szCs w:val="20"/>
          <w:lang w:val="en-US"/>
        </w:rPr>
        <w:t xml:space="preserve"> Forecast error is calculated as absolute difference between the actual and forecasted values, scaled by 1 plus the absolute value of the actual.</w:t>
      </w:r>
    </w:p>
    <w:p w14:paraId="16DB154B" w14:textId="77777777" w:rsidR="00484999" w:rsidRPr="00D06F2B" w:rsidRDefault="00484999">
      <w:pPr>
        <w:rPr>
          <w:rFonts w:ascii="Garamond" w:hAnsi="Garamond"/>
          <w:sz w:val="24"/>
          <w:szCs w:val="24"/>
          <w:lang w:val="en-US"/>
        </w:rPr>
      </w:pPr>
      <w:r w:rsidRPr="00D06F2B">
        <w:rPr>
          <w:rFonts w:ascii="Garamond" w:hAnsi="Garamond"/>
          <w:sz w:val="24"/>
          <w:szCs w:val="24"/>
          <w:lang w:val="en-US"/>
        </w:rPr>
        <w:br w:type="page"/>
      </w:r>
    </w:p>
    <w:p w14:paraId="5ED2727F" w14:textId="000F62C7" w:rsidR="006D14F8" w:rsidRPr="00D06F2B" w:rsidRDefault="00A6547C" w:rsidP="00A6547C">
      <w:pPr>
        <w:rPr>
          <w:rFonts w:ascii="Garamond" w:hAnsi="Garamond"/>
          <w:sz w:val="24"/>
          <w:szCs w:val="24"/>
          <w:lang w:val="en-US"/>
        </w:rPr>
      </w:pPr>
      <w:r w:rsidRPr="00D06F2B">
        <w:rPr>
          <w:rFonts w:ascii="Garamond" w:hAnsi="Garamond"/>
          <w:b/>
          <w:bCs/>
          <w:sz w:val="24"/>
          <w:szCs w:val="24"/>
          <w:lang w:val="en-US"/>
        </w:rPr>
        <w:lastRenderedPageBreak/>
        <w:t xml:space="preserve">Figure </w:t>
      </w:r>
      <w:r w:rsidR="002E0EB2" w:rsidRPr="00D06F2B">
        <w:rPr>
          <w:rFonts w:ascii="Garamond" w:hAnsi="Garamond"/>
          <w:b/>
          <w:bCs/>
          <w:sz w:val="24"/>
          <w:szCs w:val="24"/>
          <w:lang w:val="en-US"/>
        </w:rPr>
        <w:t>3</w:t>
      </w:r>
      <w:r w:rsidRPr="00D06F2B">
        <w:rPr>
          <w:rFonts w:ascii="Garamond" w:hAnsi="Garamond"/>
          <w:b/>
          <w:bCs/>
          <w:sz w:val="24"/>
          <w:szCs w:val="24"/>
          <w:lang w:val="en-US"/>
        </w:rPr>
        <w:t>.</w:t>
      </w:r>
      <w:r w:rsidRPr="00D06F2B">
        <w:rPr>
          <w:rFonts w:ascii="Garamond" w:hAnsi="Garamond"/>
          <w:sz w:val="24"/>
          <w:szCs w:val="24"/>
          <w:lang w:val="en-US"/>
        </w:rPr>
        <w:t xml:space="preserve"> Uncertainty-adjusted forecast errors</w:t>
      </w:r>
    </w:p>
    <w:p w14:paraId="243A6A9A" w14:textId="77777777" w:rsidR="00A6547C" w:rsidRPr="00D06F2B" w:rsidRDefault="00A6547C" w:rsidP="00A6547C">
      <w:pPr>
        <w:rPr>
          <w:rFonts w:ascii="Garamond" w:hAnsi="Garamond"/>
          <w:sz w:val="24"/>
          <w:szCs w:val="24"/>
          <w:lang w:val="en-US"/>
        </w:rPr>
      </w:pPr>
      <w:r w:rsidRPr="00D06F2B">
        <w:rPr>
          <w:rFonts w:ascii="Garamond" w:hAnsi="Garamond"/>
          <w:noProof/>
        </w:rPr>
        <w:drawing>
          <wp:inline distT="0" distB="0" distL="0" distR="0" wp14:anchorId="497BA201" wp14:editId="030055C0">
            <wp:extent cx="8148119" cy="3757188"/>
            <wp:effectExtent l="0" t="0" r="5715" b="15240"/>
            <wp:docPr id="3" name="Chart 3">
              <a:extLst xmlns:a="http://schemas.openxmlformats.org/drawingml/2006/main">
                <a:ext uri="{FF2B5EF4-FFF2-40B4-BE49-F238E27FC236}">
                  <a16:creationId xmlns:a16="http://schemas.microsoft.com/office/drawing/2014/main" id="{5B913275-31C1-4280-841B-B67D4F269D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3F6E4A" w14:textId="7755CA9C" w:rsidR="00A6547C" w:rsidRPr="00D06F2B" w:rsidRDefault="00A6547C" w:rsidP="00A6547C">
      <w:pPr>
        <w:rPr>
          <w:rFonts w:ascii="Garamond" w:hAnsi="Garamond"/>
          <w:sz w:val="20"/>
          <w:szCs w:val="20"/>
          <w:lang w:val="en-US"/>
        </w:rPr>
        <w:sectPr w:rsidR="00A6547C" w:rsidRPr="00D06F2B" w:rsidSect="00516D02">
          <w:pgSz w:w="15842" w:h="12242" w:orient="landscape" w:code="1"/>
          <w:pgMar w:top="1440" w:right="1440" w:bottom="1440" w:left="1440" w:header="709" w:footer="709" w:gutter="0"/>
          <w:cols w:space="708"/>
          <w:docGrid w:linePitch="360"/>
        </w:sectPr>
      </w:pPr>
      <w:r w:rsidRPr="00D06F2B">
        <w:rPr>
          <w:rFonts w:ascii="Garamond" w:hAnsi="Garamond"/>
          <w:sz w:val="20"/>
          <w:szCs w:val="20"/>
          <w:lang w:val="en-US"/>
        </w:rPr>
        <w:t>The figure reports normalized average quarterly percentage forecast error for analyst earnings (EPS error), revenue (Revenue error), cash flow (CPS error) and dividend (DPS error) forecasts. Forecast error is calculated as</w:t>
      </w:r>
      <w:r w:rsidR="00205827">
        <w:rPr>
          <w:rFonts w:ascii="Garamond" w:hAnsi="Garamond"/>
          <w:sz w:val="20"/>
          <w:szCs w:val="20"/>
          <w:lang w:val="en-US"/>
        </w:rPr>
        <w:t xml:space="preserve"> the</w:t>
      </w:r>
      <w:r w:rsidRPr="00D06F2B">
        <w:rPr>
          <w:rFonts w:ascii="Garamond" w:hAnsi="Garamond"/>
          <w:sz w:val="20"/>
          <w:szCs w:val="20"/>
          <w:lang w:val="en-US"/>
        </w:rPr>
        <w:t xml:space="preserve"> absolute difference between the actual and forecasted values, scaled by 1 plus the absolute value of the actual, which we then scale by the stock return variance estimated from the Carhart (1997) model over 100 days before the forecast announcement date. </w:t>
      </w:r>
    </w:p>
    <w:p w14:paraId="526D9582" w14:textId="7F689D41" w:rsidR="00C144C2" w:rsidRPr="00D06F2B" w:rsidRDefault="00C144C2">
      <w:pPr>
        <w:rPr>
          <w:rFonts w:ascii="Garamond" w:hAnsi="Garamond"/>
          <w:sz w:val="24"/>
          <w:szCs w:val="24"/>
          <w:lang w:val="en-US"/>
        </w:rPr>
      </w:pPr>
      <w:r w:rsidRPr="00D06F2B">
        <w:rPr>
          <w:rFonts w:ascii="Garamond" w:hAnsi="Garamond"/>
          <w:b/>
          <w:bCs/>
          <w:sz w:val="24"/>
          <w:szCs w:val="24"/>
          <w:lang w:val="en-US"/>
        </w:rPr>
        <w:lastRenderedPageBreak/>
        <w:t xml:space="preserve">Figure </w:t>
      </w:r>
      <w:r w:rsidR="002E0EB2" w:rsidRPr="00D06F2B">
        <w:rPr>
          <w:rFonts w:ascii="Garamond" w:hAnsi="Garamond"/>
          <w:b/>
          <w:bCs/>
          <w:sz w:val="24"/>
          <w:szCs w:val="24"/>
          <w:lang w:val="en-US"/>
        </w:rPr>
        <w:t>4.</w:t>
      </w:r>
      <w:r w:rsidRPr="00D06F2B">
        <w:rPr>
          <w:rFonts w:ascii="Garamond" w:hAnsi="Garamond"/>
          <w:sz w:val="24"/>
          <w:szCs w:val="24"/>
          <w:lang w:val="en-US"/>
        </w:rPr>
        <w:t xml:space="preserve"> Monthly average revisions in analyst forecasts</w:t>
      </w:r>
    </w:p>
    <w:p w14:paraId="1595AC11" w14:textId="1AC25E43" w:rsidR="00C144C2" w:rsidRPr="00D06F2B" w:rsidRDefault="009A34FE">
      <w:pPr>
        <w:rPr>
          <w:rFonts w:ascii="Garamond" w:hAnsi="Garamond"/>
          <w:sz w:val="24"/>
          <w:szCs w:val="24"/>
          <w:lang w:val="en-US"/>
        </w:rPr>
      </w:pPr>
      <w:r w:rsidRPr="00D06F2B">
        <w:rPr>
          <w:rFonts w:ascii="Garamond" w:hAnsi="Garamond"/>
          <w:noProof/>
          <w:lang w:val="en-US"/>
        </w:rPr>
        <w:drawing>
          <wp:inline distT="0" distB="0" distL="0" distR="0" wp14:anchorId="2DA6F1D4" wp14:editId="5D5AB567">
            <wp:extent cx="5944870" cy="2349500"/>
            <wp:effectExtent l="0" t="0" r="17780" b="12700"/>
            <wp:docPr id="14" name="Chart 14">
              <a:extLst xmlns:a="http://schemas.openxmlformats.org/drawingml/2006/main">
                <a:ext uri="{FF2B5EF4-FFF2-40B4-BE49-F238E27FC236}">
                  <a16:creationId xmlns:a16="http://schemas.microsoft.com/office/drawing/2014/main" id="{B4601049-9703-4467-8DC2-0E89268380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C144C2" w:rsidRPr="00D06F2B">
        <w:rPr>
          <w:rFonts w:ascii="Garamond" w:hAnsi="Garamond"/>
          <w:noProof/>
          <w:sz w:val="16"/>
          <w:szCs w:val="16"/>
          <w:lang w:val="en-US"/>
        </w:rPr>
        <w:drawing>
          <wp:inline distT="0" distB="0" distL="0" distR="0" wp14:anchorId="4990E275" wp14:editId="3992240D">
            <wp:extent cx="5944870" cy="2147570"/>
            <wp:effectExtent l="0" t="0" r="17780" b="5080"/>
            <wp:docPr id="13" name="Chart 13">
              <a:extLst xmlns:a="http://schemas.openxmlformats.org/drawingml/2006/main">
                <a:ext uri="{FF2B5EF4-FFF2-40B4-BE49-F238E27FC236}">
                  <a16:creationId xmlns:a16="http://schemas.microsoft.com/office/drawing/2014/main" id="{EF0D0EB7-544D-4592-A8DB-EE69C4607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6686A4" w14:textId="0B139F80" w:rsidR="00D6711E" w:rsidRPr="00D06F2B" w:rsidRDefault="00C144C2">
      <w:pPr>
        <w:rPr>
          <w:rFonts w:ascii="Garamond" w:hAnsi="Garamond"/>
          <w:sz w:val="20"/>
          <w:szCs w:val="20"/>
          <w:lang w:val="en-US"/>
        </w:rPr>
      </w:pPr>
      <w:r w:rsidRPr="00D06F2B">
        <w:rPr>
          <w:rFonts w:ascii="Garamond" w:hAnsi="Garamond"/>
          <w:sz w:val="20"/>
          <w:szCs w:val="20"/>
          <w:lang w:val="en-US"/>
        </w:rPr>
        <w:t xml:space="preserve">The figure presents the monthly average revisions in analyst quarterly earnings-per-share forecasts (EPS), revenue forecasts (SAL), cash flow-per-share forecasts (CPS), dividend-per-share forecasts (DPS), target prices (TP) and stock recommendations. We calculate a revision as the difference between the analyst current and previous forecasts issued for the same fiscal quarter </w:t>
      </w:r>
      <w:r w:rsidR="00205827">
        <w:rPr>
          <w:rFonts w:ascii="Garamond" w:hAnsi="Garamond"/>
          <w:sz w:val="20"/>
          <w:szCs w:val="20"/>
          <w:lang w:val="en-US"/>
        </w:rPr>
        <w:t xml:space="preserve">and the same firm </w:t>
      </w:r>
      <w:r w:rsidRPr="00D06F2B">
        <w:rPr>
          <w:rFonts w:ascii="Garamond" w:hAnsi="Garamond"/>
          <w:sz w:val="20"/>
          <w:szCs w:val="20"/>
          <w:lang w:val="en-US"/>
        </w:rPr>
        <w:t xml:space="preserve">scaled by the absolute value of the previous forecast. </w:t>
      </w:r>
    </w:p>
    <w:p w14:paraId="3BFD9C68" w14:textId="77777777" w:rsidR="00D6711E" w:rsidRPr="00D06F2B" w:rsidRDefault="00D6711E">
      <w:pPr>
        <w:rPr>
          <w:rFonts w:ascii="Garamond" w:hAnsi="Garamond"/>
          <w:sz w:val="20"/>
          <w:szCs w:val="20"/>
          <w:lang w:val="en-US"/>
        </w:rPr>
      </w:pPr>
      <w:r w:rsidRPr="00D06F2B">
        <w:rPr>
          <w:rFonts w:ascii="Garamond" w:hAnsi="Garamond"/>
          <w:sz w:val="20"/>
          <w:szCs w:val="20"/>
          <w:lang w:val="en-US"/>
        </w:rPr>
        <w:br w:type="page"/>
      </w:r>
    </w:p>
    <w:p w14:paraId="54543FDC" w14:textId="085D151B" w:rsidR="00D6711E" w:rsidRPr="00D06F2B" w:rsidRDefault="00D6711E">
      <w:pPr>
        <w:rPr>
          <w:rFonts w:ascii="Garamond" w:hAnsi="Garamond"/>
          <w:sz w:val="24"/>
          <w:szCs w:val="24"/>
          <w:lang w:val="en-US"/>
        </w:rPr>
      </w:pPr>
      <w:r w:rsidRPr="00D06F2B">
        <w:rPr>
          <w:rFonts w:ascii="Garamond" w:hAnsi="Garamond"/>
          <w:b/>
          <w:bCs/>
          <w:sz w:val="24"/>
          <w:szCs w:val="24"/>
          <w:lang w:val="en-US"/>
        </w:rPr>
        <w:lastRenderedPageBreak/>
        <w:t xml:space="preserve">Figure </w:t>
      </w:r>
      <w:r w:rsidR="002E0EB2" w:rsidRPr="00D06F2B">
        <w:rPr>
          <w:rFonts w:ascii="Garamond" w:hAnsi="Garamond"/>
          <w:b/>
          <w:bCs/>
          <w:sz w:val="24"/>
          <w:szCs w:val="24"/>
          <w:lang w:val="en-US"/>
        </w:rPr>
        <w:t>5.</w:t>
      </w:r>
      <w:r w:rsidRPr="00D06F2B">
        <w:rPr>
          <w:rFonts w:ascii="Garamond" w:hAnsi="Garamond"/>
          <w:sz w:val="24"/>
          <w:szCs w:val="24"/>
          <w:lang w:val="en-US"/>
        </w:rPr>
        <w:t xml:space="preserve"> Monthly google searches</w:t>
      </w:r>
      <w:r w:rsidR="00A95740" w:rsidRPr="00D06F2B">
        <w:rPr>
          <w:rFonts w:ascii="Garamond" w:hAnsi="Garamond"/>
          <w:sz w:val="24"/>
          <w:szCs w:val="24"/>
          <w:lang w:val="en-US"/>
        </w:rPr>
        <w:t xml:space="preserve"> from January to December 2020</w:t>
      </w:r>
    </w:p>
    <w:p w14:paraId="33FE71AC" w14:textId="5E3B4C4D" w:rsidR="00D6711E" w:rsidRPr="00D06F2B" w:rsidRDefault="00D26480">
      <w:pPr>
        <w:rPr>
          <w:rFonts w:ascii="Garamond" w:hAnsi="Garamond"/>
          <w:sz w:val="20"/>
          <w:szCs w:val="20"/>
          <w:lang w:val="en-US"/>
        </w:rPr>
      </w:pPr>
      <w:r w:rsidRPr="00D06F2B">
        <w:rPr>
          <w:rFonts w:ascii="Garamond" w:hAnsi="Garamond"/>
          <w:noProof/>
        </w:rPr>
        <w:drawing>
          <wp:inline distT="0" distB="0" distL="0" distR="0" wp14:anchorId="23EB08E1" wp14:editId="2DF97039">
            <wp:extent cx="5908431" cy="3258185"/>
            <wp:effectExtent l="0" t="0" r="16510" b="18415"/>
            <wp:docPr id="6" name="Chart 6">
              <a:extLst xmlns:a="http://schemas.openxmlformats.org/drawingml/2006/main">
                <a:ext uri="{FF2B5EF4-FFF2-40B4-BE49-F238E27FC236}">
                  <a16:creationId xmlns:a16="http://schemas.microsoft.com/office/drawing/2014/main" id="{6B6DDBD8-DD93-4B5D-A7AC-F6DE0DA11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696A11" w14:textId="1C39E432" w:rsidR="00D2623E" w:rsidRPr="00D06F2B" w:rsidRDefault="00D2623E" w:rsidP="00D2623E">
      <w:pPr>
        <w:rPr>
          <w:rFonts w:ascii="Garamond" w:hAnsi="Garamond"/>
          <w:sz w:val="20"/>
          <w:szCs w:val="20"/>
          <w:lang w:val="en-US"/>
        </w:rPr>
      </w:pPr>
      <w:r w:rsidRPr="00D06F2B">
        <w:rPr>
          <w:rFonts w:ascii="Garamond" w:hAnsi="Garamond"/>
          <w:sz w:val="20"/>
          <w:szCs w:val="20"/>
          <w:lang w:val="en-US"/>
        </w:rPr>
        <w:t xml:space="preserve">The figure reports the average monthly cumulative value </w:t>
      </w:r>
      <w:r w:rsidR="00232BF7" w:rsidRPr="00D06F2B">
        <w:rPr>
          <w:rFonts w:ascii="Garamond" w:hAnsi="Garamond"/>
          <w:sz w:val="20"/>
          <w:szCs w:val="20"/>
          <w:lang w:val="en-US"/>
        </w:rPr>
        <w:t>of</w:t>
      </w:r>
      <w:r w:rsidRPr="00D06F2B">
        <w:rPr>
          <w:rFonts w:ascii="Garamond" w:hAnsi="Garamond"/>
          <w:sz w:val="20"/>
          <w:szCs w:val="20"/>
          <w:lang w:val="en-US"/>
        </w:rPr>
        <w:t xml:space="preserve"> weekly Google searchers for the terms </w:t>
      </w:r>
      <w:r w:rsidR="00205827">
        <w:rPr>
          <w:rFonts w:ascii="Garamond" w:hAnsi="Garamond"/>
          <w:sz w:val="20"/>
          <w:szCs w:val="20"/>
          <w:lang w:val="en-US"/>
        </w:rPr>
        <w:t>‘</w:t>
      </w:r>
      <w:r w:rsidRPr="00D06F2B">
        <w:rPr>
          <w:rFonts w:ascii="Garamond" w:hAnsi="Garamond"/>
          <w:sz w:val="20"/>
          <w:szCs w:val="20"/>
          <w:lang w:val="en-US"/>
        </w:rPr>
        <w:t>Covid-19</w:t>
      </w:r>
      <w:r w:rsidR="00205827">
        <w:rPr>
          <w:rFonts w:ascii="Garamond" w:hAnsi="Garamond"/>
          <w:sz w:val="20"/>
          <w:szCs w:val="20"/>
          <w:lang w:val="en-US"/>
        </w:rPr>
        <w:t>’</w:t>
      </w:r>
      <w:r w:rsidRPr="00D06F2B">
        <w:rPr>
          <w:rFonts w:ascii="Garamond" w:hAnsi="Garamond"/>
          <w:sz w:val="20"/>
          <w:szCs w:val="20"/>
          <w:lang w:val="en-US"/>
        </w:rPr>
        <w:t xml:space="preserve">, </w:t>
      </w:r>
      <w:r w:rsidR="00205827">
        <w:rPr>
          <w:rFonts w:ascii="Garamond" w:hAnsi="Garamond"/>
          <w:sz w:val="20"/>
          <w:szCs w:val="20"/>
          <w:lang w:val="en-US"/>
        </w:rPr>
        <w:t>‘</w:t>
      </w:r>
      <w:proofErr w:type="spellStart"/>
      <w:r w:rsidRPr="00D06F2B">
        <w:rPr>
          <w:rFonts w:ascii="Garamond" w:hAnsi="Garamond"/>
          <w:sz w:val="20"/>
          <w:szCs w:val="20"/>
          <w:lang w:val="en-US"/>
        </w:rPr>
        <w:t>Covid</w:t>
      </w:r>
      <w:proofErr w:type="spellEnd"/>
      <w:r w:rsidR="00205827">
        <w:rPr>
          <w:rFonts w:ascii="Garamond" w:hAnsi="Garamond"/>
          <w:sz w:val="20"/>
          <w:szCs w:val="20"/>
          <w:lang w:val="en-US"/>
        </w:rPr>
        <w:t>’</w:t>
      </w:r>
      <w:r w:rsidRPr="00D06F2B">
        <w:rPr>
          <w:rFonts w:ascii="Garamond" w:hAnsi="Garamond"/>
          <w:sz w:val="20"/>
          <w:szCs w:val="20"/>
          <w:lang w:val="en-US"/>
        </w:rPr>
        <w:t xml:space="preserve">, </w:t>
      </w:r>
      <w:r w:rsidR="00205827">
        <w:rPr>
          <w:rFonts w:ascii="Garamond" w:hAnsi="Garamond"/>
          <w:sz w:val="20"/>
          <w:szCs w:val="20"/>
          <w:lang w:val="en-US"/>
        </w:rPr>
        <w:t>‘</w:t>
      </w:r>
      <w:r w:rsidRPr="00D06F2B">
        <w:rPr>
          <w:rFonts w:ascii="Garamond" w:hAnsi="Garamond"/>
          <w:sz w:val="20"/>
          <w:szCs w:val="20"/>
          <w:lang w:val="en-US"/>
        </w:rPr>
        <w:t>Covid19</w:t>
      </w:r>
      <w:r w:rsidR="00205827">
        <w:rPr>
          <w:rFonts w:ascii="Garamond" w:hAnsi="Garamond"/>
          <w:sz w:val="20"/>
          <w:szCs w:val="20"/>
          <w:lang w:val="en-US"/>
        </w:rPr>
        <w:t>’</w:t>
      </w:r>
      <w:r w:rsidRPr="00D06F2B">
        <w:rPr>
          <w:rFonts w:ascii="Garamond" w:hAnsi="Garamond"/>
          <w:sz w:val="20"/>
          <w:szCs w:val="20"/>
          <w:lang w:val="en-US"/>
        </w:rPr>
        <w:t xml:space="preserve">, </w:t>
      </w:r>
      <w:r w:rsidR="00205827">
        <w:rPr>
          <w:rFonts w:ascii="Garamond" w:hAnsi="Garamond"/>
          <w:sz w:val="20"/>
          <w:szCs w:val="20"/>
          <w:lang w:val="en-US"/>
        </w:rPr>
        <w:t>‘</w:t>
      </w:r>
      <w:r w:rsidRPr="00D06F2B">
        <w:rPr>
          <w:rFonts w:ascii="Garamond" w:hAnsi="Garamond"/>
          <w:sz w:val="20"/>
          <w:szCs w:val="20"/>
          <w:lang w:val="en-US"/>
        </w:rPr>
        <w:t>Coronavirus</w:t>
      </w:r>
      <w:r w:rsidR="00205827">
        <w:rPr>
          <w:rFonts w:ascii="Garamond" w:hAnsi="Garamond"/>
          <w:sz w:val="20"/>
          <w:szCs w:val="20"/>
          <w:lang w:val="en-US"/>
        </w:rPr>
        <w:t>’</w:t>
      </w:r>
      <w:r w:rsidRPr="00D06F2B">
        <w:rPr>
          <w:rFonts w:ascii="Garamond" w:hAnsi="Garamond"/>
          <w:sz w:val="20"/>
          <w:szCs w:val="20"/>
          <w:lang w:val="en-US"/>
        </w:rPr>
        <w:t xml:space="preserve">, </w:t>
      </w:r>
      <w:r w:rsidR="00205827">
        <w:rPr>
          <w:rFonts w:ascii="Garamond" w:hAnsi="Garamond"/>
          <w:sz w:val="20"/>
          <w:szCs w:val="20"/>
          <w:lang w:val="en-US"/>
        </w:rPr>
        <w:t>‘</w:t>
      </w:r>
      <w:r w:rsidRPr="00D06F2B">
        <w:rPr>
          <w:rFonts w:ascii="Garamond" w:hAnsi="Garamond"/>
          <w:sz w:val="20"/>
          <w:szCs w:val="20"/>
          <w:lang w:val="en-US"/>
        </w:rPr>
        <w:t>SP500</w:t>
      </w:r>
      <w:r w:rsidR="00205827">
        <w:rPr>
          <w:rFonts w:ascii="Garamond" w:hAnsi="Garamond"/>
          <w:sz w:val="20"/>
          <w:szCs w:val="20"/>
          <w:lang w:val="en-US"/>
        </w:rPr>
        <w:t>’</w:t>
      </w:r>
      <w:r w:rsidR="00232BF7" w:rsidRPr="00D06F2B">
        <w:rPr>
          <w:rFonts w:ascii="Garamond" w:hAnsi="Garamond"/>
          <w:sz w:val="20"/>
          <w:szCs w:val="20"/>
          <w:lang w:val="en-US"/>
        </w:rPr>
        <w:t xml:space="preserve"> and</w:t>
      </w:r>
      <w:r w:rsidRPr="00D06F2B">
        <w:rPr>
          <w:rFonts w:ascii="Garamond" w:hAnsi="Garamond"/>
          <w:sz w:val="20"/>
          <w:szCs w:val="20"/>
          <w:lang w:val="en-US"/>
        </w:rPr>
        <w:t xml:space="preserve"> </w:t>
      </w:r>
      <w:r w:rsidR="00205827">
        <w:rPr>
          <w:rFonts w:ascii="Garamond" w:hAnsi="Garamond"/>
          <w:sz w:val="20"/>
          <w:szCs w:val="20"/>
          <w:lang w:val="en-US"/>
        </w:rPr>
        <w:t>‘</w:t>
      </w:r>
      <w:r w:rsidRPr="00D06F2B">
        <w:rPr>
          <w:rFonts w:ascii="Garamond" w:hAnsi="Garamond"/>
          <w:sz w:val="20"/>
          <w:szCs w:val="20"/>
          <w:lang w:val="en-US"/>
        </w:rPr>
        <w:t>stock market</w:t>
      </w:r>
      <w:r w:rsidR="00205827">
        <w:rPr>
          <w:rFonts w:ascii="Garamond" w:hAnsi="Garamond"/>
          <w:sz w:val="20"/>
          <w:szCs w:val="20"/>
          <w:lang w:val="en-US"/>
        </w:rPr>
        <w:t>’</w:t>
      </w:r>
      <w:r w:rsidRPr="00D06F2B">
        <w:rPr>
          <w:rFonts w:ascii="Garamond" w:hAnsi="Garamond"/>
          <w:sz w:val="20"/>
          <w:szCs w:val="20"/>
          <w:lang w:val="en-US"/>
        </w:rPr>
        <w:t xml:space="preserve">. </w:t>
      </w:r>
      <w:r w:rsidR="00FD171B" w:rsidRPr="00D06F2B">
        <w:rPr>
          <w:rFonts w:ascii="Garamond" w:hAnsi="Garamond"/>
          <w:sz w:val="20"/>
          <w:szCs w:val="20"/>
          <w:lang w:val="en-US"/>
        </w:rPr>
        <w:t>Each google weekly search term is scaled by the average search volume over the search period</w:t>
      </w:r>
      <w:r w:rsidR="00177D62" w:rsidRPr="00D06F2B">
        <w:rPr>
          <w:rFonts w:ascii="Garamond" w:hAnsi="Garamond"/>
          <w:sz w:val="20"/>
          <w:szCs w:val="20"/>
          <w:lang w:val="en-US"/>
        </w:rPr>
        <w:t xml:space="preserve"> January 2020 to December 2020. </w:t>
      </w:r>
      <w:r w:rsidR="00FD171B" w:rsidRPr="00D06F2B">
        <w:rPr>
          <w:rFonts w:ascii="Garamond" w:hAnsi="Garamond"/>
          <w:sz w:val="20"/>
          <w:szCs w:val="20"/>
          <w:lang w:val="en-US"/>
        </w:rPr>
        <w:t xml:space="preserve"> </w:t>
      </w:r>
      <w:r w:rsidRPr="00D06F2B">
        <w:rPr>
          <w:rFonts w:ascii="Garamond" w:hAnsi="Garamond"/>
          <w:sz w:val="20"/>
          <w:szCs w:val="20"/>
          <w:lang w:val="en-US"/>
        </w:rPr>
        <w:br w:type="page"/>
      </w:r>
    </w:p>
    <w:p w14:paraId="357F50D0" w14:textId="53D2889C" w:rsidR="00475348" w:rsidRDefault="00475348" w:rsidP="00475348">
      <w:pPr>
        <w:spacing w:after="0" w:line="240" w:lineRule="auto"/>
        <w:rPr>
          <w:rFonts w:ascii="Garamond" w:hAnsi="Garamond"/>
          <w:sz w:val="24"/>
          <w:szCs w:val="24"/>
          <w:lang w:val="en-US"/>
        </w:rPr>
      </w:pPr>
      <w:r w:rsidRPr="00D06F2B">
        <w:rPr>
          <w:rFonts w:ascii="Garamond" w:hAnsi="Garamond"/>
          <w:sz w:val="24"/>
          <w:szCs w:val="24"/>
          <w:lang w:val="en-US"/>
        </w:rPr>
        <w:lastRenderedPageBreak/>
        <w:t>TABLE 1</w:t>
      </w:r>
    </w:p>
    <w:p w14:paraId="5A40F4F8" w14:textId="0F71E391" w:rsidR="00FB6818" w:rsidRDefault="00FB6818" w:rsidP="00475348">
      <w:pPr>
        <w:spacing w:after="0" w:line="240" w:lineRule="auto"/>
        <w:rPr>
          <w:rFonts w:ascii="Garamond" w:hAnsi="Garamond"/>
          <w:sz w:val="24"/>
          <w:szCs w:val="24"/>
          <w:lang w:val="en-US"/>
        </w:rPr>
      </w:pPr>
      <w:r w:rsidRPr="00D06F2B">
        <w:rPr>
          <w:rFonts w:ascii="Garamond" w:hAnsi="Garamond"/>
          <w:sz w:val="24"/>
          <w:szCs w:val="24"/>
          <w:lang w:val="en-US"/>
        </w:rPr>
        <w:t>The annual distribution of analyst forecasts</w:t>
      </w:r>
    </w:p>
    <w:tbl>
      <w:tblPr>
        <w:tblW w:w="9057" w:type="dxa"/>
        <w:tblLayout w:type="fixed"/>
        <w:tblLook w:val="04A0" w:firstRow="1" w:lastRow="0" w:firstColumn="1" w:lastColumn="0" w:noHBand="0" w:noVBand="1"/>
      </w:tblPr>
      <w:tblGrid>
        <w:gridCol w:w="2694"/>
        <w:gridCol w:w="1590"/>
        <w:gridCol w:w="1591"/>
        <w:gridCol w:w="1591"/>
        <w:gridCol w:w="1591"/>
      </w:tblGrid>
      <w:tr w:rsidR="00A53D5A" w:rsidRPr="00A53D5A" w14:paraId="22FAD24B" w14:textId="77777777" w:rsidTr="00A53D5A">
        <w:trPr>
          <w:trHeight w:val="266"/>
        </w:trPr>
        <w:tc>
          <w:tcPr>
            <w:tcW w:w="2694" w:type="dxa"/>
            <w:tcBorders>
              <w:top w:val="single" w:sz="4" w:space="0" w:color="auto"/>
              <w:left w:val="nil"/>
              <w:bottom w:val="single" w:sz="4" w:space="0" w:color="auto"/>
              <w:right w:val="nil"/>
            </w:tcBorders>
            <w:shd w:val="clear" w:color="auto" w:fill="auto"/>
            <w:noWrap/>
            <w:hideMark/>
          </w:tcPr>
          <w:p w14:paraId="0F2EE16F" w14:textId="77777777" w:rsidR="00A53D5A" w:rsidRPr="00A53D5A" w:rsidRDefault="00A53D5A" w:rsidP="00A53D5A">
            <w:pPr>
              <w:spacing w:after="0" w:line="240" w:lineRule="auto"/>
              <w:rPr>
                <w:rFonts w:ascii="Garamond" w:eastAsia="Times New Roman" w:hAnsi="Garamond" w:cs="Calibri"/>
                <w:color w:val="000000"/>
                <w:sz w:val="20"/>
                <w:szCs w:val="20"/>
                <w:lang w:eastAsia="en-GB"/>
              </w:rPr>
            </w:pPr>
          </w:p>
        </w:tc>
        <w:tc>
          <w:tcPr>
            <w:tcW w:w="1590" w:type="dxa"/>
            <w:tcBorders>
              <w:top w:val="single" w:sz="4" w:space="0" w:color="auto"/>
              <w:left w:val="nil"/>
              <w:bottom w:val="single" w:sz="4" w:space="0" w:color="auto"/>
              <w:right w:val="nil"/>
            </w:tcBorders>
            <w:shd w:val="clear" w:color="auto" w:fill="auto"/>
            <w:vAlign w:val="center"/>
            <w:hideMark/>
          </w:tcPr>
          <w:p w14:paraId="148B1C65"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2018</w:t>
            </w:r>
          </w:p>
        </w:tc>
        <w:tc>
          <w:tcPr>
            <w:tcW w:w="1591" w:type="dxa"/>
            <w:tcBorders>
              <w:top w:val="single" w:sz="4" w:space="0" w:color="auto"/>
              <w:left w:val="nil"/>
              <w:bottom w:val="single" w:sz="4" w:space="0" w:color="auto"/>
              <w:right w:val="nil"/>
            </w:tcBorders>
            <w:shd w:val="clear" w:color="auto" w:fill="auto"/>
            <w:vAlign w:val="center"/>
            <w:hideMark/>
          </w:tcPr>
          <w:p w14:paraId="37CD0397"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2019</w:t>
            </w:r>
          </w:p>
        </w:tc>
        <w:tc>
          <w:tcPr>
            <w:tcW w:w="1591" w:type="dxa"/>
            <w:tcBorders>
              <w:top w:val="single" w:sz="4" w:space="0" w:color="auto"/>
              <w:left w:val="nil"/>
              <w:bottom w:val="single" w:sz="4" w:space="0" w:color="auto"/>
              <w:right w:val="nil"/>
            </w:tcBorders>
            <w:shd w:val="clear" w:color="auto" w:fill="auto"/>
            <w:vAlign w:val="center"/>
            <w:hideMark/>
          </w:tcPr>
          <w:p w14:paraId="4F0F9AD6"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2020</w:t>
            </w:r>
          </w:p>
        </w:tc>
        <w:tc>
          <w:tcPr>
            <w:tcW w:w="1591" w:type="dxa"/>
            <w:tcBorders>
              <w:top w:val="single" w:sz="4" w:space="0" w:color="auto"/>
              <w:left w:val="nil"/>
              <w:bottom w:val="single" w:sz="4" w:space="0" w:color="auto"/>
              <w:right w:val="nil"/>
            </w:tcBorders>
            <w:shd w:val="clear" w:color="auto" w:fill="auto"/>
            <w:noWrap/>
            <w:vAlign w:val="center"/>
            <w:hideMark/>
          </w:tcPr>
          <w:p w14:paraId="24B3DB8F"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 xml:space="preserve">Total </w:t>
            </w:r>
          </w:p>
        </w:tc>
      </w:tr>
      <w:tr w:rsidR="00A53D5A" w:rsidRPr="00A53D5A" w14:paraId="1AEB18B5" w14:textId="77777777" w:rsidTr="00A53D5A">
        <w:trPr>
          <w:trHeight w:val="266"/>
        </w:trPr>
        <w:tc>
          <w:tcPr>
            <w:tcW w:w="2694" w:type="dxa"/>
            <w:tcBorders>
              <w:top w:val="nil"/>
              <w:left w:val="nil"/>
              <w:bottom w:val="nil"/>
              <w:right w:val="nil"/>
            </w:tcBorders>
            <w:shd w:val="clear" w:color="auto" w:fill="auto"/>
            <w:noWrap/>
            <w:vAlign w:val="center"/>
            <w:hideMark/>
          </w:tcPr>
          <w:p w14:paraId="0B625CD1" w14:textId="77777777" w:rsidR="00A53D5A" w:rsidRPr="00A53D5A" w:rsidRDefault="00A53D5A" w:rsidP="00A53D5A">
            <w:pPr>
              <w:spacing w:after="0" w:line="240" w:lineRule="auto"/>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val="en-US" w:eastAsia="en-GB"/>
              </w:rPr>
              <w:t>Earnings forecasts (EPS)</w:t>
            </w:r>
          </w:p>
        </w:tc>
        <w:tc>
          <w:tcPr>
            <w:tcW w:w="1590" w:type="dxa"/>
            <w:tcBorders>
              <w:top w:val="nil"/>
              <w:left w:val="nil"/>
              <w:bottom w:val="nil"/>
              <w:right w:val="nil"/>
            </w:tcBorders>
            <w:shd w:val="clear" w:color="auto" w:fill="auto"/>
            <w:vAlign w:val="center"/>
            <w:hideMark/>
          </w:tcPr>
          <w:p w14:paraId="578F8209"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157546</w:t>
            </w:r>
          </w:p>
        </w:tc>
        <w:tc>
          <w:tcPr>
            <w:tcW w:w="1591" w:type="dxa"/>
            <w:tcBorders>
              <w:top w:val="nil"/>
              <w:left w:val="nil"/>
              <w:bottom w:val="nil"/>
              <w:right w:val="nil"/>
            </w:tcBorders>
            <w:shd w:val="clear" w:color="auto" w:fill="auto"/>
            <w:vAlign w:val="center"/>
            <w:hideMark/>
          </w:tcPr>
          <w:p w14:paraId="377C7161"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152965</w:t>
            </w:r>
          </w:p>
        </w:tc>
        <w:tc>
          <w:tcPr>
            <w:tcW w:w="1591" w:type="dxa"/>
            <w:tcBorders>
              <w:top w:val="nil"/>
              <w:left w:val="nil"/>
              <w:bottom w:val="nil"/>
              <w:right w:val="nil"/>
            </w:tcBorders>
            <w:shd w:val="clear" w:color="auto" w:fill="auto"/>
            <w:vAlign w:val="center"/>
            <w:hideMark/>
          </w:tcPr>
          <w:p w14:paraId="3C167579"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135050</w:t>
            </w:r>
          </w:p>
        </w:tc>
        <w:tc>
          <w:tcPr>
            <w:tcW w:w="1591" w:type="dxa"/>
            <w:tcBorders>
              <w:top w:val="nil"/>
              <w:left w:val="nil"/>
              <w:bottom w:val="nil"/>
              <w:right w:val="nil"/>
            </w:tcBorders>
            <w:shd w:val="clear" w:color="auto" w:fill="auto"/>
            <w:noWrap/>
            <w:vAlign w:val="center"/>
            <w:hideMark/>
          </w:tcPr>
          <w:p w14:paraId="44A577A0"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445561</w:t>
            </w:r>
          </w:p>
        </w:tc>
      </w:tr>
      <w:tr w:rsidR="00A53D5A" w:rsidRPr="00A53D5A" w14:paraId="4059963A" w14:textId="77777777" w:rsidTr="00A53D5A">
        <w:trPr>
          <w:trHeight w:val="266"/>
        </w:trPr>
        <w:tc>
          <w:tcPr>
            <w:tcW w:w="2694" w:type="dxa"/>
            <w:tcBorders>
              <w:top w:val="nil"/>
              <w:left w:val="nil"/>
              <w:bottom w:val="nil"/>
              <w:right w:val="nil"/>
            </w:tcBorders>
            <w:shd w:val="clear" w:color="auto" w:fill="auto"/>
            <w:noWrap/>
            <w:vAlign w:val="center"/>
            <w:hideMark/>
          </w:tcPr>
          <w:p w14:paraId="481F9A97" w14:textId="77777777" w:rsidR="00A53D5A" w:rsidRPr="00A53D5A" w:rsidRDefault="00A53D5A" w:rsidP="00A53D5A">
            <w:pPr>
              <w:spacing w:after="0" w:line="240" w:lineRule="auto"/>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val="en-US" w:eastAsia="en-GB"/>
              </w:rPr>
              <w:t>Revenue forecasts (SAL)</w:t>
            </w:r>
          </w:p>
        </w:tc>
        <w:tc>
          <w:tcPr>
            <w:tcW w:w="1590" w:type="dxa"/>
            <w:tcBorders>
              <w:top w:val="nil"/>
              <w:left w:val="nil"/>
              <w:bottom w:val="nil"/>
              <w:right w:val="nil"/>
            </w:tcBorders>
            <w:shd w:val="clear" w:color="auto" w:fill="auto"/>
            <w:vAlign w:val="center"/>
            <w:hideMark/>
          </w:tcPr>
          <w:p w14:paraId="7F7A6D97"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102430</w:t>
            </w:r>
          </w:p>
        </w:tc>
        <w:tc>
          <w:tcPr>
            <w:tcW w:w="1591" w:type="dxa"/>
            <w:tcBorders>
              <w:top w:val="nil"/>
              <w:left w:val="nil"/>
              <w:bottom w:val="nil"/>
              <w:right w:val="nil"/>
            </w:tcBorders>
            <w:shd w:val="clear" w:color="auto" w:fill="auto"/>
            <w:vAlign w:val="center"/>
            <w:hideMark/>
          </w:tcPr>
          <w:p w14:paraId="16CB38C9"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101212</w:t>
            </w:r>
          </w:p>
        </w:tc>
        <w:tc>
          <w:tcPr>
            <w:tcW w:w="1591" w:type="dxa"/>
            <w:tcBorders>
              <w:top w:val="nil"/>
              <w:left w:val="nil"/>
              <w:bottom w:val="nil"/>
              <w:right w:val="nil"/>
            </w:tcBorders>
            <w:shd w:val="clear" w:color="auto" w:fill="auto"/>
            <w:vAlign w:val="center"/>
            <w:hideMark/>
          </w:tcPr>
          <w:p w14:paraId="0D4E4579"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93119</w:t>
            </w:r>
          </w:p>
        </w:tc>
        <w:tc>
          <w:tcPr>
            <w:tcW w:w="1591" w:type="dxa"/>
            <w:tcBorders>
              <w:top w:val="nil"/>
              <w:left w:val="nil"/>
              <w:bottom w:val="nil"/>
              <w:right w:val="nil"/>
            </w:tcBorders>
            <w:shd w:val="clear" w:color="auto" w:fill="auto"/>
            <w:noWrap/>
            <w:vAlign w:val="center"/>
            <w:hideMark/>
          </w:tcPr>
          <w:p w14:paraId="0ECBED41"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296761</w:t>
            </w:r>
          </w:p>
        </w:tc>
      </w:tr>
      <w:tr w:rsidR="00A53D5A" w:rsidRPr="00A53D5A" w14:paraId="29D8CD84" w14:textId="77777777" w:rsidTr="00A53D5A">
        <w:trPr>
          <w:trHeight w:val="276"/>
        </w:trPr>
        <w:tc>
          <w:tcPr>
            <w:tcW w:w="2694" w:type="dxa"/>
            <w:tcBorders>
              <w:top w:val="nil"/>
              <w:left w:val="nil"/>
              <w:bottom w:val="nil"/>
              <w:right w:val="nil"/>
            </w:tcBorders>
            <w:shd w:val="clear" w:color="auto" w:fill="auto"/>
            <w:noWrap/>
            <w:vAlign w:val="center"/>
            <w:hideMark/>
          </w:tcPr>
          <w:p w14:paraId="47E51114" w14:textId="77777777" w:rsidR="00A53D5A" w:rsidRPr="00A53D5A" w:rsidRDefault="00A53D5A" w:rsidP="00A53D5A">
            <w:pPr>
              <w:spacing w:after="0" w:line="240" w:lineRule="auto"/>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val="en-US" w:eastAsia="en-GB"/>
              </w:rPr>
              <w:t>% of EPS forecasts</w:t>
            </w:r>
          </w:p>
        </w:tc>
        <w:tc>
          <w:tcPr>
            <w:tcW w:w="1590" w:type="dxa"/>
            <w:tcBorders>
              <w:top w:val="nil"/>
              <w:left w:val="nil"/>
              <w:bottom w:val="nil"/>
              <w:right w:val="nil"/>
            </w:tcBorders>
            <w:shd w:val="clear" w:color="auto" w:fill="auto"/>
            <w:noWrap/>
            <w:vAlign w:val="center"/>
            <w:hideMark/>
          </w:tcPr>
          <w:p w14:paraId="39CCF638"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65.02%</w:t>
            </w:r>
          </w:p>
        </w:tc>
        <w:tc>
          <w:tcPr>
            <w:tcW w:w="1591" w:type="dxa"/>
            <w:tcBorders>
              <w:top w:val="nil"/>
              <w:left w:val="nil"/>
              <w:bottom w:val="nil"/>
              <w:right w:val="nil"/>
            </w:tcBorders>
            <w:shd w:val="clear" w:color="auto" w:fill="auto"/>
            <w:noWrap/>
            <w:vAlign w:val="center"/>
            <w:hideMark/>
          </w:tcPr>
          <w:p w14:paraId="070EA6E7"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66.17%</w:t>
            </w:r>
          </w:p>
        </w:tc>
        <w:tc>
          <w:tcPr>
            <w:tcW w:w="1591" w:type="dxa"/>
            <w:tcBorders>
              <w:top w:val="nil"/>
              <w:left w:val="nil"/>
              <w:bottom w:val="nil"/>
              <w:right w:val="nil"/>
            </w:tcBorders>
            <w:shd w:val="clear" w:color="auto" w:fill="auto"/>
            <w:noWrap/>
            <w:vAlign w:val="center"/>
            <w:hideMark/>
          </w:tcPr>
          <w:p w14:paraId="58259640"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68.95%</w:t>
            </w:r>
          </w:p>
        </w:tc>
        <w:tc>
          <w:tcPr>
            <w:tcW w:w="1591" w:type="dxa"/>
            <w:tcBorders>
              <w:top w:val="nil"/>
              <w:left w:val="nil"/>
              <w:bottom w:val="nil"/>
              <w:right w:val="nil"/>
            </w:tcBorders>
            <w:shd w:val="clear" w:color="auto" w:fill="auto"/>
            <w:noWrap/>
            <w:vAlign w:val="center"/>
            <w:hideMark/>
          </w:tcPr>
          <w:p w14:paraId="35020724"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66.6%</w:t>
            </w:r>
          </w:p>
        </w:tc>
      </w:tr>
      <w:tr w:rsidR="00A53D5A" w:rsidRPr="00A53D5A" w14:paraId="285507E3" w14:textId="77777777" w:rsidTr="00A53D5A">
        <w:trPr>
          <w:trHeight w:val="307"/>
        </w:trPr>
        <w:tc>
          <w:tcPr>
            <w:tcW w:w="2694" w:type="dxa"/>
            <w:tcBorders>
              <w:top w:val="nil"/>
              <w:left w:val="nil"/>
              <w:bottom w:val="nil"/>
              <w:right w:val="nil"/>
            </w:tcBorders>
            <w:shd w:val="clear" w:color="auto" w:fill="auto"/>
            <w:noWrap/>
            <w:vAlign w:val="center"/>
            <w:hideMark/>
          </w:tcPr>
          <w:p w14:paraId="7D5107D5" w14:textId="77777777" w:rsidR="00A53D5A" w:rsidRPr="00A53D5A" w:rsidRDefault="00A53D5A" w:rsidP="00A53D5A">
            <w:pPr>
              <w:spacing w:after="0" w:line="240" w:lineRule="auto"/>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val="en-US" w:eastAsia="en-GB"/>
              </w:rPr>
              <w:t>Cash flow forecasts (CPS)</w:t>
            </w:r>
          </w:p>
        </w:tc>
        <w:tc>
          <w:tcPr>
            <w:tcW w:w="1590" w:type="dxa"/>
            <w:tcBorders>
              <w:top w:val="nil"/>
              <w:left w:val="nil"/>
              <w:bottom w:val="nil"/>
              <w:right w:val="nil"/>
            </w:tcBorders>
            <w:shd w:val="clear" w:color="auto" w:fill="auto"/>
            <w:vAlign w:val="center"/>
            <w:hideMark/>
          </w:tcPr>
          <w:p w14:paraId="28A67024"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22443</w:t>
            </w:r>
          </w:p>
        </w:tc>
        <w:tc>
          <w:tcPr>
            <w:tcW w:w="1591" w:type="dxa"/>
            <w:tcBorders>
              <w:top w:val="nil"/>
              <w:left w:val="nil"/>
              <w:bottom w:val="nil"/>
              <w:right w:val="nil"/>
            </w:tcBorders>
            <w:shd w:val="clear" w:color="auto" w:fill="auto"/>
            <w:vAlign w:val="center"/>
            <w:hideMark/>
          </w:tcPr>
          <w:p w14:paraId="1428CF00"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19948</w:t>
            </w:r>
          </w:p>
        </w:tc>
        <w:tc>
          <w:tcPr>
            <w:tcW w:w="1591" w:type="dxa"/>
            <w:tcBorders>
              <w:top w:val="nil"/>
              <w:left w:val="nil"/>
              <w:bottom w:val="nil"/>
              <w:right w:val="nil"/>
            </w:tcBorders>
            <w:shd w:val="clear" w:color="auto" w:fill="auto"/>
            <w:vAlign w:val="center"/>
            <w:hideMark/>
          </w:tcPr>
          <w:p w14:paraId="7C99F622"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15787</w:t>
            </w:r>
          </w:p>
        </w:tc>
        <w:tc>
          <w:tcPr>
            <w:tcW w:w="1591" w:type="dxa"/>
            <w:tcBorders>
              <w:top w:val="nil"/>
              <w:left w:val="nil"/>
              <w:bottom w:val="nil"/>
              <w:right w:val="nil"/>
            </w:tcBorders>
            <w:shd w:val="clear" w:color="auto" w:fill="auto"/>
            <w:vAlign w:val="center"/>
            <w:hideMark/>
          </w:tcPr>
          <w:p w14:paraId="39846CF7"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58178</w:t>
            </w:r>
          </w:p>
        </w:tc>
      </w:tr>
      <w:tr w:rsidR="00A53D5A" w:rsidRPr="00A53D5A" w14:paraId="6AA4E2EB" w14:textId="77777777" w:rsidTr="00A53D5A">
        <w:trPr>
          <w:trHeight w:val="297"/>
        </w:trPr>
        <w:tc>
          <w:tcPr>
            <w:tcW w:w="2694" w:type="dxa"/>
            <w:tcBorders>
              <w:top w:val="nil"/>
              <w:left w:val="nil"/>
              <w:bottom w:val="nil"/>
              <w:right w:val="nil"/>
            </w:tcBorders>
            <w:shd w:val="clear" w:color="auto" w:fill="auto"/>
            <w:noWrap/>
            <w:vAlign w:val="center"/>
            <w:hideMark/>
          </w:tcPr>
          <w:p w14:paraId="611C663B" w14:textId="77777777" w:rsidR="00A53D5A" w:rsidRPr="00A53D5A" w:rsidRDefault="00A53D5A" w:rsidP="00A53D5A">
            <w:pPr>
              <w:spacing w:after="0" w:line="240" w:lineRule="auto"/>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val="en-US" w:eastAsia="en-GB"/>
              </w:rPr>
              <w:t>% of EPS forecasts</w:t>
            </w:r>
          </w:p>
        </w:tc>
        <w:tc>
          <w:tcPr>
            <w:tcW w:w="1590" w:type="dxa"/>
            <w:tcBorders>
              <w:top w:val="nil"/>
              <w:left w:val="nil"/>
              <w:bottom w:val="nil"/>
              <w:right w:val="nil"/>
            </w:tcBorders>
            <w:shd w:val="clear" w:color="auto" w:fill="auto"/>
            <w:noWrap/>
            <w:vAlign w:val="center"/>
            <w:hideMark/>
          </w:tcPr>
          <w:p w14:paraId="198ACC50"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14.25%</w:t>
            </w:r>
          </w:p>
        </w:tc>
        <w:tc>
          <w:tcPr>
            <w:tcW w:w="1591" w:type="dxa"/>
            <w:tcBorders>
              <w:top w:val="nil"/>
              <w:left w:val="nil"/>
              <w:bottom w:val="nil"/>
              <w:right w:val="nil"/>
            </w:tcBorders>
            <w:shd w:val="clear" w:color="auto" w:fill="auto"/>
            <w:noWrap/>
            <w:vAlign w:val="center"/>
            <w:hideMark/>
          </w:tcPr>
          <w:p w14:paraId="7CCCDB98"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13.04%</w:t>
            </w:r>
          </w:p>
        </w:tc>
        <w:tc>
          <w:tcPr>
            <w:tcW w:w="1591" w:type="dxa"/>
            <w:tcBorders>
              <w:top w:val="nil"/>
              <w:left w:val="nil"/>
              <w:bottom w:val="nil"/>
              <w:right w:val="nil"/>
            </w:tcBorders>
            <w:shd w:val="clear" w:color="auto" w:fill="auto"/>
            <w:noWrap/>
            <w:vAlign w:val="center"/>
            <w:hideMark/>
          </w:tcPr>
          <w:p w14:paraId="5A1161CF"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11.69%</w:t>
            </w:r>
          </w:p>
        </w:tc>
        <w:tc>
          <w:tcPr>
            <w:tcW w:w="1591" w:type="dxa"/>
            <w:tcBorders>
              <w:top w:val="nil"/>
              <w:left w:val="nil"/>
              <w:bottom w:val="nil"/>
              <w:right w:val="nil"/>
            </w:tcBorders>
            <w:shd w:val="clear" w:color="auto" w:fill="auto"/>
            <w:noWrap/>
            <w:vAlign w:val="center"/>
            <w:hideMark/>
          </w:tcPr>
          <w:p w14:paraId="67E22B52"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13.1%</w:t>
            </w:r>
          </w:p>
        </w:tc>
      </w:tr>
      <w:tr w:rsidR="00A53D5A" w:rsidRPr="00A53D5A" w14:paraId="15A15C8B" w14:textId="77777777" w:rsidTr="00A53D5A">
        <w:trPr>
          <w:trHeight w:val="297"/>
        </w:trPr>
        <w:tc>
          <w:tcPr>
            <w:tcW w:w="2694" w:type="dxa"/>
            <w:tcBorders>
              <w:top w:val="nil"/>
              <w:left w:val="nil"/>
              <w:bottom w:val="nil"/>
              <w:right w:val="nil"/>
            </w:tcBorders>
            <w:shd w:val="clear" w:color="auto" w:fill="auto"/>
            <w:noWrap/>
            <w:vAlign w:val="center"/>
            <w:hideMark/>
          </w:tcPr>
          <w:p w14:paraId="52A2546B" w14:textId="77777777" w:rsidR="00A53D5A" w:rsidRPr="00A53D5A" w:rsidRDefault="00A53D5A" w:rsidP="00A53D5A">
            <w:pPr>
              <w:spacing w:after="0" w:line="240" w:lineRule="auto"/>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val="en-US" w:eastAsia="en-GB"/>
              </w:rPr>
              <w:t>Dividends forecasts (DPS)</w:t>
            </w:r>
          </w:p>
        </w:tc>
        <w:tc>
          <w:tcPr>
            <w:tcW w:w="1590" w:type="dxa"/>
            <w:tcBorders>
              <w:top w:val="nil"/>
              <w:left w:val="nil"/>
              <w:bottom w:val="nil"/>
              <w:right w:val="nil"/>
            </w:tcBorders>
            <w:shd w:val="clear" w:color="auto" w:fill="auto"/>
            <w:vAlign w:val="center"/>
            <w:hideMark/>
          </w:tcPr>
          <w:p w14:paraId="388D8129"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6446</w:t>
            </w:r>
          </w:p>
        </w:tc>
        <w:tc>
          <w:tcPr>
            <w:tcW w:w="1591" w:type="dxa"/>
            <w:tcBorders>
              <w:top w:val="nil"/>
              <w:left w:val="nil"/>
              <w:bottom w:val="nil"/>
              <w:right w:val="nil"/>
            </w:tcBorders>
            <w:shd w:val="clear" w:color="auto" w:fill="auto"/>
            <w:vAlign w:val="center"/>
            <w:hideMark/>
          </w:tcPr>
          <w:p w14:paraId="27A0D824"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6107</w:t>
            </w:r>
          </w:p>
        </w:tc>
        <w:tc>
          <w:tcPr>
            <w:tcW w:w="1591" w:type="dxa"/>
            <w:tcBorders>
              <w:top w:val="nil"/>
              <w:left w:val="nil"/>
              <w:bottom w:val="nil"/>
              <w:right w:val="nil"/>
            </w:tcBorders>
            <w:shd w:val="clear" w:color="auto" w:fill="auto"/>
            <w:vAlign w:val="center"/>
            <w:hideMark/>
          </w:tcPr>
          <w:p w14:paraId="6090932D"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5021</w:t>
            </w:r>
          </w:p>
        </w:tc>
        <w:tc>
          <w:tcPr>
            <w:tcW w:w="1591" w:type="dxa"/>
            <w:tcBorders>
              <w:top w:val="nil"/>
              <w:left w:val="nil"/>
              <w:bottom w:val="nil"/>
              <w:right w:val="nil"/>
            </w:tcBorders>
            <w:shd w:val="clear" w:color="auto" w:fill="auto"/>
            <w:noWrap/>
            <w:vAlign w:val="center"/>
            <w:hideMark/>
          </w:tcPr>
          <w:p w14:paraId="256B04BC"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17574</w:t>
            </w:r>
          </w:p>
        </w:tc>
      </w:tr>
      <w:tr w:rsidR="00A53D5A" w:rsidRPr="00A53D5A" w14:paraId="6AFEE8A7" w14:textId="77777777" w:rsidTr="00A53D5A">
        <w:trPr>
          <w:trHeight w:val="297"/>
        </w:trPr>
        <w:tc>
          <w:tcPr>
            <w:tcW w:w="2694" w:type="dxa"/>
            <w:tcBorders>
              <w:top w:val="nil"/>
              <w:left w:val="nil"/>
              <w:bottom w:val="nil"/>
              <w:right w:val="nil"/>
            </w:tcBorders>
            <w:shd w:val="clear" w:color="auto" w:fill="auto"/>
            <w:noWrap/>
            <w:vAlign w:val="center"/>
            <w:hideMark/>
          </w:tcPr>
          <w:p w14:paraId="6A67F578" w14:textId="77777777" w:rsidR="00A53D5A" w:rsidRPr="00A53D5A" w:rsidRDefault="00A53D5A" w:rsidP="00A53D5A">
            <w:pPr>
              <w:spacing w:after="0" w:line="240" w:lineRule="auto"/>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val="en-US" w:eastAsia="en-GB"/>
              </w:rPr>
              <w:t>% of EPS forecasts</w:t>
            </w:r>
          </w:p>
        </w:tc>
        <w:tc>
          <w:tcPr>
            <w:tcW w:w="1590" w:type="dxa"/>
            <w:tcBorders>
              <w:top w:val="nil"/>
              <w:left w:val="nil"/>
              <w:bottom w:val="nil"/>
              <w:right w:val="nil"/>
            </w:tcBorders>
            <w:shd w:val="clear" w:color="auto" w:fill="auto"/>
            <w:noWrap/>
            <w:vAlign w:val="center"/>
            <w:hideMark/>
          </w:tcPr>
          <w:p w14:paraId="3140E68B"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4.09%</w:t>
            </w:r>
          </w:p>
        </w:tc>
        <w:tc>
          <w:tcPr>
            <w:tcW w:w="1591" w:type="dxa"/>
            <w:tcBorders>
              <w:top w:val="nil"/>
              <w:left w:val="nil"/>
              <w:bottom w:val="nil"/>
              <w:right w:val="nil"/>
            </w:tcBorders>
            <w:shd w:val="clear" w:color="auto" w:fill="auto"/>
            <w:noWrap/>
            <w:vAlign w:val="center"/>
            <w:hideMark/>
          </w:tcPr>
          <w:p w14:paraId="21D93631"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3.99%</w:t>
            </w:r>
          </w:p>
        </w:tc>
        <w:tc>
          <w:tcPr>
            <w:tcW w:w="1591" w:type="dxa"/>
            <w:tcBorders>
              <w:top w:val="nil"/>
              <w:left w:val="nil"/>
              <w:bottom w:val="nil"/>
              <w:right w:val="nil"/>
            </w:tcBorders>
            <w:shd w:val="clear" w:color="auto" w:fill="auto"/>
            <w:noWrap/>
            <w:vAlign w:val="center"/>
            <w:hideMark/>
          </w:tcPr>
          <w:p w14:paraId="2500CB85"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3.72%</w:t>
            </w:r>
          </w:p>
        </w:tc>
        <w:tc>
          <w:tcPr>
            <w:tcW w:w="1591" w:type="dxa"/>
            <w:tcBorders>
              <w:top w:val="nil"/>
              <w:left w:val="nil"/>
              <w:bottom w:val="nil"/>
              <w:right w:val="nil"/>
            </w:tcBorders>
            <w:shd w:val="clear" w:color="auto" w:fill="auto"/>
            <w:noWrap/>
            <w:vAlign w:val="center"/>
            <w:hideMark/>
          </w:tcPr>
          <w:p w14:paraId="2A8C7F5D"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3.9%</w:t>
            </w:r>
          </w:p>
        </w:tc>
      </w:tr>
      <w:tr w:rsidR="00A53D5A" w:rsidRPr="00A53D5A" w14:paraId="39721300" w14:textId="77777777" w:rsidTr="00A53D5A">
        <w:trPr>
          <w:trHeight w:val="297"/>
        </w:trPr>
        <w:tc>
          <w:tcPr>
            <w:tcW w:w="2694" w:type="dxa"/>
            <w:tcBorders>
              <w:top w:val="nil"/>
              <w:left w:val="nil"/>
              <w:bottom w:val="nil"/>
              <w:right w:val="nil"/>
            </w:tcBorders>
            <w:shd w:val="clear" w:color="auto" w:fill="auto"/>
            <w:noWrap/>
            <w:vAlign w:val="center"/>
            <w:hideMark/>
          </w:tcPr>
          <w:p w14:paraId="50302EA7" w14:textId="77777777" w:rsidR="00A53D5A" w:rsidRPr="00A53D5A" w:rsidRDefault="00A53D5A" w:rsidP="00A53D5A">
            <w:pPr>
              <w:spacing w:after="0" w:line="240" w:lineRule="auto"/>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val="en-US" w:eastAsia="en-GB"/>
              </w:rPr>
              <w:t>Target prices (TP)</w:t>
            </w:r>
          </w:p>
        </w:tc>
        <w:tc>
          <w:tcPr>
            <w:tcW w:w="1590" w:type="dxa"/>
            <w:tcBorders>
              <w:top w:val="nil"/>
              <w:left w:val="nil"/>
              <w:bottom w:val="nil"/>
              <w:right w:val="nil"/>
            </w:tcBorders>
            <w:shd w:val="clear" w:color="auto" w:fill="auto"/>
            <w:vAlign w:val="center"/>
            <w:hideMark/>
          </w:tcPr>
          <w:p w14:paraId="637A8A5E"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65380</w:t>
            </w:r>
          </w:p>
        </w:tc>
        <w:tc>
          <w:tcPr>
            <w:tcW w:w="1591" w:type="dxa"/>
            <w:tcBorders>
              <w:top w:val="nil"/>
              <w:left w:val="nil"/>
              <w:bottom w:val="nil"/>
              <w:right w:val="nil"/>
            </w:tcBorders>
            <w:shd w:val="clear" w:color="auto" w:fill="auto"/>
            <w:vAlign w:val="center"/>
            <w:hideMark/>
          </w:tcPr>
          <w:p w14:paraId="6F1B1FD9"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60680</w:t>
            </w:r>
          </w:p>
        </w:tc>
        <w:tc>
          <w:tcPr>
            <w:tcW w:w="1591" w:type="dxa"/>
            <w:tcBorders>
              <w:top w:val="nil"/>
              <w:left w:val="nil"/>
              <w:bottom w:val="nil"/>
              <w:right w:val="nil"/>
            </w:tcBorders>
            <w:shd w:val="clear" w:color="auto" w:fill="auto"/>
            <w:vAlign w:val="center"/>
            <w:hideMark/>
          </w:tcPr>
          <w:p w14:paraId="7EA1B0A7"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64632</w:t>
            </w:r>
          </w:p>
        </w:tc>
        <w:tc>
          <w:tcPr>
            <w:tcW w:w="1591" w:type="dxa"/>
            <w:tcBorders>
              <w:top w:val="nil"/>
              <w:left w:val="nil"/>
              <w:bottom w:val="nil"/>
              <w:right w:val="nil"/>
            </w:tcBorders>
            <w:shd w:val="clear" w:color="auto" w:fill="auto"/>
            <w:noWrap/>
            <w:vAlign w:val="center"/>
            <w:hideMark/>
          </w:tcPr>
          <w:p w14:paraId="1C02FB5E"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190692</w:t>
            </w:r>
          </w:p>
        </w:tc>
      </w:tr>
      <w:tr w:rsidR="00A53D5A" w:rsidRPr="00A53D5A" w14:paraId="49A1661C" w14:textId="77777777" w:rsidTr="00A53D5A">
        <w:trPr>
          <w:trHeight w:val="297"/>
        </w:trPr>
        <w:tc>
          <w:tcPr>
            <w:tcW w:w="2694" w:type="dxa"/>
            <w:tcBorders>
              <w:top w:val="nil"/>
              <w:left w:val="nil"/>
              <w:bottom w:val="nil"/>
              <w:right w:val="nil"/>
            </w:tcBorders>
            <w:shd w:val="clear" w:color="auto" w:fill="auto"/>
            <w:noWrap/>
            <w:vAlign w:val="center"/>
            <w:hideMark/>
          </w:tcPr>
          <w:p w14:paraId="684FB646" w14:textId="77777777" w:rsidR="00A53D5A" w:rsidRPr="00A53D5A" w:rsidRDefault="00A53D5A" w:rsidP="00A53D5A">
            <w:pPr>
              <w:spacing w:after="0" w:line="240" w:lineRule="auto"/>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val="en-US" w:eastAsia="en-GB"/>
              </w:rPr>
              <w:t>% of EPS forecasts</w:t>
            </w:r>
          </w:p>
        </w:tc>
        <w:tc>
          <w:tcPr>
            <w:tcW w:w="1590" w:type="dxa"/>
            <w:tcBorders>
              <w:top w:val="nil"/>
              <w:left w:val="nil"/>
              <w:bottom w:val="nil"/>
              <w:right w:val="nil"/>
            </w:tcBorders>
            <w:shd w:val="clear" w:color="auto" w:fill="auto"/>
            <w:noWrap/>
            <w:vAlign w:val="center"/>
            <w:hideMark/>
          </w:tcPr>
          <w:p w14:paraId="55107C03"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41.50%</w:t>
            </w:r>
          </w:p>
        </w:tc>
        <w:tc>
          <w:tcPr>
            <w:tcW w:w="1591" w:type="dxa"/>
            <w:tcBorders>
              <w:top w:val="nil"/>
              <w:left w:val="nil"/>
              <w:bottom w:val="nil"/>
              <w:right w:val="nil"/>
            </w:tcBorders>
            <w:shd w:val="clear" w:color="auto" w:fill="auto"/>
            <w:noWrap/>
            <w:vAlign w:val="center"/>
            <w:hideMark/>
          </w:tcPr>
          <w:p w14:paraId="74725E19"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39.67%</w:t>
            </w:r>
          </w:p>
        </w:tc>
        <w:tc>
          <w:tcPr>
            <w:tcW w:w="1591" w:type="dxa"/>
            <w:tcBorders>
              <w:top w:val="nil"/>
              <w:left w:val="nil"/>
              <w:bottom w:val="nil"/>
              <w:right w:val="nil"/>
            </w:tcBorders>
            <w:shd w:val="clear" w:color="auto" w:fill="auto"/>
            <w:noWrap/>
            <w:vAlign w:val="center"/>
            <w:hideMark/>
          </w:tcPr>
          <w:p w14:paraId="6290CB35"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47.86%</w:t>
            </w:r>
          </w:p>
        </w:tc>
        <w:tc>
          <w:tcPr>
            <w:tcW w:w="1591" w:type="dxa"/>
            <w:tcBorders>
              <w:top w:val="nil"/>
              <w:left w:val="nil"/>
              <w:bottom w:val="nil"/>
              <w:right w:val="nil"/>
            </w:tcBorders>
            <w:shd w:val="clear" w:color="auto" w:fill="auto"/>
            <w:noWrap/>
            <w:vAlign w:val="center"/>
            <w:hideMark/>
          </w:tcPr>
          <w:p w14:paraId="67D0A045"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42.8%</w:t>
            </w:r>
          </w:p>
        </w:tc>
      </w:tr>
      <w:tr w:rsidR="00A53D5A" w:rsidRPr="00A53D5A" w14:paraId="66C8F19D" w14:textId="77777777" w:rsidTr="00A53D5A">
        <w:trPr>
          <w:trHeight w:val="297"/>
        </w:trPr>
        <w:tc>
          <w:tcPr>
            <w:tcW w:w="2694" w:type="dxa"/>
            <w:tcBorders>
              <w:top w:val="nil"/>
              <w:left w:val="nil"/>
              <w:bottom w:val="nil"/>
              <w:right w:val="nil"/>
            </w:tcBorders>
            <w:shd w:val="clear" w:color="auto" w:fill="auto"/>
            <w:noWrap/>
            <w:vAlign w:val="center"/>
            <w:hideMark/>
          </w:tcPr>
          <w:p w14:paraId="4FD7215A" w14:textId="77777777" w:rsidR="00A53D5A" w:rsidRPr="00A53D5A" w:rsidRDefault="00A53D5A" w:rsidP="00A53D5A">
            <w:pPr>
              <w:spacing w:after="0" w:line="240" w:lineRule="auto"/>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val="en-US" w:eastAsia="en-GB"/>
              </w:rPr>
              <w:t>Stock recommendations (REC)</w:t>
            </w:r>
          </w:p>
        </w:tc>
        <w:tc>
          <w:tcPr>
            <w:tcW w:w="1590" w:type="dxa"/>
            <w:tcBorders>
              <w:top w:val="nil"/>
              <w:left w:val="nil"/>
              <w:bottom w:val="nil"/>
              <w:right w:val="nil"/>
            </w:tcBorders>
            <w:shd w:val="clear" w:color="auto" w:fill="auto"/>
            <w:vAlign w:val="center"/>
            <w:hideMark/>
          </w:tcPr>
          <w:p w14:paraId="0B276A17"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10781</w:t>
            </w:r>
          </w:p>
        </w:tc>
        <w:tc>
          <w:tcPr>
            <w:tcW w:w="1591" w:type="dxa"/>
            <w:tcBorders>
              <w:top w:val="nil"/>
              <w:left w:val="nil"/>
              <w:bottom w:val="nil"/>
              <w:right w:val="nil"/>
            </w:tcBorders>
            <w:shd w:val="clear" w:color="auto" w:fill="auto"/>
            <w:vAlign w:val="center"/>
            <w:hideMark/>
          </w:tcPr>
          <w:p w14:paraId="021DB985"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9489</w:t>
            </w:r>
          </w:p>
        </w:tc>
        <w:tc>
          <w:tcPr>
            <w:tcW w:w="1591" w:type="dxa"/>
            <w:tcBorders>
              <w:top w:val="nil"/>
              <w:left w:val="nil"/>
              <w:bottom w:val="nil"/>
              <w:right w:val="nil"/>
            </w:tcBorders>
            <w:shd w:val="clear" w:color="auto" w:fill="auto"/>
            <w:vAlign w:val="center"/>
            <w:hideMark/>
          </w:tcPr>
          <w:p w14:paraId="4962C988"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9085</w:t>
            </w:r>
          </w:p>
        </w:tc>
        <w:tc>
          <w:tcPr>
            <w:tcW w:w="1591" w:type="dxa"/>
            <w:tcBorders>
              <w:top w:val="nil"/>
              <w:left w:val="nil"/>
              <w:bottom w:val="nil"/>
              <w:right w:val="nil"/>
            </w:tcBorders>
            <w:shd w:val="clear" w:color="auto" w:fill="auto"/>
            <w:noWrap/>
            <w:vAlign w:val="center"/>
            <w:hideMark/>
          </w:tcPr>
          <w:p w14:paraId="6DDA324F"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29355</w:t>
            </w:r>
          </w:p>
        </w:tc>
      </w:tr>
      <w:tr w:rsidR="00A53D5A" w:rsidRPr="00A53D5A" w14:paraId="460FF234" w14:textId="77777777" w:rsidTr="00A53D5A">
        <w:trPr>
          <w:trHeight w:val="307"/>
        </w:trPr>
        <w:tc>
          <w:tcPr>
            <w:tcW w:w="2694" w:type="dxa"/>
            <w:tcBorders>
              <w:top w:val="nil"/>
              <w:left w:val="nil"/>
              <w:bottom w:val="single" w:sz="8" w:space="0" w:color="auto"/>
              <w:right w:val="nil"/>
            </w:tcBorders>
            <w:shd w:val="clear" w:color="auto" w:fill="auto"/>
            <w:noWrap/>
            <w:vAlign w:val="center"/>
            <w:hideMark/>
          </w:tcPr>
          <w:p w14:paraId="45EA0A0C" w14:textId="77777777" w:rsidR="00A53D5A" w:rsidRPr="00A53D5A" w:rsidRDefault="00A53D5A" w:rsidP="00A53D5A">
            <w:pPr>
              <w:spacing w:after="0" w:line="240" w:lineRule="auto"/>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val="en-US" w:eastAsia="en-GB"/>
              </w:rPr>
              <w:t>% of EPS forecasts</w:t>
            </w:r>
          </w:p>
        </w:tc>
        <w:tc>
          <w:tcPr>
            <w:tcW w:w="1590" w:type="dxa"/>
            <w:tcBorders>
              <w:top w:val="nil"/>
              <w:left w:val="nil"/>
              <w:bottom w:val="single" w:sz="4" w:space="0" w:color="auto"/>
              <w:right w:val="nil"/>
            </w:tcBorders>
            <w:shd w:val="clear" w:color="auto" w:fill="auto"/>
            <w:noWrap/>
            <w:vAlign w:val="center"/>
            <w:hideMark/>
          </w:tcPr>
          <w:p w14:paraId="3E904B6C"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6.84%</w:t>
            </w:r>
          </w:p>
        </w:tc>
        <w:tc>
          <w:tcPr>
            <w:tcW w:w="1591" w:type="dxa"/>
            <w:tcBorders>
              <w:top w:val="nil"/>
              <w:left w:val="nil"/>
              <w:bottom w:val="single" w:sz="4" w:space="0" w:color="auto"/>
              <w:right w:val="nil"/>
            </w:tcBorders>
            <w:shd w:val="clear" w:color="auto" w:fill="auto"/>
            <w:noWrap/>
            <w:vAlign w:val="center"/>
            <w:hideMark/>
          </w:tcPr>
          <w:p w14:paraId="40AA38A3"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6.20%</w:t>
            </w:r>
          </w:p>
        </w:tc>
        <w:tc>
          <w:tcPr>
            <w:tcW w:w="1591" w:type="dxa"/>
            <w:tcBorders>
              <w:top w:val="nil"/>
              <w:left w:val="nil"/>
              <w:bottom w:val="single" w:sz="4" w:space="0" w:color="auto"/>
              <w:right w:val="nil"/>
            </w:tcBorders>
            <w:shd w:val="clear" w:color="auto" w:fill="auto"/>
            <w:noWrap/>
            <w:vAlign w:val="center"/>
            <w:hideMark/>
          </w:tcPr>
          <w:p w14:paraId="5D4BAD37"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6.73%</w:t>
            </w:r>
          </w:p>
        </w:tc>
        <w:tc>
          <w:tcPr>
            <w:tcW w:w="1591" w:type="dxa"/>
            <w:tcBorders>
              <w:top w:val="nil"/>
              <w:left w:val="nil"/>
              <w:bottom w:val="single" w:sz="4" w:space="0" w:color="auto"/>
              <w:right w:val="nil"/>
            </w:tcBorders>
            <w:shd w:val="clear" w:color="auto" w:fill="auto"/>
            <w:noWrap/>
            <w:vAlign w:val="center"/>
            <w:hideMark/>
          </w:tcPr>
          <w:p w14:paraId="3B40F551" w14:textId="77777777" w:rsidR="00A53D5A" w:rsidRPr="00A53D5A" w:rsidRDefault="00A53D5A" w:rsidP="00A53D5A">
            <w:pPr>
              <w:spacing w:after="0" w:line="240" w:lineRule="auto"/>
              <w:jc w:val="center"/>
              <w:rPr>
                <w:rFonts w:ascii="Garamond" w:eastAsia="Times New Roman" w:hAnsi="Garamond" w:cs="Calibri"/>
                <w:color w:val="000000"/>
                <w:sz w:val="20"/>
                <w:szCs w:val="20"/>
                <w:lang w:eastAsia="en-GB"/>
              </w:rPr>
            </w:pPr>
            <w:r w:rsidRPr="00A53D5A">
              <w:rPr>
                <w:rFonts w:ascii="Garamond" w:eastAsia="Times New Roman" w:hAnsi="Garamond" w:cs="Calibri"/>
                <w:color w:val="000000"/>
                <w:sz w:val="20"/>
                <w:szCs w:val="20"/>
                <w:lang w:eastAsia="en-GB"/>
              </w:rPr>
              <w:t>6.6%</w:t>
            </w:r>
          </w:p>
        </w:tc>
      </w:tr>
    </w:tbl>
    <w:p w14:paraId="2E432721" w14:textId="162A188B" w:rsidR="00202BCB" w:rsidRPr="00D06F2B" w:rsidRDefault="008C11C1">
      <w:pPr>
        <w:rPr>
          <w:rFonts w:ascii="Garamond" w:hAnsi="Garamond"/>
          <w:sz w:val="20"/>
          <w:szCs w:val="20"/>
          <w:lang w:val="en-US"/>
        </w:rPr>
      </w:pPr>
      <w:r w:rsidRPr="00D06F2B">
        <w:rPr>
          <w:rFonts w:ascii="Garamond" w:hAnsi="Garamond"/>
          <w:i/>
          <w:iCs/>
          <w:sz w:val="20"/>
          <w:szCs w:val="20"/>
          <w:lang w:val="en-US"/>
        </w:rPr>
        <w:t xml:space="preserve">Notes: </w:t>
      </w:r>
      <w:r w:rsidR="00C74561" w:rsidRPr="00D06F2B">
        <w:rPr>
          <w:rFonts w:ascii="Garamond" w:hAnsi="Garamond"/>
          <w:sz w:val="20"/>
          <w:szCs w:val="20"/>
          <w:lang w:val="en-US"/>
        </w:rPr>
        <w:t>The table reports the annual number of analyst individual quarterly earnings-per-share forecasts (EPS), revenue forecasts (SAL), cash flow-per-share forecasts (CPS), dividend-per-share forecasts (DPS</w:t>
      </w:r>
      <w:r w:rsidR="00C144C2" w:rsidRPr="00D06F2B">
        <w:rPr>
          <w:rFonts w:ascii="Garamond" w:hAnsi="Garamond"/>
          <w:sz w:val="20"/>
          <w:szCs w:val="20"/>
          <w:lang w:val="en-US"/>
        </w:rPr>
        <w:t>)</w:t>
      </w:r>
      <w:r w:rsidR="00C74561" w:rsidRPr="00D06F2B">
        <w:rPr>
          <w:rFonts w:ascii="Garamond" w:hAnsi="Garamond"/>
          <w:sz w:val="20"/>
          <w:szCs w:val="20"/>
          <w:lang w:val="en-US"/>
        </w:rPr>
        <w:t>, target prices (TP) and stock recommendations.</w:t>
      </w:r>
      <w:r w:rsidR="00202BCB" w:rsidRPr="00D06F2B">
        <w:rPr>
          <w:rFonts w:ascii="Garamond" w:hAnsi="Garamond"/>
          <w:sz w:val="20"/>
          <w:szCs w:val="20"/>
          <w:lang w:val="en-US"/>
        </w:rPr>
        <w:br w:type="page"/>
      </w:r>
    </w:p>
    <w:p w14:paraId="3AC0BFDF" w14:textId="2854352A" w:rsidR="00475348" w:rsidRPr="00D06F2B" w:rsidRDefault="00475348" w:rsidP="00475348">
      <w:pPr>
        <w:spacing w:after="0" w:line="240" w:lineRule="auto"/>
        <w:rPr>
          <w:rFonts w:ascii="Garamond" w:hAnsi="Garamond"/>
          <w:sz w:val="24"/>
          <w:szCs w:val="24"/>
          <w:lang w:val="en-US"/>
        </w:rPr>
      </w:pPr>
      <w:r w:rsidRPr="00D06F2B">
        <w:rPr>
          <w:rFonts w:ascii="Garamond" w:hAnsi="Garamond"/>
          <w:sz w:val="24"/>
          <w:szCs w:val="24"/>
          <w:lang w:val="en-US"/>
        </w:rPr>
        <w:lastRenderedPageBreak/>
        <w:t xml:space="preserve">TABLE </w:t>
      </w:r>
      <w:r w:rsidR="00502A2F" w:rsidRPr="00D06F2B">
        <w:rPr>
          <w:rFonts w:ascii="Garamond" w:hAnsi="Garamond"/>
          <w:sz w:val="24"/>
          <w:szCs w:val="24"/>
          <w:lang w:val="en-US"/>
        </w:rPr>
        <w:t>2</w:t>
      </w:r>
    </w:p>
    <w:p w14:paraId="70057579" w14:textId="0F8D9319" w:rsidR="00F0230F" w:rsidRPr="00D06F2B" w:rsidRDefault="00D150EA" w:rsidP="00475348">
      <w:pPr>
        <w:spacing w:after="0" w:line="240" w:lineRule="auto"/>
        <w:rPr>
          <w:rFonts w:ascii="Garamond" w:eastAsia="Times New Roman" w:hAnsi="Garamond" w:cs="Calibri"/>
          <w:sz w:val="24"/>
          <w:szCs w:val="24"/>
          <w:lang w:eastAsia="en-GB"/>
        </w:rPr>
      </w:pPr>
      <w:r w:rsidRPr="00D06F2B">
        <w:rPr>
          <w:rFonts w:ascii="Garamond" w:eastAsia="Times New Roman" w:hAnsi="Garamond" w:cs="Calibri"/>
          <w:sz w:val="24"/>
          <w:szCs w:val="24"/>
          <w:lang w:eastAsia="en-GB"/>
        </w:rPr>
        <w:t>Descriptive statistics for price reaction regression variables</w:t>
      </w:r>
    </w:p>
    <w:tbl>
      <w:tblPr>
        <w:tblW w:w="9296" w:type="dxa"/>
        <w:tblLook w:val="04A0" w:firstRow="1" w:lastRow="0" w:firstColumn="1" w:lastColumn="0" w:noHBand="0" w:noVBand="1"/>
      </w:tblPr>
      <w:tblGrid>
        <w:gridCol w:w="1295"/>
        <w:gridCol w:w="889"/>
        <w:gridCol w:w="889"/>
        <w:gridCol w:w="889"/>
        <w:gridCol w:w="889"/>
        <w:gridCol w:w="889"/>
        <w:gridCol w:w="889"/>
        <w:gridCol w:w="889"/>
        <w:gridCol w:w="889"/>
        <w:gridCol w:w="889"/>
      </w:tblGrid>
      <w:tr w:rsidR="003343B8" w:rsidRPr="00D06F2B" w14:paraId="2B0B6D7E" w14:textId="77777777" w:rsidTr="003343B8">
        <w:trPr>
          <w:trHeight w:val="368"/>
        </w:trPr>
        <w:tc>
          <w:tcPr>
            <w:tcW w:w="1295" w:type="dxa"/>
            <w:tcBorders>
              <w:top w:val="single" w:sz="4" w:space="0" w:color="auto"/>
              <w:left w:val="nil"/>
              <w:bottom w:val="nil"/>
              <w:right w:val="nil"/>
            </w:tcBorders>
            <w:shd w:val="clear" w:color="auto" w:fill="auto"/>
            <w:noWrap/>
            <w:vAlign w:val="bottom"/>
            <w:hideMark/>
          </w:tcPr>
          <w:p w14:paraId="18B601AF"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c>
          <w:tcPr>
            <w:tcW w:w="2667" w:type="dxa"/>
            <w:gridSpan w:val="3"/>
            <w:tcBorders>
              <w:top w:val="single" w:sz="4" w:space="0" w:color="auto"/>
              <w:left w:val="nil"/>
              <w:bottom w:val="nil"/>
              <w:right w:val="nil"/>
            </w:tcBorders>
            <w:shd w:val="clear" w:color="auto" w:fill="auto"/>
            <w:noWrap/>
            <w:vAlign w:val="center"/>
            <w:hideMark/>
          </w:tcPr>
          <w:p w14:paraId="1D09ABD5" w14:textId="7AF49CBF"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2018</w:t>
            </w:r>
          </w:p>
        </w:tc>
        <w:tc>
          <w:tcPr>
            <w:tcW w:w="2667" w:type="dxa"/>
            <w:gridSpan w:val="3"/>
            <w:tcBorders>
              <w:top w:val="single" w:sz="4" w:space="0" w:color="auto"/>
              <w:left w:val="nil"/>
              <w:bottom w:val="nil"/>
              <w:right w:val="nil"/>
            </w:tcBorders>
            <w:shd w:val="clear" w:color="auto" w:fill="auto"/>
            <w:noWrap/>
            <w:vAlign w:val="center"/>
            <w:hideMark/>
          </w:tcPr>
          <w:p w14:paraId="4B82E089" w14:textId="50434485"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2019</w:t>
            </w:r>
          </w:p>
        </w:tc>
        <w:tc>
          <w:tcPr>
            <w:tcW w:w="2667" w:type="dxa"/>
            <w:gridSpan w:val="3"/>
            <w:tcBorders>
              <w:top w:val="single" w:sz="4" w:space="0" w:color="auto"/>
              <w:left w:val="nil"/>
              <w:bottom w:val="nil"/>
              <w:right w:val="nil"/>
            </w:tcBorders>
            <w:shd w:val="clear" w:color="auto" w:fill="auto"/>
            <w:noWrap/>
            <w:vAlign w:val="center"/>
            <w:hideMark/>
          </w:tcPr>
          <w:p w14:paraId="3CB5F1D6" w14:textId="04313219"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2020</w:t>
            </w:r>
          </w:p>
        </w:tc>
      </w:tr>
      <w:tr w:rsidR="003343B8" w:rsidRPr="00D06F2B" w14:paraId="77A07227" w14:textId="77777777" w:rsidTr="003343B8">
        <w:trPr>
          <w:trHeight w:val="285"/>
        </w:trPr>
        <w:tc>
          <w:tcPr>
            <w:tcW w:w="1295" w:type="dxa"/>
            <w:tcBorders>
              <w:top w:val="nil"/>
              <w:left w:val="nil"/>
              <w:bottom w:val="single" w:sz="4" w:space="0" w:color="auto"/>
              <w:right w:val="nil"/>
            </w:tcBorders>
            <w:shd w:val="clear" w:color="auto" w:fill="auto"/>
            <w:hideMark/>
          </w:tcPr>
          <w:p w14:paraId="707450F0"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xml:space="preserve"> </w:t>
            </w:r>
          </w:p>
        </w:tc>
        <w:tc>
          <w:tcPr>
            <w:tcW w:w="889" w:type="dxa"/>
            <w:tcBorders>
              <w:top w:val="nil"/>
              <w:left w:val="nil"/>
              <w:bottom w:val="single" w:sz="4" w:space="0" w:color="auto"/>
              <w:right w:val="nil"/>
            </w:tcBorders>
            <w:shd w:val="clear" w:color="auto" w:fill="auto"/>
            <w:vAlign w:val="center"/>
            <w:hideMark/>
          </w:tcPr>
          <w:p w14:paraId="3952030B"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Mean</w:t>
            </w:r>
          </w:p>
        </w:tc>
        <w:tc>
          <w:tcPr>
            <w:tcW w:w="889" w:type="dxa"/>
            <w:tcBorders>
              <w:top w:val="nil"/>
              <w:left w:val="nil"/>
              <w:bottom w:val="single" w:sz="4" w:space="0" w:color="auto"/>
              <w:right w:val="nil"/>
            </w:tcBorders>
            <w:shd w:val="clear" w:color="auto" w:fill="auto"/>
            <w:vAlign w:val="center"/>
            <w:hideMark/>
          </w:tcPr>
          <w:p w14:paraId="1A4BA09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STD</w:t>
            </w:r>
          </w:p>
        </w:tc>
        <w:tc>
          <w:tcPr>
            <w:tcW w:w="889" w:type="dxa"/>
            <w:tcBorders>
              <w:top w:val="nil"/>
              <w:left w:val="nil"/>
              <w:bottom w:val="single" w:sz="4" w:space="0" w:color="auto"/>
              <w:right w:val="nil"/>
            </w:tcBorders>
            <w:shd w:val="clear" w:color="auto" w:fill="auto"/>
            <w:vAlign w:val="center"/>
            <w:hideMark/>
          </w:tcPr>
          <w:p w14:paraId="625C109A"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p</w:t>
            </w:r>
          </w:p>
        </w:tc>
        <w:tc>
          <w:tcPr>
            <w:tcW w:w="889" w:type="dxa"/>
            <w:tcBorders>
              <w:top w:val="nil"/>
              <w:left w:val="nil"/>
              <w:bottom w:val="single" w:sz="4" w:space="0" w:color="auto"/>
              <w:right w:val="nil"/>
            </w:tcBorders>
            <w:shd w:val="clear" w:color="auto" w:fill="auto"/>
            <w:vAlign w:val="center"/>
            <w:hideMark/>
          </w:tcPr>
          <w:p w14:paraId="00F5BEB0"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Mean</w:t>
            </w:r>
          </w:p>
        </w:tc>
        <w:tc>
          <w:tcPr>
            <w:tcW w:w="889" w:type="dxa"/>
            <w:tcBorders>
              <w:top w:val="nil"/>
              <w:left w:val="nil"/>
              <w:bottom w:val="single" w:sz="4" w:space="0" w:color="auto"/>
              <w:right w:val="nil"/>
            </w:tcBorders>
            <w:shd w:val="clear" w:color="auto" w:fill="auto"/>
            <w:vAlign w:val="center"/>
            <w:hideMark/>
          </w:tcPr>
          <w:p w14:paraId="6EA11823"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STD</w:t>
            </w:r>
          </w:p>
        </w:tc>
        <w:tc>
          <w:tcPr>
            <w:tcW w:w="889" w:type="dxa"/>
            <w:tcBorders>
              <w:top w:val="nil"/>
              <w:left w:val="nil"/>
              <w:bottom w:val="single" w:sz="4" w:space="0" w:color="auto"/>
              <w:right w:val="nil"/>
            </w:tcBorders>
            <w:shd w:val="clear" w:color="auto" w:fill="auto"/>
            <w:vAlign w:val="center"/>
            <w:hideMark/>
          </w:tcPr>
          <w:p w14:paraId="3527EB61"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p</w:t>
            </w:r>
          </w:p>
        </w:tc>
        <w:tc>
          <w:tcPr>
            <w:tcW w:w="889" w:type="dxa"/>
            <w:tcBorders>
              <w:top w:val="nil"/>
              <w:left w:val="nil"/>
              <w:bottom w:val="single" w:sz="4" w:space="0" w:color="auto"/>
              <w:right w:val="nil"/>
            </w:tcBorders>
            <w:shd w:val="clear" w:color="auto" w:fill="auto"/>
            <w:vAlign w:val="center"/>
            <w:hideMark/>
          </w:tcPr>
          <w:p w14:paraId="577DC692"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Mean</w:t>
            </w:r>
          </w:p>
        </w:tc>
        <w:tc>
          <w:tcPr>
            <w:tcW w:w="889" w:type="dxa"/>
            <w:tcBorders>
              <w:top w:val="nil"/>
              <w:left w:val="nil"/>
              <w:bottom w:val="single" w:sz="4" w:space="0" w:color="auto"/>
              <w:right w:val="nil"/>
            </w:tcBorders>
            <w:shd w:val="clear" w:color="auto" w:fill="auto"/>
            <w:vAlign w:val="center"/>
            <w:hideMark/>
          </w:tcPr>
          <w:p w14:paraId="0F37C32E"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STD</w:t>
            </w:r>
          </w:p>
        </w:tc>
        <w:tc>
          <w:tcPr>
            <w:tcW w:w="889" w:type="dxa"/>
            <w:tcBorders>
              <w:top w:val="nil"/>
              <w:left w:val="nil"/>
              <w:bottom w:val="single" w:sz="4" w:space="0" w:color="auto"/>
              <w:right w:val="nil"/>
            </w:tcBorders>
            <w:shd w:val="clear" w:color="auto" w:fill="auto"/>
            <w:vAlign w:val="center"/>
            <w:hideMark/>
          </w:tcPr>
          <w:p w14:paraId="6947840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p</w:t>
            </w:r>
          </w:p>
        </w:tc>
      </w:tr>
      <w:tr w:rsidR="003343B8" w:rsidRPr="00D06F2B" w14:paraId="3B62C926" w14:textId="77777777" w:rsidTr="003343B8">
        <w:trPr>
          <w:trHeight w:hRule="exact" w:val="284"/>
        </w:trPr>
        <w:tc>
          <w:tcPr>
            <w:tcW w:w="1295" w:type="dxa"/>
            <w:tcBorders>
              <w:top w:val="nil"/>
              <w:left w:val="nil"/>
              <w:bottom w:val="nil"/>
              <w:right w:val="nil"/>
            </w:tcBorders>
            <w:shd w:val="clear" w:color="auto" w:fill="auto"/>
            <w:noWrap/>
            <w:vAlign w:val="bottom"/>
            <w:hideMark/>
          </w:tcPr>
          <w:p w14:paraId="6041648D"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Attention</w:t>
            </w:r>
          </w:p>
        </w:tc>
        <w:tc>
          <w:tcPr>
            <w:tcW w:w="889" w:type="dxa"/>
            <w:tcBorders>
              <w:top w:val="nil"/>
              <w:left w:val="nil"/>
              <w:bottom w:val="nil"/>
              <w:right w:val="nil"/>
            </w:tcBorders>
            <w:shd w:val="clear" w:color="auto" w:fill="auto"/>
            <w:vAlign w:val="center"/>
            <w:hideMark/>
          </w:tcPr>
          <w:p w14:paraId="47BB5C8C"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1.226</w:t>
            </w:r>
          </w:p>
        </w:tc>
        <w:tc>
          <w:tcPr>
            <w:tcW w:w="889" w:type="dxa"/>
            <w:tcBorders>
              <w:top w:val="nil"/>
              <w:left w:val="nil"/>
              <w:bottom w:val="nil"/>
              <w:right w:val="nil"/>
            </w:tcBorders>
            <w:shd w:val="clear" w:color="auto" w:fill="auto"/>
            <w:vAlign w:val="center"/>
            <w:hideMark/>
          </w:tcPr>
          <w:p w14:paraId="79DA533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1.539</w:t>
            </w:r>
          </w:p>
        </w:tc>
        <w:tc>
          <w:tcPr>
            <w:tcW w:w="889" w:type="dxa"/>
            <w:tcBorders>
              <w:top w:val="nil"/>
              <w:left w:val="nil"/>
              <w:bottom w:val="nil"/>
              <w:right w:val="nil"/>
            </w:tcBorders>
            <w:shd w:val="clear" w:color="auto" w:fill="auto"/>
            <w:vAlign w:val="center"/>
            <w:hideMark/>
          </w:tcPr>
          <w:p w14:paraId="47B6E4C1"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nil"/>
              <w:right w:val="nil"/>
            </w:tcBorders>
            <w:shd w:val="clear" w:color="auto" w:fill="auto"/>
            <w:vAlign w:val="center"/>
            <w:hideMark/>
          </w:tcPr>
          <w:p w14:paraId="4E72AB7C"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1.126</w:t>
            </w:r>
          </w:p>
        </w:tc>
        <w:tc>
          <w:tcPr>
            <w:tcW w:w="889" w:type="dxa"/>
            <w:tcBorders>
              <w:top w:val="nil"/>
              <w:left w:val="nil"/>
              <w:bottom w:val="nil"/>
              <w:right w:val="nil"/>
            </w:tcBorders>
            <w:shd w:val="clear" w:color="auto" w:fill="auto"/>
            <w:vAlign w:val="center"/>
            <w:hideMark/>
          </w:tcPr>
          <w:p w14:paraId="2029990D"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1.518</w:t>
            </w:r>
          </w:p>
        </w:tc>
        <w:tc>
          <w:tcPr>
            <w:tcW w:w="889" w:type="dxa"/>
            <w:tcBorders>
              <w:top w:val="nil"/>
              <w:left w:val="nil"/>
              <w:bottom w:val="nil"/>
              <w:right w:val="nil"/>
            </w:tcBorders>
            <w:shd w:val="clear" w:color="auto" w:fill="auto"/>
            <w:vAlign w:val="center"/>
            <w:hideMark/>
          </w:tcPr>
          <w:p w14:paraId="76E15BDD"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nil"/>
              <w:right w:val="nil"/>
            </w:tcBorders>
            <w:shd w:val="clear" w:color="auto" w:fill="auto"/>
            <w:vAlign w:val="center"/>
            <w:hideMark/>
          </w:tcPr>
          <w:p w14:paraId="3E8E2CD0"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1.190</w:t>
            </w:r>
          </w:p>
        </w:tc>
        <w:tc>
          <w:tcPr>
            <w:tcW w:w="889" w:type="dxa"/>
            <w:tcBorders>
              <w:top w:val="nil"/>
              <w:left w:val="nil"/>
              <w:bottom w:val="nil"/>
              <w:right w:val="nil"/>
            </w:tcBorders>
            <w:shd w:val="clear" w:color="auto" w:fill="auto"/>
            <w:vAlign w:val="center"/>
            <w:hideMark/>
          </w:tcPr>
          <w:p w14:paraId="6F5A0765"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1.528</w:t>
            </w:r>
          </w:p>
        </w:tc>
        <w:tc>
          <w:tcPr>
            <w:tcW w:w="889" w:type="dxa"/>
            <w:tcBorders>
              <w:top w:val="nil"/>
              <w:left w:val="nil"/>
              <w:bottom w:val="nil"/>
              <w:right w:val="nil"/>
            </w:tcBorders>
            <w:shd w:val="clear" w:color="auto" w:fill="auto"/>
            <w:vAlign w:val="center"/>
            <w:hideMark/>
          </w:tcPr>
          <w:p w14:paraId="6BDA93BE"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3343B8" w:rsidRPr="00D06F2B" w14:paraId="3F9867C8" w14:textId="77777777" w:rsidTr="003343B8">
        <w:trPr>
          <w:trHeight w:hRule="exact" w:val="284"/>
        </w:trPr>
        <w:tc>
          <w:tcPr>
            <w:tcW w:w="1295" w:type="dxa"/>
            <w:tcBorders>
              <w:top w:val="nil"/>
              <w:left w:val="nil"/>
              <w:bottom w:val="nil"/>
              <w:right w:val="nil"/>
            </w:tcBorders>
            <w:shd w:val="clear" w:color="auto" w:fill="auto"/>
            <w:hideMark/>
          </w:tcPr>
          <w:p w14:paraId="57CB8AA6"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ACAR</w:t>
            </w:r>
          </w:p>
        </w:tc>
        <w:tc>
          <w:tcPr>
            <w:tcW w:w="889" w:type="dxa"/>
            <w:tcBorders>
              <w:top w:val="nil"/>
              <w:left w:val="nil"/>
              <w:bottom w:val="nil"/>
              <w:right w:val="nil"/>
            </w:tcBorders>
            <w:shd w:val="clear" w:color="auto" w:fill="auto"/>
            <w:noWrap/>
            <w:vAlign w:val="center"/>
            <w:hideMark/>
          </w:tcPr>
          <w:p w14:paraId="3692E5F6"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0.050</w:t>
            </w:r>
          </w:p>
        </w:tc>
        <w:tc>
          <w:tcPr>
            <w:tcW w:w="889" w:type="dxa"/>
            <w:tcBorders>
              <w:top w:val="nil"/>
              <w:left w:val="nil"/>
              <w:bottom w:val="nil"/>
              <w:right w:val="nil"/>
            </w:tcBorders>
            <w:shd w:val="clear" w:color="auto" w:fill="auto"/>
            <w:vAlign w:val="center"/>
            <w:hideMark/>
          </w:tcPr>
          <w:p w14:paraId="3C8CD82C"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0.055</w:t>
            </w:r>
          </w:p>
        </w:tc>
        <w:tc>
          <w:tcPr>
            <w:tcW w:w="889" w:type="dxa"/>
            <w:tcBorders>
              <w:top w:val="nil"/>
              <w:left w:val="nil"/>
              <w:bottom w:val="nil"/>
              <w:right w:val="nil"/>
            </w:tcBorders>
            <w:shd w:val="clear" w:color="auto" w:fill="auto"/>
            <w:vAlign w:val="center"/>
            <w:hideMark/>
          </w:tcPr>
          <w:p w14:paraId="024DE69B"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nil"/>
              <w:right w:val="nil"/>
            </w:tcBorders>
            <w:shd w:val="clear" w:color="auto" w:fill="auto"/>
            <w:noWrap/>
            <w:vAlign w:val="center"/>
            <w:hideMark/>
          </w:tcPr>
          <w:p w14:paraId="01947AE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0.051</w:t>
            </w:r>
          </w:p>
        </w:tc>
        <w:tc>
          <w:tcPr>
            <w:tcW w:w="889" w:type="dxa"/>
            <w:tcBorders>
              <w:top w:val="nil"/>
              <w:left w:val="nil"/>
              <w:bottom w:val="nil"/>
              <w:right w:val="nil"/>
            </w:tcBorders>
            <w:shd w:val="clear" w:color="auto" w:fill="auto"/>
            <w:vAlign w:val="center"/>
            <w:hideMark/>
          </w:tcPr>
          <w:p w14:paraId="383B213F"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0.057</w:t>
            </w:r>
          </w:p>
        </w:tc>
        <w:tc>
          <w:tcPr>
            <w:tcW w:w="889" w:type="dxa"/>
            <w:tcBorders>
              <w:top w:val="nil"/>
              <w:left w:val="nil"/>
              <w:bottom w:val="nil"/>
              <w:right w:val="nil"/>
            </w:tcBorders>
            <w:shd w:val="clear" w:color="auto" w:fill="auto"/>
            <w:vAlign w:val="center"/>
            <w:hideMark/>
          </w:tcPr>
          <w:p w14:paraId="4F774300"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nil"/>
              <w:right w:val="nil"/>
            </w:tcBorders>
            <w:shd w:val="clear" w:color="auto" w:fill="auto"/>
            <w:vAlign w:val="center"/>
            <w:hideMark/>
          </w:tcPr>
          <w:p w14:paraId="2D522AEC"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0.060</w:t>
            </w:r>
          </w:p>
        </w:tc>
        <w:tc>
          <w:tcPr>
            <w:tcW w:w="889" w:type="dxa"/>
            <w:tcBorders>
              <w:top w:val="nil"/>
              <w:left w:val="nil"/>
              <w:bottom w:val="nil"/>
              <w:right w:val="nil"/>
            </w:tcBorders>
            <w:shd w:val="clear" w:color="auto" w:fill="auto"/>
            <w:vAlign w:val="center"/>
            <w:hideMark/>
          </w:tcPr>
          <w:p w14:paraId="444563FE"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0.061</w:t>
            </w:r>
          </w:p>
        </w:tc>
        <w:tc>
          <w:tcPr>
            <w:tcW w:w="889" w:type="dxa"/>
            <w:tcBorders>
              <w:top w:val="nil"/>
              <w:left w:val="nil"/>
              <w:bottom w:val="nil"/>
              <w:right w:val="nil"/>
            </w:tcBorders>
            <w:shd w:val="clear" w:color="auto" w:fill="auto"/>
            <w:vAlign w:val="center"/>
            <w:hideMark/>
          </w:tcPr>
          <w:p w14:paraId="3519F352"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3343B8" w:rsidRPr="00D06F2B" w14:paraId="7AD08D90" w14:textId="77777777" w:rsidTr="003343B8">
        <w:trPr>
          <w:trHeight w:hRule="exact" w:val="284"/>
        </w:trPr>
        <w:tc>
          <w:tcPr>
            <w:tcW w:w="1295" w:type="dxa"/>
            <w:tcBorders>
              <w:top w:val="nil"/>
              <w:left w:val="nil"/>
              <w:bottom w:val="nil"/>
              <w:right w:val="nil"/>
            </w:tcBorders>
            <w:shd w:val="clear" w:color="auto" w:fill="auto"/>
            <w:hideMark/>
          </w:tcPr>
          <w:p w14:paraId="54D23913"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|∆EPS|</w:t>
            </w:r>
          </w:p>
        </w:tc>
        <w:tc>
          <w:tcPr>
            <w:tcW w:w="889" w:type="dxa"/>
            <w:tcBorders>
              <w:top w:val="nil"/>
              <w:left w:val="nil"/>
              <w:bottom w:val="nil"/>
              <w:right w:val="nil"/>
            </w:tcBorders>
            <w:shd w:val="clear" w:color="auto" w:fill="auto"/>
            <w:noWrap/>
            <w:vAlign w:val="center"/>
            <w:hideMark/>
          </w:tcPr>
          <w:p w14:paraId="1FE46A71"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0.169</w:t>
            </w:r>
          </w:p>
        </w:tc>
        <w:tc>
          <w:tcPr>
            <w:tcW w:w="889" w:type="dxa"/>
            <w:tcBorders>
              <w:top w:val="nil"/>
              <w:left w:val="nil"/>
              <w:bottom w:val="nil"/>
              <w:right w:val="nil"/>
            </w:tcBorders>
            <w:shd w:val="clear" w:color="auto" w:fill="auto"/>
            <w:vAlign w:val="center"/>
            <w:hideMark/>
          </w:tcPr>
          <w:p w14:paraId="18D4310B"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0.445</w:t>
            </w:r>
          </w:p>
        </w:tc>
        <w:tc>
          <w:tcPr>
            <w:tcW w:w="889" w:type="dxa"/>
            <w:tcBorders>
              <w:top w:val="nil"/>
              <w:left w:val="nil"/>
              <w:bottom w:val="nil"/>
              <w:right w:val="nil"/>
            </w:tcBorders>
            <w:shd w:val="clear" w:color="auto" w:fill="auto"/>
            <w:vAlign w:val="center"/>
            <w:hideMark/>
          </w:tcPr>
          <w:p w14:paraId="1F6A2B1F"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nil"/>
              <w:right w:val="nil"/>
            </w:tcBorders>
            <w:shd w:val="clear" w:color="auto" w:fill="auto"/>
            <w:noWrap/>
            <w:vAlign w:val="center"/>
            <w:hideMark/>
          </w:tcPr>
          <w:p w14:paraId="4704F99C"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0.185</w:t>
            </w:r>
          </w:p>
        </w:tc>
        <w:tc>
          <w:tcPr>
            <w:tcW w:w="889" w:type="dxa"/>
            <w:tcBorders>
              <w:top w:val="nil"/>
              <w:left w:val="nil"/>
              <w:bottom w:val="nil"/>
              <w:right w:val="nil"/>
            </w:tcBorders>
            <w:shd w:val="clear" w:color="auto" w:fill="auto"/>
            <w:vAlign w:val="center"/>
            <w:hideMark/>
          </w:tcPr>
          <w:p w14:paraId="24E8BC1A"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0.491</w:t>
            </w:r>
          </w:p>
        </w:tc>
        <w:tc>
          <w:tcPr>
            <w:tcW w:w="889" w:type="dxa"/>
            <w:tcBorders>
              <w:top w:val="nil"/>
              <w:left w:val="nil"/>
              <w:bottom w:val="nil"/>
              <w:right w:val="nil"/>
            </w:tcBorders>
            <w:shd w:val="clear" w:color="auto" w:fill="auto"/>
            <w:vAlign w:val="center"/>
            <w:hideMark/>
          </w:tcPr>
          <w:p w14:paraId="0F84F08A"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nil"/>
              <w:right w:val="nil"/>
            </w:tcBorders>
            <w:shd w:val="clear" w:color="auto" w:fill="auto"/>
            <w:noWrap/>
            <w:vAlign w:val="center"/>
            <w:hideMark/>
          </w:tcPr>
          <w:p w14:paraId="7A0C8F5C"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0.375</w:t>
            </w:r>
          </w:p>
        </w:tc>
        <w:tc>
          <w:tcPr>
            <w:tcW w:w="889" w:type="dxa"/>
            <w:tcBorders>
              <w:top w:val="nil"/>
              <w:left w:val="nil"/>
              <w:bottom w:val="nil"/>
              <w:right w:val="nil"/>
            </w:tcBorders>
            <w:shd w:val="clear" w:color="auto" w:fill="auto"/>
            <w:vAlign w:val="center"/>
            <w:hideMark/>
          </w:tcPr>
          <w:p w14:paraId="4EE4A339"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0.732</w:t>
            </w:r>
          </w:p>
        </w:tc>
        <w:tc>
          <w:tcPr>
            <w:tcW w:w="889" w:type="dxa"/>
            <w:tcBorders>
              <w:top w:val="nil"/>
              <w:left w:val="nil"/>
              <w:bottom w:val="nil"/>
              <w:right w:val="nil"/>
            </w:tcBorders>
            <w:shd w:val="clear" w:color="auto" w:fill="auto"/>
            <w:vAlign w:val="center"/>
            <w:hideMark/>
          </w:tcPr>
          <w:p w14:paraId="3456A3A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3343B8" w:rsidRPr="00D06F2B" w14:paraId="2FEAD231" w14:textId="77777777" w:rsidTr="003343B8">
        <w:trPr>
          <w:trHeight w:hRule="exact" w:val="284"/>
        </w:trPr>
        <w:tc>
          <w:tcPr>
            <w:tcW w:w="1295" w:type="dxa"/>
            <w:tcBorders>
              <w:top w:val="nil"/>
              <w:left w:val="nil"/>
              <w:bottom w:val="nil"/>
              <w:right w:val="nil"/>
            </w:tcBorders>
            <w:shd w:val="clear" w:color="auto" w:fill="auto"/>
            <w:hideMark/>
          </w:tcPr>
          <w:p w14:paraId="2DD3B5FD"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|∆SAL|</w:t>
            </w:r>
          </w:p>
        </w:tc>
        <w:tc>
          <w:tcPr>
            <w:tcW w:w="889" w:type="dxa"/>
            <w:tcBorders>
              <w:top w:val="nil"/>
              <w:left w:val="nil"/>
              <w:bottom w:val="nil"/>
              <w:right w:val="nil"/>
            </w:tcBorders>
            <w:shd w:val="clear" w:color="auto" w:fill="auto"/>
            <w:noWrap/>
            <w:vAlign w:val="center"/>
            <w:hideMark/>
          </w:tcPr>
          <w:p w14:paraId="2DF97B4F"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0.025</w:t>
            </w:r>
          </w:p>
        </w:tc>
        <w:tc>
          <w:tcPr>
            <w:tcW w:w="889" w:type="dxa"/>
            <w:tcBorders>
              <w:top w:val="nil"/>
              <w:left w:val="nil"/>
              <w:bottom w:val="nil"/>
              <w:right w:val="nil"/>
            </w:tcBorders>
            <w:shd w:val="clear" w:color="auto" w:fill="auto"/>
            <w:vAlign w:val="center"/>
            <w:hideMark/>
          </w:tcPr>
          <w:p w14:paraId="56FC5BB7"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0.056</w:t>
            </w:r>
          </w:p>
        </w:tc>
        <w:tc>
          <w:tcPr>
            <w:tcW w:w="889" w:type="dxa"/>
            <w:tcBorders>
              <w:top w:val="nil"/>
              <w:left w:val="nil"/>
              <w:bottom w:val="nil"/>
              <w:right w:val="nil"/>
            </w:tcBorders>
            <w:shd w:val="clear" w:color="auto" w:fill="auto"/>
            <w:vAlign w:val="center"/>
            <w:hideMark/>
          </w:tcPr>
          <w:p w14:paraId="2A576967"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nil"/>
              <w:right w:val="nil"/>
            </w:tcBorders>
            <w:shd w:val="clear" w:color="auto" w:fill="auto"/>
            <w:noWrap/>
            <w:vAlign w:val="center"/>
            <w:hideMark/>
          </w:tcPr>
          <w:p w14:paraId="767359CC"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0.026</w:t>
            </w:r>
          </w:p>
        </w:tc>
        <w:tc>
          <w:tcPr>
            <w:tcW w:w="889" w:type="dxa"/>
            <w:tcBorders>
              <w:top w:val="nil"/>
              <w:left w:val="nil"/>
              <w:bottom w:val="nil"/>
              <w:right w:val="nil"/>
            </w:tcBorders>
            <w:shd w:val="clear" w:color="auto" w:fill="auto"/>
            <w:vAlign w:val="center"/>
            <w:hideMark/>
          </w:tcPr>
          <w:p w14:paraId="4248EEF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0.057</w:t>
            </w:r>
          </w:p>
        </w:tc>
        <w:tc>
          <w:tcPr>
            <w:tcW w:w="889" w:type="dxa"/>
            <w:tcBorders>
              <w:top w:val="nil"/>
              <w:left w:val="nil"/>
              <w:bottom w:val="nil"/>
              <w:right w:val="nil"/>
            </w:tcBorders>
            <w:shd w:val="clear" w:color="auto" w:fill="auto"/>
            <w:vAlign w:val="center"/>
            <w:hideMark/>
          </w:tcPr>
          <w:p w14:paraId="0303EC9F"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nil"/>
              <w:right w:val="nil"/>
            </w:tcBorders>
            <w:shd w:val="clear" w:color="auto" w:fill="auto"/>
            <w:noWrap/>
            <w:vAlign w:val="center"/>
            <w:hideMark/>
          </w:tcPr>
          <w:p w14:paraId="48994B68"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0.061</w:t>
            </w:r>
          </w:p>
        </w:tc>
        <w:tc>
          <w:tcPr>
            <w:tcW w:w="889" w:type="dxa"/>
            <w:tcBorders>
              <w:top w:val="nil"/>
              <w:left w:val="nil"/>
              <w:bottom w:val="nil"/>
              <w:right w:val="nil"/>
            </w:tcBorders>
            <w:shd w:val="clear" w:color="auto" w:fill="auto"/>
            <w:vAlign w:val="center"/>
            <w:hideMark/>
          </w:tcPr>
          <w:p w14:paraId="3BEE9EBD"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0.101</w:t>
            </w:r>
          </w:p>
        </w:tc>
        <w:tc>
          <w:tcPr>
            <w:tcW w:w="889" w:type="dxa"/>
            <w:tcBorders>
              <w:top w:val="nil"/>
              <w:left w:val="nil"/>
              <w:bottom w:val="nil"/>
              <w:right w:val="nil"/>
            </w:tcBorders>
            <w:shd w:val="clear" w:color="auto" w:fill="auto"/>
            <w:vAlign w:val="center"/>
            <w:hideMark/>
          </w:tcPr>
          <w:p w14:paraId="4C4C8DDA"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3343B8" w:rsidRPr="00D06F2B" w14:paraId="79B617FE" w14:textId="77777777" w:rsidTr="003343B8">
        <w:trPr>
          <w:trHeight w:hRule="exact" w:val="284"/>
        </w:trPr>
        <w:tc>
          <w:tcPr>
            <w:tcW w:w="1295" w:type="dxa"/>
            <w:tcBorders>
              <w:top w:val="nil"/>
              <w:left w:val="nil"/>
              <w:bottom w:val="nil"/>
              <w:right w:val="nil"/>
            </w:tcBorders>
            <w:shd w:val="clear" w:color="auto" w:fill="auto"/>
            <w:hideMark/>
          </w:tcPr>
          <w:p w14:paraId="5E8E6E27"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|∆CPS|</w:t>
            </w:r>
          </w:p>
        </w:tc>
        <w:tc>
          <w:tcPr>
            <w:tcW w:w="889" w:type="dxa"/>
            <w:tcBorders>
              <w:top w:val="nil"/>
              <w:left w:val="nil"/>
              <w:bottom w:val="nil"/>
              <w:right w:val="nil"/>
            </w:tcBorders>
            <w:shd w:val="clear" w:color="auto" w:fill="auto"/>
            <w:vAlign w:val="center"/>
            <w:hideMark/>
          </w:tcPr>
          <w:p w14:paraId="1924AB88"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0.024</w:t>
            </w:r>
          </w:p>
        </w:tc>
        <w:tc>
          <w:tcPr>
            <w:tcW w:w="889" w:type="dxa"/>
            <w:tcBorders>
              <w:top w:val="nil"/>
              <w:left w:val="nil"/>
              <w:bottom w:val="nil"/>
              <w:right w:val="nil"/>
            </w:tcBorders>
            <w:shd w:val="clear" w:color="auto" w:fill="auto"/>
            <w:vAlign w:val="center"/>
            <w:hideMark/>
          </w:tcPr>
          <w:p w14:paraId="2ED54052"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0.160</w:t>
            </w:r>
          </w:p>
        </w:tc>
        <w:tc>
          <w:tcPr>
            <w:tcW w:w="889" w:type="dxa"/>
            <w:tcBorders>
              <w:top w:val="nil"/>
              <w:left w:val="nil"/>
              <w:bottom w:val="nil"/>
              <w:right w:val="nil"/>
            </w:tcBorders>
            <w:shd w:val="clear" w:color="auto" w:fill="auto"/>
            <w:vAlign w:val="center"/>
            <w:hideMark/>
          </w:tcPr>
          <w:p w14:paraId="4611614E"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nil"/>
              <w:right w:val="nil"/>
            </w:tcBorders>
            <w:shd w:val="clear" w:color="auto" w:fill="auto"/>
            <w:noWrap/>
            <w:vAlign w:val="center"/>
            <w:hideMark/>
          </w:tcPr>
          <w:p w14:paraId="23CECD2C"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0.022</w:t>
            </w:r>
          </w:p>
        </w:tc>
        <w:tc>
          <w:tcPr>
            <w:tcW w:w="889" w:type="dxa"/>
            <w:tcBorders>
              <w:top w:val="nil"/>
              <w:left w:val="nil"/>
              <w:bottom w:val="nil"/>
              <w:right w:val="nil"/>
            </w:tcBorders>
            <w:shd w:val="clear" w:color="auto" w:fill="auto"/>
            <w:vAlign w:val="center"/>
            <w:hideMark/>
          </w:tcPr>
          <w:p w14:paraId="4FA1D0AC"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0.153</w:t>
            </w:r>
          </w:p>
        </w:tc>
        <w:tc>
          <w:tcPr>
            <w:tcW w:w="889" w:type="dxa"/>
            <w:tcBorders>
              <w:top w:val="nil"/>
              <w:left w:val="nil"/>
              <w:bottom w:val="nil"/>
              <w:right w:val="nil"/>
            </w:tcBorders>
            <w:shd w:val="clear" w:color="auto" w:fill="auto"/>
            <w:vAlign w:val="center"/>
            <w:hideMark/>
          </w:tcPr>
          <w:p w14:paraId="0DCF3F76"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nil"/>
              <w:right w:val="nil"/>
            </w:tcBorders>
            <w:shd w:val="clear" w:color="auto" w:fill="auto"/>
            <w:noWrap/>
            <w:vAlign w:val="center"/>
            <w:hideMark/>
          </w:tcPr>
          <w:p w14:paraId="62C257B3"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0.038</w:t>
            </w:r>
          </w:p>
        </w:tc>
        <w:tc>
          <w:tcPr>
            <w:tcW w:w="889" w:type="dxa"/>
            <w:tcBorders>
              <w:top w:val="nil"/>
              <w:left w:val="nil"/>
              <w:bottom w:val="nil"/>
              <w:right w:val="nil"/>
            </w:tcBorders>
            <w:shd w:val="clear" w:color="auto" w:fill="auto"/>
            <w:vAlign w:val="center"/>
            <w:hideMark/>
          </w:tcPr>
          <w:p w14:paraId="54AB52F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0.223</w:t>
            </w:r>
          </w:p>
        </w:tc>
        <w:tc>
          <w:tcPr>
            <w:tcW w:w="889" w:type="dxa"/>
            <w:tcBorders>
              <w:top w:val="nil"/>
              <w:left w:val="nil"/>
              <w:bottom w:val="nil"/>
              <w:right w:val="nil"/>
            </w:tcBorders>
            <w:shd w:val="clear" w:color="auto" w:fill="auto"/>
            <w:vAlign w:val="center"/>
            <w:hideMark/>
          </w:tcPr>
          <w:p w14:paraId="4B9A4E2E"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3343B8" w:rsidRPr="00D06F2B" w14:paraId="1177E77D" w14:textId="77777777" w:rsidTr="003343B8">
        <w:trPr>
          <w:trHeight w:hRule="exact" w:val="284"/>
        </w:trPr>
        <w:tc>
          <w:tcPr>
            <w:tcW w:w="1295" w:type="dxa"/>
            <w:tcBorders>
              <w:top w:val="nil"/>
              <w:left w:val="nil"/>
              <w:bottom w:val="nil"/>
              <w:right w:val="nil"/>
            </w:tcBorders>
            <w:shd w:val="clear" w:color="auto" w:fill="auto"/>
            <w:hideMark/>
          </w:tcPr>
          <w:p w14:paraId="59C370F2"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|∆DPS|</w:t>
            </w:r>
          </w:p>
        </w:tc>
        <w:tc>
          <w:tcPr>
            <w:tcW w:w="889" w:type="dxa"/>
            <w:tcBorders>
              <w:top w:val="nil"/>
              <w:left w:val="nil"/>
              <w:bottom w:val="nil"/>
              <w:right w:val="nil"/>
            </w:tcBorders>
            <w:shd w:val="clear" w:color="auto" w:fill="auto"/>
            <w:vAlign w:val="center"/>
            <w:hideMark/>
          </w:tcPr>
          <w:p w14:paraId="39D0CF8D"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0.002</w:t>
            </w:r>
          </w:p>
        </w:tc>
        <w:tc>
          <w:tcPr>
            <w:tcW w:w="889" w:type="dxa"/>
            <w:tcBorders>
              <w:top w:val="nil"/>
              <w:left w:val="nil"/>
              <w:bottom w:val="nil"/>
              <w:right w:val="nil"/>
            </w:tcBorders>
            <w:shd w:val="clear" w:color="auto" w:fill="auto"/>
            <w:vAlign w:val="center"/>
            <w:hideMark/>
          </w:tcPr>
          <w:p w14:paraId="1AB733AF"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0.033</w:t>
            </w:r>
          </w:p>
        </w:tc>
        <w:tc>
          <w:tcPr>
            <w:tcW w:w="889" w:type="dxa"/>
            <w:tcBorders>
              <w:top w:val="nil"/>
              <w:left w:val="nil"/>
              <w:bottom w:val="nil"/>
              <w:right w:val="nil"/>
            </w:tcBorders>
            <w:shd w:val="clear" w:color="auto" w:fill="auto"/>
            <w:vAlign w:val="center"/>
            <w:hideMark/>
          </w:tcPr>
          <w:p w14:paraId="014683CA"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nil"/>
              <w:right w:val="nil"/>
            </w:tcBorders>
            <w:shd w:val="clear" w:color="auto" w:fill="auto"/>
            <w:vAlign w:val="center"/>
            <w:hideMark/>
          </w:tcPr>
          <w:p w14:paraId="093A8D3D"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889" w:type="dxa"/>
            <w:tcBorders>
              <w:top w:val="nil"/>
              <w:left w:val="nil"/>
              <w:bottom w:val="nil"/>
              <w:right w:val="nil"/>
            </w:tcBorders>
            <w:shd w:val="clear" w:color="auto" w:fill="auto"/>
            <w:vAlign w:val="center"/>
            <w:hideMark/>
          </w:tcPr>
          <w:p w14:paraId="26492120"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0.027</w:t>
            </w:r>
          </w:p>
        </w:tc>
        <w:tc>
          <w:tcPr>
            <w:tcW w:w="889" w:type="dxa"/>
            <w:tcBorders>
              <w:top w:val="nil"/>
              <w:left w:val="nil"/>
              <w:bottom w:val="nil"/>
              <w:right w:val="nil"/>
            </w:tcBorders>
            <w:shd w:val="clear" w:color="auto" w:fill="auto"/>
            <w:vAlign w:val="center"/>
            <w:hideMark/>
          </w:tcPr>
          <w:p w14:paraId="5E887DEF"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nil"/>
              <w:right w:val="nil"/>
            </w:tcBorders>
            <w:shd w:val="clear" w:color="auto" w:fill="auto"/>
            <w:noWrap/>
            <w:vAlign w:val="center"/>
            <w:hideMark/>
          </w:tcPr>
          <w:p w14:paraId="35542FF3"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0.003</w:t>
            </w:r>
          </w:p>
        </w:tc>
        <w:tc>
          <w:tcPr>
            <w:tcW w:w="889" w:type="dxa"/>
            <w:tcBorders>
              <w:top w:val="nil"/>
              <w:left w:val="nil"/>
              <w:bottom w:val="nil"/>
              <w:right w:val="nil"/>
            </w:tcBorders>
            <w:shd w:val="clear" w:color="auto" w:fill="auto"/>
            <w:vAlign w:val="center"/>
            <w:hideMark/>
          </w:tcPr>
          <w:p w14:paraId="79C051A5"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0.049</w:t>
            </w:r>
          </w:p>
        </w:tc>
        <w:tc>
          <w:tcPr>
            <w:tcW w:w="889" w:type="dxa"/>
            <w:tcBorders>
              <w:top w:val="nil"/>
              <w:left w:val="nil"/>
              <w:bottom w:val="nil"/>
              <w:right w:val="nil"/>
            </w:tcBorders>
            <w:shd w:val="clear" w:color="auto" w:fill="auto"/>
            <w:vAlign w:val="center"/>
            <w:hideMark/>
          </w:tcPr>
          <w:p w14:paraId="62091502"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3343B8" w:rsidRPr="00D06F2B" w14:paraId="054AE6C8" w14:textId="77777777" w:rsidTr="003343B8">
        <w:trPr>
          <w:trHeight w:hRule="exact" w:val="284"/>
        </w:trPr>
        <w:tc>
          <w:tcPr>
            <w:tcW w:w="1295" w:type="dxa"/>
            <w:tcBorders>
              <w:top w:val="nil"/>
              <w:left w:val="nil"/>
              <w:bottom w:val="nil"/>
              <w:right w:val="nil"/>
            </w:tcBorders>
            <w:shd w:val="clear" w:color="auto" w:fill="auto"/>
            <w:hideMark/>
          </w:tcPr>
          <w:p w14:paraId="3FF86041"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|∆REC|</w:t>
            </w:r>
          </w:p>
        </w:tc>
        <w:tc>
          <w:tcPr>
            <w:tcW w:w="889" w:type="dxa"/>
            <w:tcBorders>
              <w:top w:val="nil"/>
              <w:left w:val="nil"/>
              <w:bottom w:val="nil"/>
              <w:right w:val="nil"/>
            </w:tcBorders>
            <w:shd w:val="clear" w:color="auto" w:fill="auto"/>
            <w:noWrap/>
            <w:vAlign w:val="center"/>
            <w:hideMark/>
          </w:tcPr>
          <w:p w14:paraId="36918025"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0.011</w:t>
            </w:r>
          </w:p>
        </w:tc>
        <w:tc>
          <w:tcPr>
            <w:tcW w:w="889" w:type="dxa"/>
            <w:tcBorders>
              <w:top w:val="nil"/>
              <w:left w:val="nil"/>
              <w:bottom w:val="nil"/>
              <w:right w:val="nil"/>
            </w:tcBorders>
            <w:shd w:val="clear" w:color="auto" w:fill="auto"/>
            <w:vAlign w:val="center"/>
            <w:hideMark/>
          </w:tcPr>
          <w:p w14:paraId="06EDDFD1"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0.107</w:t>
            </w:r>
          </w:p>
        </w:tc>
        <w:tc>
          <w:tcPr>
            <w:tcW w:w="889" w:type="dxa"/>
            <w:tcBorders>
              <w:top w:val="nil"/>
              <w:left w:val="nil"/>
              <w:bottom w:val="nil"/>
              <w:right w:val="nil"/>
            </w:tcBorders>
            <w:shd w:val="clear" w:color="auto" w:fill="auto"/>
            <w:vAlign w:val="center"/>
            <w:hideMark/>
          </w:tcPr>
          <w:p w14:paraId="6EAFF64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nil"/>
              <w:right w:val="nil"/>
            </w:tcBorders>
            <w:shd w:val="clear" w:color="auto" w:fill="auto"/>
            <w:noWrap/>
            <w:vAlign w:val="center"/>
            <w:hideMark/>
          </w:tcPr>
          <w:p w14:paraId="6F878862"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0.012</w:t>
            </w:r>
          </w:p>
        </w:tc>
        <w:tc>
          <w:tcPr>
            <w:tcW w:w="889" w:type="dxa"/>
            <w:tcBorders>
              <w:top w:val="nil"/>
              <w:left w:val="nil"/>
              <w:bottom w:val="nil"/>
              <w:right w:val="nil"/>
            </w:tcBorders>
            <w:shd w:val="clear" w:color="auto" w:fill="auto"/>
            <w:vAlign w:val="center"/>
            <w:hideMark/>
          </w:tcPr>
          <w:p w14:paraId="3D88173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0.121</w:t>
            </w:r>
          </w:p>
        </w:tc>
        <w:tc>
          <w:tcPr>
            <w:tcW w:w="889" w:type="dxa"/>
            <w:tcBorders>
              <w:top w:val="nil"/>
              <w:left w:val="nil"/>
              <w:bottom w:val="nil"/>
              <w:right w:val="nil"/>
            </w:tcBorders>
            <w:shd w:val="clear" w:color="auto" w:fill="auto"/>
            <w:vAlign w:val="center"/>
            <w:hideMark/>
          </w:tcPr>
          <w:p w14:paraId="28EF0C9E"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nil"/>
              <w:right w:val="nil"/>
            </w:tcBorders>
            <w:shd w:val="clear" w:color="auto" w:fill="auto"/>
            <w:noWrap/>
            <w:vAlign w:val="center"/>
            <w:hideMark/>
          </w:tcPr>
          <w:p w14:paraId="75C3E45C"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0.013</w:t>
            </w:r>
          </w:p>
        </w:tc>
        <w:tc>
          <w:tcPr>
            <w:tcW w:w="889" w:type="dxa"/>
            <w:tcBorders>
              <w:top w:val="nil"/>
              <w:left w:val="nil"/>
              <w:bottom w:val="nil"/>
              <w:right w:val="nil"/>
            </w:tcBorders>
            <w:shd w:val="clear" w:color="auto" w:fill="auto"/>
            <w:vAlign w:val="center"/>
            <w:hideMark/>
          </w:tcPr>
          <w:p w14:paraId="771C8AE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0.115</w:t>
            </w:r>
          </w:p>
        </w:tc>
        <w:tc>
          <w:tcPr>
            <w:tcW w:w="889" w:type="dxa"/>
            <w:tcBorders>
              <w:top w:val="nil"/>
              <w:left w:val="nil"/>
              <w:bottom w:val="nil"/>
              <w:right w:val="nil"/>
            </w:tcBorders>
            <w:shd w:val="clear" w:color="auto" w:fill="auto"/>
            <w:vAlign w:val="center"/>
            <w:hideMark/>
          </w:tcPr>
          <w:p w14:paraId="1D093535"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3343B8" w:rsidRPr="00D06F2B" w14:paraId="76232AD1" w14:textId="77777777" w:rsidTr="003343B8">
        <w:trPr>
          <w:trHeight w:hRule="exact" w:val="284"/>
        </w:trPr>
        <w:tc>
          <w:tcPr>
            <w:tcW w:w="1295" w:type="dxa"/>
            <w:tcBorders>
              <w:top w:val="nil"/>
              <w:left w:val="nil"/>
              <w:bottom w:val="single" w:sz="4" w:space="0" w:color="auto"/>
              <w:right w:val="nil"/>
            </w:tcBorders>
            <w:shd w:val="clear" w:color="auto" w:fill="auto"/>
            <w:hideMark/>
          </w:tcPr>
          <w:p w14:paraId="258446CC"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|∆TP|</w:t>
            </w:r>
          </w:p>
        </w:tc>
        <w:tc>
          <w:tcPr>
            <w:tcW w:w="889" w:type="dxa"/>
            <w:tcBorders>
              <w:top w:val="nil"/>
              <w:left w:val="nil"/>
              <w:bottom w:val="single" w:sz="4" w:space="0" w:color="auto"/>
              <w:right w:val="nil"/>
            </w:tcBorders>
            <w:shd w:val="clear" w:color="auto" w:fill="auto"/>
            <w:vAlign w:val="center"/>
            <w:hideMark/>
          </w:tcPr>
          <w:p w14:paraId="5E9CC62A"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0.064</w:t>
            </w:r>
          </w:p>
        </w:tc>
        <w:tc>
          <w:tcPr>
            <w:tcW w:w="889" w:type="dxa"/>
            <w:tcBorders>
              <w:top w:val="nil"/>
              <w:left w:val="nil"/>
              <w:bottom w:val="single" w:sz="4" w:space="0" w:color="auto"/>
              <w:right w:val="nil"/>
            </w:tcBorders>
            <w:shd w:val="clear" w:color="auto" w:fill="auto"/>
            <w:vAlign w:val="center"/>
            <w:hideMark/>
          </w:tcPr>
          <w:p w14:paraId="3F6B3317"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0.097</w:t>
            </w:r>
          </w:p>
        </w:tc>
        <w:tc>
          <w:tcPr>
            <w:tcW w:w="889" w:type="dxa"/>
            <w:tcBorders>
              <w:top w:val="nil"/>
              <w:left w:val="nil"/>
              <w:bottom w:val="single" w:sz="4" w:space="0" w:color="auto"/>
              <w:right w:val="nil"/>
            </w:tcBorders>
            <w:shd w:val="clear" w:color="auto" w:fill="auto"/>
            <w:vAlign w:val="center"/>
            <w:hideMark/>
          </w:tcPr>
          <w:p w14:paraId="0E93E089"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single" w:sz="4" w:space="0" w:color="auto"/>
              <w:right w:val="nil"/>
            </w:tcBorders>
            <w:shd w:val="clear" w:color="auto" w:fill="auto"/>
            <w:noWrap/>
            <w:vAlign w:val="center"/>
            <w:hideMark/>
          </w:tcPr>
          <w:p w14:paraId="5A199FD1"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0.064</w:t>
            </w:r>
          </w:p>
        </w:tc>
        <w:tc>
          <w:tcPr>
            <w:tcW w:w="889" w:type="dxa"/>
            <w:tcBorders>
              <w:top w:val="nil"/>
              <w:left w:val="nil"/>
              <w:bottom w:val="single" w:sz="4" w:space="0" w:color="auto"/>
              <w:right w:val="nil"/>
            </w:tcBorders>
            <w:shd w:val="clear" w:color="auto" w:fill="auto"/>
            <w:vAlign w:val="center"/>
            <w:hideMark/>
          </w:tcPr>
          <w:p w14:paraId="2414E9AC"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0.101</w:t>
            </w:r>
          </w:p>
        </w:tc>
        <w:tc>
          <w:tcPr>
            <w:tcW w:w="889" w:type="dxa"/>
            <w:tcBorders>
              <w:top w:val="nil"/>
              <w:left w:val="nil"/>
              <w:bottom w:val="single" w:sz="4" w:space="0" w:color="auto"/>
              <w:right w:val="nil"/>
            </w:tcBorders>
            <w:shd w:val="clear" w:color="auto" w:fill="auto"/>
            <w:vAlign w:val="center"/>
            <w:hideMark/>
          </w:tcPr>
          <w:p w14:paraId="51552FAB"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889" w:type="dxa"/>
            <w:tcBorders>
              <w:top w:val="nil"/>
              <w:left w:val="nil"/>
              <w:bottom w:val="single" w:sz="4" w:space="0" w:color="auto"/>
              <w:right w:val="nil"/>
            </w:tcBorders>
            <w:shd w:val="clear" w:color="auto" w:fill="auto"/>
            <w:noWrap/>
            <w:vAlign w:val="center"/>
            <w:hideMark/>
          </w:tcPr>
          <w:p w14:paraId="4C129833"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0.101</w:t>
            </w:r>
          </w:p>
        </w:tc>
        <w:tc>
          <w:tcPr>
            <w:tcW w:w="889" w:type="dxa"/>
            <w:tcBorders>
              <w:top w:val="nil"/>
              <w:left w:val="nil"/>
              <w:bottom w:val="single" w:sz="4" w:space="0" w:color="auto"/>
              <w:right w:val="nil"/>
            </w:tcBorders>
            <w:shd w:val="clear" w:color="auto" w:fill="auto"/>
            <w:vAlign w:val="center"/>
            <w:hideMark/>
          </w:tcPr>
          <w:p w14:paraId="0065B7A5"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0.141</w:t>
            </w:r>
          </w:p>
        </w:tc>
        <w:tc>
          <w:tcPr>
            <w:tcW w:w="889" w:type="dxa"/>
            <w:tcBorders>
              <w:top w:val="nil"/>
              <w:left w:val="nil"/>
              <w:bottom w:val="single" w:sz="4" w:space="0" w:color="auto"/>
              <w:right w:val="nil"/>
            </w:tcBorders>
            <w:shd w:val="clear" w:color="auto" w:fill="auto"/>
            <w:vAlign w:val="center"/>
            <w:hideMark/>
          </w:tcPr>
          <w:p w14:paraId="5942E39F"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bl>
    <w:p w14:paraId="3AAC16F3" w14:textId="1F764799" w:rsidR="00D150EA" w:rsidRPr="00D06F2B" w:rsidRDefault="008C11C1" w:rsidP="00BC62E7">
      <w:pPr>
        <w:spacing w:after="0" w:line="240" w:lineRule="auto"/>
        <w:rPr>
          <w:rFonts w:ascii="Garamond" w:hAnsi="Garamond"/>
          <w:sz w:val="24"/>
          <w:szCs w:val="24"/>
          <w:lang w:val="en-US"/>
        </w:rPr>
      </w:pPr>
      <w:r w:rsidRPr="00D06F2B">
        <w:rPr>
          <w:rFonts w:ascii="Garamond" w:hAnsi="Garamond"/>
          <w:i/>
          <w:iCs/>
          <w:sz w:val="20"/>
          <w:szCs w:val="20"/>
          <w:lang w:val="en-US"/>
        </w:rPr>
        <w:t xml:space="preserve">Notes: </w:t>
      </w:r>
      <w:r w:rsidR="00A2730F" w:rsidRPr="00D06F2B">
        <w:rPr>
          <w:rFonts w:ascii="Garamond" w:eastAsia="Times New Roman" w:hAnsi="Garamond" w:cs="Calibri"/>
          <w:sz w:val="20"/>
          <w:szCs w:val="20"/>
          <w:lang w:eastAsia="en-GB"/>
        </w:rPr>
        <w:t>The table</w:t>
      </w:r>
      <w:r w:rsidR="00906D64" w:rsidRPr="00D06F2B">
        <w:rPr>
          <w:rFonts w:ascii="Garamond" w:eastAsia="Times New Roman" w:hAnsi="Garamond" w:cs="Calibri"/>
          <w:sz w:val="20"/>
          <w:szCs w:val="20"/>
          <w:lang w:eastAsia="en-GB"/>
        </w:rPr>
        <w:t xml:space="preserve"> reports descriptive statistics for</w:t>
      </w:r>
      <w:r w:rsidR="001D0773" w:rsidRPr="00D06F2B">
        <w:rPr>
          <w:rFonts w:ascii="Garamond" w:eastAsia="Times New Roman" w:hAnsi="Garamond" w:cs="Calibri"/>
          <w:sz w:val="20"/>
          <w:szCs w:val="20"/>
          <w:lang w:eastAsia="en-GB"/>
        </w:rPr>
        <w:t xml:space="preserve"> the</w:t>
      </w:r>
      <w:r w:rsidR="00906D64" w:rsidRPr="00D06F2B">
        <w:rPr>
          <w:rFonts w:ascii="Garamond" w:eastAsia="Times New Roman" w:hAnsi="Garamond" w:cs="Calibri"/>
          <w:sz w:val="20"/>
          <w:szCs w:val="20"/>
          <w:lang w:eastAsia="en-GB"/>
        </w:rPr>
        <w:t xml:space="preserve"> </w:t>
      </w:r>
      <w:r w:rsidR="00205827">
        <w:rPr>
          <w:rFonts w:ascii="Garamond" w:eastAsia="Times New Roman" w:hAnsi="Garamond" w:cs="Calibri"/>
          <w:sz w:val="20"/>
          <w:szCs w:val="20"/>
          <w:lang w:eastAsia="en-GB"/>
        </w:rPr>
        <w:t xml:space="preserve">investor attention and </w:t>
      </w:r>
      <w:r w:rsidR="00906D64" w:rsidRPr="00D06F2B">
        <w:rPr>
          <w:rFonts w:ascii="Garamond" w:eastAsia="Times New Roman" w:hAnsi="Garamond" w:cs="Calibri"/>
          <w:sz w:val="20"/>
          <w:szCs w:val="20"/>
          <w:lang w:eastAsia="en-GB"/>
        </w:rPr>
        <w:t>price reaction regression variables</w:t>
      </w:r>
      <w:r w:rsidR="001D0773" w:rsidRPr="00D06F2B">
        <w:rPr>
          <w:rFonts w:ascii="Garamond" w:eastAsia="Times New Roman" w:hAnsi="Garamond" w:cs="Calibri"/>
          <w:sz w:val="20"/>
          <w:szCs w:val="20"/>
          <w:lang w:eastAsia="en-GB"/>
        </w:rPr>
        <w:t xml:space="preserve"> in equation (3)</w:t>
      </w:r>
      <w:r w:rsidR="00A2730F" w:rsidRPr="00D06F2B">
        <w:rPr>
          <w:rFonts w:ascii="Garamond" w:eastAsia="Times New Roman" w:hAnsi="Garamond" w:cs="Calibri"/>
          <w:sz w:val="20"/>
          <w:szCs w:val="20"/>
          <w:lang w:eastAsia="en-GB"/>
        </w:rPr>
        <w:t xml:space="preserve"> split by year</w:t>
      </w:r>
      <w:r w:rsidR="00BC62E7" w:rsidRPr="00D06F2B">
        <w:rPr>
          <w:rFonts w:ascii="Garamond" w:eastAsia="Times New Roman" w:hAnsi="Garamond" w:cs="Calibri"/>
          <w:sz w:val="20"/>
          <w:szCs w:val="20"/>
          <w:lang w:eastAsia="en-GB"/>
        </w:rPr>
        <w:t xml:space="preserve">. </w:t>
      </w:r>
      <w:r w:rsidR="00A2730F" w:rsidRPr="00D06F2B">
        <w:rPr>
          <w:rFonts w:ascii="Garamond" w:eastAsia="Times New Roman" w:hAnsi="Garamond" w:cs="Calibri"/>
          <w:i/>
          <w:iCs/>
          <w:sz w:val="20"/>
          <w:szCs w:val="20"/>
          <w:lang w:eastAsia="en-GB"/>
        </w:rPr>
        <w:t>Attention</w:t>
      </w:r>
      <w:r w:rsidR="00A2730F" w:rsidRPr="00D06F2B">
        <w:rPr>
          <w:rFonts w:ascii="Garamond" w:eastAsia="Times New Roman" w:hAnsi="Garamond" w:cs="Calibri"/>
          <w:sz w:val="20"/>
          <w:szCs w:val="20"/>
          <w:lang w:eastAsia="en-GB"/>
        </w:rPr>
        <w:t xml:space="preserve"> is the measure of Bloomberg news readership about a firm on the forecast announcement day. </w:t>
      </w:r>
      <w:r w:rsidR="00BC62E7" w:rsidRPr="00D06F2B">
        <w:rPr>
          <w:rFonts w:ascii="Garamond" w:eastAsia="Times New Roman" w:hAnsi="Garamond" w:cs="Calibri"/>
          <w:i/>
          <w:iCs/>
          <w:sz w:val="20"/>
          <w:szCs w:val="20"/>
          <w:lang w:eastAsia="en-GB"/>
        </w:rPr>
        <w:t>ACAR</w:t>
      </w:r>
      <w:r w:rsidR="00BC62E7" w:rsidRPr="00D06F2B">
        <w:rPr>
          <w:rFonts w:ascii="Garamond" w:eastAsia="Times New Roman" w:hAnsi="Garamond" w:cs="Calibri"/>
          <w:sz w:val="20"/>
          <w:szCs w:val="20"/>
          <w:lang w:eastAsia="en-GB"/>
        </w:rPr>
        <w:t xml:space="preserve"> is the absolute cumulative abnormal return estimated using the Carhart (1997) model as the expected return benchmark. </w:t>
      </w:r>
      <w:r w:rsidR="00241E1D" w:rsidRPr="00D06F2B">
        <w:rPr>
          <w:rFonts w:ascii="Garamond" w:hAnsi="Garamond"/>
          <w:sz w:val="20"/>
          <w:szCs w:val="20"/>
          <w:lang w:val="en-US"/>
        </w:rPr>
        <w:t>Δ</w:t>
      </w:r>
      <w:r w:rsidR="00241E1D" w:rsidRPr="00D06F2B">
        <w:rPr>
          <w:rFonts w:ascii="Garamond" w:hAnsi="Garamond"/>
          <w:i/>
          <w:sz w:val="20"/>
          <w:szCs w:val="20"/>
          <w:lang w:val="en-US"/>
        </w:rPr>
        <w:t>EPS</w:t>
      </w:r>
      <w:r w:rsidR="00241E1D" w:rsidRPr="00D06F2B">
        <w:rPr>
          <w:rFonts w:ascii="Garamond" w:hAnsi="Garamond"/>
          <w:sz w:val="20"/>
          <w:szCs w:val="20"/>
          <w:lang w:val="en-US"/>
        </w:rPr>
        <w:t xml:space="preserve"> is the EPS forecast revision, Δ</w:t>
      </w:r>
      <w:r w:rsidR="00241E1D" w:rsidRPr="00D06F2B">
        <w:rPr>
          <w:rFonts w:ascii="Garamond" w:hAnsi="Garamond"/>
          <w:i/>
          <w:sz w:val="20"/>
          <w:szCs w:val="20"/>
          <w:lang w:val="en-US"/>
        </w:rPr>
        <w:t>SAL</w:t>
      </w:r>
      <w:r w:rsidR="00241E1D" w:rsidRPr="00D06F2B">
        <w:rPr>
          <w:rFonts w:ascii="Garamond" w:hAnsi="Garamond"/>
          <w:sz w:val="20"/>
          <w:szCs w:val="20"/>
          <w:lang w:val="en-US"/>
        </w:rPr>
        <w:t xml:space="preserve"> is the revenue forecast revision, Δ</w:t>
      </w:r>
      <w:r w:rsidR="00241E1D" w:rsidRPr="00D06F2B">
        <w:rPr>
          <w:rFonts w:ascii="Garamond" w:hAnsi="Garamond"/>
          <w:i/>
          <w:sz w:val="20"/>
          <w:szCs w:val="20"/>
          <w:lang w:val="en-US"/>
        </w:rPr>
        <w:t>CPS</w:t>
      </w:r>
      <w:r w:rsidR="00241E1D" w:rsidRPr="00D06F2B">
        <w:rPr>
          <w:rFonts w:ascii="Garamond" w:hAnsi="Garamond"/>
          <w:sz w:val="20"/>
          <w:szCs w:val="20"/>
          <w:lang w:val="en-US"/>
        </w:rPr>
        <w:t xml:space="preserve"> the cash flow forecast revision, Δ</w:t>
      </w:r>
      <w:r w:rsidR="00241E1D" w:rsidRPr="00D06F2B">
        <w:rPr>
          <w:rFonts w:ascii="Garamond" w:hAnsi="Garamond"/>
          <w:i/>
          <w:sz w:val="20"/>
          <w:szCs w:val="20"/>
          <w:lang w:val="en-US"/>
        </w:rPr>
        <w:t>DPS</w:t>
      </w:r>
      <w:r w:rsidR="00241E1D" w:rsidRPr="00D06F2B">
        <w:rPr>
          <w:rFonts w:ascii="Garamond" w:hAnsi="Garamond"/>
          <w:sz w:val="20"/>
          <w:szCs w:val="20"/>
          <w:lang w:val="en-US"/>
        </w:rPr>
        <w:t xml:space="preserve"> the dividend forecast revision, Δ</w:t>
      </w:r>
      <w:r w:rsidR="00241E1D" w:rsidRPr="00D06F2B">
        <w:rPr>
          <w:rFonts w:ascii="Garamond" w:hAnsi="Garamond"/>
          <w:i/>
          <w:sz w:val="20"/>
          <w:szCs w:val="20"/>
          <w:lang w:val="en-US"/>
        </w:rPr>
        <w:t>REC</w:t>
      </w:r>
      <w:r w:rsidR="00241E1D" w:rsidRPr="00D06F2B">
        <w:rPr>
          <w:rFonts w:ascii="Garamond" w:hAnsi="Garamond"/>
          <w:sz w:val="20"/>
          <w:szCs w:val="20"/>
          <w:lang w:val="en-US"/>
        </w:rPr>
        <w:t xml:space="preserve"> the stock recommendation revision, and Δ</w:t>
      </w:r>
      <w:r w:rsidR="00241E1D" w:rsidRPr="00D06F2B">
        <w:rPr>
          <w:rFonts w:ascii="Garamond" w:hAnsi="Garamond"/>
          <w:i/>
          <w:sz w:val="20"/>
          <w:szCs w:val="20"/>
          <w:lang w:val="en-US"/>
        </w:rPr>
        <w:t xml:space="preserve">TP </w:t>
      </w:r>
      <w:r w:rsidR="00241E1D" w:rsidRPr="00D06F2B">
        <w:rPr>
          <w:rFonts w:ascii="Garamond" w:hAnsi="Garamond"/>
          <w:sz w:val="20"/>
          <w:szCs w:val="20"/>
          <w:lang w:val="en-US"/>
        </w:rPr>
        <w:t xml:space="preserve">the target price revision. </w:t>
      </w:r>
      <w:r w:rsidR="00BC62E7" w:rsidRPr="00D06F2B">
        <w:rPr>
          <w:rFonts w:ascii="Garamond" w:hAnsi="Garamond"/>
          <w:sz w:val="20"/>
          <w:szCs w:val="20"/>
          <w:lang w:val="en-US"/>
        </w:rPr>
        <w:t xml:space="preserve"> </w:t>
      </w:r>
    </w:p>
    <w:p w14:paraId="65E844ED" w14:textId="77777777" w:rsidR="006D14F8" w:rsidRPr="00D06F2B" w:rsidRDefault="006D14F8" w:rsidP="00F75BBE">
      <w:pPr>
        <w:spacing w:after="0" w:line="480" w:lineRule="auto"/>
        <w:rPr>
          <w:rFonts w:ascii="Garamond" w:hAnsi="Garamond"/>
          <w:sz w:val="24"/>
          <w:szCs w:val="24"/>
          <w:lang w:val="en-US"/>
        </w:rPr>
      </w:pPr>
    </w:p>
    <w:p w14:paraId="02F5707B" w14:textId="16EC3E48" w:rsidR="006B0968" w:rsidRPr="00D06F2B" w:rsidRDefault="006B0968">
      <w:pPr>
        <w:rPr>
          <w:rFonts w:ascii="Garamond" w:hAnsi="Garamond"/>
          <w:sz w:val="24"/>
          <w:szCs w:val="24"/>
          <w:lang w:val="en-US"/>
        </w:rPr>
      </w:pPr>
      <w:r w:rsidRPr="00D06F2B">
        <w:rPr>
          <w:rFonts w:ascii="Garamond" w:hAnsi="Garamond"/>
          <w:sz w:val="24"/>
          <w:szCs w:val="24"/>
          <w:lang w:val="en-US"/>
        </w:rPr>
        <w:br w:type="page"/>
      </w:r>
    </w:p>
    <w:p w14:paraId="3C0E64EB" w14:textId="286B62A3" w:rsidR="003343B8" w:rsidRPr="00D06F2B" w:rsidRDefault="003343B8" w:rsidP="003343B8">
      <w:pPr>
        <w:spacing w:after="0"/>
        <w:rPr>
          <w:rFonts w:ascii="Garamond" w:hAnsi="Garamond"/>
          <w:sz w:val="24"/>
          <w:szCs w:val="24"/>
          <w:lang w:val="en-US"/>
        </w:rPr>
      </w:pPr>
      <w:r w:rsidRPr="00D06F2B">
        <w:rPr>
          <w:rFonts w:ascii="Garamond" w:hAnsi="Garamond"/>
          <w:sz w:val="24"/>
          <w:szCs w:val="24"/>
          <w:lang w:val="en-US"/>
        </w:rPr>
        <w:lastRenderedPageBreak/>
        <w:t xml:space="preserve">TABLE </w:t>
      </w:r>
      <w:r w:rsidR="00502A2F" w:rsidRPr="00D06F2B">
        <w:rPr>
          <w:rFonts w:ascii="Garamond" w:hAnsi="Garamond"/>
          <w:sz w:val="24"/>
          <w:szCs w:val="24"/>
          <w:lang w:val="en-US"/>
        </w:rPr>
        <w:t>3</w:t>
      </w:r>
      <w:r w:rsidRPr="00D06F2B">
        <w:rPr>
          <w:rFonts w:ascii="Garamond" w:hAnsi="Garamond"/>
          <w:sz w:val="24"/>
          <w:szCs w:val="24"/>
          <w:lang w:val="en-US"/>
        </w:rPr>
        <w:t xml:space="preserve"> </w:t>
      </w:r>
    </w:p>
    <w:p w14:paraId="197366AD" w14:textId="77777777" w:rsidR="003343B8" w:rsidRPr="00D06F2B" w:rsidRDefault="003343B8" w:rsidP="003343B8">
      <w:pPr>
        <w:spacing w:after="0"/>
        <w:rPr>
          <w:rFonts w:ascii="Garamond" w:hAnsi="Garamond"/>
          <w:sz w:val="24"/>
          <w:szCs w:val="24"/>
          <w:lang w:val="en-US"/>
        </w:rPr>
      </w:pPr>
      <w:r w:rsidRPr="00D06F2B">
        <w:rPr>
          <w:rFonts w:ascii="Garamond" w:hAnsi="Garamond"/>
          <w:sz w:val="24"/>
          <w:szCs w:val="24"/>
          <w:lang w:val="en-US"/>
        </w:rPr>
        <w:t>Investor attention to analyst forecast revisions</w:t>
      </w:r>
    </w:p>
    <w:tbl>
      <w:tblPr>
        <w:tblW w:w="9304" w:type="dxa"/>
        <w:tblLook w:val="04A0" w:firstRow="1" w:lastRow="0" w:firstColumn="1" w:lastColumn="0" w:noHBand="0" w:noVBand="1"/>
      </w:tblPr>
      <w:tblGrid>
        <w:gridCol w:w="3092"/>
        <w:gridCol w:w="1660"/>
        <w:gridCol w:w="1517"/>
        <w:gridCol w:w="1632"/>
        <w:gridCol w:w="1403"/>
      </w:tblGrid>
      <w:tr w:rsidR="00EC4566" w:rsidRPr="00D06F2B" w14:paraId="45D2C712" w14:textId="77777777" w:rsidTr="00EC4566">
        <w:trPr>
          <w:trHeight w:val="261"/>
        </w:trPr>
        <w:tc>
          <w:tcPr>
            <w:tcW w:w="3092" w:type="dxa"/>
            <w:tcBorders>
              <w:top w:val="single" w:sz="4" w:space="0" w:color="auto"/>
              <w:left w:val="nil"/>
              <w:right w:val="nil"/>
            </w:tcBorders>
            <w:shd w:val="clear" w:color="auto" w:fill="auto"/>
            <w:noWrap/>
          </w:tcPr>
          <w:p w14:paraId="17A40FCD" w14:textId="77777777" w:rsidR="00EC4566" w:rsidRPr="00D06F2B" w:rsidRDefault="00EC4566" w:rsidP="003343B8">
            <w:pPr>
              <w:spacing w:after="0" w:line="240" w:lineRule="auto"/>
              <w:rPr>
                <w:rFonts w:ascii="Garamond" w:eastAsia="Times New Roman" w:hAnsi="Garamond" w:cs="Calibri"/>
                <w:color w:val="000000"/>
                <w:sz w:val="20"/>
                <w:szCs w:val="20"/>
                <w:lang w:eastAsia="en-GB"/>
              </w:rPr>
            </w:pPr>
          </w:p>
        </w:tc>
        <w:tc>
          <w:tcPr>
            <w:tcW w:w="3177" w:type="dxa"/>
            <w:gridSpan w:val="2"/>
            <w:tcBorders>
              <w:top w:val="single" w:sz="4" w:space="0" w:color="auto"/>
              <w:left w:val="nil"/>
              <w:right w:val="nil"/>
            </w:tcBorders>
            <w:shd w:val="clear" w:color="auto" w:fill="auto"/>
            <w:noWrap/>
            <w:vAlign w:val="center"/>
          </w:tcPr>
          <w:p w14:paraId="4C76B98B" w14:textId="6A37C964" w:rsidR="00EC4566" w:rsidRPr="00D06F2B" w:rsidRDefault="00EC4566"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Baseline</w:t>
            </w:r>
          </w:p>
        </w:tc>
        <w:tc>
          <w:tcPr>
            <w:tcW w:w="3035" w:type="dxa"/>
            <w:gridSpan w:val="2"/>
            <w:tcBorders>
              <w:top w:val="single" w:sz="4" w:space="0" w:color="auto"/>
              <w:left w:val="nil"/>
              <w:right w:val="nil"/>
            </w:tcBorders>
            <w:shd w:val="clear" w:color="auto" w:fill="auto"/>
            <w:noWrap/>
            <w:vAlign w:val="center"/>
          </w:tcPr>
          <w:p w14:paraId="2CFECB87" w14:textId="577C96BB" w:rsidR="00EC4566" w:rsidRPr="00D06F2B" w:rsidRDefault="00EC4566"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Firm-fixed effects</w:t>
            </w:r>
          </w:p>
        </w:tc>
      </w:tr>
      <w:tr w:rsidR="003343B8" w:rsidRPr="00D06F2B" w14:paraId="1612DAD5" w14:textId="77777777" w:rsidTr="00EC4566">
        <w:trPr>
          <w:trHeight w:val="261"/>
        </w:trPr>
        <w:tc>
          <w:tcPr>
            <w:tcW w:w="3092" w:type="dxa"/>
            <w:tcBorders>
              <w:left w:val="nil"/>
              <w:bottom w:val="single" w:sz="4" w:space="0" w:color="auto"/>
              <w:right w:val="nil"/>
            </w:tcBorders>
            <w:shd w:val="clear" w:color="auto" w:fill="auto"/>
            <w:noWrap/>
            <w:hideMark/>
          </w:tcPr>
          <w:p w14:paraId="7B70EDF0"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c>
          <w:tcPr>
            <w:tcW w:w="1660" w:type="dxa"/>
            <w:tcBorders>
              <w:left w:val="nil"/>
              <w:bottom w:val="single" w:sz="4" w:space="0" w:color="auto"/>
              <w:right w:val="nil"/>
            </w:tcBorders>
            <w:shd w:val="clear" w:color="auto" w:fill="auto"/>
            <w:noWrap/>
            <w:vAlign w:val="center"/>
            <w:hideMark/>
          </w:tcPr>
          <w:p w14:paraId="36650CCB"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Estimate</w:t>
            </w:r>
          </w:p>
        </w:tc>
        <w:tc>
          <w:tcPr>
            <w:tcW w:w="1517" w:type="dxa"/>
            <w:tcBorders>
              <w:left w:val="nil"/>
              <w:bottom w:val="single" w:sz="4" w:space="0" w:color="auto"/>
              <w:right w:val="nil"/>
            </w:tcBorders>
            <w:shd w:val="clear" w:color="auto" w:fill="auto"/>
            <w:noWrap/>
            <w:vAlign w:val="center"/>
            <w:hideMark/>
          </w:tcPr>
          <w:p w14:paraId="5DA8A448"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p</w:t>
            </w:r>
          </w:p>
        </w:tc>
        <w:tc>
          <w:tcPr>
            <w:tcW w:w="1632" w:type="dxa"/>
            <w:tcBorders>
              <w:left w:val="nil"/>
              <w:bottom w:val="single" w:sz="4" w:space="0" w:color="auto"/>
              <w:right w:val="nil"/>
            </w:tcBorders>
            <w:shd w:val="clear" w:color="auto" w:fill="auto"/>
            <w:noWrap/>
            <w:vAlign w:val="center"/>
            <w:hideMark/>
          </w:tcPr>
          <w:p w14:paraId="29B34483"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Estimate</w:t>
            </w:r>
          </w:p>
        </w:tc>
        <w:tc>
          <w:tcPr>
            <w:tcW w:w="1403" w:type="dxa"/>
            <w:tcBorders>
              <w:left w:val="nil"/>
              <w:bottom w:val="single" w:sz="4" w:space="0" w:color="auto"/>
              <w:right w:val="nil"/>
            </w:tcBorders>
            <w:shd w:val="clear" w:color="auto" w:fill="auto"/>
            <w:noWrap/>
            <w:vAlign w:val="center"/>
            <w:hideMark/>
          </w:tcPr>
          <w:p w14:paraId="5D580DB6"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p</w:t>
            </w:r>
          </w:p>
        </w:tc>
      </w:tr>
      <w:tr w:rsidR="00FC752E" w:rsidRPr="00D06F2B" w14:paraId="1BD2E454" w14:textId="77777777" w:rsidTr="00EC4566">
        <w:trPr>
          <w:trHeight w:val="261"/>
        </w:trPr>
        <w:tc>
          <w:tcPr>
            <w:tcW w:w="3092" w:type="dxa"/>
            <w:tcBorders>
              <w:top w:val="single" w:sz="4" w:space="0" w:color="auto"/>
              <w:left w:val="nil"/>
              <w:bottom w:val="nil"/>
              <w:right w:val="nil"/>
            </w:tcBorders>
            <w:shd w:val="clear" w:color="auto" w:fill="auto"/>
            <w:noWrap/>
            <w:hideMark/>
          </w:tcPr>
          <w:p w14:paraId="263DF4B0"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|∆EPS|*</w:t>
            </w:r>
            <w:proofErr w:type="spellStart"/>
            <w:r w:rsidRPr="00D06F2B">
              <w:rPr>
                <w:rFonts w:ascii="Garamond" w:eastAsia="Times New Roman" w:hAnsi="Garamond" w:cs="Calibri"/>
                <w:color w:val="000000"/>
                <w:sz w:val="20"/>
                <w:szCs w:val="20"/>
                <w:lang w:eastAsia="en-GB"/>
              </w:rPr>
              <w:t>Covid</w:t>
            </w:r>
            <w:proofErr w:type="spellEnd"/>
          </w:p>
        </w:tc>
        <w:tc>
          <w:tcPr>
            <w:tcW w:w="1660" w:type="dxa"/>
            <w:tcBorders>
              <w:top w:val="single" w:sz="4" w:space="0" w:color="auto"/>
              <w:left w:val="nil"/>
              <w:bottom w:val="nil"/>
              <w:right w:val="nil"/>
            </w:tcBorders>
            <w:shd w:val="clear" w:color="auto" w:fill="auto"/>
            <w:vAlign w:val="center"/>
            <w:hideMark/>
          </w:tcPr>
          <w:p w14:paraId="31E0D0D1"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0.082</w:t>
            </w:r>
          </w:p>
        </w:tc>
        <w:tc>
          <w:tcPr>
            <w:tcW w:w="1517" w:type="dxa"/>
            <w:tcBorders>
              <w:top w:val="single" w:sz="4" w:space="0" w:color="auto"/>
              <w:left w:val="nil"/>
              <w:bottom w:val="nil"/>
              <w:right w:val="nil"/>
            </w:tcBorders>
            <w:shd w:val="clear" w:color="auto" w:fill="auto"/>
            <w:vAlign w:val="center"/>
            <w:hideMark/>
          </w:tcPr>
          <w:p w14:paraId="18B7A357"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632" w:type="dxa"/>
            <w:tcBorders>
              <w:top w:val="single" w:sz="4" w:space="0" w:color="auto"/>
              <w:left w:val="nil"/>
              <w:bottom w:val="nil"/>
              <w:right w:val="nil"/>
            </w:tcBorders>
            <w:shd w:val="clear" w:color="auto" w:fill="auto"/>
            <w:noWrap/>
            <w:vAlign w:val="center"/>
            <w:hideMark/>
          </w:tcPr>
          <w:p w14:paraId="58020A09"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-0.002</w:t>
            </w:r>
          </w:p>
        </w:tc>
        <w:tc>
          <w:tcPr>
            <w:tcW w:w="1403" w:type="dxa"/>
            <w:tcBorders>
              <w:top w:val="single" w:sz="4" w:space="0" w:color="auto"/>
              <w:left w:val="nil"/>
              <w:bottom w:val="nil"/>
              <w:right w:val="nil"/>
            </w:tcBorders>
            <w:shd w:val="clear" w:color="auto" w:fill="auto"/>
            <w:vAlign w:val="center"/>
            <w:hideMark/>
          </w:tcPr>
          <w:p w14:paraId="6147D568"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0.251</w:t>
            </w:r>
          </w:p>
        </w:tc>
      </w:tr>
      <w:tr w:rsidR="00FC752E" w:rsidRPr="00D06F2B" w14:paraId="35D70065" w14:textId="77777777" w:rsidTr="00684793">
        <w:trPr>
          <w:trHeight w:val="261"/>
        </w:trPr>
        <w:tc>
          <w:tcPr>
            <w:tcW w:w="3092" w:type="dxa"/>
            <w:tcBorders>
              <w:top w:val="nil"/>
              <w:left w:val="nil"/>
              <w:bottom w:val="nil"/>
              <w:right w:val="nil"/>
            </w:tcBorders>
            <w:shd w:val="clear" w:color="auto" w:fill="auto"/>
            <w:noWrap/>
            <w:hideMark/>
          </w:tcPr>
          <w:p w14:paraId="048E336D"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|∆SAL|*</w:t>
            </w:r>
            <w:proofErr w:type="spellStart"/>
            <w:r w:rsidRPr="00D06F2B">
              <w:rPr>
                <w:rFonts w:ascii="Garamond" w:eastAsia="Times New Roman" w:hAnsi="Garamond" w:cs="Calibri"/>
                <w:color w:val="000000"/>
                <w:sz w:val="20"/>
                <w:szCs w:val="20"/>
                <w:lang w:eastAsia="en-GB"/>
              </w:rPr>
              <w:t>Covid</w:t>
            </w:r>
            <w:proofErr w:type="spellEnd"/>
          </w:p>
        </w:tc>
        <w:tc>
          <w:tcPr>
            <w:tcW w:w="1660" w:type="dxa"/>
            <w:tcBorders>
              <w:top w:val="nil"/>
              <w:left w:val="nil"/>
              <w:bottom w:val="nil"/>
              <w:right w:val="nil"/>
            </w:tcBorders>
            <w:shd w:val="clear" w:color="auto" w:fill="auto"/>
            <w:vAlign w:val="center"/>
            <w:hideMark/>
          </w:tcPr>
          <w:p w14:paraId="5E5785F5"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0.054</w:t>
            </w:r>
          </w:p>
        </w:tc>
        <w:tc>
          <w:tcPr>
            <w:tcW w:w="1517" w:type="dxa"/>
            <w:tcBorders>
              <w:top w:val="nil"/>
              <w:left w:val="nil"/>
              <w:bottom w:val="nil"/>
              <w:right w:val="nil"/>
            </w:tcBorders>
            <w:shd w:val="clear" w:color="auto" w:fill="auto"/>
            <w:vAlign w:val="center"/>
            <w:hideMark/>
          </w:tcPr>
          <w:p w14:paraId="5EBAEC08"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632" w:type="dxa"/>
            <w:tcBorders>
              <w:top w:val="nil"/>
              <w:left w:val="nil"/>
              <w:bottom w:val="nil"/>
              <w:right w:val="nil"/>
            </w:tcBorders>
            <w:shd w:val="clear" w:color="auto" w:fill="auto"/>
            <w:vAlign w:val="center"/>
            <w:hideMark/>
          </w:tcPr>
          <w:p w14:paraId="43FDDB8D"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0.003</w:t>
            </w:r>
          </w:p>
        </w:tc>
        <w:tc>
          <w:tcPr>
            <w:tcW w:w="1403" w:type="dxa"/>
            <w:tcBorders>
              <w:top w:val="nil"/>
              <w:left w:val="nil"/>
              <w:bottom w:val="nil"/>
              <w:right w:val="nil"/>
            </w:tcBorders>
            <w:shd w:val="clear" w:color="auto" w:fill="auto"/>
            <w:vAlign w:val="center"/>
            <w:hideMark/>
          </w:tcPr>
          <w:p w14:paraId="7CDC9898"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0.078</w:t>
            </w:r>
          </w:p>
        </w:tc>
      </w:tr>
      <w:tr w:rsidR="00FC752E" w:rsidRPr="00D06F2B" w14:paraId="20837BCD" w14:textId="77777777" w:rsidTr="00684793">
        <w:trPr>
          <w:trHeight w:val="261"/>
        </w:trPr>
        <w:tc>
          <w:tcPr>
            <w:tcW w:w="3092" w:type="dxa"/>
            <w:tcBorders>
              <w:top w:val="nil"/>
              <w:left w:val="nil"/>
              <w:bottom w:val="nil"/>
              <w:right w:val="nil"/>
            </w:tcBorders>
            <w:shd w:val="clear" w:color="auto" w:fill="auto"/>
            <w:noWrap/>
            <w:hideMark/>
          </w:tcPr>
          <w:p w14:paraId="1437023A"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|∆CPS|*</w:t>
            </w:r>
            <w:proofErr w:type="spellStart"/>
            <w:r w:rsidRPr="00D06F2B">
              <w:rPr>
                <w:rFonts w:ascii="Garamond" w:eastAsia="Times New Roman" w:hAnsi="Garamond" w:cs="Calibri"/>
                <w:color w:val="000000"/>
                <w:sz w:val="20"/>
                <w:szCs w:val="20"/>
                <w:lang w:eastAsia="en-GB"/>
              </w:rPr>
              <w:t>Covid</w:t>
            </w:r>
            <w:proofErr w:type="spellEnd"/>
          </w:p>
        </w:tc>
        <w:tc>
          <w:tcPr>
            <w:tcW w:w="1660" w:type="dxa"/>
            <w:tcBorders>
              <w:top w:val="nil"/>
              <w:left w:val="nil"/>
              <w:bottom w:val="nil"/>
              <w:right w:val="nil"/>
            </w:tcBorders>
            <w:shd w:val="clear" w:color="auto" w:fill="auto"/>
            <w:vAlign w:val="center"/>
            <w:hideMark/>
          </w:tcPr>
          <w:p w14:paraId="1D5D3540"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0.009</w:t>
            </w:r>
          </w:p>
        </w:tc>
        <w:tc>
          <w:tcPr>
            <w:tcW w:w="1517" w:type="dxa"/>
            <w:tcBorders>
              <w:top w:val="nil"/>
              <w:left w:val="nil"/>
              <w:bottom w:val="nil"/>
              <w:right w:val="nil"/>
            </w:tcBorders>
            <w:shd w:val="clear" w:color="auto" w:fill="auto"/>
            <w:vAlign w:val="center"/>
            <w:hideMark/>
          </w:tcPr>
          <w:p w14:paraId="1BD0AB59"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632" w:type="dxa"/>
            <w:tcBorders>
              <w:top w:val="nil"/>
              <w:left w:val="nil"/>
              <w:bottom w:val="nil"/>
              <w:right w:val="nil"/>
            </w:tcBorders>
            <w:shd w:val="clear" w:color="auto" w:fill="auto"/>
            <w:vAlign w:val="center"/>
            <w:hideMark/>
          </w:tcPr>
          <w:p w14:paraId="2F4A39AB"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0.002</w:t>
            </w:r>
          </w:p>
        </w:tc>
        <w:tc>
          <w:tcPr>
            <w:tcW w:w="1403" w:type="dxa"/>
            <w:tcBorders>
              <w:top w:val="nil"/>
              <w:left w:val="nil"/>
              <w:bottom w:val="nil"/>
              <w:right w:val="nil"/>
            </w:tcBorders>
            <w:shd w:val="clear" w:color="auto" w:fill="auto"/>
            <w:vAlign w:val="center"/>
            <w:hideMark/>
          </w:tcPr>
          <w:p w14:paraId="4D9321C6"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0.035</w:t>
            </w:r>
          </w:p>
        </w:tc>
      </w:tr>
      <w:tr w:rsidR="00FC752E" w:rsidRPr="00D06F2B" w14:paraId="68BA0F1E" w14:textId="77777777" w:rsidTr="00684793">
        <w:trPr>
          <w:trHeight w:val="261"/>
        </w:trPr>
        <w:tc>
          <w:tcPr>
            <w:tcW w:w="3092" w:type="dxa"/>
            <w:tcBorders>
              <w:top w:val="nil"/>
              <w:left w:val="nil"/>
              <w:bottom w:val="nil"/>
              <w:right w:val="nil"/>
            </w:tcBorders>
            <w:shd w:val="clear" w:color="auto" w:fill="auto"/>
            <w:noWrap/>
            <w:hideMark/>
          </w:tcPr>
          <w:p w14:paraId="6F313D43"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|∆DPS|*</w:t>
            </w:r>
            <w:proofErr w:type="spellStart"/>
            <w:r w:rsidRPr="00D06F2B">
              <w:rPr>
                <w:rFonts w:ascii="Garamond" w:eastAsia="Times New Roman" w:hAnsi="Garamond" w:cs="Calibri"/>
                <w:color w:val="000000"/>
                <w:sz w:val="20"/>
                <w:szCs w:val="20"/>
                <w:lang w:eastAsia="en-GB"/>
              </w:rPr>
              <w:t>Covid</w:t>
            </w:r>
            <w:proofErr w:type="spellEnd"/>
          </w:p>
        </w:tc>
        <w:tc>
          <w:tcPr>
            <w:tcW w:w="1660" w:type="dxa"/>
            <w:tcBorders>
              <w:top w:val="nil"/>
              <w:left w:val="nil"/>
              <w:bottom w:val="nil"/>
              <w:right w:val="nil"/>
            </w:tcBorders>
            <w:shd w:val="clear" w:color="auto" w:fill="auto"/>
            <w:vAlign w:val="center"/>
            <w:hideMark/>
          </w:tcPr>
          <w:p w14:paraId="4F0832B8"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0.003</w:t>
            </w:r>
          </w:p>
        </w:tc>
        <w:tc>
          <w:tcPr>
            <w:tcW w:w="1517" w:type="dxa"/>
            <w:tcBorders>
              <w:top w:val="nil"/>
              <w:left w:val="nil"/>
              <w:bottom w:val="nil"/>
              <w:right w:val="nil"/>
            </w:tcBorders>
            <w:shd w:val="clear" w:color="auto" w:fill="auto"/>
            <w:vAlign w:val="center"/>
            <w:hideMark/>
          </w:tcPr>
          <w:p w14:paraId="088E8E98"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0.018</w:t>
            </w:r>
          </w:p>
        </w:tc>
        <w:tc>
          <w:tcPr>
            <w:tcW w:w="1632" w:type="dxa"/>
            <w:tcBorders>
              <w:top w:val="nil"/>
              <w:left w:val="nil"/>
              <w:bottom w:val="nil"/>
              <w:right w:val="nil"/>
            </w:tcBorders>
            <w:shd w:val="clear" w:color="auto" w:fill="auto"/>
            <w:vAlign w:val="center"/>
            <w:hideMark/>
          </w:tcPr>
          <w:p w14:paraId="60011736"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403" w:type="dxa"/>
            <w:tcBorders>
              <w:top w:val="nil"/>
              <w:left w:val="nil"/>
              <w:bottom w:val="nil"/>
              <w:right w:val="nil"/>
            </w:tcBorders>
            <w:shd w:val="clear" w:color="auto" w:fill="auto"/>
            <w:vAlign w:val="center"/>
            <w:hideMark/>
          </w:tcPr>
          <w:p w14:paraId="24E46316"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0.736</w:t>
            </w:r>
          </w:p>
        </w:tc>
      </w:tr>
      <w:tr w:rsidR="00FC752E" w:rsidRPr="00D06F2B" w14:paraId="58408CC8" w14:textId="77777777" w:rsidTr="00684793">
        <w:trPr>
          <w:trHeight w:val="261"/>
        </w:trPr>
        <w:tc>
          <w:tcPr>
            <w:tcW w:w="3092" w:type="dxa"/>
            <w:tcBorders>
              <w:top w:val="nil"/>
              <w:left w:val="nil"/>
              <w:bottom w:val="nil"/>
              <w:right w:val="nil"/>
            </w:tcBorders>
            <w:shd w:val="clear" w:color="auto" w:fill="auto"/>
            <w:noWrap/>
            <w:hideMark/>
          </w:tcPr>
          <w:p w14:paraId="44E2E0B8"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|∆REC|*</w:t>
            </w:r>
            <w:proofErr w:type="spellStart"/>
            <w:r w:rsidRPr="00D06F2B">
              <w:rPr>
                <w:rFonts w:ascii="Garamond" w:eastAsia="Times New Roman" w:hAnsi="Garamond" w:cs="Calibri"/>
                <w:color w:val="000000"/>
                <w:sz w:val="20"/>
                <w:szCs w:val="20"/>
                <w:lang w:eastAsia="en-GB"/>
              </w:rPr>
              <w:t>Covid</w:t>
            </w:r>
            <w:proofErr w:type="spellEnd"/>
          </w:p>
        </w:tc>
        <w:tc>
          <w:tcPr>
            <w:tcW w:w="1660" w:type="dxa"/>
            <w:tcBorders>
              <w:top w:val="nil"/>
              <w:left w:val="nil"/>
              <w:bottom w:val="nil"/>
              <w:right w:val="nil"/>
            </w:tcBorders>
            <w:shd w:val="clear" w:color="auto" w:fill="auto"/>
            <w:vAlign w:val="center"/>
            <w:hideMark/>
          </w:tcPr>
          <w:p w14:paraId="4ED3BF1F"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0.007</w:t>
            </w:r>
          </w:p>
        </w:tc>
        <w:tc>
          <w:tcPr>
            <w:tcW w:w="1517" w:type="dxa"/>
            <w:tcBorders>
              <w:top w:val="nil"/>
              <w:left w:val="nil"/>
              <w:bottom w:val="nil"/>
              <w:right w:val="nil"/>
            </w:tcBorders>
            <w:shd w:val="clear" w:color="auto" w:fill="auto"/>
            <w:vAlign w:val="center"/>
            <w:hideMark/>
          </w:tcPr>
          <w:p w14:paraId="2C57DEA8"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632" w:type="dxa"/>
            <w:tcBorders>
              <w:top w:val="nil"/>
              <w:left w:val="nil"/>
              <w:bottom w:val="nil"/>
              <w:right w:val="nil"/>
            </w:tcBorders>
            <w:shd w:val="clear" w:color="auto" w:fill="auto"/>
            <w:vAlign w:val="center"/>
            <w:hideMark/>
          </w:tcPr>
          <w:p w14:paraId="42059711"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403" w:type="dxa"/>
            <w:tcBorders>
              <w:top w:val="nil"/>
              <w:left w:val="nil"/>
              <w:bottom w:val="nil"/>
              <w:right w:val="nil"/>
            </w:tcBorders>
            <w:shd w:val="clear" w:color="auto" w:fill="auto"/>
            <w:vAlign w:val="center"/>
            <w:hideMark/>
          </w:tcPr>
          <w:p w14:paraId="6B813E51"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0.252</w:t>
            </w:r>
          </w:p>
        </w:tc>
      </w:tr>
      <w:tr w:rsidR="00FC752E" w:rsidRPr="00D06F2B" w14:paraId="3732F351" w14:textId="77777777" w:rsidTr="00684793">
        <w:trPr>
          <w:trHeight w:val="261"/>
        </w:trPr>
        <w:tc>
          <w:tcPr>
            <w:tcW w:w="3092" w:type="dxa"/>
            <w:tcBorders>
              <w:top w:val="nil"/>
              <w:left w:val="nil"/>
              <w:bottom w:val="nil"/>
              <w:right w:val="nil"/>
            </w:tcBorders>
            <w:shd w:val="clear" w:color="auto" w:fill="auto"/>
            <w:noWrap/>
            <w:hideMark/>
          </w:tcPr>
          <w:p w14:paraId="3F65A91A"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|∆TP|*</w:t>
            </w:r>
            <w:proofErr w:type="spellStart"/>
            <w:r w:rsidRPr="00D06F2B">
              <w:rPr>
                <w:rFonts w:ascii="Garamond" w:eastAsia="Times New Roman" w:hAnsi="Garamond" w:cs="Calibri"/>
                <w:color w:val="000000"/>
                <w:sz w:val="20"/>
                <w:szCs w:val="20"/>
                <w:lang w:eastAsia="en-GB"/>
              </w:rPr>
              <w:t>Covid</w:t>
            </w:r>
            <w:proofErr w:type="spellEnd"/>
          </w:p>
        </w:tc>
        <w:tc>
          <w:tcPr>
            <w:tcW w:w="1660" w:type="dxa"/>
            <w:tcBorders>
              <w:top w:val="nil"/>
              <w:left w:val="nil"/>
              <w:bottom w:val="nil"/>
              <w:right w:val="nil"/>
            </w:tcBorders>
            <w:shd w:val="clear" w:color="auto" w:fill="auto"/>
            <w:vAlign w:val="center"/>
            <w:hideMark/>
          </w:tcPr>
          <w:p w14:paraId="3A15191F"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0.084</w:t>
            </w:r>
          </w:p>
        </w:tc>
        <w:tc>
          <w:tcPr>
            <w:tcW w:w="1517" w:type="dxa"/>
            <w:tcBorders>
              <w:top w:val="nil"/>
              <w:left w:val="nil"/>
              <w:bottom w:val="nil"/>
              <w:right w:val="nil"/>
            </w:tcBorders>
            <w:shd w:val="clear" w:color="auto" w:fill="auto"/>
            <w:vAlign w:val="center"/>
            <w:hideMark/>
          </w:tcPr>
          <w:p w14:paraId="56718976"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632" w:type="dxa"/>
            <w:tcBorders>
              <w:top w:val="nil"/>
              <w:left w:val="nil"/>
              <w:bottom w:val="nil"/>
              <w:right w:val="nil"/>
            </w:tcBorders>
            <w:shd w:val="clear" w:color="auto" w:fill="auto"/>
            <w:noWrap/>
            <w:vAlign w:val="center"/>
            <w:hideMark/>
          </w:tcPr>
          <w:p w14:paraId="5CB34D7B"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-0.008</w:t>
            </w:r>
          </w:p>
        </w:tc>
        <w:tc>
          <w:tcPr>
            <w:tcW w:w="1403" w:type="dxa"/>
            <w:tcBorders>
              <w:top w:val="nil"/>
              <w:left w:val="nil"/>
              <w:bottom w:val="nil"/>
              <w:right w:val="nil"/>
            </w:tcBorders>
            <w:shd w:val="clear" w:color="auto" w:fill="auto"/>
            <w:vAlign w:val="center"/>
            <w:hideMark/>
          </w:tcPr>
          <w:p w14:paraId="65B04AD0"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3343B8" w:rsidRPr="00D06F2B" w14:paraId="2492E8B4" w14:textId="77777777" w:rsidTr="003343B8">
        <w:trPr>
          <w:trHeight w:val="261"/>
        </w:trPr>
        <w:tc>
          <w:tcPr>
            <w:tcW w:w="3092" w:type="dxa"/>
            <w:tcBorders>
              <w:top w:val="nil"/>
              <w:left w:val="nil"/>
              <w:bottom w:val="nil"/>
              <w:right w:val="nil"/>
            </w:tcBorders>
            <w:shd w:val="clear" w:color="auto" w:fill="auto"/>
            <w:noWrap/>
            <w:hideMark/>
          </w:tcPr>
          <w:p w14:paraId="6C61DD71"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|∆EPS|</w:t>
            </w:r>
          </w:p>
        </w:tc>
        <w:tc>
          <w:tcPr>
            <w:tcW w:w="1660" w:type="dxa"/>
            <w:tcBorders>
              <w:top w:val="nil"/>
              <w:left w:val="nil"/>
              <w:bottom w:val="nil"/>
              <w:right w:val="nil"/>
            </w:tcBorders>
            <w:shd w:val="clear" w:color="auto" w:fill="auto"/>
            <w:noWrap/>
            <w:vAlign w:val="center"/>
            <w:hideMark/>
          </w:tcPr>
          <w:p w14:paraId="01791D82"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-0.047</w:t>
            </w:r>
          </w:p>
        </w:tc>
        <w:tc>
          <w:tcPr>
            <w:tcW w:w="1517" w:type="dxa"/>
            <w:tcBorders>
              <w:top w:val="nil"/>
              <w:left w:val="nil"/>
              <w:bottom w:val="nil"/>
              <w:right w:val="nil"/>
            </w:tcBorders>
            <w:shd w:val="clear" w:color="auto" w:fill="auto"/>
            <w:vAlign w:val="center"/>
            <w:hideMark/>
          </w:tcPr>
          <w:p w14:paraId="1E6DB59B"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632" w:type="dxa"/>
            <w:tcBorders>
              <w:top w:val="nil"/>
              <w:left w:val="nil"/>
              <w:bottom w:val="nil"/>
              <w:right w:val="nil"/>
            </w:tcBorders>
            <w:shd w:val="clear" w:color="auto" w:fill="auto"/>
            <w:noWrap/>
            <w:vAlign w:val="center"/>
            <w:hideMark/>
          </w:tcPr>
          <w:p w14:paraId="71DCC9AF"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-0.002</w:t>
            </w:r>
          </w:p>
        </w:tc>
        <w:tc>
          <w:tcPr>
            <w:tcW w:w="1403" w:type="dxa"/>
            <w:tcBorders>
              <w:top w:val="nil"/>
              <w:left w:val="nil"/>
              <w:bottom w:val="nil"/>
              <w:right w:val="nil"/>
            </w:tcBorders>
            <w:shd w:val="clear" w:color="auto" w:fill="auto"/>
            <w:vAlign w:val="center"/>
            <w:hideMark/>
          </w:tcPr>
          <w:p w14:paraId="3E3223C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0.281</w:t>
            </w:r>
          </w:p>
        </w:tc>
      </w:tr>
      <w:tr w:rsidR="003343B8" w:rsidRPr="00D06F2B" w14:paraId="7CFDBA0D" w14:textId="77777777" w:rsidTr="003343B8">
        <w:trPr>
          <w:trHeight w:val="261"/>
        </w:trPr>
        <w:tc>
          <w:tcPr>
            <w:tcW w:w="3092" w:type="dxa"/>
            <w:tcBorders>
              <w:top w:val="nil"/>
              <w:left w:val="nil"/>
              <w:bottom w:val="nil"/>
              <w:right w:val="nil"/>
            </w:tcBorders>
            <w:shd w:val="clear" w:color="auto" w:fill="auto"/>
            <w:noWrap/>
            <w:hideMark/>
          </w:tcPr>
          <w:p w14:paraId="32F5F458"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|∆SAL|</w:t>
            </w:r>
          </w:p>
        </w:tc>
        <w:tc>
          <w:tcPr>
            <w:tcW w:w="1660" w:type="dxa"/>
            <w:tcBorders>
              <w:top w:val="nil"/>
              <w:left w:val="nil"/>
              <w:bottom w:val="nil"/>
              <w:right w:val="nil"/>
            </w:tcBorders>
            <w:shd w:val="clear" w:color="auto" w:fill="auto"/>
            <w:noWrap/>
            <w:vAlign w:val="center"/>
            <w:hideMark/>
          </w:tcPr>
          <w:p w14:paraId="20AB9B3A"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-0.047</w:t>
            </w:r>
          </w:p>
        </w:tc>
        <w:tc>
          <w:tcPr>
            <w:tcW w:w="1517" w:type="dxa"/>
            <w:tcBorders>
              <w:top w:val="nil"/>
              <w:left w:val="nil"/>
              <w:bottom w:val="nil"/>
              <w:right w:val="nil"/>
            </w:tcBorders>
            <w:shd w:val="clear" w:color="auto" w:fill="auto"/>
            <w:vAlign w:val="center"/>
            <w:hideMark/>
          </w:tcPr>
          <w:p w14:paraId="726ECFF1"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632" w:type="dxa"/>
            <w:tcBorders>
              <w:top w:val="nil"/>
              <w:left w:val="nil"/>
              <w:bottom w:val="nil"/>
              <w:right w:val="nil"/>
            </w:tcBorders>
            <w:shd w:val="clear" w:color="auto" w:fill="auto"/>
            <w:noWrap/>
            <w:vAlign w:val="center"/>
            <w:hideMark/>
          </w:tcPr>
          <w:p w14:paraId="202C4285"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-0.010</w:t>
            </w:r>
          </w:p>
        </w:tc>
        <w:tc>
          <w:tcPr>
            <w:tcW w:w="1403" w:type="dxa"/>
            <w:tcBorders>
              <w:top w:val="nil"/>
              <w:left w:val="nil"/>
              <w:bottom w:val="nil"/>
              <w:right w:val="nil"/>
            </w:tcBorders>
            <w:shd w:val="clear" w:color="auto" w:fill="auto"/>
            <w:vAlign w:val="center"/>
            <w:hideMark/>
          </w:tcPr>
          <w:p w14:paraId="5D00A66E"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3343B8" w:rsidRPr="00D06F2B" w14:paraId="3CE35C82" w14:textId="77777777" w:rsidTr="003343B8">
        <w:trPr>
          <w:trHeight w:val="261"/>
        </w:trPr>
        <w:tc>
          <w:tcPr>
            <w:tcW w:w="3092" w:type="dxa"/>
            <w:tcBorders>
              <w:top w:val="nil"/>
              <w:left w:val="nil"/>
              <w:bottom w:val="nil"/>
              <w:right w:val="nil"/>
            </w:tcBorders>
            <w:shd w:val="clear" w:color="auto" w:fill="auto"/>
            <w:noWrap/>
            <w:hideMark/>
          </w:tcPr>
          <w:p w14:paraId="2CD77ABC"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|∆CPS|</w:t>
            </w:r>
          </w:p>
        </w:tc>
        <w:tc>
          <w:tcPr>
            <w:tcW w:w="1660" w:type="dxa"/>
            <w:tcBorders>
              <w:top w:val="nil"/>
              <w:left w:val="nil"/>
              <w:bottom w:val="nil"/>
              <w:right w:val="nil"/>
            </w:tcBorders>
            <w:shd w:val="clear" w:color="auto" w:fill="auto"/>
            <w:noWrap/>
            <w:vAlign w:val="center"/>
            <w:hideMark/>
          </w:tcPr>
          <w:p w14:paraId="618C5B6E"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-0.002</w:t>
            </w:r>
          </w:p>
        </w:tc>
        <w:tc>
          <w:tcPr>
            <w:tcW w:w="1517" w:type="dxa"/>
            <w:tcBorders>
              <w:top w:val="nil"/>
              <w:left w:val="nil"/>
              <w:bottom w:val="nil"/>
              <w:right w:val="nil"/>
            </w:tcBorders>
            <w:shd w:val="clear" w:color="auto" w:fill="auto"/>
            <w:vAlign w:val="center"/>
            <w:hideMark/>
          </w:tcPr>
          <w:p w14:paraId="609C82B2"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0.135</w:t>
            </w:r>
          </w:p>
        </w:tc>
        <w:tc>
          <w:tcPr>
            <w:tcW w:w="1632" w:type="dxa"/>
            <w:tcBorders>
              <w:top w:val="nil"/>
              <w:left w:val="nil"/>
              <w:bottom w:val="nil"/>
              <w:right w:val="nil"/>
            </w:tcBorders>
            <w:shd w:val="clear" w:color="auto" w:fill="auto"/>
            <w:vAlign w:val="center"/>
            <w:hideMark/>
          </w:tcPr>
          <w:p w14:paraId="6F4ECA8A"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0.007</w:t>
            </w:r>
          </w:p>
        </w:tc>
        <w:tc>
          <w:tcPr>
            <w:tcW w:w="1403" w:type="dxa"/>
            <w:tcBorders>
              <w:top w:val="nil"/>
              <w:left w:val="nil"/>
              <w:bottom w:val="nil"/>
              <w:right w:val="nil"/>
            </w:tcBorders>
            <w:shd w:val="clear" w:color="auto" w:fill="auto"/>
            <w:vAlign w:val="center"/>
            <w:hideMark/>
          </w:tcPr>
          <w:p w14:paraId="3CBD1535"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3343B8" w:rsidRPr="00D06F2B" w14:paraId="30C446AB" w14:textId="77777777" w:rsidTr="003343B8">
        <w:trPr>
          <w:trHeight w:val="261"/>
        </w:trPr>
        <w:tc>
          <w:tcPr>
            <w:tcW w:w="3092" w:type="dxa"/>
            <w:tcBorders>
              <w:top w:val="nil"/>
              <w:left w:val="nil"/>
              <w:bottom w:val="nil"/>
              <w:right w:val="nil"/>
            </w:tcBorders>
            <w:shd w:val="clear" w:color="auto" w:fill="auto"/>
            <w:noWrap/>
            <w:hideMark/>
          </w:tcPr>
          <w:p w14:paraId="7960C14A"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|∆DPS|</w:t>
            </w:r>
          </w:p>
        </w:tc>
        <w:tc>
          <w:tcPr>
            <w:tcW w:w="1660" w:type="dxa"/>
            <w:tcBorders>
              <w:top w:val="nil"/>
              <w:left w:val="nil"/>
              <w:bottom w:val="nil"/>
              <w:right w:val="nil"/>
            </w:tcBorders>
            <w:shd w:val="clear" w:color="auto" w:fill="auto"/>
            <w:noWrap/>
            <w:vAlign w:val="center"/>
            <w:hideMark/>
          </w:tcPr>
          <w:p w14:paraId="0FE41A77"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517" w:type="dxa"/>
            <w:tcBorders>
              <w:top w:val="nil"/>
              <w:left w:val="nil"/>
              <w:bottom w:val="nil"/>
              <w:right w:val="nil"/>
            </w:tcBorders>
            <w:shd w:val="clear" w:color="auto" w:fill="auto"/>
            <w:vAlign w:val="center"/>
            <w:hideMark/>
          </w:tcPr>
          <w:p w14:paraId="3CD7EDF8"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0.415</w:t>
            </w:r>
          </w:p>
        </w:tc>
        <w:tc>
          <w:tcPr>
            <w:tcW w:w="1632" w:type="dxa"/>
            <w:tcBorders>
              <w:top w:val="nil"/>
              <w:left w:val="nil"/>
              <w:bottom w:val="nil"/>
              <w:right w:val="nil"/>
            </w:tcBorders>
            <w:shd w:val="clear" w:color="auto" w:fill="auto"/>
            <w:vAlign w:val="center"/>
            <w:hideMark/>
          </w:tcPr>
          <w:p w14:paraId="42D11969"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403" w:type="dxa"/>
            <w:tcBorders>
              <w:top w:val="nil"/>
              <w:left w:val="nil"/>
              <w:bottom w:val="nil"/>
              <w:right w:val="nil"/>
            </w:tcBorders>
            <w:shd w:val="clear" w:color="auto" w:fill="auto"/>
            <w:vAlign w:val="center"/>
            <w:hideMark/>
          </w:tcPr>
          <w:p w14:paraId="6AC8B492"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0.251</w:t>
            </w:r>
          </w:p>
        </w:tc>
      </w:tr>
      <w:tr w:rsidR="003343B8" w:rsidRPr="00D06F2B" w14:paraId="02659475" w14:textId="77777777" w:rsidTr="003343B8">
        <w:trPr>
          <w:trHeight w:val="261"/>
        </w:trPr>
        <w:tc>
          <w:tcPr>
            <w:tcW w:w="3092" w:type="dxa"/>
            <w:tcBorders>
              <w:top w:val="nil"/>
              <w:left w:val="nil"/>
              <w:bottom w:val="nil"/>
              <w:right w:val="nil"/>
            </w:tcBorders>
            <w:shd w:val="clear" w:color="auto" w:fill="auto"/>
            <w:noWrap/>
            <w:hideMark/>
          </w:tcPr>
          <w:p w14:paraId="74D7CAE3"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|∆REC|</w:t>
            </w:r>
          </w:p>
        </w:tc>
        <w:tc>
          <w:tcPr>
            <w:tcW w:w="1660" w:type="dxa"/>
            <w:tcBorders>
              <w:top w:val="nil"/>
              <w:left w:val="nil"/>
              <w:bottom w:val="nil"/>
              <w:right w:val="nil"/>
            </w:tcBorders>
            <w:shd w:val="clear" w:color="auto" w:fill="auto"/>
            <w:noWrap/>
            <w:vAlign w:val="center"/>
            <w:hideMark/>
          </w:tcPr>
          <w:p w14:paraId="158F4C38"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-0.005</w:t>
            </w:r>
          </w:p>
        </w:tc>
        <w:tc>
          <w:tcPr>
            <w:tcW w:w="1517" w:type="dxa"/>
            <w:tcBorders>
              <w:top w:val="nil"/>
              <w:left w:val="nil"/>
              <w:bottom w:val="nil"/>
              <w:right w:val="nil"/>
            </w:tcBorders>
            <w:shd w:val="clear" w:color="auto" w:fill="auto"/>
            <w:vAlign w:val="center"/>
            <w:hideMark/>
          </w:tcPr>
          <w:p w14:paraId="356BCD99"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632" w:type="dxa"/>
            <w:tcBorders>
              <w:top w:val="nil"/>
              <w:left w:val="nil"/>
              <w:bottom w:val="nil"/>
              <w:right w:val="nil"/>
            </w:tcBorders>
            <w:shd w:val="clear" w:color="auto" w:fill="auto"/>
            <w:vAlign w:val="center"/>
            <w:hideMark/>
          </w:tcPr>
          <w:p w14:paraId="03BB247A"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403" w:type="dxa"/>
            <w:tcBorders>
              <w:top w:val="nil"/>
              <w:left w:val="nil"/>
              <w:bottom w:val="nil"/>
              <w:right w:val="nil"/>
            </w:tcBorders>
            <w:shd w:val="clear" w:color="auto" w:fill="auto"/>
            <w:vAlign w:val="center"/>
            <w:hideMark/>
          </w:tcPr>
          <w:p w14:paraId="3D731125"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0.578</w:t>
            </w:r>
          </w:p>
        </w:tc>
      </w:tr>
      <w:tr w:rsidR="003343B8" w:rsidRPr="00D06F2B" w14:paraId="33DEC402" w14:textId="77777777" w:rsidTr="003343B8">
        <w:trPr>
          <w:trHeight w:val="261"/>
        </w:trPr>
        <w:tc>
          <w:tcPr>
            <w:tcW w:w="3092" w:type="dxa"/>
            <w:tcBorders>
              <w:top w:val="nil"/>
              <w:left w:val="nil"/>
              <w:bottom w:val="nil"/>
              <w:right w:val="nil"/>
            </w:tcBorders>
            <w:shd w:val="clear" w:color="auto" w:fill="auto"/>
            <w:noWrap/>
            <w:hideMark/>
          </w:tcPr>
          <w:p w14:paraId="0DFD0215"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|∆TP|</w:t>
            </w:r>
          </w:p>
        </w:tc>
        <w:tc>
          <w:tcPr>
            <w:tcW w:w="1660" w:type="dxa"/>
            <w:tcBorders>
              <w:top w:val="nil"/>
              <w:left w:val="nil"/>
              <w:bottom w:val="nil"/>
              <w:right w:val="nil"/>
            </w:tcBorders>
            <w:shd w:val="clear" w:color="auto" w:fill="auto"/>
            <w:noWrap/>
            <w:vAlign w:val="center"/>
            <w:hideMark/>
          </w:tcPr>
          <w:p w14:paraId="3E458E3D"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-0.051</w:t>
            </w:r>
          </w:p>
        </w:tc>
        <w:tc>
          <w:tcPr>
            <w:tcW w:w="1517" w:type="dxa"/>
            <w:tcBorders>
              <w:top w:val="nil"/>
              <w:left w:val="nil"/>
              <w:bottom w:val="nil"/>
              <w:right w:val="nil"/>
            </w:tcBorders>
            <w:shd w:val="clear" w:color="auto" w:fill="auto"/>
            <w:vAlign w:val="center"/>
            <w:hideMark/>
          </w:tcPr>
          <w:p w14:paraId="0D6E83E5"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632" w:type="dxa"/>
            <w:tcBorders>
              <w:top w:val="nil"/>
              <w:left w:val="nil"/>
              <w:bottom w:val="nil"/>
              <w:right w:val="nil"/>
            </w:tcBorders>
            <w:shd w:val="clear" w:color="auto" w:fill="auto"/>
            <w:vAlign w:val="center"/>
            <w:hideMark/>
          </w:tcPr>
          <w:p w14:paraId="63C6917A"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0.008</w:t>
            </w:r>
          </w:p>
        </w:tc>
        <w:tc>
          <w:tcPr>
            <w:tcW w:w="1403" w:type="dxa"/>
            <w:tcBorders>
              <w:top w:val="nil"/>
              <w:left w:val="nil"/>
              <w:bottom w:val="nil"/>
              <w:right w:val="nil"/>
            </w:tcBorders>
            <w:shd w:val="clear" w:color="auto" w:fill="auto"/>
            <w:vAlign w:val="center"/>
            <w:hideMark/>
          </w:tcPr>
          <w:p w14:paraId="53C7D261"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3343B8" w:rsidRPr="00D06F2B" w14:paraId="75A27E9B" w14:textId="77777777" w:rsidTr="003343B8">
        <w:trPr>
          <w:trHeight w:val="261"/>
        </w:trPr>
        <w:tc>
          <w:tcPr>
            <w:tcW w:w="3092" w:type="dxa"/>
            <w:tcBorders>
              <w:top w:val="nil"/>
              <w:left w:val="nil"/>
              <w:bottom w:val="nil"/>
              <w:right w:val="nil"/>
            </w:tcBorders>
            <w:shd w:val="clear" w:color="auto" w:fill="auto"/>
            <w:noWrap/>
            <w:vAlign w:val="bottom"/>
            <w:hideMark/>
          </w:tcPr>
          <w:p w14:paraId="69C24FBA"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Missing news dummy</w:t>
            </w:r>
          </w:p>
        </w:tc>
        <w:tc>
          <w:tcPr>
            <w:tcW w:w="1660" w:type="dxa"/>
            <w:tcBorders>
              <w:top w:val="nil"/>
              <w:left w:val="nil"/>
              <w:bottom w:val="nil"/>
              <w:right w:val="nil"/>
            </w:tcBorders>
            <w:shd w:val="clear" w:color="auto" w:fill="auto"/>
            <w:noWrap/>
            <w:vAlign w:val="center"/>
            <w:hideMark/>
          </w:tcPr>
          <w:p w14:paraId="5E798163"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-1.470</w:t>
            </w:r>
          </w:p>
        </w:tc>
        <w:tc>
          <w:tcPr>
            <w:tcW w:w="1517" w:type="dxa"/>
            <w:tcBorders>
              <w:top w:val="nil"/>
              <w:left w:val="nil"/>
              <w:bottom w:val="nil"/>
              <w:right w:val="nil"/>
            </w:tcBorders>
            <w:shd w:val="clear" w:color="auto" w:fill="auto"/>
            <w:vAlign w:val="center"/>
            <w:hideMark/>
          </w:tcPr>
          <w:p w14:paraId="7665A59A"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632" w:type="dxa"/>
            <w:tcBorders>
              <w:top w:val="nil"/>
              <w:left w:val="nil"/>
              <w:bottom w:val="nil"/>
              <w:right w:val="nil"/>
            </w:tcBorders>
            <w:shd w:val="clear" w:color="auto" w:fill="auto"/>
            <w:noWrap/>
            <w:vAlign w:val="center"/>
            <w:hideMark/>
          </w:tcPr>
          <w:p w14:paraId="348F01B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-1.457</w:t>
            </w:r>
          </w:p>
        </w:tc>
        <w:tc>
          <w:tcPr>
            <w:tcW w:w="1403" w:type="dxa"/>
            <w:tcBorders>
              <w:top w:val="nil"/>
              <w:left w:val="nil"/>
              <w:bottom w:val="nil"/>
              <w:right w:val="nil"/>
            </w:tcBorders>
            <w:shd w:val="clear" w:color="auto" w:fill="auto"/>
            <w:noWrap/>
            <w:vAlign w:val="center"/>
            <w:hideMark/>
          </w:tcPr>
          <w:p w14:paraId="6D411A7F"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3343B8" w:rsidRPr="00D06F2B" w14:paraId="00D69B1F" w14:textId="77777777" w:rsidTr="003343B8">
        <w:trPr>
          <w:trHeight w:val="261"/>
        </w:trPr>
        <w:tc>
          <w:tcPr>
            <w:tcW w:w="3092" w:type="dxa"/>
            <w:tcBorders>
              <w:top w:val="nil"/>
              <w:left w:val="nil"/>
              <w:bottom w:val="nil"/>
              <w:right w:val="nil"/>
            </w:tcBorders>
            <w:shd w:val="clear" w:color="auto" w:fill="auto"/>
            <w:noWrap/>
            <w:hideMark/>
          </w:tcPr>
          <w:p w14:paraId="75E005E7"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Year effects</w:t>
            </w:r>
          </w:p>
        </w:tc>
        <w:tc>
          <w:tcPr>
            <w:tcW w:w="1660" w:type="dxa"/>
            <w:tcBorders>
              <w:top w:val="nil"/>
              <w:left w:val="nil"/>
              <w:bottom w:val="nil"/>
              <w:right w:val="nil"/>
            </w:tcBorders>
            <w:shd w:val="clear" w:color="auto" w:fill="auto"/>
            <w:noWrap/>
            <w:vAlign w:val="center"/>
            <w:hideMark/>
          </w:tcPr>
          <w:p w14:paraId="2E4F6A07"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517" w:type="dxa"/>
            <w:tcBorders>
              <w:top w:val="nil"/>
              <w:left w:val="nil"/>
              <w:bottom w:val="nil"/>
              <w:right w:val="nil"/>
            </w:tcBorders>
            <w:shd w:val="clear" w:color="auto" w:fill="auto"/>
            <w:noWrap/>
            <w:vAlign w:val="center"/>
            <w:hideMark/>
          </w:tcPr>
          <w:p w14:paraId="37A352CE"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p>
        </w:tc>
        <w:tc>
          <w:tcPr>
            <w:tcW w:w="1632" w:type="dxa"/>
            <w:tcBorders>
              <w:top w:val="nil"/>
              <w:left w:val="nil"/>
              <w:bottom w:val="nil"/>
              <w:right w:val="nil"/>
            </w:tcBorders>
            <w:shd w:val="clear" w:color="auto" w:fill="auto"/>
            <w:noWrap/>
            <w:vAlign w:val="center"/>
            <w:hideMark/>
          </w:tcPr>
          <w:p w14:paraId="0FAC6E86"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403" w:type="dxa"/>
            <w:tcBorders>
              <w:top w:val="nil"/>
              <w:left w:val="nil"/>
              <w:bottom w:val="nil"/>
              <w:right w:val="nil"/>
            </w:tcBorders>
            <w:shd w:val="clear" w:color="auto" w:fill="auto"/>
            <w:noWrap/>
            <w:vAlign w:val="center"/>
            <w:hideMark/>
          </w:tcPr>
          <w:p w14:paraId="6518BB4E"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p>
        </w:tc>
      </w:tr>
      <w:tr w:rsidR="003343B8" w:rsidRPr="00D06F2B" w14:paraId="17EE62A3" w14:textId="77777777" w:rsidTr="003343B8">
        <w:trPr>
          <w:trHeight w:val="261"/>
        </w:trPr>
        <w:tc>
          <w:tcPr>
            <w:tcW w:w="3092" w:type="dxa"/>
            <w:tcBorders>
              <w:top w:val="nil"/>
              <w:left w:val="nil"/>
              <w:bottom w:val="nil"/>
              <w:right w:val="nil"/>
            </w:tcBorders>
            <w:shd w:val="clear" w:color="auto" w:fill="auto"/>
            <w:noWrap/>
            <w:vAlign w:val="bottom"/>
            <w:hideMark/>
          </w:tcPr>
          <w:p w14:paraId="4409AA6F"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Quarter effect</w:t>
            </w:r>
          </w:p>
        </w:tc>
        <w:tc>
          <w:tcPr>
            <w:tcW w:w="1660" w:type="dxa"/>
            <w:tcBorders>
              <w:top w:val="nil"/>
              <w:left w:val="nil"/>
              <w:bottom w:val="nil"/>
              <w:right w:val="nil"/>
            </w:tcBorders>
            <w:shd w:val="clear" w:color="auto" w:fill="auto"/>
            <w:noWrap/>
            <w:vAlign w:val="center"/>
            <w:hideMark/>
          </w:tcPr>
          <w:p w14:paraId="41DC4AAD"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517" w:type="dxa"/>
            <w:tcBorders>
              <w:top w:val="nil"/>
              <w:left w:val="nil"/>
              <w:bottom w:val="nil"/>
              <w:right w:val="nil"/>
            </w:tcBorders>
            <w:shd w:val="clear" w:color="auto" w:fill="auto"/>
            <w:noWrap/>
            <w:vAlign w:val="center"/>
            <w:hideMark/>
          </w:tcPr>
          <w:p w14:paraId="3B29B8CC"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p>
        </w:tc>
        <w:tc>
          <w:tcPr>
            <w:tcW w:w="1632" w:type="dxa"/>
            <w:tcBorders>
              <w:top w:val="nil"/>
              <w:left w:val="nil"/>
              <w:bottom w:val="nil"/>
              <w:right w:val="nil"/>
            </w:tcBorders>
            <w:shd w:val="clear" w:color="auto" w:fill="auto"/>
            <w:noWrap/>
            <w:vAlign w:val="center"/>
            <w:hideMark/>
          </w:tcPr>
          <w:p w14:paraId="4AA33DCE"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403" w:type="dxa"/>
            <w:tcBorders>
              <w:top w:val="nil"/>
              <w:left w:val="nil"/>
              <w:bottom w:val="nil"/>
              <w:right w:val="nil"/>
            </w:tcBorders>
            <w:shd w:val="clear" w:color="auto" w:fill="auto"/>
            <w:noWrap/>
            <w:vAlign w:val="center"/>
            <w:hideMark/>
          </w:tcPr>
          <w:p w14:paraId="7386DD8D"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p>
        </w:tc>
      </w:tr>
      <w:tr w:rsidR="003343B8" w:rsidRPr="00D06F2B" w14:paraId="272D2FBC" w14:textId="77777777" w:rsidTr="003343B8">
        <w:trPr>
          <w:trHeight w:val="261"/>
        </w:trPr>
        <w:tc>
          <w:tcPr>
            <w:tcW w:w="3092" w:type="dxa"/>
            <w:tcBorders>
              <w:top w:val="nil"/>
              <w:left w:val="nil"/>
              <w:bottom w:val="nil"/>
              <w:right w:val="nil"/>
            </w:tcBorders>
            <w:shd w:val="clear" w:color="auto" w:fill="auto"/>
            <w:noWrap/>
            <w:hideMark/>
          </w:tcPr>
          <w:p w14:paraId="2F4AB6CC"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Firm effects</w:t>
            </w:r>
          </w:p>
        </w:tc>
        <w:tc>
          <w:tcPr>
            <w:tcW w:w="1660" w:type="dxa"/>
            <w:tcBorders>
              <w:top w:val="nil"/>
              <w:left w:val="nil"/>
              <w:bottom w:val="nil"/>
              <w:right w:val="nil"/>
            </w:tcBorders>
            <w:shd w:val="clear" w:color="auto" w:fill="auto"/>
            <w:noWrap/>
            <w:vAlign w:val="center"/>
            <w:hideMark/>
          </w:tcPr>
          <w:p w14:paraId="605370B2"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No</w:t>
            </w:r>
          </w:p>
        </w:tc>
        <w:tc>
          <w:tcPr>
            <w:tcW w:w="1517" w:type="dxa"/>
            <w:tcBorders>
              <w:top w:val="nil"/>
              <w:left w:val="nil"/>
              <w:bottom w:val="nil"/>
              <w:right w:val="nil"/>
            </w:tcBorders>
            <w:shd w:val="clear" w:color="auto" w:fill="auto"/>
            <w:noWrap/>
            <w:vAlign w:val="center"/>
            <w:hideMark/>
          </w:tcPr>
          <w:p w14:paraId="7C174C87"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p>
        </w:tc>
        <w:tc>
          <w:tcPr>
            <w:tcW w:w="1632" w:type="dxa"/>
            <w:tcBorders>
              <w:top w:val="nil"/>
              <w:left w:val="nil"/>
              <w:bottom w:val="nil"/>
              <w:right w:val="nil"/>
            </w:tcBorders>
            <w:shd w:val="clear" w:color="auto" w:fill="auto"/>
            <w:noWrap/>
            <w:vAlign w:val="center"/>
            <w:hideMark/>
          </w:tcPr>
          <w:p w14:paraId="24DFDE8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403" w:type="dxa"/>
            <w:tcBorders>
              <w:top w:val="nil"/>
              <w:left w:val="nil"/>
              <w:bottom w:val="nil"/>
              <w:right w:val="nil"/>
            </w:tcBorders>
            <w:shd w:val="clear" w:color="auto" w:fill="auto"/>
            <w:noWrap/>
            <w:vAlign w:val="center"/>
            <w:hideMark/>
          </w:tcPr>
          <w:p w14:paraId="3B68310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p>
        </w:tc>
      </w:tr>
      <w:tr w:rsidR="003343B8" w:rsidRPr="00D06F2B" w14:paraId="2D885D70" w14:textId="77777777" w:rsidTr="003343B8">
        <w:trPr>
          <w:trHeight w:val="261"/>
        </w:trPr>
        <w:tc>
          <w:tcPr>
            <w:tcW w:w="3092" w:type="dxa"/>
            <w:tcBorders>
              <w:top w:val="nil"/>
              <w:left w:val="nil"/>
              <w:bottom w:val="nil"/>
              <w:right w:val="nil"/>
            </w:tcBorders>
            <w:shd w:val="clear" w:color="auto" w:fill="auto"/>
            <w:noWrap/>
            <w:hideMark/>
          </w:tcPr>
          <w:p w14:paraId="0B8D0B81"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N</w:t>
            </w:r>
          </w:p>
        </w:tc>
        <w:tc>
          <w:tcPr>
            <w:tcW w:w="1660" w:type="dxa"/>
            <w:tcBorders>
              <w:top w:val="nil"/>
              <w:left w:val="nil"/>
              <w:bottom w:val="nil"/>
              <w:right w:val="nil"/>
            </w:tcBorders>
            <w:shd w:val="clear" w:color="auto" w:fill="auto"/>
            <w:noWrap/>
            <w:vAlign w:val="center"/>
            <w:hideMark/>
          </w:tcPr>
          <w:p w14:paraId="3CFEFCED"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445561</w:t>
            </w:r>
          </w:p>
        </w:tc>
        <w:tc>
          <w:tcPr>
            <w:tcW w:w="1517" w:type="dxa"/>
            <w:tcBorders>
              <w:top w:val="nil"/>
              <w:left w:val="nil"/>
              <w:bottom w:val="nil"/>
              <w:right w:val="nil"/>
            </w:tcBorders>
            <w:shd w:val="clear" w:color="auto" w:fill="auto"/>
            <w:noWrap/>
            <w:vAlign w:val="center"/>
            <w:hideMark/>
          </w:tcPr>
          <w:p w14:paraId="1D39D842"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p>
        </w:tc>
        <w:tc>
          <w:tcPr>
            <w:tcW w:w="1632" w:type="dxa"/>
            <w:tcBorders>
              <w:top w:val="nil"/>
              <w:left w:val="nil"/>
              <w:bottom w:val="nil"/>
              <w:right w:val="nil"/>
            </w:tcBorders>
            <w:shd w:val="clear" w:color="auto" w:fill="auto"/>
            <w:noWrap/>
            <w:vAlign w:val="center"/>
            <w:hideMark/>
          </w:tcPr>
          <w:p w14:paraId="4F2A0C61" w14:textId="6813619F" w:rsidR="003343B8" w:rsidRPr="00D06F2B" w:rsidRDefault="00EC4566"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445561</w:t>
            </w:r>
          </w:p>
        </w:tc>
        <w:tc>
          <w:tcPr>
            <w:tcW w:w="1403" w:type="dxa"/>
            <w:tcBorders>
              <w:top w:val="nil"/>
              <w:left w:val="nil"/>
              <w:bottom w:val="nil"/>
              <w:right w:val="nil"/>
            </w:tcBorders>
            <w:shd w:val="clear" w:color="auto" w:fill="auto"/>
            <w:noWrap/>
            <w:vAlign w:val="center"/>
            <w:hideMark/>
          </w:tcPr>
          <w:p w14:paraId="1B29CC1E"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p>
        </w:tc>
      </w:tr>
      <w:tr w:rsidR="003343B8" w:rsidRPr="00D06F2B" w14:paraId="38FB8EAB" w14:textId="77777777" w:rsidTr="003343B8">
        <w:trPr>
          <w:trHeight w:val="261"/>
        </w:trPr>
        <w:tc>
          <w:tcPr>
            <w:tcW w:w="3092" w:type="dxa"/>
            <w:tcBorders>
              <w:top w:val="nil"/>
              <w:left w:val="nil"/>
              <w:bottom w:val="single" w:sz="4" w:space="0" w:color="auto"/>
              <w:right w:val="nil"/>
            </w:tcBorders>
            <w:shd w:val="clear" w:color="auto" w:fill="auto"/>
            <w:noWrap/>
            <w:hideMark/>
          </w:tcPr>
          <w:p w14:paraId="6375508D" w14:textId="77777777" w:rsidR="003343B8" w:rsidRPr="00D06F2B" w:rsidRDefault="003343B8" w:rsidP="003343B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R2</w:t>
            </w:r>
          </w:p>
        </w:tc>
        <w:tc>
          <w:tcPr>
            <w:tcW w:w="1660" w:type="dxa"/>
            <w:tcBorders>
              <w:top w:val="nil"/>
              <w:left w:val="nil"/>
              <w:bottom w:val="single" w:sz="4" w:space="0" w:color="auto"/>
              <w:right w:val="nil"/>
            </w:tcBorders>
            <w:shd w:val="clear" w:color="auto" w:fill="auto"/>
            <w:noWrap/>
            <w:vAlign w:val="center"/>
            <w:hideMark/>
          </w:tcPr>
          <w:p w14:paraId="26A01A46"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59.57%</w:t>
            </w:r>
          </w:p>
        </w:tc>
        <w:tc>
          <w:tcPr>
            <w:tcW w:w="1517" w:type="dxa"/>
            <w:tcBorders>
              <w:top w:val="nil"/>
              <w:left w:val="nil"/>
              <w:bottom w:val="single" w:sz="4" w:space="0" w:color="auto"/>
              <w:right w:val="nil"/>
            </w:tcBorders>
            <w:shd w:val="clear" w:color="auto" w:fill="auto"/>
            <w:noWrap/>
            <w:vAlign w:val="center"/>
            <w:hideMark/>
          </w:tcPr>
          <w:p w14:paraId="671CBC3B"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c>
          <w:tcPr>
            <w:tcW w:w="1632" w:type="dxa"/>
            <w:tcBorders>
              <w:top w:val="nil"/>
              <w:left w:val="nil"/>
              <w:bottom w:val="single" w:sz="4" w:space="0" w:color="auto"/>
              <w:right w:val="nil"/>
            </w:tcBorders>
            <w:shd w:val="clear" w:color="auto" w:fill="auto"/>
            <w:noWrap/>
            <w:vAlign w:val="center"/>
            <w:hideMark/>
          </w:tcPr>
          <w:p w14:paraId="546E043D"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69.94%</w:t>
            </w:r>
          </w:p>
        </w:tc>
        <w:tc>
          <w:tcPr>
            <w:tcW w:w="1403" w:type="dxa"/>
            <w:tcBorders>
              <w:top w:val="nil"/>
              <w:left w:val="nil"/>
              <w:bottom w:val="single" w:sz="4" w:space="0" w:color="auto"/>
              <w:right w:val="nil"/>
            </w:tcBorders>
            <w:shd w:val="clear" w:color="auto" w:fill="auto"/>
            <w:noWrap/>
            <w:vAlign w:val="center"/>
            <w:hideMark/>
          </w:tcPr>
          <w:p w14:paraId="1BA58C14" w14:textId="77777777" w:rsidR="003343B8" w:rsidRPr="00D06F2B" w:rsidRDefault="003343B8" w:rsidP="003343B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r>
    </w:tbl>
    <w:p w14:paraId="401F4615" w14:textId="1B00FBE7" w:rsidR="003343B8" w:rsidRPr="00D06F2B" w:rsidRDefault="003343B8">
      <w:pPr>
        <w:rPr>
          <w:rFonts w:ascii="Garamond" w:hAnsi="Garamond"/>
          <w:sz w:val="20"/>
          <w:szCs w:val="20"/>
          <w:lang w:val="en-US"/>
        </w:rPr>
      </w:pPr>
      <w:r w:rsidRPr="00D06F2B">
        <w:rPr>
          <w:rFonts w:ascii="Garamond" w:hAnsi="Garamond"/>
          <w:i/>
          <w:iCs/>
          <w:sz w:val="20"/>
          <w:szCs w:val="20"/>
          <w:lang w:val="en-US"/>
        </w:rPr>
        <w:t>Notes</w:t>
      </w:r>
      <w:r w:rsidRPr="00D06F2B">
        <w:rPr>
          <w:rFonts w:ascii="Garamond" w:hAnsi="Garamond"/>
          <w:sz w:val="20"/>
          <w:szCs w:val="20"/>
          <w:lang w:val="en-US"/>
        </w:rPr>
        <w:t xml:space="preserve">: The table reports regression results for equation (3) where the dependent variable is a measure of Bloomberg news searchers and readership at analyst forecast announcement, </w:t>
      </w:r>
      <w:r w:rsidRPr="00D06F2B">
        <w:rPr>
          <w:rFonts w:ascii="Garamond" w:hAnsi="Garamond"/>
          <w:i/>
          <w:iCs/>
          <w:sz w:val="20"/>
          <w:szCs w:val="20"/>
          <w:lang w:val="en-US"/>
        </w:rPr>
        <w:t>Attention</w:t>
      </w:r>
      <w:r w:rsidRPr="00D06F2B">
        <w:rPr>
          <w:rFonts w:ascii="Garamond" w:hAnsi="Garamond"/>
          <w:sz w:val="20"/>
          <w:szCs w:val="20"/>
          <w:lang w:val="en-US"/>
        </w:rPr>
        <w:t xml:space="preserve">. </w:t>
      </w:r>
      <w:proofErr w:type="spellStart"/>
      <w:r w:rsidRPr="00D06F2B">
        <w:rPr>
          <w:rFonts w:ascii="Garamond" w:hAnsi="Garamond"/>
          <w:i/>
          <w:iCs/>
          <w:sz w:val="20"/>
          <w:szCs w:val="20"/>
          <w:lang w:val="en-US"/>
        </w:rPr>
        <w:t>Covid</w:t>
      </w:r>
      <w:proofErr w:type="spellEnd"/>
      <w:r w:rsidRPr="00D06F2B">
        <w:rPr>
          <w:rFonts w:ascii="Garamond" w:hAnsi="Garamond"/>
          <w:sz w:val="20"/>
          <w:szCs w:val="20"/>
          <w:lang w:val="en-US"/>
        </w:rPr>
        <w:t xml:space="preserve"> is an indicator variable equal to one for year 2020 and zero otherwise.</w:t>
      </w:r>
      <w:r w:rsidR="00335865" w:rsidRPr="00D06F2B">
        <w:rPr>
          <w:rFonts w:ascii="Garamond" w:hAnsi="Garamond"/>
          <w:sz w:val="20"/>
          <w:szCs w:val="20"/>
          <w:lang w:val="en-US"/>
        </w:rPr>
        <w:t xml:space="preserve"> </w:t>
      </w:r>
      <w:r w:rsidR="000A53D8" w:rsidRPr="00D06F2B">
        <w:rPr>
          <w:rFonts w:ascii="Garamond" w:hAnsi="Garamond"/>
          <w:sz w:val="20"/>
          <w:szCs w:val="20"/>
          <w:lang w:val="en-US"/>
        </w:rPr>
        <w:t xml:space="preserve">Intercepts omitted for brevity. </w:t>
      </w:r>
      <w:r w:rsidR="00335865" w:rsidRPr="00D06F2B">
        <w:rPr>
          <w:rFonts w:ascii="Garamond" w:hAnsi="Garamond"/>
          <w:sz w:val="20"/>
          <w:szCs w:val="20"/>
          <w:lang w:val="en-US"/>
        </w:rPr>
        <w:t xml:space="preserve">All variables are standardized to a mean of zero and unit standard deviation. </w:t>
      </w:r>
      <w:r w:rsidR="00943DE1" w:rsidRPr="00D06F2B">
        <w:rPr>
          <w:rFonts w:ascii="Garamond" w:hAnsi="Garamond"/>
          <w:sz w:val="20"/>
          <w:szCs w:val="20"/>
          <w:lang w:val="en-US"/>
        </w:rPr>
        <w:t>Standard errors clustered at the firm and year level.</w:t>
      </w:r>
      <w:r w:rsidRPr="00D06F2B">
        <w:rPr>
          <w:rFonts w:ascii="Garamond" w:hAnsi="Garamond"/>
          <w:sz w:val="20"/>
          <w:szCs w:val="20"/>
          <w:lang w:val="en-US"/>
        </w:rPr>
        <w:t xml:space="preserve"> </w:t>
      </w:r>
      <w:r w:rsidRPr="00D06F2B">
        <w:rPr>
          <w:rFonts w:ascii="Garamond" w:hAnsi="Garamond"/>
          <w:sz w:val="20"/>
          <w:szCs w:val="20"/>
          <w:lang w:val="en-US"/>
        </w:rPr>
        <w:br w:type="page"/>
      </w:r>
    </w:p>
    <w:p w14:paraId="5213A60D" w14:textId="1D445C02" w:rsidR="00475348" w:rsidRPr="00D06F2B" w:rsidRDefault="00475348" w:rsidP="00475348">
      <w:pPr>
        <w:spacing w:after="0" w:line="240" w:lineRule="auto"/>
        <w:rPr>
          <w:rFonts w:ascii="Garamond" w:hAnsi="Garamond"/>
          <w:sz w:val="24"/>
          <w:szCs w:val="24"/>
          <w:lang w:val="en-US"/>
        </w:rPr>
      </w:pPr>
      <w:r w:rsidRPr="00D06F2B">
        <w:rPr>
          <w:rFonts w:ascii="Garamond" w:hAnsi="Garamond"/>
          <w:sz w:val="24"/>
          <w:szCs w:val="24"/>
          <w:lang w:val="en-US"/>
        </w:rPr>
        <w:lastRenderedPageBreak/>
        <w:t xml:space="preserve">TABLE </w:t>
      </w:r>
      <w:r w:rsidR="00502A2F" w:rsidRPr="00D06F2B">
        <w:rPr>
          <w:rFonts w:ascii="Garamond" w:hAnsi="Garamond"/>
          <w:sz w:val="24"/>
          <w:szCs w:val="24"/>
          <w:lang w:val="en-US"/>
        </w:rPr>
        <w:t>4</w:t>
      </w:r>
    </w:p>
    <w:p w14:paraId="096C2054" w14:textId="0ED665FF" w:rsidR="003F48BF" w:rsidRPr="00D06F2B" w:rsidRDefault="003F48BF" w:rsidP="00475348">
      <w:pPr>
        <w:spacing w:after="0" w:line="240" w:lineRule="auto"/>
        <w:rPr>
          <w:rFonts w:ascii="Garamond" w:hAnsi="Garamond"/>
          <w:sz w:val="24"/>
          <w:szCs w:val="24"/>
          <w:lang w:val="en-US"/>
        </w:rPr>
      </w:pPr>
      <w:r w:rsidRPr="00D06F2B">
        <w:rPr>
          <w:rFonts w:ascii="Garamond" w:hAnsi="Garamond"/>
          <w:sz w:val="24"/>
          <w:szCs w:val="24"/>
          <w:lang w:val="en-US"/>
        </w:rPr>
        <w:t>Price reaction regression result</w:t>
      </w:r>
    </w:p>
    <w:tbl>
      <w:tblPr>
        <w:tblW w:w="9250" w:type="dxa"/>
        <w:jc w:val="center"/>
        <w:tblLayout w:type="fixed"/>
        <w:tblLook w:val="04A0" w:firstRow="1" w:lastRow="0" w:firstColumn="1" w:lastColumn="0" w:noHBand="0" w:noVBand="1"/>
      </w:tblPr>
      <w:tblGrid>
        <w:gridCol w:w="1850"/>
        <w:gridCol w:w="1850"/>
        <w:gridCol w:w="1850"/>
        <w:gridCol w:w="1850"/>
        <w:gridCol w:w="1850"/>
      </w:tblGrid>
      <w:tr w:rsidR="005C1EBC" w:rsidRPr="00D06F2B" w14:paraId="25924F9C" w14:textId="77777777" w:rsidTr="0031037F">
        <w:trPr>
          <w:trHeight w:val="305"/>
          <w:jc w:val="center"/>
        </w:trPr>
        <w:tc>
          <w:tcPr>
            <w:tcW w:w="1850" w:type="dxa"/>
            <w:tcBorders>
              <w:top w:val="single" w:sz="4" w:space="0" w:color="auto"/>
              <w:left w:val="nil"/>
              <w:bottom w:val="single" w:sz="4" w:space="0" w:color="auto"/>
              <w:right w:val="nil"/>
            </w:tcBorders>
            <w:shd w:val="clear" w:color="auto" w:fill="auto"/>
            <w:noWrap/>
          </w:tcPr>
          <w:p w14:paraId="7DB68288" w14:textId="77777777" w:rsidR="005C1EBC" w:rsidRPr="00D06F2B" w:rsidRDefault="005C1EBC" w:rsidP="00943DE1">
            <w:pPr>
              <w:spacing w:after="0" w:line="240" w:lineRule="auto"/>
              <w:rPr>
                <w:rFonts w:ascii="Garamond" w:eastAsia="Times New Roman" w:hAnsi="Garamond" w:cs="Calibri"/>
                <w:color w:val="000000"/>
                <w:sz w:val="20"/>
                <w:szCs w:val="20"/>
                <w:lang w:eastAsia="en-GB"/>
              </w:rPr>
            </w:pPr>
          </w:p>
        </w:tc>
        <w:tc>
          <w:tcPr>
            <w:tcW w:w="3700" w:type="dxa"/>
            <w:gridSpan w:val="2"/>
            <w:tcBorders>
              <w:top w:val="single" w:sz="4" w:space="0" w:color="auto"/>
              <w:left w:val="nil"/>
              <w:bottom w:val="single" w:sz="4" w:space="0" w:color="auto"/>
              <w:right w:val="nil"/>
            </w:tcBorders>
            <w:shd w:val="clear" w:color="auto" w:fill="auto"/>
            <w:vAlign w:val="center"/>
          </w:tcPr>
          <w:p w14:paraId="577B2940" w14:textId="4805A5F2" w:rsidR="005C1EBC" w:rsidRPr="00D06F2B" w:rsidRDefault="005C1EBC" w:rsidP="00943DE1">
            <w:pPr>
              <w:spacing w:after="0" w:line="240" w:lineRule="auto"/>
              <w:jc w:val="center"/>
              <w:rPr>
                <w:rFonts w:ascii="Garamond" w:eastAsia="Times New Roman" w:hAnsi="Garamond" w:cs="Calibri"/>
                <w:color w:val="000000"/>
                <w:sz w:val="20"/>
                <w:szCs w:val="20"/>
                <w:lang w:eastAsia="en-GB"/>
              </w:rPr>
            </w:pPr>
            <w:r>
              <w:rPr>
                <w:rFonts w:ascii="Garamond" w:eastAsia="Times New Roman" w:hAnsi="Garamond" w:cs="Calibri"/>
                <w:color w:val="000000"/>
                <w:sz w:val="20"/>
                <w:szCs w:val="20"/>
                <w:lang w:eastAsia="en-GB"/>
              </w:rPr>
              <w:t>Baseline</w:t>
            </w:r>
          </w:p>
        </w:tc>
        <w:tc>
          <w:tcPr>
            <w:tcW w:w="3700" w:type="dxa"/>
            <w:gridSpan w:val="2"/>
            <w:tcBorders>
              <w:top w:val="single" w:sz="4" w:space="0" w:color="auto"/>
              <w:left w:val="nil"/>
              <w:bottom w:val="single" w:sz="4" w:space="0" w:color="auto"/>
              <w:right w:val="nil"/>
            </w:tcBorders>
            <w:shd w:val="clear" w:color="auto" w:fill="auto"/>
            <w:vAlign w:val="center"/>
          </w:tcPr>
          <w:p w14:paraId="7C6E1115" w14:textId="410B39DA" w:rsidR="005C1EBC" w:rsidRPr="00D06F2B" w:rsidRDefault="005C1EBC" w:rsidP="00943DE1">
            <w:pPr>
              <w:spacing w:after="0" w:line="240" w:lineRule="auto"/>
              <w:jc w:val="center"/>
              <w:rPr>
                <w:rFonts w:ascii="Garamond" w:eastAsia="Times New Roman" w:hAnsi="Garamond" w:cs="Calibri"/>
                <w:color w:val="000000"/>
                <w:sz w:val="20"/>
                <w:szCs w:val="20"/>
                <w:lang w:eastAsia="en-GB"/>
              </w:rPr>
            </w:pPr>
            <w:r>
              <w:rPr>
                <w:rFonts w:ascii="Garamond" w:eastAsia="Times New Roman" w:hAnsi="Garamond" w:cs="Calibri"/>
                <w:color w:val="000000"/>
                <w:sz w:val="20"/>
                <w:szCs w:val="20"/>
                <w:lang w:eastAsia="en-GB"/>
              </w:rPr>
              <w:t>Firm-fixed effects</w:t>
            </w:r>
          </w:p>
        </w:tc>
      </w:tr>
      <w:tr w:rsidR="00943DE1" w:rsidRPr="00D06F2B" w14:paraId="273B7F26" w14:textId="77777777" w:rsidTr="00FC752E">
        <w:trPr>
          <w:trHeight w:val="305"/>
          <w:jc w:val="center"/>
        </w:trPr>
        <w:tc>
          <w:tcPr>
            <w:tcW w:w="1850" w:type="dxa"/>
            <w:tcBorders>
              <w:top w:val="single" w:sz="4" w:space="0" w:color="auto"/>
              <w:left w:val="nil"/>
              <w:bottom w:val="single" w:sz="4" w:space="0" w:color="auto"/>
              <w:right w:val="nil"/>
            </w:tcBorders>
            <w:shd w:val="clear" w:color="auto" w:fill="auto"/>
            <w:noWrap/>
            <w:hideMark/>
          </w:tcPr>
          <w:p w14:paraId="4425C354" w14:textId="77777777" w:rsidR="00943DE1" w:rsidRPr="00D06F2B" w:rsidRDefault="00943DE1" w:rsidP="00943DE1">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c>
          <w:tcPr>
            <w:tcW w:w="1850" w:type="dxa"/>
            <w:tcBorders>
              <w:top w:val="single" w:sz="4" w:space="0" w:color="auto"/>
              <w:left w:val="nil"/>
              <w:bottom w:val="single" w:sz="4" w:space="0" w:color="auto"/>
              <w:right w:val="nil"/>
            </w:tcBorders>
            <w:shd w:val="clear" w:color="auto" w:fill="auto"/>
            <w:vAlign w:val="center"/>
            <w:hideMark/>
          </w:tcPr>
          <w:p w14:paraId="77C34F25"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Estimate</w:t>
            </w:r>
          </w:p>
        </w:tc>
        <w:tc>
          <w:tcPr>
            <w:tcW w:w="1850" w:type="dxa"/>
            <w:tcBorders>
              <w:top w:val="single" w:sz="4" w:space="0" w:color="auto"/>
              <w:left w:val="nil"/>
              <w:bottom w:val="single" w:sz="4" w:space="0" w:color="auto"/>
              <w:right w:val="nil"/>
            </w:tcBorders>
            <w:shd w:val="clear" w:color="auto" w:fill="auto"/>
            <w:vAlign w:val="center"/>
            <w:hideMark/>
          </w:tcPr>
          <w:p w14:paraId="1AC03248"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p</w:t>
            </w:r>
          </w:p>
        </w:tc>
        <w:tc>
          <w:tcPr>
            <w:tcW w:w="1850" w:type="dxa"/>
            <w:tcBorders>
              <w:top w:val="single" w:sz="4" w:space="0" w:color="auto"/>
              <w:left w:val="nil"/>
              <w:bottom w:val="single" w:sz="4" w:space="0" w:color="auto"/>
              <w:right w:val="nil"/>
            </w:tcBorders>
            <w:shd w:val="clear" w:color="auto" w:fill="auto"/>
            <w:vAlign w:val="center"/>
            <w:hideMark/>
          </w:tcPr>
          <w:p w14:paraId="5A55C71A"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Estimate</w:t>
            </w:r>
          </w:p>
        </w:tc>
        <w:tc>
          <w:tcPr>
            <w:tcW w:w="1850" w:type="dxa"/>
            <w:tcBorders>
              <w:top w:val="single" w:sz="4" w:space="0" w:color="auto"/>
              <w:left w:val="nil"/>
              <w:bottom w:val="single" w:sz="4" w:space="0" w:color="auto"/>
              <w:right w:val="nil"/>
            </w:tcBorders>
            <w:shd w:val="clear" w:color="auto" w:fill="auto"/>
            <w:vAlign w:val="center"/>
            <w:hideMark/>
          </w:tcPr>
          <w:p w14:paraId="27C40D35"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p</w:t>
            </w:r>
          </w:p>
        </w:tc>
      </w:tr>
      <w:tr w:rsidR="00FC752E" w:rsidRPr="00D06F2B" w14:paraId="60EAE17A" w14:textId="77777777" w:rsidTr="00FC752E">
        <w:trPr>
          <w:trHeight w:hRule="exact" w:val="284"/>
          <w:jc w:val="center"/>
        </w:trPr>
        <w:tc>
          <w:tcPr>
            <w:tcW w:w="1850" w:type="dxa"/>
            <w:tcBorders>
              <w:top w:val="nil"/>
              <w:left w:val="nil"/>
              <w:bottom w:val="nil"/>
              <w:right w:val="nil"/>
            </w:tcBorders>
            <w:shd w:val="clear" w:color="auto" w:fill="auto"/>
            <w:vAlign w:val="center"/>
            <w:hideMark/>
          </w:tcPr>
          <w:p w14:paraId="555F4213"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|∆EPS|*</w:t>
            </w:r>
            <w:proofErr w:type="spellStart"/>
            <w:r w:rsidRPr="00D06F2B">
              <w:rPr>
                <w:rFonts w:ascii="Garamond" w:eastAsia="Times New Roman" w:hAnsi="Garamond" w:cs="Calibri"/>
                <w:color w:val="000000"/>
                <w:sz w:val="20"/>
                <w:szCs w:val="20"/>
                <w:lang w:eastAsia="en-GB"/>
              </w:rPr>
              <w:t>Covid</w:t>
            </w:r>
            <w:proofErr w:type="spellEnd"/>
          </w:p>
        </w:tc>
        <w:tc>
          <w:tcPr>
            <w:tcW w:w="1850" w:type="dxa"/>
            <w:tcBorders>
              <w:top w:val="nil"/>
              <w:left w:val="nil"/>
              <w:bottom w:val="nil"/>
              <w:right w:val="nil"/>
            </w:tcBorders>
            <w:shd w:val="clear" w:color="auto" w:fill="auto"/>
            <w:noWrap/>
            <w:vAlign w:val="center"/>
            <w:hideMark/>
          </w:tcPr>
          <w:p w14:paraId="4276C53E"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-0.061</w:t>
            </w:r>
          </w:p>
        </w:tc>
        <w:tc>
          <w:tcPr>
            <w:tcW w:w="1850" w:type="dxa"/>
            <w:tcBorders>
              <w:top w:val="nil"/>
              <w:left w:val="nil"/>
              <w:bottom w:val="nil"/>
              <w:right w:val="nil"/>
            </w:tcBorders>
            <w:shd w:val="clear" w:color="auto" w:fill="auto"/>
            <w:vAlign w:val="center"/>
            <w:hideMark/>
          </w:tcPr>
          <w:p w14:paraId="6179BC67"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850" w:type="dxa"/>
            <w:tcBorders>
              <w:top w:val="nil"/>
              <w:left w:val="nil"/>
              <w:bottom w:val="nil"/>
              <w:right w:val="nil"/>
            </w:tcBorders>
            <w:shd w:val="clear" w:color="auto" w:fill="auto"/>
            <w:vAlign w:val="center"/>
            <w:hideMark/>
          </w:tcPr>
          <w:p w14:paraId="163DB64E"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0.011</w:t>
            </w:r>
          </w:p>
        </w:tc>
        <w:tc>
          <w:tcPr>
            <w:tcW w:w="1850" w:type="dxa"/>
            <w:tcBorders>
              <w:top w:val="nil"/>
              <w:left w:val="nil"/>
              <w:bottom w:val="nil"/>
              <w:right w:val="nil"/>
            </w:tcBorders>
            <w:shd w:val="clear" w:color="auto" w:fill="auto"/>
            <w:vAlign w:val="center"/>
            <w:hideMark/>
          </w:tcPr>
          <w:p w14:paraId="58877D9D"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FC752E" w:rsidRPr="00D06F2B" w14:paraId="28F599AB" w14:textId="77777777" w:rsidTr="00FC752E">
        <w:trPr>
          <w:trHeight w:hRule="exact" w:val="284"/>
          <w:jc w:val="center"/>
        </w:trPr>
        <w:tc>
          <w:tcPr>
            <w:tcW w:w="1850" w:type="dxa"/>
            <w:tcBorders>
              <w:top w:val="nil"/>
              <w:left w:val="nil"/>
              <w:bottom w:val="nil"/>
              <w:right w:val="nil"/>
            </w:tcBorders>
            <w:shd w:val="clear" w:color="auto" w:fill="auto"/>
            <w:vAlign w:val="center"/>
            <w:hideMark/>
          </w:tcPr>
          <w:p w14:paraId="2DD8DF50"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|∆SAL|*</w:t>
            </w:r>
            <w:proofErr w:type="spellStart"/>
            <w:r w:rsidRPr="00D06F2B">
              <w:rPr>
                <w:rFonts w:ascii="Garamond" w:eastAsia="Times New Roman" w:hAnsi="Garamond" w:cs="Calibri"/>
                <w:color w:val="000000"/>
                <w:sz w:val="20"/>
                <w:szCs w:val="20"/>
                <w:lang w:eastAsia="en-GB"/>
              </w:rPr>
              <w:t>Covid</w:t>
            </w:r>
            <w:proofErr w:type="spellEnd"/>
          </w:p>
        </w:tc>
        <w:tc>
          <w:tcPr>
            <w:tcW w:w="1850" w:type="dxa"/>
            <w:tcBorders>
              <w:top w:val="nil"/>
              <w:left w:val="nil"/>
              <w:bottom w:val="nil"/>
              <w:right w:val="nil"/>
            </w:tcBorders>
            <w:shd w:val="clear" w:color="auto" w:fill="auto"/>
            <w:noWrap/>
            <w:vAlign w:val="center"/>
            <w:hideMark/>
          </w:tcPr>
          <w:p w14:paraId="73FBB94E"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-0.005</w:t>
            </w:r>
          </w:p>
        </w:tc>
        <w:tc>
          <w:tcPr>
            <w:tcW w:w="1850" w:type="dxa"/>
            <w:tcBorders>
              <w:top w:val="nil"/>
              <w:left w:val="nil"/>
              <w:bottom w:val="nil"/>
              <w:right w:val="nil"/>
            </w:tcBorders>
            <w:shd w:val="clear" w:color="auto" w:fill="auto"/>
            <w:vAlign w:val="center"/>
            <w:hideMark/>
          </w:tcPr>
          <w:p w14:paraId="1B00DCD9"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0.446</w:t>
            </w:r>
          </w:p>
        </w:tc>
        <w:tc>
          <w:tcPr>
            <w:tcW w:w="1850" w:type="dxa"/>
            <w:tcBorders>
              <w:top w:val="nil"/>
              <w:left w:val="nil"/>
              <w:bottom w:val="nil"/>
              <w:right w:val="nil"/>
            </w:tcBorders>
            <w:shd w:val="clear" w:color="auto" w:fill="auto"/>
            <w:vAlign w:val="center"/>
            <w:hideMark/>
          </w:tcPr>
          <w:p w14:paraId="0B253FE3"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850" w:type="dxa"/>
            <w:tcBorders>
              <w:top w:val="nil"/>
              <w:left w:val="nil"/>
              <w:bottom w:val="nil"/>
              <w:right w:val="nil"/>
            </w:tcBorders>
            <w:shd w:val="clear" w:color="auto" w:fill="auto"/>
            <w:vAlign w:val="center"/>
            <w:hideMark/>
          </w:tcPr>
          <w:p w14:paraId="2F108CC8"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0.913</w:t>
            </w:r>
          </w:p>
        </w:tc>
      </w:tr>
      <w:tr w:rsidR="00FC752E" w:rsidRPr="00D06F2B" w14:paraId="0056E7EA" w14:textId="77777777" w:rsidTr="00FC752E">
        <w:trPr>
          <w:trHeight w:hRule="exact" w:val="284"/>
          <w:jc w:val="center"/>
        </w:trPr>
        <w:tc>
          <w:tcPr>
            <w:tcW w:w="1850" w:type="dxa"/>
            <w:tcBorders>
              <w:top w:val="nil"/>
              <w:left w:val="nil"/>
              <w:bottom w:val="nil"/>
              <w:right w:val="nil"/>
            </w:tcBorders>
            <w:shd w:val="clear" w:color="auto" w:fill="auto"/>
            <w:vAlign w:val="center"/>
            <w:hideMark/>
          </w:tcPr>
          <w:p w14:paraId="7114F3C2"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|∆CPS|*</w:t>
            </w:r>
            <w:proofErr w:type="spellStart"/>
            <w:r w:rsidRPr="00D06F2B">
              <w:rPr>
                <w:rFonts w:ascii="Garamond" w:eastAsia="Times New Roman" w:hAnsi="Garamond" w:cs="Calibri"/>
                <w:color w:val="000000"/>
                <w:sz w:val="20"/>
                <w:szCs w:val="20"/>
                <w:lang w:eastAsia="en-GB"/>
              </w:rPr>
              <w:t>Covid</w:t>
            </w:r>
            <w:proofErr w:type="spellEnd"/>
          </w:p>
        </w:tc>
        <w:tc>
          <w:tcPr>
            <w:tcW w:w="1850" w:type="dxa"/>
            <w:tcBorders>
              <w:top w:val="nil"/>
              <w:left w:val="nil"/>
              <w:bottom w:val="nil"/>
              <w:right w:val="nil"/>
            </w:tcBorders>
            <w:shd w:val="clear" w:color="auto" w:fill="auto"/>
            <w:vAlign w:val="center"/>
            <w:hideMark/>
          </w:tcPr>
          <w:p w14:paraId="4BD853FC"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0.021</w:t>
            </w:r>
          </w:p>
        </w:tc>
        <w:tc>
          <w:tcPr>
            <w:tcW w:w="1850" w:type="dxa"/>
            <w:tcBorders>
              <w:top w:val="nil"/>
              <w:left w:val="nil"/>
              <w:bottom w:val="nil"/>
              <w:right w:val="nil"/>
            </w:tcBorders>
            <w:shd w:val="clear" w:color="auto" w:fill="auto"/>
            <w:vAlign w:val="center"/>
            <w:hideMark/>
          </w:tcPr>
          <w:p w14:paraId="451AC3C9"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850" w:type="dxa"/>
            <w:tcBorders>
              <w:top w:val="nil"/>
              <w:left w:val="nil"/>
              <w:bottom w:val="nil"/>
              <w:right w:val="nil"/>
            </w:tcBorders>
            <w:shd w:val="clear" w:color="auto" w:fill="auto"/>
            <w:vAlign w:val="center"/>
            <w:hideMark/>
          </w:tcPr>
          <w:p w14:paraId="2ED5DCAC"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0.014</w:t>
            </w:r>
          </w:p>
        </w:tc>
        <w:tc>
          <w:tcPr>
            <w:tcW w:w="1850" w:type="dxa"/>
            <w:tcBorders>
              <w:top w:val="nil"/>
              <w:left w:val="nil"/>
              <w:bottom w:val="nil"/>
              <w:right w:val="nil"/>
            </w:tcBorders>
            <w:shd w:val="clear" w:color="auto" w:fill="auto"/>
            <w:vAlign w:val="center"/>
            <w:hideMark/>
          </w:tcPr>
          <w:p w14:paraId="5D7F867A"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FC752E" w:rsidRPr="00D06F2B" w14:paraId="70A9C437" w14:textId="77777777" w:rsidTr="00FC752E">
        <w:trPr>
          <w:trHeight w:hRule="exact" w:val="284"/>
          <w:jc w:val="center"/>
        </w:trPr>
        <w:tc>
          <w:tcPr>
            <w:tcW w:w="1850" w:type="dxa"/>
            <w:tcBorders>
              <w:top w:val="nil"/>
              <w:left w:val="nil"/>
              <w:bottom w:val="nil"/>
              <w:right w:val="nil"/>
            </w:tcBorders>
            <w:shd w:val="clear" w:color="auto" w:fill="auto"/>
            <w:vAlign w:val="center"/>
            <w:hideMark/>
          </w:tcPr>
          <w:p w14:paraId="210BBD93"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|∆DPS|*</w:t>
            </w:r>
            <w:proofErr w:type="spellStart"/>
            <w:r w:rsidRPr="00D06F2B">
              <w:rPr>
                <w:rFonts w:ascii="Garamond" w:eastAsia="Times New Roman" w:hAnsi="Garamond" w:cs="Calibri"/>
                <w:color w:val="000000"/>
                <w:sz w:val="20"/>
                <w:szCs w:val="20"/>
                <w:lang w:eastAsia="en-GB"/>
              </w:rPr>
              <w:t>Covid</w:t>
            </w:r>
            <w:proofErr w:type="spellEnd"/>
          </w:p>
        </w:tc>
        <w:tc>
          <w:tcPr>
            <w:tcW w:w="1850" w:type="dxa"/>
            <w:tcBorders>
              <w:top w:val="nil"/>
              <w:left w:val="nil"/>
              <w:bottom w:val="nil"/>
              <w:right w:val="nil"/>
            </w:tcBorders>
            <w:shd w:val="clear" w:color="auto" w:fill="auto"/>
            <w:vAlign w:val="center"/>
            <w:hideMark/>
          </w:tcPr>
          <w:p w14:paraId="5A746168"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0.010</w:t>
            </w:r>
          </w:p>
        </w:tc>
        <w:tc>
          <w:tcPr>
            <w:tcW w:w="1850" w:type="dxa"/>
            <w:tcBorders>
              <w:top w:val="nil"/>
              <w:left w:val="nil"/>
              <w:bottom w:val="nil"/>
              <w:right w:val="nil"/>
            </w:tcBorders>
            <w:shd w:val="clear" w:color="auto" w:fill="auto"/>
            <w:vAlign w:val="center"/>
            <w:hideMark/>
          </w:tcPr>
          <w:p w14:paraId="3DC9B311"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850" w:type="dxa"/>
            <w:tcBorders>
              <w:top w:val="nil"/>
              <w:left w:val="nil"/>
              <w:bottom w:val="nil"/>
              <w:right w:val="nil"/>
            </w:tcBorders>
            <w:shd w:val="clear" w:color="auto" w:fill="auto"/>
            <w:vAlign w:val="center"/>
            <w:hideMark/>
          </w:tcPr>
          <w:p w14:paraId="7DE7564F"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0.006</w:t>
            </w:r>
          </w:p>
        </w:tc>
        <w:tc>
          <w:tcPr>
            <w:tcW w:w="1850" w:type="dxa"/>
            <w:tcBorders>
              <w:top w:val="nil"/>
              <w:left w:val="nil"/>
              <w:bottom w:val="nil"/>
              <w:right w:val="nil"/>
            </w:tcBorders>
            <w:shd w:val="clear" w:color="auto" w:fill="auto"/>
            <w:vAlign w:val="center"/>
            <w:hideMark/>
          </w:tcPr>
          <w:p w14:paraId="2EE70B50"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r>
      <w:tr w:rsidR="00FC752E" w:rsidRPr="00D06F2B" w14:paraId="75582616" w14:textId="77777777" w:rsidTr="00FC752E">
        <w:trPr>
          <w:trHeight w:hRule="exact" w:val="284"/>
          <w:jc w:val="center"/>
        </w:trPr>
        <w:tc>
          <w:tcPr>
            <w:tcW w:w="1850" w:type="dxa"/>
            <w:tcBorders>
              <w:top w:val="nil"/>
              <w:left w:val="nil"/>
              <w:bottom w:val="nil"/>
              <w:right w:val="nil"/>
            </w:tcBorders>
            <w:shd w:val="clear" w:color="auto" w:fill="auto"/>
            <w:vAlign w:val="center"/>
            <w:hideMark/>
          </w:tcPr>
          <w:p w14:paraId="3BD96F1C"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|∆REC|*</w:t>
            </w:r>
            <w:proofErr w:type="spellStart"/>
            <w:r w:rsidRPr="00D06F2B">
              <w:rPr>
                <w:rFonts w:ascii="Garamond" w:eastAsia="Times New Roman" w:hAnsi="Garamond" w:cs="Calibri"/>
                <w:color w:val="000000"/>
                <w:sz w:val="20"/>
                <w:szCs w:val="20"/>
                <w:lang w:eastAsia="en-GB"/>
              </w:rPr>
              <w:t>Covid</w:t>
            </w:r>
            <w:proofErr w:type="spellEnd"/>
          </w:p>
        </w:tc>
        <w:tc>
          <w:tcPr>
            <w:tcW w:w="1850" w:type="dxa"/>
            <w:tcBorders>
              <w:top w:val="nil"/>
              <w:left w:val="nil"/>
              <w:bottom w:val="nil"/>
              <w:right w:val="nil"/>
            </w:tcBorders>
            <w:shd w:val="clear" w:color="auto" w:fill="auto"/>
            <w:vAlign w:val="center"/>
            <w:hideMark/>
          </w:tcPr>
          <w:p w14:paraId="1F886C33"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0.004</w:t>
            </w:r>
          </w:p>
        </w:tc>
        <w:tc>
          <w:tcPr>
            <w:tcW w:w="1850" w:type="dxa"/>
            <w:tcBorders>
              <w:top w:val="nil"/>
              <w:left w:val="nil"/>
              <w:bottom w:val="nil"/>
              <w:right w:val="nil"/>
            </w:tcBorders>
            <w:shd w:val="clear" w:color="auto" w:fill="auto"/>
            <w:vAlign w:val="center"/>
            <w:hideMark/>
          </w:tcPr>
          <w:p w14:paraId="4FABB100"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0.262</w:t>
            </w:r>
          </w:p>
        </w:tc>
        <w:tc>
          <w:tcPr>
            <w:tcW w:w="1850" w:type="dxa"/>
            <w:tcBorders>
              <w:top w:val="nil"/>
              <w:left w:val="nil"/>
              <w:bottom w:val="nil"/>
              <w:right w:val="nil"/>
            </w:tcBorders>
            <w:shd w:val="clear" w:color="auto" w:fill="auto"/>
            <w:vAlign w:val="center"/>
            <w:hideMark/>
          </w:tcPr>
          <w:p w14:paraId="08B229FD"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0.006</w:t>
            </w:r>
          </w:p>
        </w:tc>
        <w:tc>
          <w:tcPr>
            <w:tcW w:w="1850" w:type="dxa"/>
            <w:tcBorders>
              <w:top w:val="nil"/>
              <w:left w:val="nil"/>
              <w:bottom w:val="nil"/>
              <w:right w:val="nil"/>
            </w:tcBorders>
            <w:shd w:val="clear" w:color="auto" w:fill="auto"/>
            <w:vAlign w:val="center"/>
            <w:hideMark/>
          </w:tcPr>
          <w:p w14:paraId="36019259"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FC752E" w:rsidRPr="00D06F2B" w14:paraId="29A5CFAB" w14:textId="77777777" w:rsidTr="00FC752E">
        <w:trPr>
          <w:trHeight w:hRule="exact" w:val="284"/>
          <w:jc w:val="center"/>
        </w:trPr>
        <w:tc>
          <w:tcPr>
            <w:tcW w:w="1850" w:type="dxa"/>
            <w:tcBorders>
              <w:top w:val="nil"/>
              <w:left w:val="nil"/>
              <w:bottom w:val="nil"/>
              <w:right w:val="nil"/>
            </w:tcBorders>
            <w:shd w:val="clear" w:color="auto" w:fill="auto"/>
            <w:vAlign w:val="center"/>
            <w:hideMark/>
          </w:tcPr>
          <w:p w14:paraId="51BA1E51"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|∆TP|*</w:t>
            </w:r>
            <w:proofErr w:type="spellStart"/>
            <w:r w:rsidRPr="00D06F2B">
              <w:rPr>
                <w:rFonts w:ascii="Garamond" w:eastAsia="Times New Roman" w:hAnsi="Garamond" w:cs="Calibri"/>
                <w:color w:val="000000"/>
                <w:sz w:val="20"/>
                <w:szCs w:val="20"/>
                <w:lang w:eastAsia="en-GB"/>
              </w:rPr>
              <w:t>Covid</w:t>
            </w:r>
            <w:proofErr w:type="spellEnd"/>
          </w:p>
        </w:tc>
        <w:tc>
          <w:tcPr>
            <w:tcW w:w="1850" w:type="dxa"/>
            <w:tcBorders>
              <w:top w:val="nil"/>
              <w:left w:val="nil"/>
              <w:bottom w:val="nil"/>
              <w:right w:val="nil"/>
            </w:tcBorders>
            <w:shd w:val="clear" w:color="auto" w:fill="auto"/>
            <w:noWrap/>
            <w:vAlign w:val="center"/>
            <w:hideMark/>
          </w:tcPr>
          <w:p w14:paraId="6C29DADF"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-0.086</w:t>
            </w:r>
          </w:p>
        </w:tc>
        <w:tc>
          <w:tcPr>
            <w:tcW w:w="1850" w:type="dxa"/>
            <w:tcBorders>
              <w:top w:val="nil"/>
              <w:left w:val="nil"/>
              <w:bottom w:val="nil"/>
              <w:right w:val="nil"/>
            </w:tcBorders>
            <w:shd w:val="clear" w:color="auto" w:fill="auto"/>
            <w:vAlign w:val="center"/>
            <w:hideMark/>
          </w:tcPr>
          <w:p w14:paraId="1CBE87DD"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850" w:type="dxa"/>
            <w:tcBorders>
              <w:top w:val="nil"/>
              <w:left w:val="nil"/>
              <w:bottom w:val="nil"/>
              <w:right w:val="nil"/>
            </w:tcBorders>
            <w:shd w:val="clear" w:color="auto" w:fill="auto"/>
            <w:vAlign w:val="center"/>
            <w:hideMark/>
          </w:tcPr>
          <w:p w14:paraId="546EDDA9"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-0.026</w:t>
            </w:r>
          </w:p>
        </w:tc>
        <w:tc>
          <w:tcPr>
            <w:tcW w:w="1850" w:type="dxa"/>
            <w:tcBorders>
              <w:top w:val="nil"/>
              <w:left w:val="nil"/>
              <w:bottom w:val="nil"/>
              <w:right w:val="nil"/>
            </w:tcBorders>
            <w:shd w:val="clear" w:color="auto" w:fill="auto"/>
            <w:vAlign w:val="center"/>
            <w:hideMark/>
          </w:tcPr>
          <w:p w14:paraId="3C3A74F6"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943DE1" w:rsidRPr="00D06F2B" w14:paraId="6114E465" w14:textId="77777777" w:rsidTr="00FC752E">
        <w:trPr>
          <w:trHeight w:hRule="exact" w:val="284"/>
          <w:jc w:val="center"/>
        </w:trPr>
        <w:tc>
          <w:tcPr>
            <w:tcW w:w="1850" w:type="dxa"/>
            <w:tcBorders>
              <w:top w:val="nil"/>
              <w:left w:val="nil"/>
              <w:bottom w:val="nil"/>
              <w:right w:val="nil"/>
            </w:tcBorders>
            <w:shd w:val="clear" w:color="auto" w:fill="auto"/>
            <w:vAlign w:val="center"/>
            <w:hideMark/>
          </w:tcPr>
          <w:p w14:paraId="3089A6ED" w14:textId="77777777" w:rsidR="00943DE1" w:rsidRPr="00D06F2B" w:rsidRDefault="00943DE1" w:rsidP="00943DE1">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|∆EPS|</w:t>
            </w:r>
          </w:p>
        </w:tc>
        <w:tc>
          <w:tcPr>
            <w:tcW w:w="1850" w:type="dxa"/>
            <w:tcBorders>
              <w:top w:val="nil"/>
              <w:left w:val="nil"/>
              <w:bottom w:val="nil"/>
              <w:right w:val="nil"/>
            </w:tcBorders>
            <w:shd w:val="clear" w:color="auto" w:fill="auto"/>
            <w:vAlign w:val="center"/>
            <w:hideMark/>
          </w:tcPr>
          <w:p w14:paraId="2BD5AEEF"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0.073</w:t>
            </w:r>
          </w:p>
        </w:tc>
        <w:tc>
          <w:tcPr>
            <w:tcW w:w="1850" w:type="dxa"/>
            <w:tcBorders>
              <w:top w:val="nil"/>
              <w:left w:val="nil"/>
              <w:bottom w:val="nil"/>
              <w:right w:val="nil"/>
            </w:tcBorders>
            <w:shd w:val="clear" w:color="auto" w:fill="auto"/>
            <w:vAlign w:val="center"/>
            <w:hideMark/>
          </w:tcPr>
          <w:p w14:paraId="3FA4E2B0"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850" w:type="dxa"/>
            <w:tcBorders>
              <w:top w:val="nil"/>
              <w:left w:val="nil"/>
              <w:bottom w:val="nil"/>
              <w:right w:val="nil"/>
            </w:tcBorders>
            <w:shd w:val="clear" w:color="auto" w:fill="auto"/>
            <w:vAlign w:val="center"/>
            <w:hideMark/>
          </w:tcPr>
          <w:p w14:paraId="339947F0"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0.011</w:t>
            </w:r>
          </w:p>
        </w:tc>
        <w:tc>
          <w:tcPr>
            <w:tcW w:w="1850" w:type="dxa"/>
            <w:tcBorders>
              <w:top w:val="nil"/>
              <w:left w:val="nil"/>
              <w:bottom w:val="nil"/>
              <w:right w:val="nil"/>
            </w:tcBorders>
            <w:shd w:val="clear" w:color="auto" w:fill="auto"/>
            <w:vAlign w:val="center"/>
            <w:hideMark/>
          </w:tcPr>
          <w:p w14:paraId="1A699F67"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943DE1" w:rsidRPr="00D06F2B" w14:paraId="734DD8CB" w14:textId="77777777" w:rsidTr="00FC752E">
        <w:trPr>
          <w:trHeight w:hRule="exact" w:val="284"/>
          <w:jc w:val="center"/>
        </w:trPr>
        <w:tc>
          <w:tcPr>
            <w:tcW w:w="1850" w:type="dxa"/>
            <w:tcBorders>
              <w:top w:val="nil"/>
              <w:left w:val="nil"/>
              <w:bottom w:val="nil"/>
              <w:right w:val="nil"/>
            </w:tcBorders>
            <w:shd w:val="clear" w:color="auto" w:fill="auto"/>
            <w:vAlign w:val="center"/>
            <w:hideMark/>
          </w:tcPr>
          <w:p w14:paraId="798AD672" w14:textId="77777777" w:rsidR="00943DE1" w:rsidRPr="00D06F2B" w:rsidRDefault="00943DE1" w:rsidP="00943DE1">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|∆SAL|</w:t>
            </w:r>
          </w:p>
        </w:tc>
        <w:tc>
          <w:tcPr>
            <w:tcW w:w="1850" w:type="dxa"/>
            <w:tcBorders>
              <w:top w:val="nil"/>
              <w:left w:val="nil"/>
              <w:bottom w:val="nil"/>
              <w:right w:val="nil"/>
            </w:tcBorders>
            <w:shd w:val="clear" w:color="auto" w:fill="auto"/>
            <w:vAlign w:val="center"/>
            <w:hideMark/>
          </w:tcPr>
          <w:p w14:paraId="5E51D8DC"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0.068</w:t>
            </w:r>
          </w:p>
        </w:tc>
        <w:tc>
          <w:tcPr>
            <w:tcW w:w="1850" w:type="dxa"/>
            <w:tcBorders>
              <w:top w:val="nil"/>
              <w:left w:val="nil"/>
              <w:bottom w:val="nil"/>
              <w:right w:val="nil"/>
            </w:tcBorders>
            <w:shd w:val="clear" w:color="auto" w:fill="auto"/>
            <w:vAlign w:val="center"/>
            <w:hideMark/>
          </w:tcPr>
          <w:p w14:paraId="04F95D19"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850" w:type="dxa"/>
            <w:tcBorders>
              <w:top w:val="nil"/>
              <w:left w:val="nil"/>
              <w:bottom w:val="nil"/>
              <w:right w:val="nil"/>
            </w:tcBorders>
            <w:shd w:val="clear" w:color="auto" w:fill="auto"/>
            <w:vAlign w:val="center"/>
            <w:hideMark/>
          </w:tcPr>
          <w:p w14:paraId="6D752E25"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0.011</w:t>
            </w:r>
          </w:p>
        </w:tc>
        <w:tc>
          <w:tcPr>
            <w:tcW w:w="1850" w:type="dxa"/>
            <w:tcBorders>
              <w:top w:val="nil"/>
              <w:left w:val="nil"/>
              <w:bottom w:val="nil"/>
              <w:right w:val="nil"/>
            </w:tcBorders>
            <w:shd w:val="clear" w:color="auto" w:fill="auto"/>
            <w:vAlign w:val="center"/>
            <w:hideMark/>
          </w:tcPr>
          <w:p w14:paraId="437825C5"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943DE1" w:rsidRPr="00D06F2B" w14:paraId="34218250" w14:textId="77777777" w:rsidTr="00FC752E">
        <w:trPr>
          <w:trHeight w:hRule="exact" w:val="284"/>
          <w:jc w:val="center"/>
        </w:trPr>
        <w:tc>
          <w:tcPr>
            <w:tcW w:w="1850" w:type="dxa"/>
            <w:tcBorders>
              <w:top w:val="nil"/>
              <w:left w:val="nil"/>
              <w:bottom w:val="nil"/>
              <w:right w:val="nil"/>
            </w:tcBorders>
            <w:shd w:val="clear" w:color="auto" w:fill="auto"/>
            <w:vAlign w:val="center"/>
            <w:hideMark/>
          </w:tcPr>
          <w:p w14:paraId="0C82E8F9" w14:textId="77777777" w:rsidR="00943DE1" w:rsidRPr="00D06F2B" w:rsidRDefault="00943DE1" w:rsidP="00943DE1">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|∆CPS|</w:t>
            </w:r>
          </w:p>
        </w:tc>
        <w:tc>
          <w:tcPr>
            <w:tcW w:w="1850" w:type="dxa"/>
            <w:tcBorders>
              <w:top w:val="nil"/>
              <w:left w:val="nil"/>
              <w:bottom w:val="nil"/>
              <w:right w:val="nil"/>
            </w:tcBorders>
            <w:shd w:val="clear" w:color="auto" w:fill="auto"/>
            <w:noWrap/>
            <w:vAlign w:val="center"/>
            <w:hideMark/>
          </w:tcPr>
          <w:p w14:paraId="15304A70"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-0.011</w:t>
            </w:r>
          </w:p>
        </w:tc>
        <w:tc>
          <w:tcPr>
            <w:tcW w:w="1850" w:type="dxa"/>
            <w:tcBorders>
              <w:top w:val="nil"/>
              <w:left w:val="nil"/>
              <w:bottom w:val="nil"/>
              <w:right w:val="nil"/>
            </w:tcBorders>
            <w:shd w:val="clear" w:color="auto" w:fill="auto"/>
            <w:vAlign w:val="center"/>
            <w:hideMark/>
          </w:tcPr>
          <w:p w14:paraId="78A46414"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850" w:type="dxa"/>
            <w:tcBorders>
              <w:top w:val="nil"/>
              <w:left w:val="nil"/>
              <w:bottom w:val="nil"/>
              <w:right w:val="nil"/>
            </w:tcBorders>
            <w:shd w:val="clear" w:color="auto" w:fill="auto"/>
            <w:vAlign w:val="center"/>
            <w:hideMark/>
          </w:tcPr>
          <w:p w14:paraId="55A058B6"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850" w:type="dxa"/>
            <w:tcBorders>
              <w:top w:val="nil"/>
              <w:left w:val="nil"/>
              <w:bottom w:val="nil"/>
              <w:right w:val="nil"/>
            </w:tcBorders>
            <w:shd w:val="clear" w:color="auto" w:fill="auto"/>
            <w:vAlign w:val="center"/>
            <w:hideMark/>
          </w:tcPr>
          <w:p w14:paraId="03782B4B"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0.633</w:t>
            </w:r>
          </w:p>
        </w:tc>
      </w:tr>
      <w:tr w:rsidR="00943DE1" w:rsidRPr="00D06F2B" w14:paraId="0F7B05AB" w14:textId="77777777" w:rsidTr="00FC752E">
        <w:trPr>
          <w:trHeight w:hRule="exact" w:val="284"/>
          <w:jc w:val="center"/>
        </w:trPr>
        <w:tc>
          <w:tcPr>
            <w:tcW w:w="1850" w:type="dxa"/>
            <w:tcBorders>
              <w:top w:val="nil"/>
              <w:left w:val="nil"/>
              <w:bottom w:val="nil"/>
              <w:right w:val="nil"/>
            </w:tcBorders>
            <w:shd w:val="clear" w:color="auto" w:fill="auto"/>
            <w:vAlign w:val="center"/>
            <w:hideMark/>
          </w:tcPr>
          <w:p w14:paraId="0490F508" w14:textId="77777777" w:rsidR="00943DE1" w:rsidRPr="00D06F2B" w:rsidRDefault="00943DE1" w:rsidP="00943DE1">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|∆DPS|</w:t>
            </w:r>
          </w:p>
        </w:tc>
        <w:tc>
          <w:tcPr>
            <w:tcW w:w="1850" w:type="dxa"/>
            <w:tcBorders>
              <w:top w:val="nil"/>
              <w:left w:val="nil"/>
              <w:bottom w:val="nil"/>
              <w:right w:val="nil"/>
            </w:tcBorders>
            <w:shd w:val="clear" w:color="auto" w:fill="auto"/>
            <w:noWrap/>
            <w:vAlign w:val="center"/>
            <w:hideMark/>
          </w:tcPr>
          <w:p w14:paraId="4814EFB3"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-0.012</w:t>
            </w:r>
          </w:p>
        </w:tc>
        <w:tc>
          <w:tcPr>
            <w:tcW w:w="1850" w:type="dxa"/>
            <w:tcBorders>
              <w:top w:val="nil"/>
              <w:left w:val="nil"/>
              <w:bottom w:val="nil"/>
              <w:right w:val="nil"/>
            </w:tcBorders>
            <w:shd w:val="clear" w:color="auto" w:fill="auto"/>
            <w:vAlign w:val="center"/>
            <w:hideMark/>
          </w:tcPr>
          <w:p w14:paraId="663C7DEB"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850" w:type="dxa"/>
            <w:tcBorders>
              <w:top w:val="nil"/>
              <w:left w:val="nil"/>
              <w:bottom w:val="nil"/>
              <w:right w:val="nil"/>
            </w:tcBorders>
            <w:shd w:val="clear" w:color="auto" w:fill="auto"/>
            <w:vAlign w:val="center"/>
            <w:hideMark/>
          </w:tcPr>
          <w:p w14:paraId="39B77CAF"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850" w:type="dxa"/>
            <w:tcBorders>
              <w:top w:val="nil"/>
              <w:left w:val="nil"/>
              <w:bottom w:val="nil"/>
              <w:right w:val="nil"/>
            </w:tcBorders>
            <w:shd w:val="clear" w:color="auto" w:fill="auto"/>
            <w:vAlign w:val="center"/>
            <w:hideMark/>
          </w:tcPr>
          <w:p w14:paraId="4F371705"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0.515</w:t>
            </w:r>
          </w:p>
        </w:tc>
      </w:tr>
      <w:tr w:rsidR="00943DE1" w:rsidRPr="00D06F2B" w14:paraId="344BCFB7" w14:textId="77777777" w:rsidTr="00FC752E">
        <w:trPr>
          <w:trHeight w:hRule="exact" w:val="284"/>
          <w:jc w:val="center"/>
        </w:trPr>
        <w:tc>
          <w:tcPr>
            <w:tcW w:w="1850" w:type="dxa"/>
            <w:tcBorders>
              <w:top w:val="nil"/>
              <w:left w:val="nil"/>
              <w:bottom w:val="nil"/>
              <w:right w:val="nil"/>
            </w:tcBorders>
            <w:shd w:val="clear" w:color="auto" w:fill="auto"/>
            <w:vAlign w:val="center"/>
            <w:hideMark/>
          </w:tcPr>
          <w:p w14:paraId="7D952558" w14:textId="77777777" w:rsidR="00943DE1" w:rsidRPr="00D06F2B" w:rsidRDefault="00943DE1" w:rsidP="00943DE1">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|∆REC|</w:t>
            </w:r>
          </w:p>
        </w:tc>
        <w:tc>
          <w:tcPr>
            <w:tcW w:w="1850" w:type="dxa"/>
            <w:tcBorders>
              <w:top w:val="nil"/>
              <w:left w:val="nil"/>
              <w:bottom w:val="nil"/>
              <w:right w:val="nil"/>
            </w:tcBorders>
            <w:shd w:val="clear" w:color="auto" w:fill="auto"/>
            <w:vAlign w:val="center"/>
            <w:hideMark/>
          </w:tcPr>
          <w:p w14:paraId="5DC691F6"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0.011</w:t>
            </w:r>
          </w:p>
        </w:tc>
        <w:tc>
          <w:tcPr>
            <w:tcW w:w="1850" w:type="dxa"/>
            <w:tcBorders>
              <w:top w:val="nil"/>
              <w:left w:val="nil"/>
              <w:bottom w:val="nil"/>
              <w:right w:val="nil"/>
            </w:tcBorders>
            <w:shd w:val="clear" w:color="auto" w:fill="auto"/>
            <w:vAlign w:val="center"/>
            <w:hideMark/>
          </w:tcPr>
          <w:p w14:paraId="25DA60E9"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850" w:type="dxa"/>
            <w:tcBorders>
              <w:top w:val="nil"/>
              <w:left w:val="nil"/>
              <w:bottom w:val="nil"/>
              <w:right w:val="nil"/>
            </w:tcBorders>
            <w:shd w:val="clear" w:color="auto" w:fill="auto"/>
            <w:vAlign w:val="center"/>
            <w:hideMark/>
          </w:tcPr>
          <w:p w14:paraId="45C49C9E"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0.008</w:t>
            </w:r>
          </w:p>
        </w:tc>
        <w:tc>
          <w:tcPr>
            <w:tcW w:w="1850" w:type="dxa"/>
            <w:tcBorders>
              <w:top w:val="nil"/>
              <w:left w:val="nil"/>
              <w:bottom w:val="nil"/>
              <w:right w:val="nil"/>
            </w:tcBorders>
            <w:shd w:val="clear" w:color="auto" w:fill="auto"/>
            <w:vAlign w:val="center"/>
            <w:hideMark/>
          </w:tcPr>
          <w:p w14:paraId="22B9284D"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943DE1" w:rsidRPr="00D06F2B" w14:paraId="6E8095A2" w14:textId="77777777" w:rsidTr="00FC752E">
        <w:trPr>
          <w:trHeight w:hRule="exact" w:val="284"/>
          <w:jc w:val="center"/>
        </w:trPr>
        <w:tc>
          <w:tcPr>
            <w:tcW w:w="1850" w:type="dxa"/>
            <w:tcBorders>
              <w:top w:val="nil"/>
              <w:left w:val="nil"/>
              <w:bottom w:val="nil"/>
              <w:right w:val="nil"/>
            </w:tcBorders>
            <w:shd w:val="clear" w:color="auto" w:fill="auto"/>
            <w:vAlign w:val="center"/>
            <w:hideMark/>
          </w:tcPr>
          <w:p w14:paraId="5B6C6CBB" w14:textId="77777777" w:rsidR="00943DE1" w:rsidRPr="00D06F2B" w:rsidRDefault="00943DE1" w:rsidP="00943DE1">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|∆TP|</w:t>
            </w:r>
          </w:p>
        </w:tc>
        <w:tc>
          <w:tcPr>
            <w:tcW w:w="1850" w:type="dxa"/>
            <w:tcBorders>
              <w:top w:val="nil"/>
              <w:left w:val="nil"/>
              <w:bottom w:val="nil"/>
              <w:right w:val="nil"/>
            </w:tcBorders>
            <w:shd w:val="clear" w:color="auto" w:fill="auto"/>
            <w:vAlign w:val="center"/>
            <w:hideMark/>
          </w:tcPr>
          <w:p w14:paraId="6994262F"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0.297</w:t>
            </w:r>
          </w:p>
        </w:tc>
        <w:tc>
          <w:tcPr>
            <w:tcW w:w="1850" w:type="dxa"/>
            <w:tcBorders>
              <w:top w:val="nil"/>
              <w:left w:val="nil"/>
              <w:bottom w:val="nil"/>
              <w:right w:val="nil"/>
            </w:tcBorders>
            <w:shd w:val="clear" w:color="auto" w:fill="auto"/>
            <w:vAlign w:val="center"/>
            <w:hideMark/>
          </w:tcPr>
          <w:p w14:paraId="7389DA9F"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850" w:type="dxa"/>
            <w:tcBorders>
              <w:top w:val="nil"/>
              <w:left w:val="nil"/>
              <w:bottom w:val="nil"/>
              <w:right w:val="nil"/>
            </w:tcBorders>
            <w:shd w:val="clear" w:color="auto" w:fill="auto"/>
            <w:vAlign w:val="center"/>
            <w:hideMark/>
          </w:tcPr>
          <w:p w14:paraId="0A950824"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0.168</w:t>
            </w:r>
          </w:p>
        </w:tc>
        <w:tc>
          <w:tcPr>
            <w:tcW w:w="1850" w:type="dxa"/>
            <w:tcBorders>
              <w:top w:val="nil"/>
              <w:left w:val="nil"/>
              <w:bottom w:val="nil"/>
              <w:right w:val="nil"/>
            </w:tcBorders>
            <w:shd w:val="clear" w:color="auto" w:fill="auto"/>
            <w:vAlign w:val="center"/>
            <w:hideMark/>
          </w:tcPr>
          <w:p w14:paraId="126602A8"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943DE1" w:rsidRPr="00D06F2B" w14:paraId="7C9B1F6C" w14:textId="77777777" w:rsidTr="00FC752E">
        <w:trPr>
          <w:trHeight w:hRule="exact" w:val="284"/>
          <w:jc w:val="center"/>
        </w:trPr>
        <w:tc>
          <w:tcPr>
            <w:tcW w:w="1850" w:type="dxa"/>
            <w:tcBorders>
              <w:top w:val="nil"/>
              <w:left w:val="nil"/>
              <w:bottom w:val="nil"/>
              <w:right w:val="nil"/>
            </w:tcBorders>
            <w:shd w:val="clear" w:color="auto" w:fill="auto"/>
            <w:noWrap/>
            <w:vAlign w:val="center"/>
            <w:hideMark/>
          </w:tcPr>
          <w:p w14:paraId="3B6281FF" w14:textId="77777777" w:rsidR="00943DE1" w:rsidRPr="00D06F2B" w:rsidRDefault="00943DE1" w:rsidP="00943DE1">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Year effects</w:t>
            </w:r>
          </w:p>
        </w:tc>
        <w:tc>
          <w:tcPr>
            <w:tcW w:w="1850" w:type="dxa"/>
            <w:tcBorders>
              <w:top w:val="nil"/>
              <w:left w:val="nil"/>
              <w:bottom w:val="nil"/>
              <w:right w:val="nil"/>
            </w:tcBorders>
            <w:shd w:val="clear" w:color="auto" w:fill="auto"/>
            <w:noWrap/>
            <w:vAlign w:val="center"/>
            <w:hideMark/>
          </w:tcPr>
          <w:p w14:paraId="4D21D486"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850" w:type="dxa"/>
            <w:tcBorders>
              <w:top w:val="nil"/>
              <w:left w:val="nil"/>
              <w:bottom w:val="nil"/>
              <w:right w:val="nil"/>
            </w:tcBorders>
            <w:shd w:val="clear" w:color="auto" w:fill="auto"/>
            <w:noWrap/>
            <w:vAlign w:val="center"/>
            <w:hideMark/>
          </w:tcPr>
          <w:p w14:paraId="25E2FE0F"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p>
        </w:tc>
        <w:tc>
          <w:tcPr>
            <w:tcW w:w="1850" w:type="dxa"/>
            <w:tcBorders>
              <w:top w:val="nil"/>
              <w:left w:val="nil"/>
              <w:bottom w:val="nil"/>
              <w:right w:val="nil"/>
            </w:tcBorders>
            <w:shd w:val="clear" w:color="auto" w:fill="auto"/>
            <w:noWrap/>
            <w:vAlign w:val="center"/>
            <w:hideMark/>
          </w:tcPr>
          <w:p w14:paraId="10395613"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850" w:type="dxa"/>
            <w:tcBorders>
              <w:top w:val="nil"/>
              <w:left w:val="nil"/>
              <w:bottom w:val="nil"/>
              <w:right w:val="nil"/>
            </w:tcBorders>
            <w:shd w:val="clear" w:color="auto" w:fill="auto"/>
            <w:noWrap/>
            <w:vAlign w:val="center"/>
            <w:hideMark/>
          </w:tcPr>
          <w:p w14:paraId="02A7DB77"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p>
        </w:tc>
      </w:tr>
      <w:tr w:rsidR="00943DE1" w:rsidRPr="00D06F2B" w14:paraId="5F7FFF1C" w14:textId="77777777" w:rsidTr="00FC752E">
        <w:trPr>
          <w:trHeight w:hRule="exact" w:val="284"/>
          <w:jc w:val="center"/>
        </w:trPr>
        <w:tc>
          <w:tcPr>
            <w:tcW w:w="1850" w:type="dxa"/>
            <w:tcBorders>
              <w:top w:val="nil"/>
              <w:left w:val="nil"/>
              <w:bottom w:val="nil"/>
              <w:right w:val="nil"/>
            </w:tcBorders>
            <w:shd w:val="clear" w:color="auto" w:fill="auto"/>
            <w:noWrap/>
            <w:vAlign w:val="center"/>
            <w:hideMark/>
          </w:tcPr>
          <w:p w14:paraId="66115F1B" w14:textId="77777777" w:rsidR="00943DE1" w:rsidRPr="00D06F2B" w:rsidRDefault="00943DE1" w:rsidP="00943DE1">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Quarter effect</w:t>
            </w:r>
          </w:p>
        </w:tc>
        <w:tc>
          <w:tcPr>
            <w:tcW w:w="1850" w:type="dxa"/>
            <w:tcBorders>
              <w:top w:val="nil"/>
              <w:left w:val="nil"/>
              <w:bottom w:val="nil"/>
              <w:right w:val="nil"/>
            </w:tcBorders>
            <w:shd w:val="clear" w:color="auto" w:fill="auto"/>
            <w:noWrap/>
            <w:vAlign w:val="center"/>
            <w:hideMark/>
          </w:tcPr>
          <w:p w14:paraId="437A7CBA"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850" w:type="dxa"/>
            <w:tcBorders>
              <w:top w:val="nil"/>
              <w:left w:val="nil"/>
              <w:bottom w:val="nil"/>
              <w:right w:val="nil"/>
            </w:tcBorders>
            <w:shd w:val="clear" w:color="auto" w:fill="auto"/>
            <w:noWrap/>
            <w:vAlign w:val="center"/>
            <w:hideMark/>
          </w:tcPr>
          <w:p w14:paraId="4D0FD751"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p>
        </w:tc>
        <w:tc>
          <w:tcPr>
            <w:tcW w:w="1850" w:type="dxa"/>
            <w:tcBorders>
              <w:top w:val="nil"/>
              <w:left w:val="nil"/>
              <w:bottom w:val="nil"/>
              <w:right w:val="nil"/>
            </w:tcBorders>
            <w:shd w:val="clear" w:color="auto" w:fill="auto"/>
            <w:noWrap/>
            <w:vAlign w:val="center"/>
            <w:hideMark/>
          </w:tcPr>
          <w:p w14:paraId="73C41FE8"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850" w:type="dxa"/>
            <w:tcBorders>
              <w:top w:val="nil"/>
              <w:left w:val="nil"/>
              <w:bottom w:val="nil"/>
              <w:right w:val="nil"/>
            </w:tcBorders>
            <w:shd w:val="clear" w:color="auto" w:fill="auto"/>
            <w:noWrap/>
            <w:vAlign w:val="center"/>
            <w:hideMark/>
          </w:tcPr>
          <w:p w14:paraId="4608ED2F"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p>
        </w:tc>
      </w:tr>
      <w:tr w:rsidR="00943DE1" w:rsidRPr="00D06F2B" w14:paraId="117EF692" w14:textId="77777777" w:rsidTr="00FC752E">
        <w:trPr>
          <w:trHeight w:hRule="exact" w:val="284"/>
          <w:jc w:val="center"/>
        </w:trPr>
        <w:tc>
          <w:tcPr>
            <w:tcW w:w="1850" w:type="dxa"/>
            <w:tcBorders>
              <w:top w:val="nil"/>
              <w:left w:val="nil"/>
              <w:bottom w:val="nil"/>
              <w:right w:val="nil"/>
            </w:tcBorders>
            <w:shd w:val="clear" w:color="auto" w:fill="auto"/>
            <w:noWrap/>
            <w:vAlign w:val="center"/>
            <w:hideMark/>
          </w:tcPr>
          <w:p w14:paraId="4C6AC99C" w14:textId="77777777" w:rsidR="00943DE1" w:rsidRPr="00D06F2B" w:rsidRDefault="00943DE1" w:rsidP="00943DE1">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Firm effects</w:t>
            </w:r>
          </w:p>
        </w:tc>
        <w:tc>
          <w:tcPr>
            <w:tcW w:w="1850" w:type="dxa"/>
            <w:tcBorders>
              <w:top w:val="nil"/>
              <w:left w:val="nil"/>
              <w:bottom w:val="nil"/>
              <w:right w:val="nil"/>
            </w:tcBorders>
            <w:shd w:val="clear" w:color="auto" w:fill="auto"/>
            <w:noWrap/>
            <w:vAlign w:val="center"/>
            <w:hideMark/>
          </w:tcPr>
          <w:p w14:paraId="37C549DA"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No</w:t>
            </w:r>
          </w:p>
        </w:tc>
        <w:tc>
          <w:tcPr>
            <w:tcW w:w="1850" w:type="dxa"/>
            <w:tcBorders>
              <w:top w:val="nil"/>
              <w:left w:val="nil"/>
              <w:bottom w:val="nil"/>
              <w:right w:val="nil"/>
            </w:tcBorders>
            <w:shd w:val="clear" w:color="auto" w:fill="auto"/>
            <w:noWrap/>
            <w:vAlign w:val="center"/>
            <w:hideMark/>
          </w:tcPr>
          <w:p w14:paraId="26AF046B"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p>
        </w:tc>
        <w:tc>
          <w:tcPr>
            <w:tcW w:w="1850" w:type="dxa"/>
            <w:tcBorders>
              <w:top w:val="nil"/>
              <w:left w:val="nil"/>
              <w:bottom w:val="nil"/>
              <w:right w:val="nil"/>
            </w:tcBorders>
            <w:shd w:val="clear" w:color="auto" w:fill="auto"/>
            <w:noWrap/>
            <w:vAlign w:val="center"/>
            <w:hideMark/>
          </w:tcPr>
          <w:p w14:paraId="234936A5"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850" w:type="dxa"/>
            <w:tcBorders>
              <w:top w:val="nil"/>
              <w:left w:val="nil"/>
              <w:bottom w:val="nil"/>
              <w:right w:val="nil"/>
            </w:tcBorders>
            <w:shd w:val="clear" w:color="auto" w:fill="auto"/>
            <w:noWrap/>
            <w:vAlign w:val="center"/>
            <w:hideMark/>
          </w:tcPr>
          <w:p w14:paraId="4AC20D24"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p>
        </w:tc>
      </w:tr>
      <w:tr w:rsidR="00943DE1" w:rsidRPr="00D06F2B" w14:paraId="744C8B49" w14:textId="77777777" w:rsidTr="00FC752E">
        <w:trPr>
          <w:trHeight w:hRule="exact" w:val="284"/>
          <w:jc w:val="center"/>
        </w:trPr>
        <w:tc>
          <w:tcPr>
            <w:tcW w:w="1850" w:type="dxa"/>
            <w:tcBorders>
              <w:top w:val="nil"/>
              <w:left w:val="nil"/>
              <w:right w:val="nil"/>
            </w:tcBorders>
            <w:shd w:val="clear" w:color="auto" w:fill="auto"/>
            <w:noWrap/>
            <w:vAlign w:val="center"/>
            <w:hideMark/>
          </w:tcPr>
          <w:p w14:paraId="4EC6065F" w14:textId="77777777" w:rsidR="00943DE1" w:rsidRPr="00D06F2B" w:rsidRDefault="00943DE1" w:rsidP="00943DE1">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N</w:t>
            </w:r>
          </w:p>
        </w:tc>
        <w:tc>
          <w:tcPr>
            <w:tcW w:w="1850" w:type="dxa"/>
            <w:tcBorders>
              <w:top w:val="nil"/>
              <w:left w:val="nil"/>
              <w:right w:val="nil"/>
            </w:tcBorders>
            <w:shd w:val="clear" w:color="auto" w:fill="auto"/>
            <w:noWrap/>
            <w:vAlign w:val="center"/>
            <w:hideMark/>
          </w:tcPr>
          <w:p w14:paraId="1DEF415B"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445561</w:t>
            </w:r>
          </w:p>
        </w:tc>
        <w:tc>
          <w:tcPr>
            <w:tcW w:w="1850" w:type="dxa"/>
            <w:tcBorders>
              <w:top w:val="nil"/>
              <w:left w:val="nil"/>
              <w:right w:val="nil"/>
            </w:tcBorders>
            <w:shd w:val="clear" w:color="auto" w:fill="auto"/>
            <w:noWrap/>
            <w:vAlign w:val="center"/>
            <w:hideMark/>
          </w:tcPr>
          <w:p w14:paraId="7EAB0789"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p>
        </w:tc>
        <w:tc>
          <w:tcPr>
            <w:tcW w:w="1850" w:type="dxa"/>
            <w:tcBorders>
              <w:top w:val="nil"/>
              <w:left w:val="nil"/>
              <w:right w:val="nil"/>
            </w:tcBorders>
            <w:shd w:val="clear" w:color="auto" w:fill="auto"/>
            <w:noWrap/>
            <w:vAlign w:val="center"/>
            <w:hideMark/>
          </w:tcPr>
          <w:p w14:paraId="024D1DEA"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445561</w:t>
            </w:r>
          </w:p>
        </w:tc>
        <w:tc>
          <w:tcPr>
            <w:tcW w:w="1850" w:type="dxa"/>
            <w:tcBorders>
              <w:top w:val="nil"/>
              <w:left w:val="nil"/>
              <w:right w:val="nil"/>
            </w:tcBorders>
            <w:shd w:val="clear" w:color="auto" w:fill="auto"/>
            <w:noWrap/>
            <w:vAlign w:val="center"/>
            <w:hideMark/>
          </w:tcPr>
          <w:p w14:paraId="63815952"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p>
        </w:tc>
      </w:tr>
      <w:tr w:rsidR="00943DE1" w:rsidRPr="00D06F2B" w14:paraId="38057172" w14:textId="77777777" w:rsidTr="00FC752E">
        <w:trPr>
          <w:trHeight w:hRule="exact" w:val="284"/>
          <w:jc w:val="center"/>
        </w:trPr>
        <w:tc>
          <w:tcPr>
            <w:tcW w:w="1850" w:type="dxa"/>
            <w:tcBorders>
              <w:top w:val="nil"/>
              <w:left w:val="nil"/>
              <w:bottom w:val="single" w:sz="4" w:space="0" w:color="auto"/>
              <w:right w:val="nil"/>
            </w:tcBorders>
            <w:shd w:val="clear" w:color="auto" w:fill="auto"/>
            <w:noWrap/>
            <w:vAlign w:val="center"/>
            <w:hideMark/>
          </w:tcPr>
          <w:p w14:paraId="378860F6" w14:textId="77777777" w:rsidR="00943DE1" w:rsidRPr="00D06F2B" w:rsidRDefault="00943DE1" w:rsidP="00943DE1">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R2</w:t>
            </w:r>
          </w:p>
        </w:tc>
        <w:tc>
          <w:tcPr>
            <w:tcW w:w="1850" w:type="dxa"/>
            <w:tcBorders>
              <w:top w:val="nil"/>
              <w:left w:val="nil"/>
              <w:bottom w:val="single" w:sz="4" w:space="0" w:color="auto"/>
              <w:right w:val="nil"/>
            </w:tcBorders>
            <w:shd w:val="clear" w:color="auto" w:fill="auto"/>
            <w:noWrap/>
            <w:vAlign w:val="center"/>
            <w:hideMark/>
          </w:tcPr>
          <w:p w14:paraId="05FC9783"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7.89%</w:t>
            </w:r>
          </w:p>
        </w:tc>
        <w:tc>
          <w:tcPr>
            <w:tcW w:w="1850" w:type="dxa"/>
            <w:tcBorders>
              <w:top w:val="nil"/>
              <w:left w:val="nil"/>
              <w:bottom w:val="single" w:sz="4" w:space="0" w:color="auto"/>
              <w:right w:val="nil"/>
            </w:tcBorders>
            <w:shd w:val="clear" w:color="auto" w:fill="auto"/>
            <w:noWrap/>
            <w:vAlign w:val="center"/>
            <w:hideMark/>
          </w:tcPr>
          <w:p w14:paraId="464D1D69"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c>
          <w:tcPr>
            <w:tcW w:w="1850" w:type="dxa"/>
            <w:tcBorders>
              <w:top w:val="nil"/>
              <w:left w:val="nil"/>
              <w:bottom w:val="single" w:sz="4" w:space="0" w:color="auto"/>
              <w:right w:val="nil"/>
            </w:tcBorders>
            <w:shd w:val="clear" w:color="auto" w:fill="auto"/>
            <w:noWrap/>
            <w:vAlign w:val="center"/>
            <w:hideMark/>
          </w:tcPr>
          <w:p w14:paraId="176E0E0D"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27.93%</w:t>
            </w:r>
          </w:p>
        </w:tc>
        <w:tc>
          <w:tcPr>
            <w:tcW w:w="1850" w:type="dxa"/>
            <w:tcBorders>
              <w:top w:val="nil"/>
              <w:left w:val="nil"/>
              <w:bottom w:val="single" w:sz="4" w:space="0" w:color="auto"/>
              <w:right w:val="nil"/>
            </w:tcBorders>
            <w:shd w:val="clear" w:color="auto" w:fill="auto"/>
            <w:noWrap/>
            <w:vAlign w:val="center"/>
            <w:hideMark/>
          </w:tcPr>
          <w:p w14:paraId="741DD872" w14:textId="77777777" w:rsidR="00943DE1" w:rsidRPr="00D06F2B" w:rsidRDefault="00943DE1" w:rsidP="00943DE1">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r>
    </w:tbl>
    <w:p w14:paraId="0792938D" w14:textId="6F078D18" w:rsidR="000A53D8" w:rsidRPr="00D06F2B" w:rsidRDefault="00943DE1" w:rsidP="006B0968">
      <w:pPr>
        <w:rPr>
          <w:rFonts w:ascii="Garamond" w:hAnsi="Garamond"/>
          <w:sz w:val="20"/>
          <w:szCs w:val="20"/>
          <w:lang w:val="en-US"/>
        </w:rPr>
      </w:pPr>
      <w:r w:rsidRPr="00D06F2B">
        <w:rPr>
          <w:rFonts w:ascii="Garamond" w:hAnsi="Garamond"/>
          <w:sz w:val="20"/>
          <w:szCs w:val="20"/>
          <w:lang w:val="en-US"/>
        </w:rPr>
        <w:t xml:space="preserve"> </w:t>
      </w:r>
      <w:r w:rsidR="008C11C1" w:rsidRPr="00D06F2B">
        <w:rPr>
          <w:rFonts w:ascii="Garamond" w:hAnsi="Garamond"/>
          <w:i/>
          <w:iCs/>
          <w:sz w:val="20"/>
          <w:szCs w:val="20"/>
          <w:lang w:val="en-US"/>
        </w:rPr>
        <w:t xml:space="preserve">Notes: </w:t>
      </w:r>
      <w:r w:rsidR="009B1555" w:rsidRPr="00D06F2B">
        <w:rPr>
          <w:rFonts w:ascii="Garamond" w:hAnsi="Garamond"/>
          <w:sz w:val="20"/>
          <w:szCs w:val="20"/>
          <w:lang w:val="en-US"/>
        </w:rPr>
        <w:t>The table reports regression results for equation (3)</w:t>
      </w:r>
      <w:r w:rsidR="00205827">
        <w:rPr>
          <w:rFonts w:ascii="Garamond" w:hAnsi="Garamond"/>
          <w:sz w:val="20"/>
          <w:szCs w:val="20"/>
          <w:lang w:val="en-US"/>
        </w:rPr>
        <w:t xml:space="preserve"> where the dependent variable is the</w:t>
      </w:r>
      <w:r w:rsidR="009B1555" w:rsidRPr="00D06F2B">
        <w:rPr>
          <w:rFonts w:ascii="Garamond" w:hAnsi="Garamond"/>
          <w:sz w:val="20"/>
          <w:szCs w:val="20"/>
          <w:lang w:val="en-US"/>
        </w:rPr>
        <w:t xml:space="preserve"> price reaction to analyst quarterly forecast revision</w:t>
      </w:r>
      <w:r w:rsidR="00205827">
        <w:rPr>
          <w:rFonts w:ascii="Garamond" w:hAnsi="Garamond"/>
          <w:sz w:val="20"/>
          <w:szCs w:val="20"/>
          <w:lang w:val="en-US"/>
        </w:rPr>
        <w:t>s</w:t>
      </w:r>
      <w:r w:rsidR="009B1555" w:rsidRPr="00D06F2B">
        <w:rPr>
          <w:rFonts w:ascii="Garamond" w:hAnsi="Garamond"/>
          <w:sz w:val="20"/>
          <w:szCs w:val="20"/>
          <w:lang w:val="en-US"/>
        </w:rPr>
        <w:t xml:space="preserve">. </w:t>
      </w:r>
      <w:proofErr w:type="spellStart"/>
      <w:r w:rsidR="001140E1" w:rsidRPr="00D06F2B">
        <w:rPr>
          <w:rFonts w:ascii="Garamond" w:hAnsi="Garamond"/>
          <w:i/>
          <w:iCs/>
          <w:sz w:val="20"/>
          <w:szCs w:val="20"/>
          <w:lang w:val="en-US"/>
        </w:rPr>
        <w:t>Covid</w:t>
      </w:r>
      <w:proofErr w:type="spellEnd"/>
      <w:r w:rsidR="001140E1" w:rsidRPr="00D06F2B">
        <w:rPr>
          <w:rFonts w:ascii="Garamond" w:hAnsi="Garamond"/>
          <w:sz w:val="20"/>
          <w:szCs w:val="20"/>
          <w:lang w:val="en-US"/>
        </w:rPr>
        <w:t xml:space="preserve"> is an indicator variable equal to one for year 2020 and zero otherwise.</w:t>
      </w:r>
      <w:r w:rsidR="000A53D8" w:rsidRPr="00D06F2B">
        <w:rPr>
          <w:rFonts w:ascii="Garamond" w:hAnsi="Garamond"/>
          <w:sz w:val="20"/>
          <w:szCs w:val="20"/>
          <w:lang w:val="en-US"/>
        </w:rPr>
        <w:t xml:space="preserve"> Intercepts omitted for brevity. All variables are standardized to a mean of zero and unit standard deviation. Standard errors clustered at the firm and year level.</w:t>
      </w:r>
    </w:p>
    <w:p w14:paraId="4FC5A7E0" w14:textId="77777777" w:rsidR="000A53D8" w:rsidRPr="00D06F2B" w:rsidRDefault="000A53D8" w:rsidP="006B0968">
      <w:pPr>
        <w:rPr>
          <w:rFonts w:ascii="Garamond" w:hAnsi="Garamond"/>
          <w:sz w:val="20"/>
          <w:szCs w:val="20"/>
          <w:lang w:val="en-US"/>
        </w:rPr>
      </w:pPr>
    </w:p>
    <w:p w14:paraId="216E1B39" w14:textId="0E42FBE7" w:rsidR="00C372F9" w:rsidRPr="00D06F2B" w:rsidRDefault="00C372F9">
      <w:pPr>
        <w:rPr>
          <w:rFonts w:ascii="Garamond" w:hAnsi="Garamond"/>
          <w:sz w:val="24"/>
          <w:szCs w:val="24"/>
          <w:lang w:val="en-US"/>
        </w:rPr>
      </w:pPr>
      <w:r w:rsidRPr="00D06F2B">
        <w:rPr>
          <w:rFonts w:ascii="Garamond" w:hAnsi="Garamond"/>
          <w:sz w:val="24"/>
          <w:szCs w:val="24"/>
          <w:lang w:val="en-US"/>
        </w:rPr>
        <w:br w:type="page"/>
      </w:r>
    </w:p>
    <w:p w14:paraId="097428E0" w14:textId="77777777" w:rsidR="00A52788" w:rsidRPr="00D06F2B" w:rsidRDefault="00A52788">
      <w:pPr>
        <w:rPr>
          <w:rFonts w:ascii="Garamond" w:hAnsi="Garamond"/>
          <w:sz w:val="24"/>
          <w:szCs w:val="24"/>
          <w:lang w:val="en-US"/>
        </w:rPr>
        <w:sectPr w:rsidR="00A52788" w:rsidRPr="00D06F2B" w:rsidSect="00CE11A2">
          <w:pgSz w:w="12242" w:h="15842" w:code="1"/>
          <w:pgMar w:top="1440" w:right="1440" w:bottom="1440" w:left="1440" w:header="709" w:footer="709" w:gutter="0"/>
          <w:cols w:space="708"/>
          <w:docGrid w:linePitch="360"/>
        </w:sectPr>
      </w:pPr>
    </w:p>
    <w:p w14:paraId="5A7E5D04" w14:textId="759EFEF4" w:rsidR="002E05C7" w:rsidRPr="00D06F2B" w:rsidRDefault="002E05C7" w:rsidP="00FF2AA8">
      <w:pPr>
        <w:spacing w:after="0"/>
        <w:rPr>
          <w:rFonts w:ascii="Garamond" w:hAnsi="Garamond"/>
          <w:sz w:val="24"/>
          <w:szCs w:val="24"/>
          <w:lang w:val="en-US"/>
        </w:rPr>
      </w:pPr>
      <w:r w:rsidRPr="00D06F2B">
        <w:rPr>
          <w:rFonts w:ascii="Garamond" w:hAnsi="Garamond"/>
          <w:sz w:val="24"/>
          <w:szCs w:val="24"/>
          <w:lang w:val="en-US"/>
        </w:rPr>
        <w:lastRenderedPageBreak/>
        <w:t xml:space="preserve">TABLE </w:t>
      </w:r>
      <w:r w:rsidR="00502A2F" w:rsidRPr="00D06F2B">
        <w:rPr>
          <w:rFonts w:ascii="Garamond" w:hAnsi="Garamond"/>
          <w:sz w:val="24"/>
          <w:szCs w:val="24"/>
          <w:lang w:val="en-US"/>
        </w:rPr>
        <w:t>5</w:t>
      </w:r>
    </w:p>
    <w:p w14:paraId="77B6F8A4" w14:textId="3E5A04E0" w:rsidR="002E05C7" w:rsidRPr="00D06F2B" w:rsidRDefault="002E05C7" w:rsidP="00FF2AA8">
      <w:pPr>
        <w:spacing w:after="0"/>
        <w:rPr>
          <w:rFonts w:ascii="Garamond" w:hAnsi="Garamond"/>
          <w:sz w:val="24"/>
          <w:szCs w:val="24"/>
          <w:lang w:val="en-US"/>
        </w:rPr>
      </w:pPr>
      <w:r w:rsidRPr="00D06F2B">
        <w:rPr>
          <w:rFonts w:ascii="Garamond" w:hAnsi="Garamond"/>
          <w:sz w:val="24"/>
          <w:szCs w:val="24"/>
          <w:lang w:val="en-US"/>
        </w:rPr>
        <w:t>Robustness tests</w:t>
      </w:r>
    </w:p>
    <w:tbl>
      <w:tblPr>
        <w:tblW w:w="12941" w:type="dxa"/>
        <w:tblLook w:val="04A0" w:firstRow="1" w:lastRow="0" w:firstColumn="1" w:lastColumn="0" w:noHBand="0" w:noVBand="1"/>
      </w:tblPr>
      <w:tblGrid>
        <w:gridCol w:w="2239"/>
        <w:gridCol w:w="961"/>
        <w:gridCol w:w="938"/>
        <w:gridCol w:w="1151"/>
        <w:gridCol w:w="1236"/>
        <w:gridCol w:w="1141"/>
        <w:gridCol w:w="1044"/>
        <w:gridCol w:w="1078"/>
        <w:gridCol w:w="1023"/>
        <w:gridCol w:w="1150"/>
        <w:gridCol w:w="980"/>
      </w:tblGrid>
      <w:tr w:rsidR="009571C5" w:rsidRPr="00D06F2B" w14:paraId="04FB49DB" w14:textId="77777777" w:rsidTr="009571C5">
        <w:trPr>
          <w:trHeight w:val="585"/>
        </w:trPr>
        <w:tc>
          <w:tcPr>
            <w:tcW w:w="2239" w:type="dxa"/>
            <w:tcBorders>
              <w:top w:val="single" w:sz="4" w:space="0" w:color="auto"/>
              <w:left w:val="nil"/>
              <w:bottom w:val="nil"/>
              <w:right w:val="nil"/>
            </w:tcBorders>
            <w:shd w:val="clear" w:color="auto" w:fill="auto"/>
            <w:noWrap/>
            <w:vAlign w:val="center"/>
            <w:hideMark/>
          </w:tcPr>
          <w:p w14:paraId="5A031B7E" w14:textId="77777777" w:rsidR="009571C5" w:rsidRPr="00D06F2B" w:rsidRDefault="009571C5" w:rsidP="00A5278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c>
          <w:tcPr>
            <w:tcW w:w="1899" w:type="dxa"/>
            <w:gridSpan w:val="2"/>
            <w:tcBorders>
              <w:top w:val="single" w:sz="4" w:space="0" w:color="auto"/>
              <w:left w:val="nil"/>
              <w:bottom w:val="nil"/>
              <w:right w:val="nil"/>
            </w:tcBorders>
            <w:shd w:val="clear" w:color="auto" w:fill="auto"/>
            <w:vAlign w:val="center"/>
            <w:hideMark/>
          </w:tcPr>
          <w:p w14:paraId="48EECDA5" w14:textId="30C1C0C2" w:rsidR="009571C5" w:rsidRPr="00D06F2B" w:rsidRDefault="009571C5" w:rsidP="009571C5">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Market-adjusted CAR</w:t>
            </w:r>
          </w:p>
        </w:tc>
        <w:tc>
          <w:tcPr>
            <w:tcW w:w="2387" w:type="dxa"/>
            <w:gridSpan w:val="2"/>
            <w:tcBorders>
              <w:top w:val="single" w:sz="4" w:space="0" w:color="auto"/>
              <w:left w:val="nil"/>
              <w:bottom w:val="nil"/>
              <w:right w:val="nil"/>
            </w:tcBorders>
            <w:shd w:val="clear" w:color="auto" w:fill="auto"/>
            <w:vAlign w:val="center"/>
            <w:hideMark/>
          </w:tcPr>
          <w:p w14:paraId="10473D26" w14:textId="42EE2B9C" w:rsidR="009571C5" w:rsidRPr="00D06F2B" w:rsidRDefault="009571C5" w:rsidP="009571C5">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Market-model adjusted CAR</w:t>
            </w:r>
          </w:p>
        </w:tc>
        <w:tc>
          <w:tcPr>
            <w:tcW w:w="2185" w:type="dxa"/>
            <w:gridSpan w:val="2"/>
            <w:tcBorders>
              <w:top w:val="single" w:sz="4" w:space="0" w:color="auto"/>
              <w:left w:val="nil"/>
              <w:bottom w:val="nil"/>
              <w:right w:val="nil"/>
            </w:tcBorders>
            <w:shd w:val="clear" w:color="auto" w:fill="auto"/>
            <w:vAlign w:val="center"/>
            <w:hideMark/>
          </w:tcPr>
          <w:p w14:paraId="10CFF9E8" w14:textId="4FB2A79D" w:rsidR="009571C5" w:rsidRPr="00D06F2B" w:rsidRDefault="009571C5" w:rsidP="009571C5">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Alternative measure of revisions</w:t>
            </w:r>
          </w:p>
        </w:tc>
        <w:tc>
          <w:tcPr>
            <w:tcW w:w="2101" w:type="dxa"/>
            <w:gridSpan w:val="2"/>
            <w:tcBorders>
              <w:top w:val="single" w:sz="4" w:space="0" w:color="auto"/>
              <w:left w:val="nil"/>
              <w:bottom w:val="nil"/>
              <w:right w:val="nil"/>
            </w:tcBorders>
            <w:shd w:val="clear" w:color="auto" w:fill="auto"/>
            <w:vAlign w:val="center"/>
            <w:hideMark/>
          </w:tcPr>
          <w:p w14:paraId="0CDB3886" w14:textId="71CD642B" w:rsidR="009571C5" w:rsidRPr="00D06F2B" w:rsidRDefault="009571C5" w:rsidP="009571C5">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Removing outliers</w:t>
            </w:r>
          </w:p>
        </w:tc>
        <w:tc>
          <w:tcPr>
            <w:tcW w:w="2130" w:type="dxa"/>
            <w:gridSpan w:val="2"/>
            <w:tcBorders>
              <w:top w:val="single" w:sz="4" w:space="0" w:color="auto"/>
              <w:left w:val="nil"/>
              <w:bottom w:val="nil"/>
              <w:right w:val="nil"/>
            </w:tcBorders>
            <w:shd w:val="clear" w:color="auto" w:fill="auto"/>
            <w:vAlign w:val="center"/>
            <w:hideMark/>
          </w:tcPr>
          <w:p w14:paraId="0A1FE75B" w14:textId="6E19D5D0" w:rsidR="009571C5" w:rsidRPr="00D06F2B" w:rsidRDefault="009571C5" w:rsidP="009571C5">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Revisions per unit of uncertainty</w:t>
            </w:r>
          </w:p>
        </w:tc>
      </w:tr>
      <w:tr w:rsidR="00A52788" w:rsidRPr="00D06F2B" w14:paraId="5E1E3356" w14:textId="77777777" w:rsidTr="00A52788">
        <w:trPr>
          <w:trHeight w:val="268"/>
        </w:trPr>
        <w:tc>
          <w:tcPr>
            <w:tcW w:w="2239" w:type="dxa"/>
            <w:tcBorders>
              <w:top w:val="nil"/>
              <w:left w:val="nil"/>
              <w:bottom w:val="single" w:sz="4" w:space="0" w:color="auto"/>
              <w:right w:val="nil"/>
            </w:tcBorders>
            <w:shd w:val="clear" w:color="auto" w:fill="auto"/>
            <w:noWrap/>
            <w:hideMark/>
          </w:tcPr>
          <w:p w14:paraId="374D0816" w14:textId="77777777" w:rsidR="00A52788" w:rsidRPr="00D06F2B" w:rsidRDefault="00A52788" w:rsidP="00A5278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c>
          <w:tcPr>
            <w:tcW w:w="961" w:type="dxa"/>
            <w:tcBorders>
              <w:top w:val="nil"/>
              <w:left w:val="nil"/>
              <w:bottom w:val="single" w:sz="4" w:space="0" w:color="auto"/>
              <w:right w:val="nil"/>
            </w:tcBorders>
            <w:shd w:val="clear" w:color="auto" w:fill="auto"/>
            <w:vAlign w:val="center"/>
            <w:hideMark/>
          </w:tcPr>
          <w:p w14:paraId="213C104E"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Estimate</w:t>
            </w:r>
          </w:p>
        </w:tc>
        <w:tc>
          <w:tcPr>
            <w:tcW w:w="938" w:type="dxa"/>
            <w:tcBorders>
              <w:top w:val="nil"/>
              <w:left w:val="nil"/>
              <w:bottom w:val="single" w:sz="4" w:space="0" w:color="auto"/>
              <w:right w:val="nil"/>
            </w:tcBorders>
            <w:shd w:val="clear" w:color="auto" w:fill="auto"/>
            <w:vAlign w:val="center"/>
            <w:hideMark/>
          </w:tcPr>
          <w:p w14:paraId="184A51C9"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p</w:t>
            </w:r>
          </w:p>
        </w:tc>
        <w:tc>
          <w:tcPr>
            <w:tcW w:w="1151" w:type="dxa"/>
            <w:tcBorders>
              <w:top w:val="nil"/>
              <w:left w:val="nil"/>
              <w:bottom w:val="single" w:sz="4" w:space="0" w:color="auto"/>
              <w:right w:val="nil"/>
            </w:tcBorders>
            <w:shd w:val="clear" w:color="auto" w:fill="auto"/>
            <w:vAlign w:val="center"/>
            <w:hideMark/>
          </w:tcPr>
          <w:p w14:paraId="76305080"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Estimate</w:t>
            </w:r>
          </w:p>
        </w:tc>
        <w:tc>
          <w:tcPr>
            <w:tcW w:w="1236" w:type="dxa"/>
            <w:tcBorders>
              <w:top w:val="nil"/>
              <w:left w:val="nil"/>
              <w:bottom w:val="single" w:sz="4" w:space="0" w:color="auto"/>
              <w:right w:val="nil"/>
            </w:tcBorders>
            <w:shd w:val="clear" w:color="auto" w:fill="auto"/>
            <w:vAlign w:val="center"/>
            <w:hideMark/>
          </w:tcPr>
          <w:p w14:paraId="368D3F74"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p</w:t>
            </w:r>
          </w:p>
        </w:tc>
        <w:tc>
          <w:tcPr>
            <w:tcW w:w="1141" w:type="dxa"/>
            <w:tcBorders>
              <w:top w:val="nil"/>
              <w:left w:val="nil"/>
              <w:bottom w:val="single" w:sz="4" w:space="0" w:color="auto"/>
              <w:right w:val="nil"/>
            </w:tcBorders>
            <w:shd w:val="clear" w:color="auto" w:fill="auto"/>
            <w:vAlign w:val="center"/>
            <w:hideMark/>
          </w:tcPr>
          <w:p w14:paraId="63C80FD8"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Estimate</w:t>
            </w:r>
          </w:p>
        </w:tc>
        <w:tc>
          <w:tcPr>
            <w:tcW w:w="1044" w:type="dxa"/>
            <w:tcBorders>
              <w:top w:val="nil"/>
              <w:left w:val="nil"/>
              <w:bottom w:val="single" w:sz="4" w:space="0" w:color="auto"/>
              <w:right w:val="nil"/>
            </w:tcBorders>
            <w:shd w:val="clear" w:color="auto" w:fill="auto"/>
            <w:vAlign w:val="center"/>
            <w:hideMark/>
          </w:tcPr>
          <w:p w14:paraId="0D14AEFC"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p</w:t>
            </w:r>
          </w:p>
        </w:tc>
        <w:tc>
          <w:tcPr>
            <w:tcW w:w="1078" w:type="dxa"/>
            <w:tcBorders>
              <w:top w:val="nil"/>
              <w:left w:val="nil"/>
              <w:bottom w:val="single" w:sz="4" w:space="0" w:color="auto"/>
              <w:right w:val="nil"/>
            </w:tcBorders>
            <w:shd w:val="clear" w:color="auto" w:fill="auto"/>
            <w:vAlign w:val="center"/>
            <w:hideMark/>
          </w:tcPr>
          <w:p w14:paraId="6D89A108"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Estimate</w:t>
            </w:r>
          </w:p>
        </w:tc>
        <w:tc>
          <w:tcPr>
            <w:tcW w:w="1023" w:type="dxa"/>
            <w:tcBorders>
              <w:top w:val="nil"/>
              <w:left w:val="nil"/>
              <w:bottom w:val="single" w:sz="4" w:space="0" w:color="auto"/>
              <w:right w:val="nil"/>
            </w:tcBorders>
            <w:shd w:val="clear" w:color="auto" w:fill="auto"/>
            <w:vAlign w:val="center"/>
            <w:hideMark/>
          </w:tcPr>
          <w:p w14:paraId="53F3A58B"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p</w:t>
            </w:r>
          </w:p>
        </w:tc>
        <w:tc>
          <w:tcPr>
            <w:tcW w:w="1150" w:type="dxa"/>
            <w:tcBorders>
              <w:top w:val="nil"/>
              <w:left w:val="nil"/>
              <w:bottom w:val="single" w:sz="4" w:space="0" w:color="auto"/>
              <w:right w:val="nil"/>
            </w:tcBorders>
            <w:shd w:val="clear" w:color="auto" w:fill="auto"/>
            <w:vAlign w:val="center"/>
            <w:hideMark/>
          </w:tcPr>
          <w:p w14:paraId="4522A63B"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Estimate</w:t>
            </w:r>
          </w:p>
        </w:tc>
        <w:tc>
          <w:tcPr>
            <w:tcW w:w="980" w:type="dxa"/>
            <w:tcBorders>
              <w:top w:val="nil"/>
              <w:left w:val="nil"/>
              <w:bottom w:val="single" w:sz="4" w:space="0" w:color="auto"/>
              <w:right w:val="nil"/>
            </w:tcBorders>
            <w:shd w:val="clear" w:color="auto" w:fill="auto"/>
            <w:vAlign w:val="center"/>
            <w:hideMark/>
          </w:tcPr>
          <w:p w14:paraId="5D4FEC04"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p</w:t>
            </w:r>
          </w:p>
        </w:tc>
      </w:tr>
      <w:tr w:rsidR="00FC752E" w:rsidRPr="00D06F2B" w14:paraId="7D96C76A" w14:textId="77777777" w:rsidTr="00684793">
        <w:trPr>
          <w:trHeight w:val="268"/>
        </w:trPr>
        <w:tc>
          <w:tcPr>
            <w:tcW w:w="2239" w:type="dxa"/>
            <w:tcBorders>
              <w:top w:val="nil"/>
              <w:left w:val="nil"/>
              <w:bottom w:val="nil"/>
              <w:right w:val="nil"/>
            </w:tcBorders>
            <w:shd w:val="clear" w:color="auto" w:fill="auto"/>
            <w:hideMark/>
          </w:tcPr>
          <w:p w14:paraId="0DB103F5"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|∆EPS|*</w:t>
            </w:r>
            <w:proofErr w:type="spellStart"/>
            <w:r w:rsidRPr="00D06F2B">
              <w:rPr>
                <w:rFonts w:ascii="Garamond" w:eastAsia="Times New Roman" w:hAnsi="Garamond" w:cs="Calibri"/>
                <w:color w:val="000000"/>
                <w:sz w:val="20"/>
                <w:szCs w:val="20"/>
                <w:lang w:eastAsia="en-GB"/>
              </w:rPr>
              <w:t>Covid</w:t>
            </w:r>
            <w:proofErr w:type="spellEnd"/>
          </w:p>
        </w:tc>
        <w:tc>
          <w:tcPr>
            <w:tcW w:w="961" w:type="dxa"/>
            <w:tcBorders>
              <w:top w:val="nil"/>
              <w:left w:val="nil"/>
              <w:bottom w:val="nil"/>
              <w:right w:val="nil"/>
            </w:tcBorders>
            <w:shd w:val="clear" w:color="auto" w:fill="auto"/>
            <w:vAlign w:val="center"/>
            <w:hideMark/>
          </w:tcPr>
          <w:p w14:paraId="5AF182C1"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938" w:type="dxa"/>
            <w:tcBorders>
              <w:top w:val="nil"/>
              <w:left w:val="nil"/>
              <w:bottom w:val="nil"/>
              <w:right w:val="nil"/>
            </w:tcBorders>
            <w:shd w:val="clear" w:color="auto" w:fill="auto"/>
            <w:vAlign w:val="center"/>
            <w:hideMark/>
          </w:tcPr>
          <w:p w14:paraId="7E31FB27"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51" w:type="dxa"/>
            <w:tcBorders>
              <w:top w:val="nil"/>
              <w:left w:val="nil"/>
              <w:bottom w:val="nil"/>
              <w:right w:val="nil"/>
            </w:tcBorders>
            <w:shd w:val="clear" w:color="auto" w:fill="auto"/>
            <w:vAlign w:val="center"/>
            <w:hideMark/>
          </w:tcPr>
          <w:p w14:paraId="5E7D0D96"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236" w:type="dxa"/>
            <w:tcBorders>
              <w:top w:val="nil"/>
              <w:left w:val="nil"/>
              <w:bottom w:val="nil"/>
              <w:right w:val="nil"/>
            </w:tcBorders>
            <w:shd w:val="clear" w:color="auto" w:fill="auto"/>
            <w:vAlign w:val="center"/>
            <w:hideMark/>
          </w:tcPr>
          <w:p w14:paraId="7E7F2E99"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41" w:type="dxa"/>
            <w:tcBorders>
              <w:top w:val="nil"/>
              <w:left w:val="nil"/>
              <w:bottom w:val="nil"/>
              <w:right w:val="nil"/>
            </w:tcBorders>
            <w:shd w:val="clear" w:color="auto" w:fill="auto"/>
            <w:noWrap/>
            <w:vAlign w:val="center"/>
            <w:hideMark/>
          </w:tcPr>
          <w:p w14:paraId="702B8E21"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0.006</w:t>
            </w:r>
          </w:p>
        </w:tc>
        <w:tc>
          <w:tcPr>
            <w:tcW w:w="1044" w:type="dxa"/>
            <w:tcBorders>
              <w:top w:val="nil"/>
              <w:left w:val="nil"/>
              <w:bottom w:val="nil"/>
              <w:right w:val="nil"/>
            </w:tcBorders>
            <w:shd w:val="clear" w:color="auto" w:fill="auto"/>
            <w:noWrap/>
            <w:vAlign w:val="center"/>
            <w:hideMark/>
          </w:tcPr>
          <w:p w14:paraId="51F86D37"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0.009</w:t>
            </w:r>
          </w:p>
        </w:tc>
        <w:tc>
          <w:tcPr>
            <w:tcW w:w="1078" w:type="dxa"/>
            <w:tcBorders>
              <w:top w:val="nil"/>
              <w:left w:val="nil"/>
              <w:bottom w:val="nil"/>
              <w:right w:val="nil"/>
            </w:tcBorders>
            <w:shd w:val="clear" w:color="auto" w:fill="auto"/>
            <w:noWrap/>
            <w:vAlign w:val="center"/>
            <w:hideMark/>
          </w:tcPr>
          <w:p w14:paraId="4282C01B"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0.004</w:t>
            </w:r>
          </w:p>
        </w:tc>
        <w:tc>
          <w:tcPr>
            <w:tcW w:w="1023" w:type="dxa"/>
            <w:tcBorders>
              <w:top w:val="nil"/>
              <w:left w:val="nil"/>
              <w:bottom w:val="nil"/>
              <w:right w:val="nil"/>
            </w:tcBorders>
            <w:shd w:val="clear" w:color="auto" w:fill="auto"/>
            <w:noWrap/>
            <w:vAlign w:val="center"/>
            <w:hideMark/>
          </w:tcPr>
          <w:p w14:paraId="2D109F94"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50" w:type="dxa"/>
            <w:tcBorders>
              <w:top w:val="nil"/>
              <w:left w:val="nil"/>
              <w:bottom w:val="nil"/>
              <w:right w:val="nil"/>
            </w:tcBorders>
            <w:shd w:val="clear" w:color="auto" w:fill="auto"/>
            <w:vAlign w:val="center"/>
            <w:hideMark/>
          </w:tcPr>
          <w:p w14:paraId="71C6CD73"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0.010</w:t>
            </w:r>
          </w:p>
        </w:tc>
        <w:tc>
          <w:tcPr>
            <w:tcW w:w="980" w:type="dxa"/>
            <w:tcBorders>
              <w:top w:val="nil"/>
              <w:left w:val="nil"/>
              <w:bottom w:val="nil"/>
              <w:right w:val="nil"/>
            </w:tcBorders>
            <w:shd w:val="clear" w:color="auto" w:fill="auto"/>
            <w:vAlign w:val="center"/>
            <w:hideMark/>
          </w:tcPr>
          <w:p w14:paraId="72C4A910"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FC752E" w:rsidRPr="00D06F2B" w14:paraId="25A2104E" w14:textId="77777777" w:rsidTr="00684793">
        <w:trPr>
          <w:trHeight w:val="268"/>
        </w:trPr>
        <w:tc>
          <w:tcPr>
            <w:tcW w:w="2239" w:type="dxa"/>
            <w:tcBorders>
              <w:top w:val="nil"/>
              <w:left w:val="nil"/>
              <w:bottom w:val="nil"/>
              <w:right w:val="nil"/>
            </w:tcBorders>
            <w:shd w:val="clear" w:color="auto" w:fill="auto"/>
            <w:hideMark/>
          </w:tcPr>
          <w:p w14:paraId="1C6D3069"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|∆SAL|*</w:t>
            </w:r>
            <w:proofErr w:type="spellStart"/>
            <w:r w:rsidRPr="00D06F2B">
              <w:rPr>
                <w:rFonts w:ascii="Garamond" w:eastAsia="Times New Roman" w:hAnsi="Garamond" w:cs="Calibri"/>
                <w:color w:val="000000"/>
                <w:sz w:val="20"/>
                <w:szCs w:val="20"/>
                <w:lang w:eastAsia="en-GB"/>
              </w:rPr>
              <w:t>Covid</w:t>
            </w:r>
            <w:proofErr w:type="spellEnd"/>
          </w:p>
        </w:tc>
        <w:tc>
          <w:tcPr>
            <w:tcW w:w="961" w:type="dxa"/>
            <w:tcBorders>
              <w:top w:val="nil"/>
              <w:left w:val="nil"/>
              <w:bottom w:val="nil"/>
              <w:right w:val="nil"/>
            </w:tcBorders>
            <w:shd w:val="clear" w:color="auto" w:fill="auto"/>
            <w:vAlign w:val="center"/>
            <w:hideMark/>
          </w:tcPr>
          <w:p w14:paraId="23E6EC36"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938" w:type="dxa"/>
            <w:tcBorders>
              <w:top w:val="nil"/>
              <w:left w:val="nil"/>
              <w:bottom w:val="nil"/>
              <w:right w:val="nil"/>
            </w:tcBorders>
            <w:shd w:val="clear" w:color="auto" w:fill="auto"/>
            <w:vAlign w:val="center"/>
            <w:hideMark/>
          </w:tcPr>
          <w:p w14:paraId="6D0092B4"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0.469</w:t>
            </w:r>
          </w:p>
        </w:tc>
        <w:tc>
          <w:tcPr>
            <w:tcW w:w="1151" w:type="dxa"/>
            <w:tcBorders>
              <w:top w:val="nil"/>
              <w:left w:val="nil"/>
              <w:bottom w:val="nil"/>
              <w:right w:val="nil"/>
            </w:tcBorders>
            <w:shd w:val="clear" w:color="auto" w:fill="auto"/>
            <w:vAlign w:val="center"/>
            <w:hideMark/>
          </w:tcPr>
          <w:p w14:paraId="4A090158"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236" w:type="dxa"/>
            <w:tcBorders>
              <w:top w:val="nil"/>
              <w:left w:val="nil"/>
              <w:bottom w:val="nil"/>
              <w:right w:val="nil"/>
            </w:tcBorders>
            <w:shd w:val="clear" w:color="auto" w:fill="auto"/>
            <w:vAlign w:val="center"/>
            <w:hideMark/>
          </w:tcPr>
          <w:p w14:paraId="568573D8"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0.871</w:t>
            </w:r>
          </w:p>
        </w:tc>
        <w:tc>
          <w:tcPr>
            <w:tcW w:w="1141" w:type="dxa"/>
            <w:tcBorders>
              <w:top w:val="nil"/>
              <w:left w:val="nil"/>
              <w:bottom w:val="nil"/>
              <w:right w:val="nil"/>
            </w:tcBorders>
            <w:shd w:val="clear" w:color="auto" w:fill="auto"/>
            <w:noWrap/>
            <w:vAlign w:val="center"/>
            <w:hideMark/>
          </w:tcPr>
          <w:p w14:paraId="58BA0E5E"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044" w:type="dxa"/>
            <w:tcBorders>
              <w:top w:val="nil"/>
              <w:left w:val="nil"/>
              <w:bottom w:val="nil"/>
              <w:right w:val="nil"/>
            </w:tcBorders>
            <w:shd w:val="clear" w:color="auto" w:fill="auto"/>
            <w:noWrap/>
            <w:vAlign w:val="center"/>
            <w:hideMark/>
          </w:tcPr>
          <w:p w14:paraId="74C61160"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0.631</w:t>
            </w:r>
          </w:p>
        </w:tc>
        <w:tc>
          <w:tcPr>
            <w:tcW w:w="1078" w:type="dxa"/>
            <w:tcBorders>
              <w:top w:val="nil"/>
              <w:left w:val="nil"/>
              <w:bottom w:val="nil"/>
              <w:right w:val="nil"/>
            </w:tcBorders>
            <w:shd w:val="clear" w:color="auto" w:fill="auto"/>
            <w:noWrap/>
            <w:vAlign w:val="center"/>
            <w:hideMark/>
          </w:tcPr>
          <w:p w14:paraId="6D9578EC"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023" w:type="dxa"/>
            <w:tcBorders>
              <w:top w:val="nil"/>
              <w:left w:val="nil"/>
              <w:bottom w:val="nil"/>
              <w:right w:val="nil"/>
            </w:tcBorders>
            <w:shd w:val="clear" w:color="auto" w:fill="auto"/>
            <w:noWrap/>
            <w:vAlign w:val="center"/>
            <w:hideMark/>
          </w:tcPr>
          <w:p w14:paraId="1A4CE90D"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0.769</w:t>
            </w:r>
          </w:p>
        </w:tc>
        <w:tc>
          <w:tcPr>
            <w:tcW w:w="1150" w:type="dxa"/>
            <w:tcBorders>
              <w:top w:val="nil"/>
              <w:left w:val="nil"/>
              <w:bottom w:val="nil"/>
              <w:right w:val="nil"/>
            </w:tcBorders>
            <w:shd w:val="clear" w:color="auto" w:fill="auto"/>
            <w:vAlign w:val="center"/>
            <w:hideMark/>
          </w:tcPr>
          <w:p w14:paraId="1395602E"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0.003</w:t>
            </w:r>
          </w:p>
        </w:tc>
        <w:tc>
          <w:tcPr>
            <w:tcW w:w="980" w:type="dxa"/>
            <w:tcBorders>
              <w:top w:val="nil"/>
              <w:left w:val="nil"/>
              <w:bottom w:val="nil"/>
              <w:right w:val="nil"/>
            </w:tcBorders>
            <w:shd w:val="clear" w:color="auto" w:fill="auto"/>
            <w:vAlign w:val="center"/>
            <w:hideMark/>
          </w:tcPr>
          <w:p w14:paraId="649790FC"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FC752E" w:rsidRPr="00D06F2B" w14:paraId="6FBC3387" w14:textId="77777777" w:rsidTr="00684793">
        <w:trPr>
          <w:trHeight w:val="268"/>
        </w:trPr>
        <w:tc>
          <w:tcPr>
            <w:tcW w:w="2239" w:type="dxa"/>
            <w:tcBorders>
              <w:top w:val="nil"/>
              <w:left w:val="nil"/>
              <w:bottom w:val="nil"/>
              <w:right w:val="nil"/>
            </w:tcBorders>
            <w:shd w:val="clear" w:color="auto" w:fill="auto"/>
            <w:hideMark/>
          </w:tcPr>
          <w:p w14:paraId="5558445F"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|∆CPS|*</w:t>
            </w:r>
            <w:proofErr w:type="spellStart"/>
            <w:r w:rsidRPr="00D06F2B">
              <w:rPr>
                <w:rFonts w:ascii="Garamond" w:eastAsia="Times New Roman" w:hAnsi="Garamond" w:cs="Calibri"/>
                <w:color w:val="000000"/>
                <w:sz w:val="20"/>
                <w:szCs w:val="20"/>
                <w:lang w:eastAsia="en-GB"/>
              </w:rPr>
              <w:t>Covid</w:t>
            </w:r>
            <w:proofErr w:type="spellEnd"/>
          </w:p>
        </w:tc>
        <w:tc>
          <w:tcPr>
            <w:tcW w:w="961" w:type="dxa"/>
            <w:tcBorders>
              <w:top w:val="nil"/>
              <w:left w:val="nil"/>
              <w:bottom w:val="nil"/>
              <w:right w:val="nil"/>
            </w:tcBorders>
            <w:shd w:val="clear" w:color="auto" w:fill="auto"/>
            <w:vAlign w:val="center"/>
            <w:hideMark/>
          </w:tcPr>
          <w:p w14:paraId="3643C7A7"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938" w:type="dxa"/>
            <w:tcBorders>
              <w:top w:val="nil"/>
              <w:left w:val="nil"/>
              <w:bottom w:val="nil"/>
              <w:right w:val="nil"/>
            </w:tcBorders>
            <w:shd w:val="clear" w:color="auto" w:fill="auto"/>
            <w:vAlign w:val="center"/>
            <w:hideMark/>
          </w:tcPr>
          <w:p w14:paraId="614F3505"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51" w:type="dxa"/>
            <w:tcBorders>
              <w:top w:val="nil"/>
              <w:left w:val="nil"/>
              <w:bottom w:val="nil"/>
              <w:right w:val="nil"/>
            </w:tcBorders>
            <w:shd w:val="clear" w:color="auto" w:fill="auto"/>
            <w:vAlign w:val="center"/>
            <w:hideMark/>
          </w:tcPr>
          <w:p w14:paraId="36B1FB7A"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236" w:type="dxa"/>
            <w:tcBorders>
              <w:top w:val="nil"/>
              <w:left w:val="nil"/>
              <w:bottom w:val="nil"/>
              <w:right w:val="nil"/>
            </w:tcBorders>
            <w:shd w:val="clear" w:color="auto" w:fill="auto"/>
            <w:vAlign w:val="center"/>
            <w:hideMark/>
          </w:tcPr>
          <w:p w14:paraId="6509380E"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41" w:type="dxa"/>
            <w:tcBorders>
              <w:top w:val="nil"/>
              <w:left w:val="nil"/>
              <w:bottom w:val="nil"/>
              <w:right w:val="nil"/>
            </w:tcBorders>
            <w:shd w:val="clear" w:color="auto" w:fill="auto"/>
            <w:noWrap/>
            <w:vAlign w:val="center"/>
            <w:hideMark/>
          </w:tcPr>
          <w:p w14:paraId="2DB86EE4"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0.058</w:t>
            </w:r>
          </w:p>
        </w:tc>
        <w:tc>
          <w:tcPr>
            <w:tcW w:w="1044" w:type="dxa"/>
            <w:tcBorders>
              <w:top w:val="nil"/>
              <w:left w:val="nil"/>
              <w:bottom w:val="nil"/>
              <w:right w:val="nil"/>
            </w:tcBorders>
            <w:shd w:val="clear" w:color="auto" w:fill="auto"/>
            <w:noWrap/>
            <w:vAlign w:val="center"/>
            <w:hideMark/>
          </w:tcPr>
          <w:p w14:paraId="1782F9B2"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078" w:type="dxa"/>
            <w:tcBorders>
              <w:top w:val="nil"/>
              <w:left w:val="nil"/>
              <w:bottom w:val="nil"/>
              <w:right w:val="nil"/>
            </w:tcBorders>
            <w:shd w:val="clear" w:color="auto" w:fill="auto"/>
            <w:noWrap/>
            <w:vAlign w:val="center"/>
            <w:hideMark/>
          </w:tcPr>
          <w:p w14:paraId="16B1E57A"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0.006</w:t>
            </w:r>
          </w:p>
        </w:tc>
        <w:tc>
          <w:tcPr>
            <w:tcW w:w="1023" w:type="dxa"/>
            <w:tcBorders>
              <w:top w:val="nil"/>
              <w:left w:val="nil"/>
              <w:bottom w:val="nil"/>
              <w:right w:val="nil"/>
            </w:tcBorders>
            <w:shd w:val="clear" w:color="auto" w:fill="auto"/>
            <w:noWrap/>
            <w:vAlign w:val="center"/>
            <w:hideMark/>
          </w:tcPr>
          <w:p w14:paraId="41BD3B8F"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0.092</w:t>
            </w:r>
          </w:p>
        </w:tc>
        <w:tc>
          <w:tcPr>
            <w:tcW w:w="1150" w:type="dxa"/>
            <w:tcBorders>
              <w:top w:val="nil"/>
              <w:left w:val="nil"/>
              <w:bottom w:val="nil"/>
              <w:right w:val="nil"/>
            </w:tcBorders>
            <w:shd w:val="clear" w:color="auto" w:fill="auto"/>
            <w:vAlign w:val="center"/>
            <w:hideMark/>
          </w:tcPr>
          <w:p w14:paraId="13A2A64F"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0.012</w:t>
            </w:r>
          </w:p>
        </w:tc>
        <w:tc>
          <w:tcPr>
            <w:tcW w:w="980" w:type="dxa"/>
            <w:tcBorders>
              <w:top w:val="nil"/>
              <w:left w:val="nil"/>
              <w:bottom w:val="nil"/>
              <w:right w:val="nil"/>
            </w:tcBorders>
            <w:shd w:val="clear" w:color="auto" w:fill="auto"/>
            <w:vAlign w:val="center"/>
            <w:hideMark/>
          </w:tcPr>
          <w:p w14:paraId="61D2D181"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FC752E" w:rsidRPr="00D06F2B" w14:paraId="027ED360" w14:textId="77777777" w:rsidTr="00684793">
        <w:trPr>
          <w:trHeight w:val="268"/>
        </w:trPr>
        <w:tc>
          <w:tcPr>
            <w:tcW w:w="2239" w:type="dxa"/>
            <w:tcBorders>
              <w:top w:val="nil"/>
              <w:left w:val="nil"/>
              <w:bottom w:val="nil"/>
              <w:right w:val="nil"/>
            </w:tcBorders>
            <w:shd w:val="clear" w:color="auto" w:fill="auto"/>
            <w:hideMark/>
          </w:tcPr>
          <w:p w14:paraId="2211B0F0"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|∆DPS|*</w:t>
            </w:r>
            <w:proofErr w:type="spellStart"/>
            <w:r w:rsidRPr="00D06F2B">
              <w:rPr>
                <w:rFonts w:ascii="Garamond" w:eastAsia="Times New Roman" w:hAnsi="Garamond" w:cs="Calibri"/>
                <w:color w:val="000000"/>
                <w:sz w:val="20"/>
                <w:szCs w:val="20"/>
                <w:lang w:eastAsia="en-GB"/>
              </w:rPr>
              <w:t>Covid</w:t>
            </w:r>
            <w:proofErr w:type="spellEnd"/>
          </w:p>
        </w:tc>
        <w:tc>
          <w:tcPr>
            <w:tcW w:w="961" w:type="dxa"/>
            <w:tcBorders>
              <w:top w:val="nil"/>
              <w:left w:val="nil"/>
              <w:bottom w:val="nil"/>
              <w:right w:val="nil"/>
            </w:tcBorders>
            <w:shd w:val="clear" w:color="auto" w:fill="auto"/>
            <w:vAlign w:val="center"/>
            <w:hideMark/>
          </w:tcPr>
          <w:p w14:paraId="1BBDBA6F"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938" w:type="dxa"/>
            <w:tcBorders>
              <w:top w:val="nil"/>
              <w:left w:val="nil"/>
              <w:bottom w:val="nil"/>
              <w:right w:val="nil"/>
            </w:tcBorders>
            <w:shd w:val="clear" w:color="auto" w:fill="auto"/>
            <w:vAlign w:val="center"/>
            <w:hideMark/>
          </w:tcPr>
          <w:p w14:paraId="58A60698"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0.010</w:t>
            </w:r>
          </w:p>
        </w:tc>
        <w:tc>
          <w:tcPr>
            <w:tcW w:w="1151" w:type="dxa"/>
            <w:tcBorders>
              <w:top w:val="nil"/>
              <w:left w:val="nil"/>
              <w:bottom w:val="nil"/>
              <w:right w:val="nil"/>
            </w:tcBorders>
            <w:shd w:val="clear" w:color="auto" w:fill="auto"/>
            <w:vAlign w:val="center"/>
            <w:hideMark/>
          </w:tcPr>
          <w:p w14:paraId="7457DFFD"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236" w:type="dxa"/>
            <w:tcBorders>
              <w:top w:val="nil"/>
              <w:left w:val="nil"/>
              <w:bottom w:val="nil"/>
              <w:right w:val="nil"/>
            </w:tcBorders>
            <w:shd w:val="clear" w:color="auto" w:fill="auto"/>
            <w:vAlign w:val="center"/>
            <w:hideMark/>
          </w:tcPr>
          <w:p w14:paraId="6A38E6E4"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141" w:type="dxa"/>
            <w:tcBorders>
              <w:top w:val="nil"/>
              <w:left w:val="nil"/>
              <w:bottom w:val="nil"/>
              <w:right w:val="nil"/>
            </w:tcBorders>
            <w:shd w:val="clear" w:color="auto" w:fill="auto"/>
            <w:noWrap/>
            <w:vAlign w:val="center"/>
            <w:hideMark/>
          </w:tcPr>
          <w:p w14:paraId="23FEADF1"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0.085</w:t>
            </w:r>
          </w:p>
        </w:tc>
        <w:tc>
          <w:tcPr>
            <w:tcW w:w="1044" w:type="dxa"/>
            <w:tcBorders>
              <w:top w:val="nil"/>
              <w:left w:val="nil"/>
              <w:bottom w:val="nil"/>
              <w:right w:val="nil"/>
            </w:tcBorders>
            <w:shd w:val="clear" w:color="auto" w:fill="auto"/>
            <w:noWrap/>
            <w:vAlign w:val="center"/>
            <w:hideMark/>
          </w:tcPr>
          <w:p w14:paraId="7C63CCB7"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078" w:type="dxa"/>
            <w:tcBorders>
              <w:top w:val="nil"/>
              <w:left w:val="nil"/>
              <w:bottom w:val="nil"/>
              <w:right w:val="nil"/>
            </w:tcBorders>
            <w:shd w:val="clear" w:color="auto" w:fill="auto"/>
            <w:noWrap/>
            <w:vAlign w:val="center"/>
            <w:hideMark/>
          </w:tcPr>
          <w:p w14:paraId="1BB18457"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0.028</w:t>
            </w:r>
          </w:p>
        </w:tc>
        <w:tc>
          <w:tcPr>
            <w:tcW w:w="1023" w:type="dxa"/>
            <w:tcBorders>
              <w:top w:val="nil"/>
              <w:left w:val="nil"/>
              <w:bottom w:val="nil"/>
              <w:right w:val="nil"/>
            </w:tcBorders>
            <w:shd w:val="clear" w:color="auto" w:fill="auto"/>
            <w:noWrap/>
            <w:vAlign w:val="center"/>
            <w:hideMark/>
          </w:tcPr>
          <w:p w14:paraId="042EBAD3"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0.003</w:t>
            </w:r>
          </w:p>
        </w:tc>
        <w:tc>
          <w:tcPr>
            <w:tcW w:w="1150" w:type="dxa"/>
            <w:tcBorders>
              <w:top w:val="nil"/>
              <w:left w:val="nil"/>
              <w:bottom w:val="nil"/>
              <w:right w:val="nil"/>
            </w:tcBorders>
            <w:shd w:val="clear" w:color="auto" w:fill="auto"/>
            <w:vAlign w:val="center"/>
            <w:hideMark/>
          </w:tcPr>
          <w:p w14:paraId="0FC1F37E"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0.004</w:t>
            </w:r>
          </w:p>
        </w:tc>
        <w:tc>
          <w:tcPr>
            <w:tcW w:w="980" w:type="dxa"/>
            <w:tcBorders>
              <w:top w:val="nil"/>
              <w:left w:val="nil"/>
              <w:bottom w:val="nil"/>
              <w:right w:val="nil"/>
            </w:tcBorders>
            <w:shd w:val="clear" w:color="auto" w:fill="auto"/>
            <w:vAlign w:val="center"/>
            <w:hideMark/>
          </w:tcPr>
          <w:p w14:paraId="1EA6DD27"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0.070</w:t>
            </w:r>
          </w:p>
        </w:tc>
      </w:tr>
      <w:tr w:rsidR="00FC752E" w:rsidRPr="00D06F2B" w14:paraId="5B10263F" w14:textId="77777777" w:rsidTr="00684793">
        <w:trPr>
          <w:trHeight w:val="268"/>
        </w:trPr>
        <w:tc>
          <w:tcPr>
            <w:tcW w:w="2239" w:type="dxa"/>
            <w:tcBorders>
              <w:top w:val="nil"/>
              <w:left w:val="nil"/>
              <w:bottom w:val="nil"/>
              <w:right w:val="nil"/>
            </w:tcBorders>
            <w:shd w:val="clear" w:color="auto" w:fill="auto"/>
            <w:hideMark/>
          </w:tcPr>
          <w:p w14:paraId="567FB1D0"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|∆REC|*</w:t>
            </w:r>
            <w:proofErr w:type="spellStart"/>
            <w:r w:rsidRPr="00D06F2B">
              <w:rPr>
                <w:rFonts w:ascii="Garamond" w:eastAsia="Times New Roman" w:hAnsi="Garamond" w:cs="Calibri"/>
                <w:color w:val="000000"/>
                <w:sz w:val="20"/>
                <w:szCs w:val="20"/>
                <w:lang w:eastAsia="en-GB"/>
              </w:rPr>
              <w:t>Covid</w:t>
            </w:r>
            <w:proofErr w:type="spellEnd"/>
          </w:p>
        </w:tc>
        <w:tc>
          <w:tcPr>
            <w:tcW w:w="961" w:type="dxa"/>
            <w:tcBorders>
              <w:top w:val="nil"/>
              <w:left w:val="nil"/>
              <w:bottom w:val="nil"/>
              <w:right w:val="nil"/>
            </w:tcBorders>
            <w:shd w:val="clear" w:color="auto" w:fill="auto"/>
            <w:vAlign w:val="center"/>
            <w:hideMark/>
          </w:tcPr>
          <w:p w14:paraId="7BD54B48"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938" w:type="dxa"/>
            <w:tcBorders>
              <w:top w:val="nil"/>
              <w:left w:val="nil"/>
              <w:bottom w:val="nil"/>
              <w:right w:val="nil"/>
            </w:tcBorders>
            <w:shd w:val="clear" w:color="auto" w:fill="auto"/>
            <w:vAlign w:val="center"/>
            <w:hideMark/>
          </w:tcPr>
          <w:p w14:paraId="40B60E61"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0.043</w:t>
            </w:r>
          </w:p>
        </w:tc>
        <w:tc>
          <w:tcPr>
            <w:tcW w:w="1151" w:type="dxa"/>
            <w:tcBorders>
              <w:top w:val="nil"/>
              <w:left w:val="nil"/>
              <w:bottom w:val="nil"/>
              <w:right w:val="nil"/>
            </w:tcBorders>
            <w:shd w:val="clear" w:color="auto" w:fill="auto"/>
            <w:vAlign w:val="center"/>
            <w:hideMark/>
          </w:tcPr>
          <w:p w14:paraId="23527795"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236" w:type="dxa"/>
            <w:tcBorders>
              <w:top w:val="nil"/>
              <w:left w:val="nil"/>
              <w:bottom w:val="nil"/>
              <w:right w:val="nil"/>
            </w:tcBorders>
            <w:shd w:val="clear" w:color="auto" w:fill="auto"/>
            <w:vAlign w:val="center"/>
            <w:hideMark/>
          </w:tcPr>
          <w:p w14:paraId="2DC24887"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141" w:type="dxa"/>
            <w:tcBorders>
              <w:top w:val="nil"/>
              <w:left w:val="nil"/>
              <w:bottom w:val="nil"/>
              <w:right w:val="nil"/>
            </w:tcBorders>
            <w:shd w:val="clear" w:color="auto" w:fill="auto"/>
            <w:noWrap/>
            <w:vAlign w:val="center"/>
            <w:hideMark/>
          </w:tcPr>
          <w:p w14:paraId="11651BC4"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0.003</w:t>
            </w:r>
          </w:p>
        </w:tc>
        <w:tc>
          <w:tcPr>
            <w:tcW w:w="1044" w:type="dxa"/>
            <w:tcBorders>
              <w:top w:val="nil"/>
              <w:left w:val="nil"/>
              <w:bottom w:val="nil"/>
              <w:right w:val="nil"/>
            </w:tcBorders>
            <w:shd w:val="clear" w:color="auto" w:fill="auto"/>
            <w:noWrap/>
            <w:vAlign w:val="center"/>
            <w:hideMark/>
          </w:tcPr>
          <w:p w14:paraId="6EE6F4EF"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0.003</w:t>
            </w:r>
          </w:p>
        </w:tc>
        <w:tc>
          <w:tcPr>
            <w:tcW w:w="1078" w:type="dxa"/>
            <w:tcBorders>
              <w:top w:val="nil"/>
              <w:left w:val="nil"/>
              <w:bottom w:val="nil"/>
              <w:right w:val="nil"/>
            </w:tcBorders>
            <w:shd w:val="clear" w:color="auto" w:fill="auto"/>
            <w:noWrap/>
            <w:vAlign w:val="center"/>
            <w:hideMark/>
          </w:tcPr>
          <w:p w14:paraId="2D4F60A6"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0.004</w:t>
            </w:r>
          </w:p>
        </w:tc>
        <w:tc>
          <w:tcPr>
            <w:tcW w:w="1023" w:type="dxa"/>
            <w:tcBorders>
              <w:top w:val="nil"/>
              <w:left w:val="nil"/>
              <w:bottom w:val="nil"/>
              <w:right w:val="nil"/>
            </w:tcBorders>
            <w:shd w:val="clear" w:color="auto" w:fill="auto"/>
            <w:noWrap/>
            <w:vAlign w:val="center"/>
            <w:hideMark/>
          </w:tcPr>
          <w:p w14:paraId="593B8277"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50" w:type="dxa"/>
            <w:tcBorders>
              <w:top w:val="nil"/>
              <w:left w:val="nil"/>
              <w:bottom w:val="nil"/>
              <w:right w:val="nil"/>
            </w:tcBorders>
            <w:shd w:val="clear" w:color="auto" w:fill="auto"/>
            <w:vAlign w:val="center"/>
            <w:hideMark/>
          </w:tcPr>
          <w:p w14:paraId="5B08F7FB"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0.009</w:t>
            </w:r>
          </w:p>
        </w:tc>
        <w:tc>
          <w:tcPr>
            <w:tcW w:w="980" w:type="dxa"/>
            <w:tcBorders>
              <w:top w:val="nil"/>
              <w:left w:val="nil"/>
              <w:bottom w:val="nil"/>
              <w:right w:val="nil"/>
            </w:tcBorders>
            <w:shd w:val="clear" w:color="auto" w:fill="auto"/>
            <w:vAlign w:val="center"/>
            <w:hideMark/>
          </w:tcPr>
          <w:p w14:paraId="021E2F7B"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FC752E" w:rsidRPr="00D06F2B" w14:paraId="6BE09825" w14:textId="77777777" w:rsidTr="00684793">
        <w:trPr>
          <w:trHeight w:val="268"/>
        </w:trPr>
        <w:tc>
          <w:tcPr>
            <w:tcW w:w="2239" w:type="dxa"/>
            <w:tcBorders>
              <w:top w:val="nil"/>
              <w:left w:val="nil"/>
              <w:bottom w:val="nil"/>
              <w:right w:val="nil"/>
            </w:tcBorders>
            <w:shd w:val="clear" w:color="auto" w:fill="auto"/>
            <w:hideMark/>
          </w:tcPr>
          <w:p w14:paraId="1598314F" w14:textId="77777777" w:rsidR="00FC752E" w:rsidRPr="00D06F2B" w:rsidRDefault="00FC752E" w:rsidP="00684793">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|∆TP|*</w:t>
            </w:r>
            <w:proofErr w:type="spellStart"/>
            <w:r w:rsidRPr="00D06F2B">
              <w:rPr>
                <w:rFonts w:ascii="Garamond" w:eastAsia="Times New Roman" w:hAnsi="Garamond" w:cs="Calibri"/>
                <w:color w:val="000000"/>
                <w:sz w:val="20"/>
                <w:szCs w:val="20"/>
                <w:lang w:eastAsia="en-GB"/>
              </w:rPr>
              <w:t>Covid</w:t>
            </w:r>
            <w:proofErr w:type="spellEnd"/>
          </w:p>
        </w:tc>
        <w:tc>
          <w:tcPr>
            <w:tcW w:w="961" w:type="dxa"/>
            <w:tcBorders>
              <w:top w:val="nil"/>
              <w:left w:val="nil"/>
              <w:bottom w:val="nil"/>
              <w:right w:val="nil"/>
            </w:tcBorders>
            <w:shd w:val="clear" w:color="auto" w:fill="auto"/>
            <w:vAlign w:val="center"/>
            <w:hideMark/>
          </w:tcPr>
          <w:p w14:paraId="0AA855D4"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938" w:type="dxa"/>
            <w:tcBorders>
              <w:top w:val="nil"/>
              <w:left w:val="nil"/>
              <w:bottom w:val="nil"/>
              <w:right w:val="nil"/>
            </w:tcBorders>
            <w:shd w:val="clear" w:color="auto" w:fill="auto"/>
            <w:vAlign w:val="center"/>
            <w:hideMark/>
          </w:tcPr>
          <w:p w14:paraId="76F16D58"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51" w:type="dxa"/>
            <w:tcBorders>
              <w:top w:val="nil"/>
              <w:left w:val="nil"/>
              <w:bottom w:val="nil"/>
              <w:right w:val="nil"/>
            </w:tcBorders>
            <w:shd w:val="clear" w:color="auto" w:fill="auto"/>
            <w:vAlign w:val="center"/>
            <w:hideMark/>
          </w:tcPr>
          <w:p w14:paraId="26FCC62D"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236" w:type="dxa"/>
            <w:tcBorders>
              <w:top w:val="nil"/>
              <w:left w:val="nil"/>
              <w:bottom w:val="nil"/>
              <w:right w:val="nil"/>
            </w:tcBorders>
            <w:shd w:val="clear" w:color="auto" w:fill="auto"/>
            <w:vAlign w:val="center"/>
            <w:hideMark/>
          </w:tcPr>
          <w:p w14:paraId="4A4B73E7"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41" w:type="dxa"/>
            <w:tcBorders>
              <w:top w:val="nil"/>
              <w:left w:val="nil"/>
              <w:bottom w:val="nil"/>
              <w:right w:val="nil"/>
            </w:tcBorders>
            <w:shd w:val="clear" w:color="auto" w:fill="auto"/>
            <w:noWrap/>
            <w:vAlign w:val="center"/>
            <w:hideMark/>
          </w:tcPr>
          <w:p w14:paraId="4BAA50AA"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-0.011</w:t>
            </w:r>
          </w:p>
        </w:tc>
        <w:tc>
          <w:tcPr>
            <w:tcW w:w="1044" w:type="dxa"/>
            <w:tcBorders>
              <w:top w:val="nil"/>
              <w:left w:val="nil"/>
              <w:bottom w:val="nil"/>
              <w:right w:val="nil"/>
            </w:tcBorders>
            <w:shd w:val="clear" w:color="auto" w:fill="auto"/>
            <w:noWrap/>
            <w:vAlign w:val="center"/>
            <w:hideMark/>
          </w:tcPr>
          <w:p w14:paraId="5FE56B3D"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078" w:type="dxa"/>
            <w:tcBorders>
              <w:top w:val="nil"/>
              <w:left w:val="nil"/>
              <w:bottom w:val="nil"/>
              <w:right w:val="nil"/>
            </w:tcBorders>
            <w:shd w:val="clear" w:color="auto" w:fill="auto"/>
            <w:noWrap/>
            <w:vAlign w:val="center"/>
            <w:hideMark/>
          </w:tcPr>
          <w:p w14:paraId="7F4FE90F"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-0.005</w:t>
            </w:r>
          </w:p>
        </w:tc>
        <w:tc>
          <w:tcPr>
            <w:tcW w:w="1023" w:type="dxa"/>
            <w:tcBorders>
              <w:top w:val="nil"/>
              <w:left w:val="nil"/>
              <w:bottom w:val="nil"/>
              <w:right w:val="nil"/>
            </w:tcBorders>
            <w:shd w:val="clear" w:color="auto" w:fill="auto"/>
            <w:noWrap/>
            <w:vAlign w:val="center"/>
            <w:hideMark/>
          </w:tcPr>
          <w:p w14:paraId="37ACE5DA"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0.007</w:t>
            </w:r>
          </w:p>
        </w:tc>
        <w:tc>
          <w:tcPr>
            <w:tcW w:w="1150" w:type="dxa"/>
            <w:tcBorders>
              <w:top w:val="nil"/>
              <w:left w:val="nil"/>
              <w:bottom w:val="nil"/>
              <w:right w:val="nil"/>
            </w:tcBorders>
            <w:shd w:val="clear" w:color="auto" w:fill="auto"/>
            <w:vAlign w:val="center"/>
            <w:hideMark/>
          </w:tcPr>
          <w:p w14:paraId="7EFAAA58"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980" w:type="dxa"/>
            <w:tcBorders>
              <w:top w:val="nil"/>
              <w:left w:val="nil"/>
              <w:bottom w:val="nil"/>
              <w:right w:val="nil"/>
            </w:tcBorders>
            <w:shd w:val="clear" w:color="auto" w:fill="auto"/>
            <w:vAlign w:val="center"/>
            <w:hideMark/>
          </w:tcPr>
          <w:p w14:paraId="7165DD1D" w14:textId="77777777" w:rsidR="00FC752E" w:rsidRPr="00D06F2B" w:rsidRDefault="00FC752E" w:rsidP="00684793">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0.137</w:t>
            </w:r>
          </w:p>
        </w:tc>
      </w:tr>
      <w:tr w:rsidR="00A52788" w:rsidRPr="00D06F2B" w14:paraId="6AA8B813" w14:textId="77777777" w:rsidTr="00A52788">
        <w:trPr>
          <w:trHeight w:val="288"/>
        </w:trPr>
        <w:tc>
          <w:tcPr>
            <w:tcW w:w="2239" w:type="dxa"/>
            <w:tcBorders>
              <w:top w:val="nil"/>
              <w:left w:val="nil"/>
              <w:bottom w:val="nil"/>
              <w:right w:val="nil"/>
            </w:tcBorders>
            <w:shd w:val="clear" w:color="auto" w:fill="auto"/>
            <w:hideMark/>
          </w:tcPr>
          <w:p w14:paraId="47A45AEF" w14:textId="77777777" w:rsidR="00A52788" w:rsidRPr="00D06F2B" w:rsidRDefault="00A52788" w:rsidP="00A5278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|∆EPS|</w:t>
            </w:r>
          </w:p>
        </w:tc>
        <w:tc>
          <w:tcPr>
            <w:tcW w:w="961" w:type="dxa"/>
            <w:tcBorders>
              <w:top w:val="nil"/>
              <w:left w:val="nil"/>
              <w:bottom w:val="nil"/>
              <w:right w:val="nil"/>
            </w:tcBorders>
            <w:shd w:val="clear" w:color="auto" w:fill="auto"/>
            <w:vAlign w:val="center"/>
            <w:hideMark/>
          </w:tcPr>
          <w:p w14:paraId="074163DC"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938" w:type="dxa"/>
            <w:tcBorders>
              <w:top w:val="nil"/>
              <w:left w:val="nil"/>
              <w:bottom w:val="nil"/>
              <w:right w:val="nil"/>
            </w:tcBorders>
            <w:shd w:val="clear" w:color="auto" w:fill="auto"/>
            <w:vAlign w:val="center"/>
            <w:hideMark/>
          </w:tcPr>
          <w:p w14:paraId="72A0AB03"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51" w:type="dxa"/>
            <w:tcBorders>
              <w:top w:val="nil"/>
              <w:left w:val="nil"/>
              <w:bottom w:val="nil"/>
              <w:right w:val="nil"/>
            </w:tcBorders>
            <w:shd w:val="clear" w:color="auto" w:fill="auto"/>
            <w:vAlign w:val="center"/>
            <w:hideMark/>
          </w:tcPr>
          <w:p w14:paraId="18CD85DB"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236" w:type="dxa"/>
            <w:tcBorders>
              <w:top w:val="nil"/>
              <w:left w:val="nil"/>
              <w:bottom w:val="nil"/>
              <w:right w:val="nil"/>
            </w:tcBorders>
            <w:shd w:val="clear" w:color="auto" w:fill="auto"/>
            <w:vAlign w:val="center"/>
            <w:hideMark/>
          </w:tcPr>
          <w:p w14:paraId="1F94EE77"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41" w:type="dxa"/>
            <w:tcBorders>
              <w:top w:val="nil"/>
              <w:left w:val="nil"/>
              <w:bottom w:val="nil"/>
              <w:right w:val="nil"/>
            </w:tcBorders>
            <w:shd w:val="clear" w:color="auto" w:fill="auto"/>
            <w:noWrap/>
            <w:vAlign w:val="center"/>
            <w:hideMark/>
          </w:tcPr>
          <w:p w14:paraId="2F8CFEC8"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0.024</w:t>
            </w:r>
          </w:p>
        </w:tc>
        <w:tc>
          <w:tcPr>
            <w:tcW w:w="1044" w:type="dxa"/>
            <w:tcBorders>
              <w:top w:val="nil"/>
              <w:left w:val="nil"/>
              <w:bottom w:val="nil"/>
              <w:right w:val="nil"/>
            </w:tcBorders>
            <w:shd w:val="clear" w:color="auto" w:fill="auto"/>
            <w:noWrap/>
            <w:vAlign w:val="center"/>
            <w:hideMark/>
          </w:tcPr>
          <w:p w14:paraId="4F17174C"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078" w:type="dxa"/>
            <w:tcBorders>
              <w:top w:val="nil"/>
              <w:left w:val="nil"/>
              <w:bottom w:val="nil"/>
              <w:right w:val="nil"/>
            </w:tcBorders>
            <w:shd w:val="clear" w:color="auto" w:fill="auto"/>
            <w:noWrap/>
            <w:vAlign w:val="center"/>
            <w:hideMark/>
          </w:tcPr>
          <w:p w14:paraId="43E593E1"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023" w:type="dxa"/>
            <w:tcBorders>
              <w:top w:val="nil"/>
              <w:left w:val="nil"/>
              <w:bottom w:val="nil"/>
              <w:right w:val="nil"/>
            </w:tcBorders>
            <w:shd w:val="clear" w:color="auto" w:fill="auto"/>
            <w:noWrap/>
            <w:vAlign w:val="center"/>
            <w:hideMark/>
          </w:tcPr>
          <w:p w14:paraId="5966ED56"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0.090</w:t>
            </w:r>
          </w:p>
        </w:tc>
        <w:tc>
          <w:tcPr>
            <w:tcW w:w="1150" w:type="dxa"/>
            <w:tcBorders>
              <w:top w:val="nil"/>
              <w:left w:val="nil"/>
              <w:bottom w:val="nil"/>
              <w:right w:val="nil"/>
            </w:tcBorders>
            <w:shd w:val="clear" w:color="auto" w:fill="auto"/>
            <w:vAlign w:val="center"/>
            <w:hideMark/>
          </w:tcPr>
          <w:p w14:paraId="5CABEAD6"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980" w:type="dxa"/>
            <w:tcBorders>
              <w:top w:val="nil"/>
              <w:left w:val="nil"/>
              <w:bottom w:val="nil"/>
              <w:right w:val="nil"/>
            </w:tcBorders>
            <w:shd w:val="clear" w:color="auto" w:fill="auto"/>
            <w:vAlign w:val="center"/>
            <w:hideMark/>
          </w:tcPr>
          <w:p w14:paraId="4A5CF17A"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0.010</w:t>
            </w:r>
          </w:p>
        </w:tc>
      </w:tr>
      <w:tr w:rsidR="00A52788" w:rsidRPr="00D06F2B" w14:paraId="6EC99E1A" w14:textId="77777777" w:rsidTr="00A52788">
        <w:trPr>
          <w:trHeight w:val="268"/>
        </w:trPr>
        <w:tc>
          <w:tcPr>
            <w:tcW w:w="2239" w:type="dxa"/>
            <w:tcBorders>
              <w:top w:val="nil"/>
              <w:left w:val="nil"/>
              <w:bottom w:val="nil"/>
              <w:right w:val="nil"/>
            </w:tcBorders>
            <w:shd w:val="clear" w:color="auto" w:fill="auto"/>
            <w:hideMark/>
          </w:tcPr>
          <w:p w14:paraId="65AA9A2D" w14:textId="77777777" w:rsidR="00A52788" w:rsidRPr="00D06F2B" w:rsidRDefault="00A52788" w:rsidP="00A5278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|∆SAL|</w:t>
            </w:r>
          </w:p>
        </w:tc>
        <w:tc>
          <w:tcPr>
            <w:tcW w:w="961" w:type="dxa"/>
            <w:tcBorders>
              <w:top w:val="nil"/>
              <w:left w:val="nil"/>
              <w:bottom w:val="nil"/>
              <w:right w:val="nil"/>
            </w:tcBorders>
            <w:shd w:val="clear" w:color="auto" w:fill="auto"/>
            <w:vAlign w:val="center"/>
            <w:hideMark/>
          </w:tcPr>
          <w:p w14:paraId="5CE9920D"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938" w:type="dxa"/>
            <w:tcBorders>
              <w:top w:val="nil"/>
              <w:left w:val="nil"/>
              <w:bottom w:val="nil"/>
              <w:right w:val="nil"/>
            </w:tcBorders>
            <w:shd w:val="clear" w:color="auto" w:fill="auto"/>
            <w:vAlign w:val="center"/>
            <w:hideMark/>
          </w:tcPr>
          <w:p w14:paraId="0794F789"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51" w:type="dxa"/>
            <w:tcBorders>
              <w:top w:val="nil"/>
              <w:left w:val="nil"/>
              <w:bottom w:val="nil"/>
              <w:right w:val="nil"/>
            </w:tcBorders>
            <w:shd w:val="clear" w:color="auto" w:fill="auto"/>
            <w:vAlign w:val="center"/>
            <w:hideMark/>
          </w:tcPr>
          <w:p w14:paraId="78E8EB14"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236" w:type="dxa"/>
            <w:tcBorders>
              <w:top w:val="nil"/>
              <w:left w:val="nil"/>
              <w:bottom w:val="nil"/>
              <w:right w:val="nil"/>
            </w:tcBorders>
            <w:shd w:val="clear" w:color="auto" w:fill="auto"/>
            <w:vAlign w:val="center"/>
            <w:hideMark/>
          </w:tcPr>
          <w:p w14:paraId="1A8F53D5"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41" w:type="dxa"/>
            <w:tcBorders>
              <w:top w:val="nil"/>
              <w:left w:val="nil"/>
              <w:bottom w:val="nil"/>
              <w:right w:val="nil"/>
            </w:tcBorders>
            <w:shd w:val="clear" w:color="auto" w:fill="auto"/>
            <w:noWrap/>
            <w:vAlign w:val="center"/>
            <w:hideMark/>
          </w:tcPr>
          <w:p w14:paraId="078FC5B5"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-0.004</w:t>
            </w:r>
          </w:p>
        </w:tc>
        <w:tc>
          <w:tcPr>
            <w:tcW w:w="1044" w:type="dxa"/>
            <w:tcBorders>
              <w:top w:val="nil"/>
              <w:left w:val="nil"/>
              <w:bottom w:val="nil"/>
              <w:right w:val="nil"/>
            </w:tcBorders>
            <w:shd w:val="clear" w:color="auto" w:fill="auto"/>
            <w:noWrap/>
            <w:vAlign w:val="center"/>
            <w:hideMark/>
          </w:tcPr>
          <w:p w14:paraId="31A0747E"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0.095</w:t>
            </w:r>
          </w:p>
        </w:tc>
        <w:tc>
          <w:tcPr>
            <w:tcW w:w="1078" w:type="dxa"/>
            <w:tcBorders>
              <w:top w:val="nil"/>
              <w:left w:val="nil"/>
              <w:bottom w:val="nil"/>
              <w:right w:val="nil"/>
            </w:tcBorders>
            <w:shd w:val="clear" w:color="auto" w:fill="auto"/>
            <w:noWrap/>
            <w:vAlign w:val="center"/>
            <w:hideMark/>
          </w:tcPr>
          <w:p w14:paraId="73A1C10A"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-0.006</w:t>
            </w:r>
          </w:p>
        </w:tc>
        <w:tc>
          <w:tcPr>
            <w:tcW w:w="1023" w:type="dxa"/>
            <w:tcBorders>
              <w:top w:val="nil"/>
              <w:left w:val="nil"/>
              <w:bottom w:val="nil"/>
              <w:right w:val="nil"/>
            </w:tcBorders>
            <w:shd w:val="clear" w:color="auto" w:fill="auto"/>
            <w:noWrap/>
            <w:vAlign w:val="center"/>
            <w:hideMark/>
          </w:tcPr>
          <w:p w14:paraId="1F779079"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0.023</w:t>
            </w:r>
          </w:p>
        </w:tc>
        <w:tc>
          <w:tcPr>
            <w:tcW w:w="1150" w:type="dxa"/>
            <w:tcBorders>
              <w:top w:val="nil"/>
              <w:left w:val="nil"/>
              <w:bottom w:val="nil"/>
              <w:right w:val="nil"/>
            </w:tcBorders>
            <w:shd w:val="clear" w:color="auto" w:fill="auto"/>
            <w:vAlign w:val="center"/>
            <w:hideMark/>
          </w:tcPr>
          <w:p w14:paraId="48EE44E7"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980" w:type="dxa"/>
            <w:tcBorders>
              <w:top w:val="nil"/>
              <w:left w:val="nil"/>
              <w:bottom w:val="nil"/>
              <w:right w:val="nil"/>
            </w:tcBorders>
            <w:shd w:val="clear" w:color="auto" w:fill="auto"/>
            <w:vAlign w:val="center"/>
            <w:hideMark/>
          </w:tcPr>
          <w:p w14:paraId="77D62EAD"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0.242</w:t>
            </w:r>
          </w:p>
        </w:tc>
      </w:tr>
      <w:tr w:rsidR="00A52788" w:rsidRPr="00D06F2B" w14:paraId="09B0B5D1" w14:textId="77777777" w:rsidTr="00A52788">
        <w:trPr>
          <w:trHeight w:val="268"/>
        </w:trPr>
        <w:tc>
          <w:tcPr>
            <w:tcW w:w="2239" w:type="dxa"/>
            <w:tcBorders>
              <w:top w:val="nil"/>
              <w:left w:val="nil"/>
              <w:bottom w:val="nil"/>
              <w:right w:val="nil"/>
            </w:tcBorders>
            <w:shd w:val="clear" w:color="auto" w:fill="auto"/>
            <w:hideMark/>
          </w:tcPr>
          <w:p w14:paraId="47C34401" w14:textId="77777777" w:rsidR="00A52788" w:rsidRPr="00D06F2B" w:rsidRDefault="00A52788" w:rsidP="00A5278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|∆CPS|</w:t>
            </w:r>
          </w:p>
        </w:tc>
        <w:tc>
          <w:tcPr>
            <w:tcW w:w="961" w:type="dxa"/>
            <w:tcBorders>
              <w:top w:val="nil"/>
              <w:left w:val="nil"/>
              <w:bottom w:val="nil"/>
              <w:right w:val="nil"/>
            </w:tcBorders>
            <w:shd w:val="clear" w:color="auto" w:fill="auto"/>
            <w:vAlign w:val="center"/>
            <w:hideMark/>
          </w:tcPr>
          <w:p w14:paraId="2914BE3F"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938" w:type="dxa"/>
            <w:tcBorders>
              <w:top w:val="nil"/>
              <w:left w:val="nil"/>
              <w:bottom w:val="nil"/>
              <w:right w:val="nil"/>
            </w:tcBorders>
            <w:shd w:val="clear" w:color="auto" w:fill="auto"/>
            <w:vAlign w:val="center"/>
            <w:hideMark/>
          </w:tcPr>
          <w:p w14:paraId="1BD32F3C"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0.292</w:t>
            </w:r>
          </w:p>
        </w:tc>
        <w:tc>
          <w:tcPr>
            <w:tcW w:w="1151" w:type="dxa"/>
            <w:tcBorders>
              <w:top w:val="nil"/>
              <w:left w:val="nil"/>
              <w:bottom w:val="nil"/>
              <w:right w:val="nil"/>
            </w:tcBorders>
            <w:shd w:val="clear" w:color="auto" w:fill="auto"/>
            <w:vAlign w:val="center"/>
            <w:hideMark/>
          </w:tcPr>
          <w:p w14:paraId="0FC7DB0E"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236" w:type="dxa"/>
            <w:tcBorders>
              <w:top w:val="nil"/>
              <w:left w:val="nil"/>
              <w:bottom w:val="nil"/>
              <w:right w:val="nil"/>
            </w:tcBorders>
            <w:shd w:val="clear" w:color="auto" w:fill="auto"/>
            <w:vAlign w:val="center"/>
            <w:hideMark/>
          </w:tcPr>
          <w:p w14:paraId="012B5BCA"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0.472</w:t>
            </w:r>
          </w:p>
        </w:tc>
        <w:tc>
          <w:tcPr>
            <w:tcW w:w="1141" w:type="dxa"/>
            <w:tcBorders>
              <w:top w:val="nil"/>
              <w:left w:val="nil"/>
              <w:bottom w:val="nil"/>
              <w:right w:val="nil"/>
            </w:tcBorders>
            <w:shd w:val="clear" w:color="auto" w:fill="auto"/>
            <w:noWrap/>
            <w:vAlign w:val="center"/>
            <w:hideMark/>
          </w:tcPr>
          <w:p w14:paraId="776D1498"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-0.007</w:t>
            </w:r>
          </w:p>
        </w:tc>
        <w:tc>
          <w:tcPr>
            <w:tcW w:w="1044" w:type="dxa"/>
            <w:tcBorders>
              <w:top w:val="nil"/>
              <w:left w:val="nil"/>
              <w:bottom w:val="nil"/>
              <w:right w:val="nil"/>
            </w:tcBorders>
            <w:shd w:val="clear" w:color="auto" w:fill="auto"/>
            <w:noWrap/>
            <w:vAlign w:val="center"/>
            <w:hideMark/>
          </w:tcPr>
          <w:p w14:paraId="2EBBFE9C"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0.007</w:t>
            </w:r>
          </w:p>
        </w:tc>
        <w:tc>
          <w:tcPr>
            <w:tcW w:w="1078" w:type="dxa"/>
            <w:tcBorders>
              <w:top w:val="nil"/>
              <w:left w:val="nil"/>
              <w:bottom w:val="nil"/>
              <w:right w:val="nil"/>
            </w:tcBorders>
            <w:shd w:val="clear" w:color="auto" w:fill="auto"/>
            <w:noWrap/>
            <w:vAlign w:val="center"/>
            <w:hideMark/>
          </w:tcPr>
          <w:p w14:paraId="7D23818E"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023" w:type="dxa"/>
            <w:tcBorders>
              <w:top w:val="nil"/>
              <w:left w:val="nil"/>
              <w:bottom w:val="nil"/>
              <w:right w:val="nil"/>
            </w:tcBorders>
            <w:shd w:val="clear" w:color="auto" w:fill="auto"/>
            <w:noWrap/>
            <w:vAlign w:val="center"/>
            <w:hideMark/>
          </w:tcPr>
          <w:p w14:paraId="562E3173"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0.826</w:t>
            </w:r>
          </w:p>
        </w:tc>
        <w:tc>
          <w:tcPr>
            <w:tcW w:w="1150" w:type="dxa"/>
            <w:tcBorders>
              <w:top w:val="nil"/>
              <w:left w:val="nil"/>
              <w:bottom w:val="nil"/>
              <w:right w:val="nil"/>
            </w:tcBorders>
            <w:shd w:val="clear" w:color="auto" w:fill="auto"/>
            <w:vAlign w:val="center"/>
            <w:hideMark/>
          </w:tcPr>
          <w:p w14:paraId="452BF533"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980" w:type="dxa"/>
            <w:tcBorders>
              <w:top w:val="nil"/>
              <w:left w:val="nil"/>
              <w:bottom w:val="nil"/>
              <w:right w:val="nil"/>
            </w:tcBorders>
            <w:shd w:val="clear" w:color="auto" w:fill="auto"/>
            <w:vAlign w:val="center"/>
            <w:hideMark/>
          </w:tcPr>
          <w:p w14:paraId="426A78FF"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0.556</w:t>
            </w:r>
          </w:p>
        </w:tc>
      </w:tr>
      <w:tr w:rsidR="00A52788" w:rsidRPr="00D06F2B" w14:paraId="0E1FE434" w14:textId="77777777" w:rsidTr="00A52788">
        <w:trPr>
          <w:trHeight w:val="268"/>
        </w:trPr>
        <w:tc>
          <w:tcPr>
            <w:tcW w:w="2239" w:type="dxa"/>
            <w:tcBorders>
              <w:top w:val="nil"/>
              <w:left w:val="nil"/>
              <w:bottom w:val="nil"/>
              <w:right w:val="nil"/>
            </w:tcBorders>
            <w:shd w:val="clear" w:color="auto" w:fill="auto"/>
            <w:hideMark/>
          </w:tcPr>
          <w:p w14:paraId="5B3BCAF9" w14:textId="77777777" w:rsidR="00A52788" w:rsidRPr="00D06F2B" w:rsidRDefault="00A52788" w:rsidP="00A5278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|∆DPS|</w:t>
            </w:r>
          </w:p>
        </w:tc>
        <w:tc>
          <w:tcPr>
            <w:tcW w:w="961" w:type="dxa"/>
            <w:tcBorders>
              <w:top w:val="nil"/>
              <w:left w:val="nil"/>
              <w:bottom w:val="nil"/>
              <w:right w:val="nil"/>
            </w:tcBorders>
            <w:shd w:val="clear" w:color="auto" w:fill="auto"/>
            <w:vAlign w:val="center"/>
            <w:hideMark/>
          </w:tcPr>
          <w:p w14:paraId="1FE68734"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938" w:type="dxa"/>
            <w:tcBorders>
              <w:top w:val="nil"/>
              <w:left w:val="nil"/>
              <w:bottom w:val="nil"/>
              <w:right w:val="nil"/>
            </w:tcBorders>
            <w:shd w:val="clear" w:color="auto" w:fill="auto"/>
            <w:vAlign w:val="center"/>
            <w:hideMark/>
          </w:tcPr>
          <w:p w14:paraId="69DD9A13"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0.521</w:t>
            </w:r>
          </w:p>
        </w:tc>
        <w:tc>
          <w:tcPr>
            <w:tcW w:w="1151" w:type="dxa"/>
            <w:tcBorders>
              <w:top w:val="nil"/>
              <w:left w:val="nil"/>
              <w:bottom w:val="nil"/>
              <w:right w:val="nil"/>
            </w:tcBorders>
            <w:shd w:val="clear" w:color="auto" w:fill="auto"/>
            <w:vAlign w:val="center"/>
            <w:hideMark/>
          </w:tcPr>
          <w:p w14:paraId="756CAFFA"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236" w:type="dxa"/>
            <w:tcBorders>
              <w:top w:val="nil"/>
              <w:left w:val="nil"/>
              <w:bottom w:val="nil"/>
              <w:right w:val="nil"/>
            </w:tcBorders>
            <w:shd w:val="clear" w:color="auto" w:fill="auto"/>
            <w:vAlign w:val="center"/>
            <w:hideMark/>
          </w:tcPr>
          <w:p w14:paraId="65A80B4B"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0.405</w:t>
            </w:r>
          </w:p>
        </w:tc>
        <w:tc>
          <w:tcPr>
            <w:tcW w:w="1141" w:type="dxa"/>
            <w:tcBorders>
              <w:top w:val="nil"/>
              <w:left w:val="nil"/>
              <w:bottom w:val="nil"/>
              <w:right w:val="nil"/>
            </w:tcBorders>
            <w:shd w:val="clear" w:color="auto" w:fill="auto"/>
            <w:noWrap/>
            <w:vAlign w:val="center"/>
            <w:hideMark/>
          </w:tcPr>
          <w:p w14:paraId="7AC637A6"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0.026</w:t>
            </w:r>
          </w:p>
        </w:tc>
        <w:tc>
          <w:tcPr>
            <w:tcW w:w="1044" w:type="dxa"/>
            <w:tcBorders>
              <w:top w:val="nil"/>
              <w:left w:val="nil"/>
              <w:bottom w:val="nil"/>
              <w:right w:val="nil"/>
            </w:tcBorders>
            <w:shd w:val="clear" w:color="auto" w:fill="auto"/>
            <w:noWrap/>
            <w:vAlign w:val="center"/>
            <w:hideMark/>
          </w:tcPr>
          <w:p w14:paraId="2151E1BA"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0.112</w:t>
            </w:r>
          </w:p>
        </w:tc>
        <w:tc>
          <w:tcPr>
            <w:tcW w:w="1078" w:type="dxa"/>
            <w:tcBorders>
              <w:top w:val="nil"/>
              <w:left w:val="nil"/>
              <w:bottom w:val="nil"/>
              <w:right w:val="nil"/>
            </w:tcBorders>
            <w:shd w:val="clear" w:color="auto" w:fill="auto"/>
            <w:noWrap/>
            <w:vAlign w:val="center"/>
            <w:hideMark/>
          </w:tcPr>
          <w:p w14:paraId="5D4D7150"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0.006</w:t>
            </w:r>
          </w:p>
        </w:tc>
        <w:tc>
          <w:tcPr>
            <w:tcW w:w="1023" w:type="dxa"/>
            <w:tcBorders>
              <w:top w:val="nil"/>
              <w:left w:val="nil"/>
              <w:bottom w:val="nil"/>
              <w:right w:val="nil"/>
            </w:tcBorders>
            <w:shd w:val="clear" w:color="auto" w:fill="auto"/>
            <w:noWrap/>
            <w:vAlign w:val="center"/>
            <w:hideMark/>
          </w:tcPr>
          <w:p w14:paraId="7F00F49B"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0.248</w:t>
            </w:r>
          </w:p>
        </w:tc>
        <w:tc>
          <w:tcPr>
            <w:tcW w:w="1150" w:type="dxa"/>
            <w:tcBorders>
              <w:top w:val="nil"/>
              <w:left w:val="nil"/>
              <w:bottom w:val="nil"/>
              <w:right w:val="nil"/>
            </w:tcBorders>
            <w:shd w:val="clear" w:color="auto" w:fill="auto"/>
            <w:vAlign w:val="center"/>
            <w:hideMark/>
          </w:tcPr>
          <w:p w14:paraId="62B4E9C0"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980" w:type="dxa"/>
            <w:tcBorders>
              <w:top w:val="nil"/>
              <w:left w:val="nil"/>
              <w:bottom w:val="nil"/>
              <w:right w:val="nil"/>
            </w:tcBorders>
            <w:shd w:val="clear" w:color="auto" w:fill="auto"/>
            <w:vAlign w:val="center"/>
            <w:hideMark/>
          </w:tcPr>
          <w:p w14:paraId="517845F0"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0.617</w:t>
            </w:r>
          </w:p>
        </w:tc>
      </w:tr>
      <w:tr w:rsidR="00A52788" w:rsidRPr="00D06F2B" w14:paraId="7DC4FDEB" w14:textId="77777777" w:rsidTr="00A52788">
        <w:trPr>
          <w:trHeight w:val="268"/>
        </w:trPr>
        <w:tc>
          <w:tcPr>
            <w:tcW w:w="2239" w:type="dxa"/>
            <w:tcBorders>
              <w:top w:val="nil"/>
              <w:left w:val="nil"/>
              <w:bottom w:val="nil"/>
              <w:right w:val="nil"/>
            </w:tcBorders>
            <w:shd w:val="clear" w:color="auto" w:fill="auto"/>
            <w:hideMark/>
          </w:tcPr>
          <w:p w14:paraId="78825476" w14:textId="77777777" w:rsidR="00A52788" w:rsidRPr="00D06F2B" w:rsidRDefault="00A52788" w:rsidP="00A5278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|∆REC|</w:t>
            </w:r>
          </w:p>
        </w:tc>
        <w:tc>
          <w:tcPr>
            <w:tcW w:w="961" w:type="dxa"/>
            <w:tcBorders>
              <w:top w:val="nil"/>
              <w:left w:val="nil"/>
              <w:bottom w:val="nil"/>
              <w:right w:val="nil"/>
            </w:tcBorders>
            <w:shd w:val="clear" w:color="auto" w:fill="auto"/>
            <w:vAlign w:val="center"/>
            <w:hideMark/>
          </w:tcPr>
          <w:p w14:paraId="3AEF2E33"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938" w:type="dxa"/>
            <w:tcBorders>
              <w:top w:val="nil"/>
              <w:left w:val="nil"/>
              <w:bottom w:val="nil"/>
              <w:right w:val="nil"/>
            </w:tcBorders>
            <w:shd w:val="clear" w:color="auto" w:fill="auto"/>
            <w:vAlign w:val="center"/>
            <w:hideMark/>
          </w:tcPr>
          <w:p w14:paraId="04CC33C5"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51" w:type="dxa"/>
            <w:tcBorders>
              <w:top w:val="nil"/>
              <w:left w:val="nil"/>
              <w:bottom w:val="nil"/>
              <w:right w:val="nil"/>
            </w:tcBorders>
            <w:shd w:val="clear" w:color="auto" w:fill="auto"/>
            <w:vAlign w:val="center"/>
            <w:hideMark/>
          </w:tcPr>
          <w:p w14:paraId="28EACCDB"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236" w:type="dxa"/>
            <w:tcBorders>
              <w:top w:val="nil"/>
              <w:left w:val="nil"/>
              <w:bottom w:val="nil"/>
              <w:right w:val="nil"/>
            </w:tcBorders>
            <w:shd w:val="clear" w:color="auto" w:fill="auto"/>
            <w:vAlign w:val="center"/>
            <w:hideMark/>
          </w:tcPr>
          <w:p w14:paraId="52C1C18D"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41" w:type="dxa"/>
            <w:tcBorders>
              <w:top w:val="nil"/>
              <w:left w:val="nil"/>
              <w:bottom w:val="nil"/>
              <w:right w:val="nil"/>
            </w:tcBorders>
            <w:shd w:val="clear" w:color="auto" w:fill="auto"/>
            <w:noWrap/>
            <w:vAlign w:val="center"/>
            <w:hideMark/>
          </w:tcPr>
          <w:p w14:paraId="6E2B2FD0"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0.002</w:t>
            </w:r>
          </w:p>
        </w:tc>
        <w:tc>
          <w:tcPr>
            <w:tcW w:w="1044" w:type="dxa"/>
            <w:tcBorders>
              <w:top w:val="nil"/>
              <w:left w:val="nil"/>
              <w:bottom w:val="nil"/>
              <w:right w:val="nil"/>
            </w:tcBorders>
            <w:shd w:val="clear" w:color="auto" w:fill="auto"/>
            <w:noWrap/>
            <w:vAlign w:val="center"/>
            <w:hideMark/>
          </w:tcPr>
          <w:p w14:paraId="09D6267E"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078" w:type="dxa"/>
            <w:tcBorders>
              <w:top w:val="nil"/>
              <w:left w:val="nil"/>
              <w:bottom w:val="nil"/>
              <w:right w:val="nil"/>
            </w:tcBorders>
            <w:shd w:val="clear" w:color="auto" w:fill="auto"/>
            <w:noWrap/>
            <w:vAlign w:val="center"/>
            <w:hideMark/>
          </w:tcPr>
          <w:p w14:paraId="778F60D9"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c>
          <w:tcPr>
            <w:tcW w:w="1023" w:type="dxa"/>
            <w:tcBorders>
              <w:top w:val="nil"/>
              <w:left w:val="nil"/>
              <w:bottom w:val="nil"/>
              <w:right w:val="nil"/>
            </w:tcBorders>
            <w:shd w:val="clear" w:color="auto" w:fill="auto"/>
            <w:noWrap/>
            <w:vAlign w:val="center"/>
            <w:hideMark/>
          </w:tcPr>
          <w:p w14:paraId="5283640F"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0.057</w:t>
            </w:r>
          </w:p>
        </w:tc>
        <w:tc>
          <w:tcPr>
            <w:tcW w:w="1150" w:type="dxa"/>
            <w:tcBorders>
              <w:top w:val="nil"/>
              <w:left w:val="nil"/>
              <w:bottom w:val="nil"/>
              <w:right w:val="nil"/>
            </w:tcBorders>
            <w:shd w:val="clear" w:color="auto" w:fill="auto"/>
            <w:vAlign w:val="center"/>
            <w:hideMark/>
          </w:tcPr>
          <w:p w14:paraId="15A27DC6"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980" w:type="dxa"/>
            <w:tcBorders>
              <w:top w:val="nil"/>
              <w:left w:val="nil"/>
              <w:bottom w:val="nil"/>
              <w:right w:val="nil"/>
            </w:tcBorders>
            <w:shd w:val="clear" w:color="auto" w:fill="auto"/>
            <w:vAlign w:val="center"/>
            <w:hideMark/>
          </w:tcPr>
          <w:p w14:paraId="15BFE51B"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0.658</w:t>
            </w:r>
          </w:p>
        </w:tc>
      </w:tr>
      <w:tr w:rsidR="00A52788" w:rsidRPr="00D06F2B" w14:paraId="23ADEDD4" w14:textId="77777777" w:rsidTr="00A52788">
        <w:trPr>
          <w:trHeight w:val="268"/>
        </w:trPr>
        <w:tc>
          <w:tcPr>
            <w:tcW w:w="2239" w:type="dxa"/>
            <w:tcBorders>
              <w:top w:val="nil"/>
              <w:left w:val="nil"/>
              <w:bottom w:val="nil"/>
              <w:right w:val="nil"/>
            </w:tcBorders>
            <w:shd w:val="clear" w:color="auto" w:fill="auto"/>
            <w:hideMark/>
          </w:tcPr>
          <w:p w14:paraId="094E1AA8" w14:textId="77777777" w:rsidR="00A52788" w:rsidRPr="00D06F2B" w:rsidRDefault="00A52788" w:rsidP="00A5278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|∆TP|</w:t>
            </w:r>
          </w:p>
        </w:tc>
        <w:tc>
          <w:tcPr>
            <w:tcW w:w="961" w:type="dxa"/>
            <w:tcBorders>
              <w:top w:val="nil"/>
              <w:left w:val="nil"/>
              <w:bottom w:val="nil"/>
              <w:right w:val="nil"/>
            </w:tcBorders>
            <w:shd w:val="clear" w:color="auto" w:fill="auto"/>
            <w:vAlign w:val="center"/>
            <w:hideMark/>
          </w:tcPr>
          <w:p w14:paraId="1461634B"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0.013</w:t>
            </w:r>
          </w:p>
        </w:tc>
        <w:tc>
          <w:tcPr>
            <w:tcW w:w="938" w:type="dxa"/>
            <w:tcBorders>
              <w:top w:val="nil"/>
              <w:left w:val="nil"/>
              <w:bottom w:val="nil"/>
              <w:right w:val="nil"/>
            </w:tcBorders>
            <w:shd w:val="clear" w:color="auto" w:fill="auto"/>
            <w:vAlign w:val="center"/>
            <w:hideMark/>
          </w:tcPr>
          <w:p w14:paraId="772AF9ED"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51" w:type="dxa"/>
            <w:tcBorders>
              <w:top w:val="nil"/>
              <w:left w:val="nil"/>
              <w:bottom w:val="nil"/>
              <w:right w:val="nil"/>
            </w:tcBorders>
            <w:shd w:val="clear" w:color="auto" w:fill="auto"/>
            <w:vAlign w:val="center"/>
            <w:hideMark/>
          </w:tcPr>
          <w:p w14:paraId="46C2F674"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0.010</w:t>
            </w:r>
          </w:p>
        </w:tc>
        <w:tc>
          <w:tcPr>
            <w:tcW w:w="1236" w:type="dxa"/>
            <w:tcBorders>
              <w:top w:val="nil"/>
              <w:left w:val="nil"/>
              <w:bottom w:val="nil"/>
              <w:right w:val="nil"/>
            </w:tcBorders>
            <w:shd w:val="clear" w:color="auto" w:fill="auto"/>
            <w:vAlign w:val="center"/>
            <w:hideMark/>
          </w:tcPr>
          <w:p w14:paraId="407595A2"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41" w:type="dxa"/>
            <w:tcBorders>
              <w:top w:val="nil"/>
              <w:left w:val="nil"/>
              <w:bottom w:val="nil"/>
              <w:right w:val="nil"/>
            </w:tcBorders>
            <w:shd w:val="clear" w:color="auto" w:fill="auto"/>
            <w:noWrap/>
            <w:vAlign w:val="center"/>
            <w:hideMark/>
          </w:tcPr>
          <w:p w14:paraId="79FA4B5A"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0.066</w:t>
            </w:r>
          </w:p>
        </w:tc>
        <w:tc>
          <w:tcPr>
            <w:tcW w:w="1044" w:type="dxa"/>
            <w:tcBorders>
              <w:top w:val="nil"/>
              <w:left w:val="nil"/>
              <w:bottom w:val="nil"/>
              <w:right w:val="nil"/>
            </w:tcBorders>
            <w:shd w:val="clear" w:color="auto" w:fill="auto"/>
            <w:noWrap/>
            <w:vAlign w:val="center"/>
            <w:hideMark/>
          </w:tcPr>
          <w:p w14:paraId="1229C44B"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078" w:type="dxa"/>
            <w:tcBorders>
              <w:top w:val="nil"/>
              <w:left w:val="nil"/>
              <w:bottom w:val="nil"/>
              <w:right w:val="nil"/>
            </w:tcBorders>
            <w:shd w:val="clear" w:color="auto" w:fill="auto"/>
            <w:noWrap/>
            <w:vAlign w:val="center"/>
            <w:hideMark/>
          </w:tcPr>
          <w:p w14:paraId="675C29D1"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0.033</w:t>
            </w:r>
          </w:p>
        </w:tc>
        <w:tc>
          <w:tcPr>
            <w:tcW w:w="1023" w:type="dxa"/>
            <w:tcBorders>
              <w:top w:val="nil"/>
              <w:left w:val="nil"/>
              <w:bottom w:val="nil"/>
              <w:right w:val="nil"/>
            </w:tcBorders>
            <w:shd w:val="clear" w:color="auto" w:fill="auto"/>
            <w:noWrap/>
            <w:vAlign w:val="center"/>
            <w:hideMark/>
          </w:tcPr>
          <w:p w14:paraId="55BD1615"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1150" w:type="dxa"/>
            <w:tcBorders>
              <w:top w:val="nil"/>
              <w:left w:val="nil"/>
              <w:bottom w:val="nil"/>
              <w:right w:val="nil"/>
            </w:tcBorders>
            <w:shd w:val="clear" w:color="auto" w:fill="auto"/>
            <w:vAlign w:val="center"/>
            <w:hideMark/>
          </w:tcPr>
          <w:p w14:paraId="520517B1"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0.020</w:t>
            </w:r>
          </w:p>
        </w:tc>
        <w:tc>
          <w:tcPr>
            <w:tcW w:w="980" w:type="dxa"/>
            <w:tcBorders>
              <w:top w:val="nil"/>
              <w:left w:val="nil"/>
              <w:bottom w:val="nil"/>
              <w:right w:val="nil"/>
            </w:tcBorders>
            <w:shd w:val="clear" w:color="auto" w:fill="auto"/>
            <w:vAlign w:val="center"/>
            <w:hideMark/>
          </w:tcPr>
          <w:p w14:paraId="286AC901"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A52788" w:rsidRPr="00D06F2B" w14:paraId="68E70051" w14:textId="77777777" w:rsidTr="00A52788">
        <w:trPr>
          <w:trHeight w:val="268"/>
        </w:trPr>
        <w:tc>
          <w:tcPr>
            <w:tcW w:w="2239" w:type="dxa"/>
            <w:tcBorders>
              <w:top w:val="nil"/>
              <w:left w:val="nil"/>
              <w:bottom w:val="nil"/>
              <w:right w:val="nil"/>
            </w:tcBorders>
            <w:shd w:val="clear" w:color="auto" w:fill="auto"/>
            <w:noWrap/>
            <w:vAlign w:val="bottom"/>
            <w:hideMark/>
          </w:tcPr>
          <w:p w14:paraId="3C82D489" w14:textId="77777777" w:rsidR="00A52788" w:rsidRPr="00D06F2B" w:rsidRDefault="00A52788" w:rsidP="00A5278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Ret vol</w:t>
            </w:r>
          </w:p>
        </w:tc>
        <w:tc>
          <w:tcPr>
            <w:tcW w:w="961" w:type="dxa"/>
            <w:tcBorders>
              <w:top w:val="nil"/>
              <w:left w:val="nil"/>
              <w:bottom w:val="nil"/>
              <w:right w:val="nil"/>
            </w:tcBorders>
            <w:shd w:val="clear" w:color="auto" w:fill="auto"/>
            <w:noWrap/>
            <w:vAlign w:val="bottom"/>
            <w:hideMark/>
          </w:tcPr>
          <w:p w14:paraId="0220731A" w14:textId="77777777" w:rsidR="00A52788" w:rsidRPr="00D06F2B" w:rsidRDefault="00A52788" w:rsidP="00A52788">
            <w:pPr>
              <w:spacing w:after="0" w:line="240" w:lineRule="auto"/>
              <w:rPr>
                <w:rFonts w:ascii="Garamond" w:eastAsia="Times New Roman" w:hAnsi="Garamond" w:cs="Calibri"/>
                <w:color w:val="000000"/>
                <w:sz w:val="20"/>
                <w:szCs w:val="20"/>
                <w:lang w:eastAsia="en-GB"/>
              </w:rPr>
            </w:pPr>
          </w:p>
        </w:tc>
        <w:tc>
          <w:tcPr>
            <w:tcW w:w="938" w:type="dxa"/>
            <w:tcBorders>
              <w:top w:val="nil"/>
              <w:left w:val="nil"/>
              <w:bottom w:val="nil"/>
              <w:right w:val="nil"/>
            </w:tcBorders>
            <w:shd w:val="clear" w:color="auto" w:fill="auto"/>
            <w:noWrap/>
            <w:vAlign w:val="bottom"/>
            <w:hideMark/>
          </w:tcPr>
          <w:p w14:paraId="31EC4C11" w14:textId="77777777" w:rsidR="00A52788" w:rsidRPr="00D06F2B" w:rsidRDefault="00A52788" w:rsidP="00A52788">
            <w:pPr>
              <w:spacing w:after="0" w:line="240" w:lineRule="auto"/>
              <w:jc w:val="center"/>
              <w:rPr>
                <w:rFonts w:ascii="Garamond" w:eastAsia="Times New Roman" w:hAnsi="Garamond" w:cs="Times New Roman"/>
                <w:sz w:val="20"/>
                <w:szCs w:val="20"/>
                <w:lang w:eastAsia="en-GB"/>
              </w:rPr>
            </w:pPr>
          </w:p>
        </w:tc>
        <w:tc>
          <w:tcPr>
            <w:tcW w:w="1151" w:type="dxa"/>
            <w:tcBorders>
              <w:top w:val="nil"/>
              <w:left w:val="nil"/>
              <w:bottom w:val="nil"/>
              <w:right w:val="nil"/>
            </w:tcBorders>
            <w:shd w:val="clear" w:color="auto" w:fill="auto"/>
            <w:noWrap/>
            <w:vAlign w:val="bottom"/>
            <w:hideMark/>
          </w:tcPr>
          <w:p w14:paraId="512EF4AE" w14:textId="77777777" w:rsidR="00A52788" w:rsidRPr="00D06F2B" w:rsidRDefault="00A52788" w:rsidP="00A52788">
            <w:pPr>
              <w:spacing w:after="0" w:line="240" w:lineRule="auto"/>
              <w:jc w:val="center"/>
              <w:rPr>
                <w:rFonts w:ascii="Garamond" w:eastAsia="Times New Roman" w:hAnsi="Garamond" w:cs="Times New Roman"/>
                <w:sz w:val="20"/>
                <w:szCs w:val="20"/>
                <w:lang w:eastAsia="en-GB"/>
              </w:rPr>
            </w:pPr>
          </w:p>
        </w:tc>
        <w:tc>
          <w:tcPr>
            <w:tcW w:w="1236" w:type="dxa"/>
            <w:tcBorders>
              <w:top w:val="nil"/>
              <w:left w:val="nil"/>
              <w:bottom w:val="nil"/>
              <w:right w:val="nil"/>
            </w:tcBorders>
            <w:shd w:val="clear" w:color="auto" w:fill="auto"/>
            <w:noWrap/>
            <w:vAlign w:val="bottom"/>
            <w:hideMark/>
          </w:tcPr>
          <w:p w14:paraId="116D9327" w14:textId="77777777" w:rsidR="00A52788" w:rsidRPr="00D06F2B" w:rsidRDefault="00A52788" w:rsidP="00A52788">
            <w:pPr>
              <w:spacing w:after="0" w:line="240" w:lineRule="auto"/>
              <w:jc w:val="center"/>
              <w:rPr>
                <w:rFonts w:ascii="Garamond" w:eastAsia="Times New Roman" w:hAnsi="Garamond" w:cs="Times New Roman"/>
                <w:sz w:val="20"/>
                <w:szCs w:val="20"/>
                <w:lang w:eastAsia="en-GB"/>
              </w:rPr>
            </w:pPr>
          </w:p>
        </w:tc>
        <w:tc>
          <w:tcPr>
            <w:tcW w:w="1141" w:type="dxa"/>
            <w:tcBorders>
              <w:top w:val="nil"/>
              <w:left w:val="nil"/>
              <w:bottom w:val="nil"/>
              <w:right w:val="nil"/>
            </w:tcBorders>
            <w:shd w:val="clear" w:color="auto" w:fill="auto"/>
            <w:noWrap/>
            <w:vAlign w:val="bottom"/>
            <w:hideMark/>
          </w:tcPr>
          <w:p w14:paraId="33B2EDC6" w14:textId="77777777" w:rsidR="00A52788" w:rsidRPr="00D06F2B" w:rsidRDefault="00A52788" w:rsidP="00A52788">
            <w:pPr>
              <w:spacing w:after="0" w:line="240" w:lineRule="auto"/>
              <w:jc w:val="center"/>
              <w:rPr>
                <w:rFonts w:ascii="Garamond" w:eastAsia="Times New Roman" w:hAnsi="Garamond" w:cs="Times New Roman"/>
                <w:sz w:val="20"/>
                <w:szCs w:val="20"/>
                <w:lang w:eastAsia="en-GB"/>
              </w:rPr>
            </w:pPr>
          </w:p>
        </w:tc>
        <w:tc>
          <w:tcPr>
            <w:tcW w:w="1044" w:type="dxa"/>
            <w:tcBorders>
              <w:top w:val="nil"/>
              <w:left w:val="nil"/>
              <w:bottom w:val="nil"/>
              <w:right w:val="nil"/>
            </w:tcBorders>
            <w:shd w:val="clear" w:color="auto" w:fill="auto"/>
            <w:noWrap/>
            <w:vAlign w:val="bottom"/>
            <w:hideMark/>
          </w:tcPr>
          <w:p w14:paraId="72589E04" w14:textId="77777777" w:rsidR="00A52788" w:rsidRPr="00D06F2B" w:rsidRDefault="00A52788" w:rsidP="00A52788">
            <w:pPr>
              <w:spacing w:after="0" w:line="240" w:lineRule="auto"/>
              <w:jc w:val="center"/>
              <w:rPr>
                <w:rFonts w:ascii="Garamond" w:eastAsia="Times New Roman" w:hAnsi="Garamond" w:cs="Times New Roman"/>
                <w:sz w:val="20"/>
                <w:szCs w:val="20"/>
                <w:lang w:eastAsia="en-GB"/>
              </w:rPr>
            </w:pPr>
          </w:p>
        </w:tc>
        <w:tc>
          <w:tcPr>
            <w:tcW w:w="1078" w:type="dxa"/>
            <w:tcBorders>
              <w:top w:val="nil"/>
              <w:left w:val="nil"/>
              <w:bottom w:val="nil"/>
              <w:right w:val="nil"/>
            </w:tcBorders>
            <w:shd w:val="clear" w:color="auto" w:fill="auto"/>
            <w:noWrap/>
            <w:vAlign w:val="center"/>
            <w:hideMark/>
          </w:tcPr>
          <w:p w14:paraId="4CB2FE88" w14:textId="77777777" w:rsidR="00A52788" w:rsidRPr="00D06F2B" w:rsidRDefault="00A52788" w:rsidP="00A52788">
            <w:pPr>
              <w:spacing w:after="0" w:line="240" w:lineRule="auto"/>
              <w:jc w:val="center"/>
              <w:rPr>
                <w:rFonts w:ascii="Garamond" w:eastAsia="Times New Roman" w:hAnsi="Garamond" w:cs="Times New Roman"/>
                <w:sz w:val="20"/>
                <w:szCs w:val="20"/>
                <w:lang w:eastAsia="en-GB"/>
              </w:rPr>
            </w:pPr>
          </w:p>
        </w:tc>
        <w:tc>
          <w:tcPr>
            <w:tcW w:w="1023" w:type="dxa"/>
            <w:tcBorders>
              <w:top w:val="nil"/>
              <w:left w:val="nil"/>
              <w:bottom w:val="nil"/>
              <w:right w:val="nil"/>
            </w:tcBorders>
            <w:shd w:val="clear" w:color="auto" w:fill="auto"/>
            <w:vAlign w:val="center"/>
            <w:hideMark/>
          </w:tcPr>
          <w:p w14:paraId="09DB83A6"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xml:space="preserve"> </w:t>
            </w:r>
          </w:p>
        </w:tc>
        <w:tc>
          <w:tcPr>
            <w:tcW w:w="1150" w:type="dxa"/>
            <w:tcBorders>
              <w:top w:val="nil"/>
              <w:left w:val="nil"/>
              <w:bottom w:val="nil"/>
              <w:right w:val="nil"/>
            </w:tcBorders>
            <w:shd w:val="clear" w:color="auto" w:fill="auto"/>
            <w:noWrap/>
            <w:vAlign w:val="center"/>
            <w:hideMark/>
          </w:tcPr>
          <w:p w14:paraId="45561B6C"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2.965</w:t>
            </w:r>
          </w:p>
        </w:tc>
        <w:tc>
          <w:tcPr>
            <w:tcW w:w="980" w:type="dxa"/>
            <w:tcBorders>
              <w:top w:val="nil"/>
              <w:left w:val="nil"/>
              <w:bottom w:val="nil"/>
              <w:right w:val="nil"/>
            </w:tcBorders>
            <w:shd w:val="clear" w:color="auto" w:fill="auto"/>
            <w:noWrap/>
            <w:vAlign w:val="center"/>
            <w:hideMark/>
          </w:tcPr>
          <w:p w14:paraId="1366C6D8"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A52788" w:rsidRPr="00D06F2B" w14:paraId="051AED2A" w14:textId="77777777" w:rsidTr="00A52788">
        <w:trPr>
          <w:trHeight w:val="268"/>
        </w:trPr>
        <w:tc>
          <w:tcPr>
            <w:tcW w:w="2239" w:type="dxa"/>
            <w:tcBorders>
              <w:top w:val="nil"/>
              <w:left w:val="nil"/>
              <w:bottom w:val="nil"/>
              <w:right w:val="nil"/>
            </w:tcBorders>
            <w:shd w:val="clear" w:color="auto" w:fill="auto"/>
            <w:noWrap/>
            <w:hideMark/>
          </w:tcPr>
          <w:p w14:paraId="010417F2" w14:textId="77777777" w:rsidR="00A52788" w:rsidRPr="00D06F2B" w:rsidRDefault="00A52788" w:rsidP="00A5278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Year effects</w:t>
            </w:r>
          </w:p>
        </w:tc>
        <w:tc>
          <w:tcPr>
            <w:tcW w:w="961" w:type="dxa"/>
            <w:tcBorders>
              <w:top w:val="nil"/>
              <w:left w:val="nil"/>
              <w:bottom w:val="nil"/>
              <w:right w:val="nil"/>
            </w:tcBorders>
            <w:shd w:val="clear" w:color="auto" w:fill="auto"/>
            <w:noWrap/>
            <w:vAlign w:val="center"/>
            <w:hideMark/>
          </w:tcPr>
          <w:p w14:paraId="15173D57"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938" w:type="dxa"/>
            <w:tcBorders>
              <w:top w:val="nil"/>
              <w:left w:val="nil"/>
              <w:bottom w:val="nil"/>
              <w:right w:val="nil"/>
            </w:tcBorders>
            <w:shd w:val="clear" w:color="auto" w:fill="auto"/>
            <w:noWrap/>
            <w:vAlign w:val="bottom"/>
            <w:hideMark/>
          </w:tcPr>
          <w:p w14:paraId="3798DC58"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151" w:type="dxa"/>
            <w:tcBorders>
              <w:top w:val="nil"/>
              <w:left w:val="nil"/>
              <w:bottom w:val="nil"/>
              <w:right w:val="nil"/>
            </w:tcBorders>
            <w:shd w:val="clear" w:color="auto" w:fill="auto"/>
            <w:noWrap/>
            <w:vAlign w:val="center"/>
            <w:hideMark/>
          </w:tcPr>
          <w:p w14:paraId="7E49E19C"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236" w:type="dxa"/>
            <w:tcBorders>
              <w:top w:val="nil"/>
              <w:left w:val="nil"/>
              <w:bottom w:val="nil"/>
              <w:right w:val="nil"/>
            </w:tcBorders>
            <w:shd w:val="clear" w:color="auto" w:fill="auto"/>
            <w:noWrap/>
            <w:vAlign w:val="bottom"/>
            <w:hideMark/>
          </w:tcPr>
          <w:p w14:paraId="73612AAF"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141" w:type="dxa"/>
            <w:tcBorders>
              <w:top w:val="nil"/>
              <w:left w:val="nil"/>
              <w:bottom w:val="nil"/>
              <w:right w:val="nil"/>
            </w:tcBorders>
            <w:shd w:val="clear" w:color="auto" w:fill="auto"/>
            <w:noWrap/>
            <w:vAlign w:val="center"/>
            <w:hideMark/>
          </w:tcPr>
          <w:p w14:paraId="71AF7614"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044" w:type="dxa"/>
            <w:tcBorders>
              <w:top w:val="nil"/>
              <w:left w:val="nil"/>
              <w:bottom w:val="nil"/>
              <w:right w:val="nil"/>
            </w:tcBorders>
            <w:shd w:val="clear" w:color="auto" w:fill="auto"/>
            <w:noWrap/>
            <w:vAlign w:val="bottom"/>
            <w:hideMark/>
          </w:tcPr>
          <w:p w14:paraId="7351DCDE"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078" w:type="dxa"/>
            <w:tcBorders>
              <w:top w:val="nil"/>
              <w:left w:val="nil"/>
              <w:bottom w:val="nil"/>
              <w:right w:val="nil"/>
            </w:tcBorders>
            <w:shd w:val="clear" w:color="auto" w:fill="auto"/>
            <w:noWrap/>
            <w:vAlign w:val="center"/>
            <w:hideMark/>
          </w:tcPr>
          <w:p w14:paraId="26931761"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023" w:type="dxa"/>
            <w:tcBorders>
              <w:top w:val="nil"/>
              <w:left w:val="nil"/>
              <w:bottom w:val="nil"/>
              <w:right w:val="nil"/>
            </w:tcBorders>
            <w:shd w:val="clear" w:color="auto" w:fill="auto"/>
            <w:vAlign w:val="center"/>
            <w:hideMark/>
          </w:tcPr>
          <w:p w14:paraId="73F498E9"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150" w:type="dxa"/>
            <w:tcBorders>
              <w:top w:val="nil"/>
              <w:left w:val="nil"/>
              <w:bottom w:val="nil"/>
              <w:right w:val="nil"/>
            </w:tcBorders>
            <w:shd w:val="clear" w:color="auto" w:fill="auto"/>
            <w:noWrap/>
            <w:vAlign w:val="center"/>
            <w:hideMark/>
          </w:tcPr>
          <w:p w14:paraId="099B1716"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980" w:type="dxa"/>
            <w:tcBorders>
              <w:top w:val="nil"/>
              <w:left w:val="nil"/>
              <w:bottom w:val="nil"/>
              <w:right w:val="nil"/>
            </w:tcBorders>
            <w:shd w:val="clear" w:color="auto" w:fill="auto"/>
            <w:noWrap/>
            <w:vAlign w:val="center"/>
            <w:hideMark/>
          </w:tcPr>
          <w:p w14:paraId="1DD164F6"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r>
      <w:tr w:rsidR="00A52788" w:rsidRPr="00D06F2B" w14:paraId="17A69913" w14:textId="77777777" w:rsidTr="00A52788">
        <w:trPr>
          <w:trHeight w:val="268"/>
        </w:trPr>
        <w:tc>
          <w:tcPr>
            <w:tcW w:w="2239" w:type="dxa"/>
            <w:tcBorders>
              <w:top w:val="nil"/>
              <w:left w:val="nil"/>
              <w:bottom w:val="nil"/>
              <w:right w:val="nil"/>
            </w:tcBorders>
            <w:shd w:val="clear" w:color="auto" w:fill="auto"/>
            <w:noWrap/>
            <w:vAlign w:val="bottom"/>
            <w:hideMark/>
          </w:tcPr>
          <w:p w14:paraId="750915C8" w14:textId="77777777" w:rsidR="00A52788" w:rsidRPr="00D06F2B" w:rsidRDefault="00A52788" w:rsidP="00A5278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Quarter effect</w:t>
            </w:r>
          </w:p>
        </w:tc>
        <w:tc>
          <w:tcPr>
            <w:tcW w:w="961" w:type="dxa"/>
            <w:tcBorders>
              <w:top w:val="nil"/>
              <w:left w:val="nil"/>
              <w:bottom w:val="nil"/>
              <w:right w:val="nil"/>
            </w:tcBorders>
            <w:shd w:val="clear" w:color="auto" w:fill="auto"/>
            <w:noWrap/>
            <w:vAlign w:val="center"/>
            <w:hideMark/>
          </w:tcPr>
          <w:p w14:paraId="78959C54"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938" w:type="dxa"/>
            <w:tcBorders>
              <w:top w:val="nil"/>
              <w:left w:val="nil"/>
              <w:bottom w:val="nil"/>
              <w:right w:val="nil"/>
            </w:tcBorders>
            <w:shd w:val="clear" w:color="auto" w:fill="auto"/>
            <w:noWrap/>
            <w:vAlign w:val="bottom"/>
            <w:hideMark/>
          </w:tcPr>
          <w:p w14:paraId="1E9B3A54"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151" w:type="dxa"/>
            <w:tcBorders>
              <w:top w:val="nil"/>
              <w:left w:val="nil"/>
              <w:bottom w:val="nil"/>
              <w:right w:val="nil"/>
            </w:tcBorders>
            <w:shd w:val="clear" w:color="auto" w:fill="auto"/>
            <w:noWrap/>
            <w:vAlign w:val="center"/>
            <w:hideMark/>
          </w:tcPr>
          <w:p w14:paraId="44196D13"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236" w:type="dxa"/>
            <w:tcBorders>
              <w:top w:val="nil"/>
              <w:left w:val="nil"/>
              <w:bottom w:val="nil"/>
              <w:right w:val="nil"/>
            </w:tcBorders>
            <w:shd w:val="clear" w:color="auto" w:fill="auto"/>
            <w:noWrap/>
            <w:vAlign w:val="bottom"/>
            <w:hideMark/>
          </w:tcPr>
          <w:p w14:paraId="1E7A5376"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141" w:type="dxa"/>
            <w:tcBorders>
              <w:top w:val="nil"/>
              <w:left w:val="nil"/>
              <w:bottom w:val="nil"/>
              <w:right w:val="nil"/>
            </w:tcBorders>
            <w:shd w:val="clear" w:color="auto" w:fill="auto"/>
            <w:noWrap/>
            <w:vAlign w:val="center"/>
            <w:hideMark/>
          </w:tcPr>
          <w:p w14:paraId="55E09C60"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044" w:type="dxa"/>
            <w:tcBorders>
              <w:top w:val="nil"/>
              <w:left w:val="nil"/>
              <w:bottom w:val="nil"/>
              <w:right w:val="nil"/>
            </w:tcBorders>
            <w:shd w:val="clear" w:color="auto" w:fill="auto"/>
            <w:noWrap/>
            <w:vAlign w:val="bottom"/>
            <w:hideMark/>
          </w:tcPr>
          <w:p w14:paraId="24DBE5CB"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078" w:type="dxa"/>
            <w:tcBorders>
              <w:top w:val="nil"/>
              <w:left w:val="nil"/>
              <w:bottom w:val="nil"/>
              <w:right w:val="nil"/>
            </w:tcBorders>
            <w:shd w:val="clear" w:color="auto" w:fill="auto"/>
            <w:noWrap/>
            <w:vAlign w:val="center"/>
            <w:hideMark/>
          </w:tcPr>
          <w:p w14:paraId="230B6B33"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023" w:type="dxa"/>
            <w:tcBorders>
              <w:top w:val="nil"/>
              <w:left w:val="nil"/>
              <w:bottom w:val="nil"/>
              <w:right w:val="nil"/>
            </w:tcBorders>
            <w:shd w:val="clear" w:color="auto" w:fill="auto"/>
            <w:noWrap/>
            <w:vAlign w:val="center"/>
            <w:hideMark/>
          </w:tcPr>
          <w:p w14:paraId="081C3DD3"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150" w:type="dxa"/>
            <w:tcBorders>
              <w:top w:val="nil"/>
              <w:left w:val="nil"/>
              <w:bottom w:val="nil"/>
              <w:right w:val="nil"/>
            </w:tcBorders>
            <w:shd w:val="clear" w:color="auto" w:fill="auto"/>
            <w:noWrap/>
            <w:vAlign w:val="center"/>
            <w:hideMark/>
          </w:tcPr>
          <w:p w14:paraId="3E7C8744"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980" w:type="dxa"/>
            <w:tcBorders>
              <w:top w:val="nil"/>
              <w:left w:val="nil"/>
              <w:bottom w:val="nil"/>
              <w:right w:val="nil"/>
            </w:tcBorders>
            <w:shd w:val="clear" w:color="auto" w:fill="auto"/>
            <w:noWrap/>
            <w:vAlign w:val="center"/>
            <w:hideMark/>
          </w:tcPr>
          <w:p w14:paraId="4A5E1DB6"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r>
      <w:tr w:rsidR="00A52788" w:rsidRPr="00D06F2B" w14:paraId="44ACEECD" w14:textId="77777777" w:rsidTr="00A52788">
        <w:trPr>
          <w:trHeight w:val="268"/>
        </w:trPr>
        <w:tc>
          <w:tcPr>
            <w:tcW w:w="2239" w:type="dxa"/>
            <w:tcBorders>
              <w:top w:val="nil"/>
              <w:left w:val="nil"/>
              <w:bottom w:val="nil"/>
              <w:right w:val="nil"/>
            </w:tcBorders>
            <w:shd w:val="clear" w:color="auto" w:fill="auto"/>
            <w:noWrap/>
            <w:hideMark/>
          </w:tcPr>
          <w:p w14:paraId="6D4B2C17" w14:textId="77777777" w:rsidR="00A52788" w:rsidRPr="00D06F2B" w:rsidRDefault="00A52788" w:rsidP="00A5278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Firm effects</w:t>
            </w:r>
          </w:p>
        </w:tc>
        <w:tc>
          <w:tcPr>
            <w:tcW w:w="961" w:type="dxa"/>
            <w:tcBorders>
              <w:top w:val="nil"/>
              <w:left w:val="nil"/>
              <w:bottom w:val="nil"/>
              <w:right w:val="nil"/>
            </w:tcBorders>
            <w:shd w:val="clear" w:color="auto" w:fill="auto"/>
            <w:noWrap/>
            <w:vAlign w:val="center"/>
            <w:hideMark/>
          </w:tcPr>
          <w:p w14:paraId="77E7656A"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938" w:type="dxa"/>
            <w:tcBorders>
              <w:top w:val="nil"/>
              <w:left w:val="nil"/>
              <w:bottom w:val="nil"/>
              <w:right w:val="nil"/>
            </w:tcBorders>
            <w:shd w:val="clear" w:color="auto" w:fill="auto"/>
            <w:noWrap/>
            <w:vAlign w:val="bottom"/>
            <w:hideMark/>
          </w:tcPr>
          <w:p w14:paraId="032A857A"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151" w:type="dxa"/>
            <w:tcBorders>
              <w:top w:val="nil"/>
              <w:left w:val="nil"/>
              <w:bottom w:val="nil"/>
              <w:right w:val="nil"/>
            </w:tcBorders>
            <w:shd w:val="clear" w:color="auto" w:fill="auto"/>
            <w:noWrap/>
            <w:vAlign w:val="center"/>
            <w:hideMark/>
          </w:tcPr>
          <w:p w14:paraId="114F5770"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236" w:type="dxa"/>
            <w:tcBorders>
              <w:top w:val="nil"/>
              <w:left w:val="nil"/>
              <w:bottom w:val="nil"/>
              <w:right w:val="nil"/>
            </w:tcBorders>
            <w:shd w:val="clear" w:color="auto" w:fill="auto"/>
            <w:noWrap/>
            <w:vAlign w:val="bottom"/>
            <w:hideMark/>
          </w:tcPr>
          <w:p w14:paraId="2BDA2D6C"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141" w:type="dxa"/>
            <w:tcBorders>
              <w:top w:val="nil"/>
              <w:left w:val="nil"/>
              <w:bottom w:val="nil"/>
              <w:right w:val="nil"/>
            </w:tcBorders>
            <w:shd w:val="clear" w:color="auto" w:fill="auto"/>
            <w:noWrap/>
            <w:vAlign w:val="center"/>
            <w:hideMark/>
          </w:tcPr>
          <w:p w14:paraId="6C0D4885"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044" w:type="dxa"/>
            <w:tcBorders>
              <w:top w:val="nil"/>
              <w:left w:val="nil"/>
              <w:bottom w:val="nil"/>
              <w:right w:val="nil"/>
            </w:tcBorders>
            <w:shd w:val="clear" w:color="auto" w:fill="auto"/>
            <w:noWrap/>
            <w:vAlign w:val="bottom"/>
            <w:hideMark/>
          </w:tcPr>
          <w:p w14:paraId="54A410AC"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078" w:type="dxa"/>
            <w:tcBorders>
              <w:top w:val="nil"/>
              <w:left w:val="nil"/>
              <w:bottom w:val="nil"/>
              <w:right w:val="nil"/>
            </w:tcBorders>
            <w:shd w:val="clear" w:color="auto" w:fill="auto"/>
            <w:noWrap/>
            <w:vAlign w:val="center"/>
            <w:hideMark/>
          </w:tcPr>
          <w:p w14:paraId="35208827"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1023" w:type="dxa"/>
            <w:tcBorders>
              <w:top w:val="nil"/>
              <w:left w:val="nil"/>
              <w:bottom w:val="nil"/>
              <w:right w:val="nil"/>
            </w:tcBorders>
            <w:shd w:val="clear" w:color="auto" w:fill="auto"/>
            <w:noWrap/>
            <w:vAlign w:val="center"/>
            <w:hideMark/>
          </w:tcPr>
          <w:p w14:paraId="3C1408B3"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150" w:type="dxa"/>
            <w:tcBorders>
              <w:top w:val="nil"/>
              <w:left w:val="nil"/>
              <w:bottom w:val="nil"/>
              <w:right w:val="nil"/>
            </w:tcBorders>
            <w:shd w:val="clear" w:color="auto" w:fill="auto"/>
            <w:noWrap/>
            <w:vAlign w:val="center"/>
            <w:hideMark/>
          </w:tcPr>
          <w:p w14:paraId="679E8E45"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980" w:type="dxa"/>
            <w:tcBorders>
              <w:top w:val="nil"/>
              <w:left w:val="nil"/>
              <w:bottom w:val="nil"/>
              <w:right w:val="nil"/>
            </w:tcBorders>
            <w:shd w:val="clear" w:color="auto" w:fill="auto"/>
            <w:noWrap/>
            <w:vAlign w:val="center"/>
            <w:hideMark/>
          </w:tcPr>
          <w:p w14:paraId="48C4E5B3"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r>
      <w:tr w:rsidR="00A52788" w:rsidRPr="00D06F2B" w14:paraId="14C703A9" w14:textId="77777777" w:rsidTr="00A52788">
        <w:trPr>
          <w:trHeight w:val="268"/>
        </w:trPr>
        <w:tc>
          <w:tcPr>
            <w:tcW w:w="2239" w:type="dxa"/>
            <w:tcBorders>
              <w:top w:val="nil"/>
              <w:left w:val="nil"/>
              <w:bottom w:val="nil"/>
              <w:right w:val="nil"/>
            </w:tcBorders>
            <w:shd w:val="clear" w:color="auto" w:fill="auto"/>
            <w:noWrap/>
            <w:hideMark/>
          </w:tcPr>
          <w:p w14:paraId="39520218" w14:textId="77777777" w:rsidR="00A52788" w:rsidRPr="00D06F2B" w:rsidRDefault="00A52788" w:rsidP="00A5278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N</w:t>
            </w:r>
          </w:p>
        </w:tc>
        <w:tc>
          <w:tcPr>
            <w:tcW w:w="961" w:type="dxa"/>
            <w:tcBorders>
              <w:top w:val="nil"/>
              <w:left w:val="nil"/>
              <w:bottom w:val="nil"/>
              <w:right w:val="nil"/>
            </w:tcBorders>
            <w:shd w:val="clear" w:color="auto" w:fill="auto"/>
            <w:noWrap/>
            <w:vAlign w:val="center"/>
            <w:hideMark/>
          </w:tcPr>
          <w:p w14:paraId="1A272179"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445561</w:t>
            </w:r>
          </w:p>
        </w:tc>
        <w:tc>
          <w:tcPr>
            <w:tcW w:w="938" w:type="dxa"/>
            <w:tcBorders>
              <w:top w:val="nil"/>
              <w:left w:val="nil"/>
              <w:bottom w:val="nil"/>
              <w:right w:val="nil"/>
            </w:tcBorders>
            <w:shd w:val="clear" w:color="auto" w:fill="auto"/>
            <w:noWrap/>
            <w:vAlign w:val="bottom"/>
            <w:hideMark/>
          </w:tcPr>
          <w:p w14:paraId="6A3BCEC2"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151" w:type="dxa"/>
            <w:tcBorders>
              <w:top w:val="nil"/>
              <w:left w:val="nil"/>
              <w:bottom w:val="nil"/>
              <w:right w:val="nil"/>
            </w:tcBorders>
            <w:shd w:val="clear" w:color="auto" w:fill="auto"/>
            <w:noWrap/>
            <w:vAlign w:val="center"/>
            <w:hideMark/>
          </w:tcPr>
          <w:p w14:paraId="1377E456"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445561</w:t>
            </w:r>
          </w:p>
        </w:tc>
        <w:tc>
          <w:tcPr>
            <w:tcW w:w="1236" w:type="dxa"/>
            <w:tcBorders>
              <w:top w:val="nil"/>
              <w:left w:val="nil"/>
              <w:bottom w:val="nil"/>
              <w:right w:val="nil"/>
            </w:tcBorders>
            <w:shd w:val="clear" w:color="auto" w:fill="auto"/>
            <w:noWrap/>
            <w:vAlign w:val="bottom"/>
            <w:hideMark/>
          </w:tcPr>
          <w:p w14:paraId="797F7461"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141" w:type="dxa"/>
            <w:tcBorders>
              <w:top w:val="nil"/>
              <w:left w:val="nil"/>
              <w:bottom w:val="nil"/>
              <w:right w:val="nil"/>
            </w:tcBorders>
            <w:shd w:val="clear" w:color="auto" w:fill="auto"/>
            <w:noWrap/>
            <w:vAlign w:val="center"/>
            <w:hideMark/>
          </w:tcPr>
          <w:p w14:paraId="29A0B5D6"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445561</w:t>
            </w:r>
          </w:p>
        </w:tc>
        <w:tc>
          <w:tcPr>
            <w:tcW w:w="1044" w:type="dxa"/>
            <w:tcBorders>
              <w:top w:val="nil"/>
              <w:left w:val="nil"/>
              <w:bottom w:val="nil"/>
              <w:right w:val="nil"/>
            </w:tcBorders>
            <w:shd w:val="clear" w:color="auto" w:fill="auto"/>
            <w:noWrap/>
            <w:vAlign w:val="bottom"/>
            <w:hideMark/>
          </w:tcPr>
          <w:p w14:paraId="156C8B51"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078" w:type="dxa"/>
            <w:tcBorders>
              <w:top w:val="nil"/>
              <w:left w:val="nil"/>
              <w:bottom w:val="nil"/>
              <w:right w:val="nil"/>
            </w:tcBorders>
            <w:shd w:val="clear" w:color="auto" w:fill="auto"/>
            <w:noWrap/>
            <w:vAlign w:val="center"/>
            <w:hideMark/>
          </w:tcPr>
          <w:p w14:paraId="00295B3A"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297078</w:t>
            </w:r>
          </w:p>
        </w:tc>
        <w:tc>
          <w:tcPr>
            <w:tcW w:w="1023" w:type="dxa"/>
            <w:tcBorders>
              <w:top w:val="nil"/>
              <w:left w:val="nil"/>
              <w:bottom w:val="nil"/>
              <w:right w:val="nil"/>
            </w:tcBorders>
            <w:shd w:val="clear" w:color="auto" w:fill="auto"/>
            <w:noWrap/>
            <w:vAlign w:val="center"/>
            <w:hideMark/>
          </w:tcPr>
          <w:p w14:paraId="4D9D6768"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c>
          <w:tcPr>
            <w:tcW w:w="1150" w:type="dxa"/>
            <w:tcBorders>
              <w:top w:val="nil"/>
              <w:left w:val="nil"/>
              <w:bottom w:val="nil"/>
              <w:right w:val="nil"/>
            </w:tcBorders>
            <w:shd w:val="clear" w:color="auto" w:fill="auto"/>
            <w:noWrap/>
            <w:vAlign w:val="center"/>
            <w:hideMark/>
          </w:tcPr>
          <w:p w14:paraId="2A94E87C"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445561</w:t>
            </w:r>
          </w:p>
        </w:tc>
        <w:tc>
          <w:tcPr>
            <w:tcW w:w="980" w:type="dxa"/>
            <w:tcBorders>
              <w:top w:val="nil"/>
              <w:left w:val="nil"/>
              <w:bottom w:val="nil"/>
              <w:right w:val="nil"/>
            </w:tcBorders>
            <w:shd w:val="clear" w:color="auto" w:fill="auto"/>
            <w:noWrap/>
            <w:vAlign w:val="center"/>
            <w:hideMark/>
          </w:tcPr>
          <w:p w14:paraId="2DA7ADE5"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p>
        </w:tc>
      </w:tr>
      <w:tr w:rsidR="00A52788" w:rsidRPr="00D06F2B" w14:paraId="09D26748" w14:textId="77777777" w:rsidTr="00A52788">
        <w:trPr>
          <w:trHeight w:val="268"/>
        </w:trPr>
        <w:tc>
          <w:tcPr>
            <w:tcW w:w="2239" w:type="dxa"/>
            <w:tcBorders>
              <w:top w:val="nil"/>
              <w:left w:val="nil"/>
              <w:bottom w:val="single" w:sz="4" w:space="0" w:color="auto"/>
              <w:right w:val="nil"/>
            </w:tcBorders>
            <w:shd w:val="clear" w:color="auto" w:fill="auto"/>
            <w:noWrap/>
            <w:hideMark/>
          </w:tcPr>
          <w:p w14:paraId="31E4193A" w14:textId="77777777" w:rsidR="00A52788" w:rsidRPr="00D06F2B" w:rsidRDefault="00A52788" w:rsidP="00A52788">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R2</w:t>
            </w:r>
          </w:p>
        </w:tc>
        <w:tc>
          <w:tcPr>
            <w:tcW w:w="961" w:type="dxa"/>
            <w:tcBorders>
              <w:top w:val="nil"/>
              <w:left w:val="nil"/>
              <w:bottom w:val="single" w:sz="4" w:space="0" w:color="auto"/>
              <w:right w:val="nil"/>
            </w:tcBorders>
            <w:shd w:val="clear" w:color="auto" w:fill="auto"/>
            <w:noWrap/>
            <w:vAlign w:val="center"/>
            <w:hideMark/>
          </w:tcPr>
          <w:p w14:paraId="16A88DB4"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26.52%</w:t>
            </w:r>
          </w:p>
        </w:tc>
        <w:tc>
          <w:tcPr>
            <w:tcW w:w="938" w:type="dxa"/>
            <w:tcBorders>
              <w:top w:val="nil"/>
              <w:left w:val="nil"/>
              <w:bottom w:val="single" w:sz="4" w:space="0" w:color="auto"/>
              <w:right w:val="nil"/>
            </w:tcBorders>
            <w:shd w:val="clear" w:color="auto" w:fill="auto"/>
            <w:noWrap/>
            <w:vAlign w:val="center"/>
            <w:hideMark/>
          </w:tcPr>
          <w:p w14:paraId="5B50FEBE"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c>
          <w:tcPr>
            <w:tcW w:w="1151" w:type="dxa"/>
            <w:tcBorders>
              <w:top w:val="nil"/>
              <w:left w:val="nil"/>
              <w:bottom w:val="single" w:sz="4" w:space="0" w:color="auto"/>
              <w:right w:val="nil"/>
            </w:tcBorders>
            <w:shd w:val="clear" w:color="auto" w:fill="auto"/>
            <w:noWrap/>
            <w:vAlign w:val="center"/>
            <w:hideMark/>
          </w:tcPr>
          <w:p w14:paraId="4D499C62"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27.67%</w:t>
            </w:r>
          </w:p>
        </w:tc>
        <w:tc>
          <w:tcPr>
            <w:tcW w:w="1236" w:type="dxa"/>
            <w:tcBorders>
              <w:top w:val="nil"/>
              <w:left w:val="nil"/>
              <w:bottom w:val="single" w:sz="4" w:space="0" w:color="auto"/>
              <w:right w:val="nil"/>
            </w:tcBorders>
            <w:shd w:val="clear" w:color="auto" w:fill="auto"/>
            <w:noWrap/>
            <w:vAlign w:val="center"/>
            <w:hideMark/>
          </w:tcPr>
          <w:p w14:paraId="1C0141E2"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c>
          <w:tcPr>
            <w:tcW w:w="1141" w:type="dxa"/>
            <w:tcBorders>
              <w:top w:val="nil"/>
              <w:left w:val="nil"/>
              <w:bottom w:val="single" w:sz="4" w:space="0" w:color="auto"/>
              <w:right w:val="nil"/>
            </w:tcBorders>
            <w:shd w:val="clear" w:color="auto" w:fill="auto"/>
            <w:noWrap/>
            <w:vAlign w:val="bottom"/>
            <w:hideMark/>
          </w:tcPr>
          <w:p w14:paraId="77492C40"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25.98%</w:t>
            </w:r>
          </w:p>
        </w:tc>
        <w:tc>
          <w:tcPr>
            <w:tcW w:w="1044" w:type="dxa"/>
            <w:tcBorders>
              <w:top w:val="nil"/>
              <w:left w:val="nil"/>
              <w:bottom w:val="single" w:sz="4" w:space="0" w:color="auto"/>
              <w:right w:val="nil"/>
            </w:tcBorders>
            <w:shd w:val="clear" w:color="auto" w:fill="auto"/>
            <w:noWrap/>
            <w:vAlign w:val="bottom"/>
            <w:hideMark/>
          </w:tcPr>
          <w:p w14:paraId="4D339972"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c>
          <w:tcPr>
            <w:tcW w:w="1078" w:type="dxa"/>
            <w:tcBorders>
              <w:top w:val="nil"/>
              <w:left w:val="nil"/>
              <w:bottom w:val="single" w:sz="4" w:space="0" w:color="auto"/>
              <w:right w:val="nil"/>
            </w:tcBorders>
            <w:shd w:val="clear" w:color="auto" w:fill="auto"/>
            <w:noWrap/>
            <w:vAlign w:val="center"/>
            <w:hideMark/>
          </w:tcPr>
          <w:p w14:paraId="4F92908A"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15.12%</w:t>
            </w:r>
          </w:p>
        </w:tc>
        <w:tc>
          <w:tcPr>
            <w:tcW w:w="1023" w:type="dxa"/>
            <w:tcBorders>
              <w:top w:val="nil"/>
              <w:left w:val="nil"/>
              <w:bottom w:val="single" w:sz="4" w:space="0" w:color="auto"/>
              <w:right w:val="nil"/>
            </w:tcBorders>
            <w:shd w:val="clear" w:color="auto" w:fill="auto"/>
            <w:noWrap/>
            <w:vAlign w:val="center"/>
            <w:hideMark/>
          </w:tcPr>
          <w:p w14:paraId="44BFEE13"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c>
          <w:tcPr>
            <w:tcW w:w="1150" w:type="dxa"/>
            <w:tcBorders>
              <w:top w:val="nil"/>
              <w:left w:val="nil"/>
              <w:bottom w:val="single" w:sz="4" w:space="0" w:color="auto"/>
              <w:right w:val="nil"/>
            </w:tcBorders>
            <w:shd w:val="clear" w:color="auto" w:fill="auto"/>
            <w:noWrap/>
            <w:vAlign w:val="center"/>
            <w:hideMark/>
          </w:tcPr>
          <w:p w14:paraId="121D36FB"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26.89%</w:t>
            </w:r>
          </w:p>
        </w:tc>
        <w:tc>
          <w:tcPr>
            <w:tcW w:w="980" w:type="dxa"/>
            <w:tcBorders>
              <w:top w:val="nil"/>
              <w:left w:val="nil"/>
              <w:bottom w:val="single" w:sz="4" w:space="0" w:color="auto"/>
              <w:right w:val="nil"/>
            </w:tcBorders>
            <w:shd w:val="clear" w:color="auto" w:fill="auto"/>
            <w:noWrap/>
            <w:vAlign w:val="center"/>
            <w:hideMark/>
          </w:tcPr>
          <w:p w14:paraId="05D2FA21" w14:textId="77777777" w:rsidR="00A52788" w:rsidRPr="00D06F2B" w:rsidRDefault="00A52788" w:rsidP="00A52788">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r>
    </w:tbl>
    <w:p w14:paraId="231DA1B3" w14:textId="25042F4D" w:rsidR="002E05C7" w:rsidRPr="00D06F2B" w:rsidRDefault="00832F2A" w:rsidP="0014601E">
      <w:pPr>
        <w:rPr>
          <w:rFonts w:ascii="Garamond" w:hAnsi="Garamond"/>
          <w:sz w:val="20"/>
          <w:szCs w:val="20"/>
          <w:lang w:val="en-US"/>
        </w:rPr>
      </w:pPr>
      <w:r w:rsidRPr="00D06F2B">
        <w:rPr>
          <w:rFonts w:ascii="Garamond" w:hAnsi="Garamond"/>
          <w:i/>
          <w:iCs/>
          <w:sz w:val="20"/>
          <w:szCs w:val="20"/>
          <w:lang w:val="en-US"/>
        </w:rPr>
        <w:t xml:space="preserve">Notes: </w:t>
      </w:r>
      <w:r w:rsidR="00E538B2" w:rsidRPr="00D06F2B">
        <w:rPr>
          <w:rFonts w:ascii="Garamond" w:hAnsi="Garamond"/>
          <w:sz w:val="20"/>
          <w:szCs w:val="20"/>
          <w:lang w:val="en-US"/>
        </w:rPr>
        <w:t>The table reports equation (3) results where the dependent variable is the three-day CAR centered on the analyst forecast announcement date and the normal return benchmark is the market return (</w:t>
      </w:r>
      <w:r w:rsidR="00E538B2" w:rsidRPr="00D06F2B">
        <w:rPr>
          <w:rFonts w:ascii="Garamond" w:hAnsi="Garamond"/>
          <w:i/>
          <w:iCs/>
          <w:sz w:val="20"/>
          <w:szCs w:val="20"/>
          <w:lang w:val="en-US"/>
        </w:rPr>
        <w:t>Market-adjusted CAR</w:t>
      </w:r>
      <w:r w:rsidR="00E538B2" w:rsidRPr="00D06F2B">
        <w:rPr>
          <w:rFonts w:ascii="Garamond" w:hAnsi="Garamond"/>
          <w:sz w:val="20"/>
          <w:szCs w:val="20"/>
          <w:lang w:val="en-US"/>
        </w:rPr>
        <w:t>) and the market-model return (</w:t>
      </w:r>
      <w:r w:rsidR="00E538B2" w:rsidRPr="00D06F2B">
        <w:rPr>
          <w:rFonts w:ascii="Garamond" w:hAnsi="Garamond"/>
          <w:i/>
          <w:iCs/>
          <w:sz w:val="20"/>
          <w:szCs w:val="20"/>
          <w:lang w:val="en-US"/>
        </w:rPr>
        <w:t>Market-model adjusted CAR</w:t>
      </w:r>
      <w:r w:rsidR="00E538B2" w:rsidRPr="00D06F2B">
        <w:rPr>
          <w:rFonts w:ascii="Garamond" w:hAnsi="Garamond"/>
          <w:sz w:val="20"/>
          <w:szCs w:val="20"/>
          <w:lang w:val="en-US"/>
        </w:rPr>
        <w:t xml:space="preserve">). Column </w:t>
      </w:r>
      <w:r w:rsidR="00E538B2" w:rsidRPr="00D06F2B">
        <w:rPr>
          <w:rFonts w:ascii="Garamond" w:eastAsia="Times New Roman" w:hAnsi="Garamond" w:cs="Calibri"/>
          <w:i/>
          <w:iCs/>
          <w:color w:val="000000"/>
          <w:sz w:val="20"/>
          <w:szCs w:val="20"/>
          <w:lang w:eastAsia="en-GB"/>
        </w:rPr>
        <w:t>Alternative measure of revisions</w:t>
      </w:r>
      <w:r w:rsidR="00E538B2" w:rsidRPr="00D06F2B">
        <w:rPr>
          <w:rFonts w:ascii="Garamond" w:eastAsia="Times New Roman" w:hAnsi="Garamond" w:cs="Calibri"/>
          <w:color w:val="000000"/>
          <w:sz w:val="20"/>
          <w:szCs w:val="20"/>
          <w:lang w:eastAsia="en-GB"/>
        </w:rPr>
        <w:t xml:space="preserve"> reports price reaction results where we measure forecast revisions for EPS, cash flows and dividends by</w:t>
      </w:r>
      <w:r w:rsidR="00FC3B60">
        <w:rPr>
          <w:rFonts w:ascii="Garamond" w:eastAsia="Times New Roman" w:hAnsi="Garamond" w:cs="Calibri"/>
          <w:color w:val="000000"/>
          <w:sz w:val="20"/>
          <w:szCs w:val="20"/>
          <w:lang w:eastAsia="en-GB"/>
        </w:rPr>
        <w:t xml:space="preserve"> scaling by</w:t>
      </w:r>
      <w:r w:rsidR="00E538B2" w:rsidRPr="00D06F2B">
        <w:rPr>
          <w:rFonts w:ascii="Garamond" w:eastAsia="Times New Roman" w:hAnsi="Garamond" w:cs="Calibri"/>
          <w:color w:val="000000"/>
          <w:sz w:val="20"/>
          <w:szCs w:val="20"/>
          <w:lang w:eastAsia="en-GB"/>
        </w:rPr>
        <w:t xml:space="preserve"> 1+the previous forecast. </w:t>
      </w:r>
      <w:r w:rsidR="00DF5424" w:rsidRPr="00D06F2B">
        <w:rPr>
          <w:rFonts w:ascii="Garamond" w:eastAsia="Times New Roman" w:hAnsi="Garamond" w:cs="Calibri"/>
          <w:color w:val="000000"/>
          <w:sz w:val="20"/>
          <w:szCs w:val="20"/>
          <w:lang w:eastAsia="en-GB"/>
        </w:rPr>
        <w:t xml:space="preserve">Column </w:t>
      </w:r>
      <w:r w:rsidR="00DF5424" w:rsidRPr="00D06F2B">
        <w:rPr>
          <w:rFonts w:ascii="Garamond" w:eastAsia="Times New Roman" w:hAnsi="Garamond" w:cs="Calibri"/>
          <w:i/>
          <w:iCs/>
          <w:color w:val="000000"/>
          <w:sz w:val="20"/>
          <w:szCs w:val="20"/>
          <w:lang w:eastAsia="en-GB"/>
        </w:rPr>
        <w:t xml:space="preserve">Removing outliers </w:t>
      </w:r>
      <w:r w:rsidR="00DF5424" w:rsidRPr="00D06F2B">
        <w:rPr>
          <w:rFonts w:ascii="Garamond" w:eastAsia="Times New Roman" w:hAnsi="Garamond" w:cs="Calibri"/>
          <w:color w:val="000000"/>
          <w:sz w:val="20"/>
          <w:szCs w:val="20"/>
          <w:lang w:eastAsia="en-GB"/>
        </w:rPr>
        <w:t xml:space="preserve">reports results for </w:t>
      </w:r>
      <w:r w:rsidR="00DD604F" w:rsidRPr="00D06F2B">
        <w:rPr>
          <w:rFonts w:ascii="Garamond" w:eastAsia="Times New Roman" w:hAnsi="Garamond" w:cs="Calibri"/>
          <w:color w:val="000000"/>
          <w:sz w:val="20"/>
          <w:szCs w:val="20"/>
          <w:lang w:eastAsia="en-GB"/>
        </w:rPr>
        <w:t>the</w:t>
      </w:r>
      <w:r w:rsidR="00DF5424" w:rsidRPr="00D06F2B">
        <w:rPr>
          <w:rFonts w:ascii="Garamond" w:eastAsia="Times New Roman" w:hAnsi="Garamond" w:cs="Calibri"/>
          <w:color w:val="000000"/>
          <w:sz w:val="20"/>
          <w:szCs w:val="20"/>
          <w:lang w:eastAsia="en-GB"/>
        </w:rPr>
        <w:t xml:space="preserve"> sample where we remove the top and bottom 5% of </w:t>
      </w:r>
      <w:r w:rsidR="00DD604F" w:rsidRPr="00D06F2B">
        <w:rPr>
          <w:rFonts w:ascii="Garamond" w:eastAsia="Times New Roman" w:hAnsi="Garamond" w:cs="Calibri"/>
          <w:color w:val="000000"/>
          <w:sz w:val="20"/>
          <w:szCs w:val="20"/>
          <w:lang w:eastAsia="en-GB"/>
        </w:rPr>
        <w:t xml:space="preserve">extreme </w:t>
      </w:r>
      <w:r w:rsidR="00DF5424" w:rsidRPr="00D06F2B">
        <w:rPr>
          <w:rFonts w:ascii="Garamond" w:eastAsia="Times New Roman" w:hAnsi="Garamond" w:cs="Calibri"/>
          <w:color w:val="000000"/>
          <w:sz w:val="20"/>
          <w:szCs w:val="20"/>
          <w:lang w:eastAsia="en-GB"/>
        </w:rPr>
        <w:t xml:space="preserve">observations </w:t>
      </w:r>
      <w:r w:rsidR="00DD604F" w:rsidRPr="00D06F2B">
        <w:rPr>
          <w:rFonts w:ascii="Garamond" w:eastAsia="Times New Roman" w:hAnsi="Garamond" w:cs="Calibri"/>
          <w:color w:val="000000"/>
          <w:sz w:val="20"/>
          <w:szCs w:val="20"/>
          <w:lang w:eastAsia="en-GB"/>
        </w:rPr>
        <w:t xml:space="preserve">for each forecast </w:t>
      </w:r>
      <w:r w:rsidR="00DF5424" w:rsidRPr="00D06F2B">
        <w:rPr>
          <w:rFonts w:ascii="Garamond" w:eastAsia="Times New Roman" w:hAnsi="Garamond" w:cs="Calibri"/>
          <w:color w:val="000000"/>
          <w:sz w:val="20"/>
          <w:szCs w:val="20"/>
          <w:lang w:eastAsia="en-GB"/>
        </w:rPr>
        <w:t>revision</w:t>
      </w:r>
      <w:r w:rsidR="00DD604F" w:rsidRPr="00D06F2B">
        <w:rPr>
          <w:rFonts w:ascii="Garamond" w:eastAsia="Times New Roman" w:hAnsi="Garamond" w:cs="Calibri"/>
          <w:color w:val="000000"/>
          <w:sz w:val="20"/>
          <w:szCs w:val="20"/>
          <w:lang w:eastAsia="en-GB"/>
        </w:rPr>
        <w:t xml:space="preserve"> measure</w:t>
      </w:r>
      <w:r w:rsidR="00DF5424" w:rsidRPr="00D06F2B">
        <w:rPr>
          <w:rFonts w:ascii="Garamond" w:eastAsia="Times New Roman" w:hAnsi="Garamond" w:cs="Calibri"/>
          <w:color w:val="000000"/>
          <w:sz w:val="20"/>
          <w:szCs w:val="20"/>
          <w:lang w:eastAsia="en-GB"/>
        </w:rPr>
        <w:t xml:space="preserve">. </w:t>
      </w:r>
      <w:r w:rsidR="00DD604F" w:rsidRPr="00D06F2B">
        <w:rPr>
          <w:rFonts w:ascii="Garamond" w:eastAsia="Times New Roman" w:hAnsi="Garamond" w:cs="Calibri"/>
          <w:color w:val="000000"/>
          <w:sz w:val="20"/>
          <w:szCs w:val="20"/>
          <w:lang w:eastAsia="en-GB"/>
        </w:rPr>
        <w:t>Column</w:t>
      </w:r>
      <w:r w:rsidR="00DF5424" w:rsidRPr="00D06F2B">
        <w:rPr>
          <w:rFonts w:ascii="Garamond" w:eastAsia="Times New Roman" w:hAnsi="Garamond" w:cs="Calibri"/>
          <w:color w:val="000000"/>
          <w:sz w:val="20"/>
          <w:szCs w:val="20"/>
          <w:lang w:eastAsia="en-GB"/>
        </w:rPr>
        <w:t xml:space="preserve"> </w:t>
      </w:r>
      <w:r w:rsidR="00DF5424" w:rsidRPr="00D06F2B">
        <w:rPr>
          <w:rFonts w:ascii="Garamond" w:eastAsia="Times New Roman" w:hAnsi="Garamond" w:cs="Calibri"/>
          <w:i/>
          <w:iCs/>
          <w:color w:val="000000"/>
          <w:sz w:val="20"/>
          <w:szCs w:val="20"/>
          <w:lang w:eastAsia="en-GB"/>
        </w:rPr>
        <w:t>Revisions per unit of uncertainty</w:t>
      </w:r>
      <w:r w:rsidR="00DF5424" w:rsidRPr="00D06F2B">
        <w:rPr>
          <w:rFonts w:ascii="Garamond" w:eastAsia="Times New Roman" w:hAnsi="Garamond" w:cs="Calibri"/>
          <w:color w:val="000000"/>
          <w:sz w:val="20"/>
          <w:szCs w:val="20"/>
          <w:lang w:eastAsia="en-GB"/>
        </w:rPr>
        <w:t xml:space="preserve"> </w:t>
      </w:r>
      <w:r w:rsidRPr="00D06F2B">
        <w:rPr>
          <w:rFonts w:ascii="Garamond" w:eastAsia="Times New Roman" w:hAnsi="Garamond" w:cs="Calibri"/>
          <w:color w:val="000000"/>
          <w:sz w:val="20"/>
          <w:szCs w:val="20"/>
          <w:lang w:eastAsia="en-GB"/>
        </w:rPr>
        <w:t xml:space="preserve">normalize </w:t>
      </w:r>
      <w:r w:rsidR="0014601E" w:rsidRPr="00D06F2B">
        <w:rPr>
          <w:rFonts w:ascii="Garamond" w:eastAsia="Times New Roman" w:hAnsi="Garamond" w:cs="Calibri"/>
          <w:color w:val="000000"/>
          <w:sz w:val="20"/>
          <w:szCs w:val="20"/>
          <w:lang w:eastAsia="en-GB"/>
        </w:rPr>
        <w:t xml:space="preserve">forecast revisions by the volatility of residuals from the </w:t>
      </w:r>
      <w:r w:rsidRPr="00D06F2B">
        <w:rPr>
          <w:rFonts w:ascii="Garamond" w:eastAsia="Times New Roman" w:hAnsi="Garamond" w:cs="Calibri"/>
          <w:color w:val="000000"/>
          <w:sz w:val="20"/>
          <w:szCs w:val="20"/>
          <w:lang w:eastAsia="en-GB"/>
        </w:rPr>
        <w:t xml:space="preserve">Carhart </w:t>
      </w:r>
      <w:r w:rsidR="0014601E" w:rsidRPr="00D06F2B">
        <w:rPr>
          <w:rFonts w:ascii="Garamond" w:eastAsia="Times New Roman" w:hAnsi="Garamond" w:cs="Calibri"/>
          <w:color w:val="000000"/>
          <w:sz w:val="20"/>
          <w:szCs w:val="20"/>
          <w:lang w:eastAsia="en-GB"/>
        </w:rPr>
        <w:t xml:space="preserve">model estimated over prior </w:t>
      </w:r>
      <w:r w:rsidRPr="00D06F2B">
        <w:rPr>
          <w:rFonts w:ascii="Garamond" w:eastAsia="Times New Roman" w:hAnsi="Garamond" w:cs="Calibri"/>
          <w:color w:val="000000"/>
          <w:sz w:val="20"/>
          <w:szCs w:val="20"/>
          <w:lang w:eastAsia="en-GB"/>
        </w:rPr>
        <w:t>100 days</w:t>
      </w:r>
      <w:r w:rsidR="0014601E" w:rsidRPr="00D06F2B">
        <w:rPr>
          <w:rFonts w:ascii="Garamond" w:eastAsia="Times New Roman" w:hAnsi="Garamond" w:cs="Calibri"/>
          <w:color w:val="000000"/>
          <w:sz w:val="20"/>
          <w:szCs w:val="20"/>
          <w:lang w:eastAsia="en-GB"/>
        </w:rPr>
        <w:t xml:space="preserve">. </w:t>
      </w:r>
    </w:p>
    <w:p w14:paraId="61C95698" w14:textId="77777777" w:rsidR="00A52788" w:rsidRPr="00D06F2B" w:rsidRDefault="00A52788" w:rsidP="00C372F9">
      <w:pPr>
        <w:spacing w:after="0"/>
        <w:rPr>
          <w:rFonts w:ascii="Garamond" w:hAnsi="Garamond"/>
          <w:sz w:val="20"/>
          <w:szCs w:val="20"/>
          <w:lang w:val="en-US"/>
        </w:rPr>
        <w:sectPr w:rsidR="00A52788" w:rsidRPr="00D06F2B" w:rsidSect="00A52788">
          <w:pgSz w:w="15842" w:h="12242" w:orient="landscape" w:code="1"/>
          <w:pgMar w:top="1440" w:right="1440" w:bottom="1440" w:left="1440" w:header="709" w:footer="709" w:gutter="0"/>
          <w:cols w:space="708"/>
          <w:docGrid w:linePitch="360"/>
        </w:sectPr>
      </w:pPr>
    </w:p>
    <w:p w14:paraId="2E79266C" w14:textId="134C00D7" w:rsidR="00B47B1A" w:rsidRPr="00D06F2B" w:rsidRDefault="00B47B1A" w:rsidP="00FF2AA8">
      <w:pPr>
        <w:spacing w:after="0"/>
        <w:rPr>
          <w:rFonts w:ascii="Garamond" w:hAnsi="Garamond"/>
          <w:sz w:val="24"/>
          <w:szCs w:val="24"/>
          <w:lang w:val="en-US"/>
        </w:rPr>
      </w:pPr>
      <w:r w:rsidRPr="00D06F2B">
        <w:rPr>
          <w:rFonts w:ascii="Garamond" w:hAnsi="Garamond"/>
          <w:sz w:val="24"/>
          <w:szCs w:val="24"/>
          <w:lang w:val="en-US"/>
        </w:rPr>
        <w:lastRenderedPageBreak/>
        <w:t xml:space="preserve">TABLE </w:t>
      </w:r>
      <w:r w:rsidR="00502A2F" w:rsidRPr="00D06F2B">
        <w:rPr>
          <w:rFonts w:ascii="Garamond" w:hAnsi="Garamond"/>
          <w:sz w:val="24"/>
          <w:szCs w:val="24"/>
          <w:lang w:val="en-US"/>
        </w:rPr>
        <w:t>6</w:t>
      </w:r>
    </w:p>
    <w:p w14:paraId="78C3BC65" w14:textId="77777777" w:rsidR="00B47B1A" w:rsidRPr="00D06F2B" w:rsidRDefault="00B47B1A" w:rsidP="00FF2AA8">
      <w:pPr>
        <w:spacing w:after="0"/>
        <w:rPr>
          <w:rFonts w:ascii="Garamond" w:hAnsi="Garamond"/>
          <w:sz w:val="24"/>
          <w:szCs w:val="24"/>
          <w:lang w:val="en-US"/>
        </w:rPr>
      </w:pPr>
      <w:r w:rsidRPr="00D06F2B">
        <w:rPr>
          <w:rFonts w:ascii="Garamond" w:hAnsi="Garamond"/>
          <w:sz w:val="24"/>
          <w:szCs w:val="24"/>
          <w:lang w:val="en-US"/>
        </w:rPr>
        <w:t>Signed revisions</w:t>
      </w:r>
    </w:p>
    <w:tbl>
      <w:tblPr>
        <w:tblW w:w="8644" w:type="dxa"/>
        <w:tblLayout w:type="fixed"/>
        <w:tblLook w:val="04A0" w:firstRow="1" w:lastRow="0" w:firstColumn="1" w:lastColumn="0" w:noHBand="0" w:noVBand="1"/>
        <w:tblDescription w:val="Procedure GLM: Fit Statistics"/>
      </w:tblPr>
      <w:tblGrid>
        <w:gridCol w:w="2881"/>
        <w:gridCol w:w="2881"/>
        <w:gridCol w:w="2882"/>
      </w:tblGrid>
      <w:tr w:rsidR="00B47B1A" w:rsidRPr="00D06F2B" w14:paraId="5C80DEA1" w14:textId="77777777" w:rsidTr="00C91163">
        <w:trPr>
          <w:trHeight w:val="272"/>
        </w:trPr>
        <w:tc>
          <w:tcPr>
            <w:tcW w:w="2881" w:type="dxa"/>
            <w:tcBorders>
              <w:top w:val="single" w:sz="4" w:space="0" w:color="auto"/>
              <w:left w:val="nil"/>
              <w:bottom w:val="single" w:sz="4" w:space="0" w:color="auto"/>
              <w:right w:val="nil"/>
            </w:tcBorders>
            <w:shd w:val="clear" w:color="auto" w:fill="auto"/>
            <w:noWrap/>
            <w:hideMark/>
          </w:tcPr>
          <w:p w14:paraId="081F739E" w14:textId="77777777" w:rsidR="00B47B1A" w:rsidRPr="00D06F2B" w:rsidRDefault="00B47B1A" w:rsidP="00E538B2">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c>
          <w:tcPr>
            <w:tcW w:w="2881" w:type="dxa"/>
            <w:tcBorders>
              <w:top w:val="single" w:sz="4" w:space="0" w:color="auto"/>
              <w:left w:val="nil"/>
              <w:bottom w:val="single" w:sz="4" w:space="0" w:color="auto"/>
              <w:right w:val="nil"/>
            </w:tcBorders>
            <w:shd w:val="clear" w:color="auto" w:fill="auto"/>
            <w:vAlign w:val="center"/>
            <w:hideMark/>
          </w:tcPr>
          <w:p w14:paraId="39A330DE" w14:textId="77777777" w:rsidR="00B47B1A" w:rsidRPr="00D06F2B" w:rsidRDefault="00B47B1A" w:rsidP="00E538B2">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Estimate</w:t>
            </w:r>
          </w:p>
        </w:tc>
        <w:tc>
          <w:tcPr>
            <w:tcW w:w="2882" w:type="dxa"/>
            <w:tcBorders>
              <w:top w:val="single" w:sz="4" w:space="0" w:color="auto"/>
              <w:left w:val="nil"/>
              <w:bottom w:val="single" w:sz="4" w:space="0" w:color="auto"/>
              <w:right w:val="nil"/>
            </w:tcBorders>
            <w:shd w:val="clear" w:color="auto" w:fill="auto"/>
            <w:vAlign w:val="center"/>
            <w:hideMark/>
          </w:tcPr>
          <w:p w14:paraId="44967E87" w14:textId="77777777" w:rsidR="00B47B1A" w:rsidRPr="00D06F2B" w:rsidRDefault="00B47B1A" w:rsidP="00E538B2">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p</w:t>
            </w:r>
          </w:p>
        </w:tc>
      </w:tr>
      <w:tr w:rsidR="0005382E" w:rsidRPr="00D06F2B" w14:paraId="0FE5DE62" w14:textId="77777777" w:rsidTr="00684793">
        <w:trPr>
          <w:trHeight w:val="272"/>
        </w:trPr>
        <w:tc>
          <w:tcPr>
            <w:tcW w:w="2881" w:type="dxa"/>
            <w:tcBorders>
              <w:top w:val="nil"/>
              <w:left w:val="nil"/>
              <w:bottom w:val="nil"/>
              <w:right w:val="nil"/>
            </w:tcBorders>
            <w:shd w:val="clear" w:color="auto" w:fill="auto"/>
            <w:hideMark/>
          </w:tcPr>
          <w:p w14:paraId="7BFC24FE" w14:textId="77777777" w:rsidR="0005382E" w:rsidRPr="00D06F2B" w:rsidRDefault="0005382E" w:rsidP="0005382E">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∆EPS*</w:t>
            </w:r>
            <w:proofErr w:type="spellStart"/>
            <w:r w:rsidRPr="00D06F2B">
              <w:rPr>
                <w:rFonts w:ascii="Garamond" w:eastAsia="Times New Roman" w:hAnsi="Garamond" w:cs="Calibri"/>
                <w:color w:val="000000"/>
                <w:sz w:val="20"/>
                <w:szCs w:val="20"/>
                <w:lang w:eastAsia="en-GB"/>
              </w:rPr>
              <w:t>Covid</w:t>
            </w:r>
            <w:proofErr w:type="spellEnd"/>
          </w:p>
        </w:tc>
        <w:tc>
          <w:tcPr>
            <w:tcW w:w="2881" w:type="dxa"/>
            <w:tcBorders>
              <w:top w:val="nil"/>
              <w:left w:val="nil"/>
              <w:bottom w:val="nil"/>
              <w:right w:val="nil"/>
            </w:tcBorders>
            <w:shd w:val="clear" w:color="auto" w:fill="auto"/>
            <w:noWrap/>
            <w:vAlign w:val="center"/>
            <w:hideMark/>
          </w:tcPr>
          <w:p w14:paraId="1324156B" w14:textId="208B6E9F"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0.002</w:t>
            </w:r>
          </w:p>
        </w:tc>
        <w:tc>
          <w:tcPr>
            <w:tcW w:w="2882" w:type="dxa"/>
            <w:tcBorders>
              <w:top w:val="nil"/>
              <w:left w:val="nil"/>
              <w:bottom w:val="nil"/>
              <w:right w:val="nil"/>
            </w:tcBorders>
            <w:shd w:val="clear" w:color="auto" w:fill="auto"/>
            <w:noWrap/>
            <w:vAlign w:val="center"/>
            <w:hideMark/>
          </w:tcPr>
          <w:p w14:paraId="6A566822" w14:textId="782BF42E"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0.000</w:t>
            </w:r>
          </w:p>
        </w:tc>
      </w:tr>
      <w:tr w:rsidR="0005382E" w:rsidRPr="00D06F2B" w14:paraId="00E16A65" w14:textId="77777777" w:rsidTr="00684793">
        <w:trPr>
          <w:trHeight w:val="272"/>
        </w:trPr>
        <w:tc>
          <w:tcPr>
            <w:tcW w:w="2881" w:type="dxa"/>
            <w:tcBorders>
              <w:top w:val="nil"/>
              <w:left w:val="nil"/>
              <w:bottom w:val="nil"/>
              <w:right w:val="nil"/>
            </w:tcBorders>
            <w:shd w:val="clear" w:color="auto" w:fill="auto"/>
            <w:hideMark/>
          </w:tcPr>
          <w:p w14:paraId="00911D03" w14:textId="77777777" w:rsidR="0005382E" w:rsidRPr="00D06F2B" w:rsidRDefault="0005382E" w:rsidP="0005382E">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∆SAL*</w:t>
            </w:r>
            <w:proofErr w:type="spellStart"/>
            <w:r w:rsidRPr="00D06F2B">
              <w:rPr>
                <w:rFonts w:ascii="Garamond" w:eastAsia="Times New Roman" w:hAnsi="Garamond" w:cs="Calibri"/>
                <w:color w:val="000000"/>
                <w:sz w:val="20"/>
                <w:szCs w:val="20"/>
                <w:lang w:eastAsia="en-GB"/>
              </w:rPr>
              <w:t>Covid</w:t>
            </w:r>
            <w:proofErr w:type="spellEnd"/>
          </w:p>
        </w:tc>
        <w:tc>
          <w:tcPr>
            <w:tcW w:w="2881" w:type="dxa"/>
            <w:tcBorders>
              <w:top w:val="nil"/>
              <w:left w:val="nil"/>
              <w:bottom w:val="nil"/>
              <w:right w:val="nil"/>
            </w:tcBorders>
            <w:shd w:val="clear" w:color="auto" w:fill="auto"/>
            <w:noWrap/>
            <w:vAlign w:val="center"/>
            <w:hideMark/>
          </w:tcPr>
          <w:p w14:paraId="5A12B389" w14:textId="3D9969DC"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0.006</w:t>
            </w:r>
          </w:p>
        </w:tc>
        <w:tc>
          <w:tcPr>
            <w:tcW w:w="2882" w:type="dxa"/>
            <w:tcBorders>
              <w:top w:val="nil"/>
              <w:left w:val="nil"/>
              <w:bottom w:val="nil"/>
              <w:right w:val="nil"/>
            </w:tcBorders>
            <w:shd w:val="clear" w:color="auto" w:fill="auto"/>
            <w:noWrap/>
            <w:vAlign w:val="center"/>
            <w:hideMark/>
          </w:tcPr>
          <w:p w14:paraId="1A7E787F" w14:textId="3D82D762"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0.000</w:t>
            </w:r>
          </w:p>
        </w:tc>
      </w:tr>
      <w:tr w:rsidR="0005382E" w:rsidRPr="00D06F2B" w14:paraId="5BC54943" w14:textId="77777777" w:rsidTr="00684793">
        <w:trPr>
          <w:trHeight w:val="272"/>
        </w:trPr>
        <w:tc>
          <w:tcPr>
            <w:tcW w:w="2881" w:type="dxa"/>
            <w:tcBorders>
              <w:top w:val="nil"/>
              <w:left w:val="nil"/>
              <w:bottom w:val="nil"/>
              <w:right w:val="nil"/>
            </w:tcBorders>
            <w:shd w:val="clear" w:color="auto" w:fill="auto"/>
            <w:hideMark/>
          </w:tcPr>
          <w:p w14:paraId="62BB5864" w14:textId="77777777" w:rsidR="0005382E" w:rsidRPr="00D06F2B" w:rsidRDefault="0005382E" w:rsidP="0005382E">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∆CPS*</w:t>
            </w:r>
            <w:proofErr w:type="spellStart"/>
            <w:r w:rsidRPr="00D06F2B">
              <w:rPr>
                <w:rFonts w:ascii="Garamond" w:eastAsia="Times New Roman" w:hAnsi="Garamond" w:cs="Calibri"/>
                <w:color w:val="000000"/>
                <w:sz w:val="20"/>
                <w:szCs w:val="20"/>
                <w:lang w:eastAsia="en-GB"/>
              </w:rPr>
              <w:t>Covid</w:t>
            </w:r>
            <w:proofErr w:type="spellEnd"/>
          </w:p>
        </w:tc>
        <w:tc>
          <w:tcPr>
            <w:tcW w:w="2881" w:type="dxa"/>
            <w:tcBorders>
              <w:top w:val="nil"/>
              <w:left w:val="nil"/>
              <w:bottom w:val="nil"/>
              <w:right w:val="nil"/>
            </w:tcBorders>
            <w:shd w:val="clear" w:color="auto" w:fill="auto"/>
            <w:noWrap/>
            <w:vAlign w:val="center"/>
            <w:hideMark/>
          </w:tcPr>
          <w:p w14:paraId="483ADAE8" w14:textId="59E15E17"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0.000</w:t>
            </w:r>
          </w:p>
        </w:tc>
        <w:tc>
          <w:tcPr>
            <w:tcW w:w="2882" w:type="dxa"/>
            <w:tcBorders>
              <w:top w:val="nil"/>
              <w:left w:val="nil"/>
              <w:bottom w:val="nil"/>
              <w:right w:val="nil"/>
            </w:tcBorders>
            <w:shd w:val="clear" w:color="auto" w:fill="auto"/>
            <w:noWrap/>
            <w:vAlign w:val="center"/>
            <w:hideMark/>
          </w:tcPr>
          <w:p w14:paraId="14ECCEC6" w14:textId="72B78D4A"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0.853</w:t>
            </w:r>
          </w:p>
        </w:tc>
      </w:tr>
      <w:tr w:rsidR="0005382E" w:rsidRPr="00D06F2B" w14:paraId="6250B163" w14:textId="77777777" w:rsidTr="00684793">
        <w:trPr>
          <w:trHeight w:val="272"/>
        </w:trPr>
        <w:tc>
          <w:tcPr>
            <w:tcW w:w="2881" w:type="dxa"/>
            <w:tcBorders>
              <w:top w:val="nil"/>
              <w:left w:val="nil"/>
              <w:bottom w:val="nil"/>
              <w:right w:val="nil"/>
            </w:tcBorders>
            <w:shd w:val="clear" w:color="auto" w:fill="auto"/>
            <w:hideMark/>
          </w:tcPr>
          <w:p w14:paraId="3A98662F" w14:textId="77777777" w:rsidR="0005382E" w:rsidRPr="00D06F2B" w:rsidRDefault="0005382E" w:rsidP="0005382E">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∆DPS*</w:t>
            </w:r>
            <w:proofErr w:type="spellStart"/>
            <w:r w:rsidRPr="00D06F2B">
              <w:rPr>
                <w:rFonts w:ascii="Garamond" w:eastAsia="Times New Roman" w:hAnsi="Garamond" w:cs="Calibri"/>
                <w:color w:val="000000"/>
                <w:sz w:val="20"/>
                <w:szCs w:val="20"/>
                <w:lang w:eastAsia="en-GB"/>
              </w:rPr>
              <w:t>Covid</w:t>
            </w:r>
            <w:proofErr w:type="spellEnd"/>
          </w:p>
        </w:tc>
        <w:tc>
          <w:tcPr>
            <w:tcW w:w="2881" w:type="dxa"/>
            <w:tcBorders>
              <w:top w:val="nil"/>
              <w:left w:val="nil"/>
              <w:bottom w:val="nil"/>
              <w:right w:val="nil"/>
            </w:tcBorders>
            <w:shd w:val="clear" w:color="auto" w:fill="auto"/>
            <w:noWrap/>
            <w:vAlign w:val="center"/>
            <w:hideMark/>
          </w:tcPr>
          <w:p w14:paraId="0394E08F" w14:textId="4BF5EA65"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-0.004</w:t>
            </w:r>
          </w:p>
        </w:tc>
        <w:tc>
          <w:tcPr>
            <w:tcW w:w="2882" w:type="dxa"/>
            <w:tcBorders>
              <w:top w:val="nil"/>
              <w:left w:val="nil"/>
              <w:bottom w:val="nil"/>
              <w:right w:val="nil"/>
            </w:tcBorders>
            <w:shd w:val="clear" w:color="auto" w:fill="auto"/>
            <w:noWrap/>
            <w:vAlign w:val="center"/>
            <w:hideMark/>
          </w:tcPr>
          <w:p w14:paraId="01778C5E" w14:textId="641192FF"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0.006</w:t>
            </w:r>
          </w:p>
        </w:tc>
      </w:tr>
      <w:tr w:rsidR="0005382E" w:rsidRPr="00D06F2B" w14:paraId="53884487" w14:textId="77777777" w:rsidTr="00684793">
        <w:trPr>
          <w:trHeight w:val="272"/>
        </w:trPr>
        <w:tc>
          <w:tcPr>
            <w:tcW w:w="2881" w:type="dxa"/>
            <w:tcBorders>
              <w:top w:val="nil"/>
              <w:left w:val="nil"/>
              <w:bottom w:val="nil"/>
              <w:right w:val="nil"/>
            </w:tcBorders>
            <w:shd w:val="clear" w:color="auto" w:fill="auto"/>
            <w:hideMark/>
          </w:tcPr>
          <w:p w14:paraId="4CB2087E" w14:textId="77777777" w:rsidR="0005382E" w:rsidRPr="00D06F2B" w:rsidRDefault="0005382E" w:rsidP="0005382E">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∆REC*</w:t>
            </w:r>
            <w:proofErr w:type="spellStart"/>
            <w:r w:rsidRPr="00D06F2B">
              <w:rPr>
                <w:rFonts w:ascii="Garamond" w:eastAsia="Times New Roman" w:hAnsi="Garamond" w:cs="Calibri"/>
                <w:color w:val="000000"/>
                <w:sz w:val="20"/>
                <w:szCs w:val="20"/>
                <w:lang w:eastAsia="en-GB"/>
              </w:rPr>
              <w:t>Covid</w:t>
            </w:r>
            <w:proofErr w:type="spellEnd"/>
          </w:p>
        </w:tc>
        <w:tc>
          <w:tcPr>
            <w:tcW w:w="2881" w:type="dxa"/>
            <w:tcBorders>
              <w:top w:val="nil"/>
              <w:left w:val="nil"/>
              <w:bottom w:val="nil"/>
              <w:right w:val="nil"/>
            </w:tcBorders>
            <w:shd w:val="clear" w:color="auto" w:fill="auto"/>
            <w:noWrap/>
            <w:vAlign w:val="center"/>
            <w:hideMark/>
          </w:tcPr>
          <w:p w14:paraId="64FCB3CC" w14:textId="0F082DCA"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0.001</w:t>
            </w:r>
          </w:p>
        </w:tc>
        <w:tc>
          <w:tcPr>
            <w:tcW w:w="2882" w:type="dxa"/>
            <w:tcBorders>
              <w:top w:val="nil"/>
              <w:left w:val="nil"/>
              <w:bottom w:val="nil"/>
              <w:right w:val="nil"/>
            </w:tcBorders>
            <w:shd w:val="clear" w:color="auto" w:fill="auto"/>
            <w:noWrap/>
            <w:vAlign w:val="center"/>
            <w:hideMark/>
          </w:tcPr>
          <w:p w14:paraId="4D8A73C6" w14:textId="4612C183"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0.004</w:t>
            </w:r>
          </w:p>
        </w:tc>
      </w:tr>
      <w:tr w:rsidR="0005382E" w:rsidRPr="00D06F2B" w14:paraId="4381B3F1" w14:textId="77777777" w:rsidTr="00684793">
        <w:trPr>
          <w:trHeight w:val="272"/>
        </w:trPr>
        <w:tc>
          <w:tcPr>
            <w:tcW w:w="2881" w:type="dxa"/>
            <w:tcBorders>
              <w:top w:val="nil"/>
              <w:left w:val="nil"/>
              <w:bottom w:val="nil"/>
              <w:right w:val="nil"/>
            </w:tcBorders>
            <w:shd w:val="clear" w:color="auto" w:fill="auto"/>
            <w:hideMark/>
          </w:tcPr>
          <w:p w14:paraId="2DB9C177" w14:textId="77777777" w:rsidR="0005382E" w:rsidRPr="00D06F2B" w:rsidRDefault="0005382E" w:rsidP="0005382E">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∆TP*</w:t>
            </w:r>
            <w:proofErr w:type="spellStart"/>
            <w:r w:rsidRPr="00D06F2B">
              <w:rPr>
                <w:rFonts w:ascii="Garamond" w:eastAsia="Times New Roman" w:hAnsi="Garamond" w:cs="Calibri"/>
                <w:color w:val="000000"/>
                <w:sz w:val="20"/>
                <w:szCs w:val="20"/>
                <w:lang w:eastAsia="en-GB"/>
              </w:rPr>
              <w:t>Covid</w:t>
            </w:r>
            <w:proofErr w:type="spellEnd"/>
          </w:p>
        </w:tc>
        <w:tc>
          <w:tcPr>
            <w:tcW w:w="2881" w:type="dxa"/>
            <w:tcBorders>
              <w:top w:val="nil"/>
              <w:left w:val="nil"/>
              <w:bottom w:val="nil"/>
              <w:right w:val="nil"/>
            </w:tcBorders>
            <w:shd w:val="clear" w:color="auto" w:fill="auto"/>
            <w:noWrap/>
            <w:vAlign w:val="center"/>
            <w:hideMark/>
          </w:tcPr>
          <w:p w14:paraId="4A3FC494" w14:textId="2722C5F3"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0.002</w:t>
            </w:r>
          </w:p>
        </w:tc>
        <w:tc>
          <w:tcPr>
            <w:tcW w:w="2882" w:type="dxa"/>
            <w:tcBorders>
              <w:top w:val="nil"/>
              <w:left w:val="nil"/>
              <w:bottom w:val="nil"/>
              <w:right w:val="nil"/>
            </w:tcBorders>
            <w:shd w:val="clear" w:color="auto" w:fill="auto"/>
            <w:noWrap/>
            <w:vAlign w:val="center"/>
            <w:hideMark/>
          </w:tcPr>
          <w:p w14:paraId="0B652D26" w14:textId="2AE6E76E"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0.000</w:t>
            </w:r>
          </w:p>
        </w:tc>
      </w:tr>
      <w:tr w:rsidR="0005382E" w:rsidRPr="00D06F2B" w14:paraId="4641FFA8" w14:textId="77777777" w:rsidTr="0005382E">
        <w:trPr>
          <w:trHeight w:val="272"/>
        </w:trPr>
        <w:tc>
          <w:tcPr>
            <w:tcW w:w="2881" w:type="dxa"/>
            <w:tcBorders>
              <w:top w:val="nil"/>
              <w:left w:val="nil"/>
              <w:bottom w:val="nil"/>
              <w:right w:val="nil"/>
            </w:tcBorders>
            <w:shd w:val="clear" w:color="auto" w:fill="auto"/>
            <w:hideMark/>
          </w:tcPr>
          <w:p w14:paraId="56E99B4E" w14:textId="77777777" w:rsidR="0005382E" w:rsidRPr="00D06F2B" w:rsidRDefault="0005382E" w:rsidP="0005382E">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∆EPS</w:t>
            </w:r>
          </w:p>
        </w:tc>
        <w:tc>
          <w:tcPr>
            <w:tcW w:w="2881" w:type="dxa"/>
            <w:tcBorders>
              <w:top w:val="nil"/>
              <w:left w:val="nil"/>
              <w:bottom w:val="nil"/>
              <w:right w:val="nil"/>
            </w:tcBorders>
            <w:shd w:val="clear" w:color="auto" w:fill="auto"/>
            <w:noWrap/>
            <w:vAlign w:val="center"/>
          </w:tcPr>
          <w:p w14:paraId="5AF7F0DA" w14:textId="57A1392A"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-0.003</w:t>
            </w:r>
          </w:p>
        </w:tc>
        <w:tc>
          <w:tcPr>
            <w:tcW w:w="2882" w:type="dxa"/>
            <w:tcBorders>
              <w:top w:val="nil"/>
              <w:left w:val="nil"/>
              <w:bottom w:val="nil"/>
              <w:right w:val="nil"/>
            </w:tcBorders>
            <w:shd w:val="clear" w:color="auto" w:fill="auto"/>
            <w:noWrap/>
            <w:vAlign w:val="center"/>
          </w:tcPr>
          <w:p w14:paraId="74DFBC26" w14:textId="5F1ADBF8"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0.000</w:t>
            </w:r>
          </w:p>
        </w:tc>
      </w:tr>
      <w:tr w:rsidR="0005382E" w:rsidRPr="00D06F2B" w14:paraId="0FC64EA8" w14:textId="77777777" w:rsidTr="0005382E">
        <w:trPr>
          <w:trHeight w:val="272"/>
        </w:trPr>
        <w:tc>
          <w:tcPr>
            <w:tcW w:w="2881" w:type="dxa"/>
            <w:tcBorders>
              <w:top w:val="nil"/>
              <w:left w:val="nil"/>
              <w:bottom w:val="nil"/>
              <w:right w:val="nil"/>
            </w:tcBorders>
            <w:shd w:val="clear" w:color="auto" w:fill="auto"/>
            <w:hideMark/>
          </w:tcPr>
          <w:p w14:paraId="6CF9A1A0" w14:textId="77777777" w:rsidR="0005382E" w:rsidRPr="00D06F2B" w:rsidRDefault="0005382E" w:rsidP="0005382E">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∆SAL</w:t>
            </w:r>
          </w:p>
        </w:tc>
        <w:tc>
          <w:tcPr>
            <w:tcW w:w="2881" w:type="dxa"/>
            <w:tcBorders>
              <w:top w:val="nil"/>
              <w:left w:val="nil"/>
              <w:bottom w:val="nil"/>
              <w:right w:val="nil"/>
            </w:tcBorders>
            <w:shd w:val="clear" w:color="auto" w:fill="auto"/>
            <w:noWrap/>
            <w:vAlign w:val="center"/>
          </w:tcPr>
          <w:p w14:paraId="3FBA6FE9" w14:textId="24759F86"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-0.006</w:t>
            </w:r>
          </w:p>
        </w:tc>
        <w:tc>
          <w:tcPr>
            <w:tcW w:w="2882" w:type="dxa"/>
            <w:tcBorders>
              <w:top w:val="nil"/>
              <w:left w:val="nil"/>
              <w:bottom w:val="nil"/>
              <w:right w:val="nil"/>
            </w:tcBorders>
            <w:shd w:val="clear" w:color="auto" w:fill="auto"/>
            <w:noWrap/>
            <w:vAlign w:val="center"/>
          </w:tcPr>
          <w:p w14:paraId="6E640FFD" w14:textId="4F7596C5"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0.000</w:t>
            </w:r>
          </w:p>
        </w:tc>
      </w:tr>
      <w:tr w:rsidR="0005382E" w:rsidRPr="00D06F2B" w14:paraId="42334090" w14:textId="77777777" w:rsidTr="0005382E">
        <w:trPr>
          <w:trHeight w:val="272"/>
        </w:trPr>
        <w:tc>
          <w:tcPr>
            <w:tcW w:w="2881" w:type="dxa"/>
            <w:tcBorders>
              <w:top w:val="nil"/>
              <w:left w:val="nil"/>
              <w:bottom w:val="nil"/>
              <w:right w:val="nil"/>
            </w:tcBorders>
            <w:shd w:val="clear" w:color="auto" w:fill="auto"/>
            <w:hideMark/>
          </w:tcPr>
          <w:p w14:paraId="45C42C51" w14:textId="77777777" w:rsidR="0005382E" w:rsidRPr="00D06F2B" w:rsidRDefault="0005382E" w:rsidP="0005382E">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∆CPS</w:t>
            </w:r>
          </w:p>
        </w:tc>
        <w:tc>
          <w:tcPr>
            <w:tcW w:w="2881" w:type="dxa"/>
            <w:tcBorders>
              <w:top w:val="nil"/>
              <w:left w:val="nil"/>
              <w:bottom w:val="nil"/>
              <w:right w:val="nil"/>
            </w:tcBorders>
            <w:shd w:val="clear" w:color="auto" w:fill="auto"/>
            <w:noWrap/>
            <w:vAlign w:val="center"/>
          </w:tcPr>
          <w:p w14:paraId="11E4FC7D" w14:textId="6D25DB28"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0.000</w:t>
            </w:r>
          </w:p>
        </w:tc>
        <w:tc>
          <w:tcPr>
            <w:tcW w:w="2882" w:type="dxa"/>
            <w:tcBorders>
              <w:top w:val="nil"/>
              <w:left w:val="nil"/>
              <w:bottom w:val="nil"/>
              <w:right w:val="nil"/>
            </w:tcBorders>
            <w:shd w:val="clear" w:color="auto" w:fill="auto"/>
            <w:noWrap/>
            <w:vAlign w:val="center"/>
          </w:tcPr>
          <w:p w14:paraId="18B711D1" w14:textId="60557455"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0.499</w:t>
            </w:r>
          </w:p>
        </w:tc>
      </w:tr>
      <w:tr w:rsidR="0005382E" w:rsidRPr="00D06F2B" w14:paraId="5286E687" w14:textId="77777777" w:rsidTr="0005382E">
        <w:trPr>
          <w:trHeight w:val="282"/>
        </w:trPr>
        <w:tc>
          <w:tcPr>
            <w:tcW w:w="2881" w:type="dxa"/>
            <w:tcBorders>
              <w:top w:val="nil"/>
              <w:left w:val="nil"/>
              <w:bottom w:val="nil"/>
              <w:right w:val="nil"/>
            </w:tcBorders>
            <w:shd w:val="clear" w:color="auto" w:fill="auto"/>
            <w:hideMark/>
          </w:tcPr>
          <w:p w14:paraId="4340B2A6" w14:textId="77777777" w:rsidR="0005382E" w:rsidRPr="00D06F2B" w:rsidRDefault="0005382E" w:rsidP="0005382E">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∆DPS</w:t>
            </w:r>
          </w:p>
        </w:tc>
        <w:tc>
          <w:tcPr>
            <w:tcW w:w="2881" w:type="dxa"/>
            <w:tcBorders>
              <w:top w:val="nil"/>
              <w:left w:val="nil"/>
              <w:bottom w:val="nil"/>
              <w:right w:val="nil"/>
            </w:tcBorders>
            <w:shd w:val="clear" w:color="auto" w:fill="auto"/>
            <w:noWrap/>
            <w:vAlign w:val="center"/>
          </w:tcPr>
          <w:p w14:paraId="24125815" w14:textId="495CC2CF"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0.001</w:t>
            </w:r>
          </w:p>
        </w:tc>
        <w:tc>
          <w:tcPr>
            <w:tcW w:w="2882" w:type="dxa"/>
            <w:tcBorders>
              <w:top w:val="nil"/>
              <w:left w:val="nil"/>
              <w:bottom w:val="nil"/>
              <w:right w:val="nil"/>
            </w:tcBorders>
            <w:shd w:val="clear" w:color="auto" w:fill="auto"/>
            <w:noWrap/>
            <w:vAlign w:val="center"/>
          </w:tcPr>
          <w:p w14:paraId="6EC9E5EF" w14:textId="06AA688D"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0.180</w:t>
            </w:r>
          </w:p>
        </w:tc>
      </w:tr>
      <w:tr w:rsidR="0005382E" w:rsidRPr="00D06F2B" w14:paraId="3E2906FE" w14:textId="77777777" w:rsidTr="0005382E">
        <w:trPr>
          <w:trHeight w:val="272"/>
        </w:trPr>
        <w:tc>
          <w:tcPr>
            <w:tcW w:w="2881" w:type="dxa"/>
            <w:tcBorders>
              <w:top w:val="nil"/>
              <w:left w:val="nil"/>
              <w:bottom w:val="nil"/>
              <w:right w:val="nil"/>
            </w:tcBorders>
            <w:shd w:val="clear" w:color="auto" w:fill="auto"/>
            <w:hideMark/>
          </w:tcPr>
          <w:p w14:paraId="1C46A7AE" w14:textId="77777777" w:rsidR="0005382E" w:rsidRPr="00D06F2B" w:rsidRDefault="0005382E" w:rsidP="0005382E">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∆REC</w:t>
            </w:r>
          </w:p>
        </w:tc>
        <w:tc>
          <w:tcPr>
            <w:tcW w:w="2881" w:type="dxa"/>
            <w:tcBorders>
              <w:top w:val="nil"/>
              <w:left w:val="nil"/>
              <w:bottom w:val="nil"/>
              <w:right w:val="nil"/>
            </w:tcBorders>
            <w:shd w:val="clear" w:color="auto" w:fill="auto"/>
            <w:noWrap/>
            <w:vAlign w:val="center"/>
          </w:tcPr>
          <w:p w14:paraId="5D9B817F" w14:textId="5279AB89"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-0.001</w:t>
            </w:r>
          </w:p>
        </w:tc>
        <w:tc>
          <w:tcPr>
            <w:tcW w:w="2882" w:type="dxa"/>
            <w:tcBorders>
              <w:top w:val="nil"/>
              <w:left w:val="nil"/>
              <w:bottom w:val="nil"/>
              <w:right w:val="nil"/>
            </w:tcBorders>
            <w:shd w:val="clear" w:color="auto" w:fill="auto"/>
            <w:noWrap/>
            <w:vAlign w:val="center"/>
          </w:tcPr>
          <w:p w14:paraId="31C3C353" w14:textId="20B67718"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0.000</w:t>
            </w:r>
          </w:p>
        </w:tc>
      </w:tr>
      <w:tr w:rsidR="0005382E" w:rsidRPr="00D06F2B" w14:paraId="5EEA8306" w14:textId="77777777" w:rsidTr="0005382E">
        <w:trPr>
          <w:trHeight w:val="272"/>
        </w:trPr>
        <w:tc>
          <w:tcPr>
            <w:tcW w:w="2881" w:type="dxa"/>
            <w:tcBorders>
              <w:top w:val="nil"/>
              <w:left w:val="nil"/>
              <w:bottom w:val="nil"/>
              <w:right w:val="nil"/>
            </w:tcBorders>
            <w:shd w:val="clear" w:color="auto" w:fill="auto"/>
            <w:hideMark/>
          </w:tcPr>
          <w:p w14:paraId="46FE0ED2" w14:textId="77777777" w:rsidR="0005382E" w:rsidRPr="00D06F2B" w:rsidRDefault="0005382E" w:rsidP="0005382E">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∆TP</w:t>
            </w:r>
          </w:p>
        </w:tc>
        <w:tc>
          <w:tcPr>
            <w:tcW w:w="2881" w:type="dxa"/>
            <w:tcBorders>
              <w:top w:val="nil"/>
              <w:left w:val="nil"/>
              <w:bottom w:val="nil"/>
              <w:right w:val="nil"/>
            </w:tcBorders>
            <w:shd w:val="clear" w:color="auto" w:fill="auto"/>
            <w:noWrap/>
            <w:vAlign w:val="center"/>
          </w:tcPr>
          <w:p w14:paraId="1B8B723F" w14:textId="1303A2C5"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0.001</w:t>
            </w:r>
          </w:p>
        </w:tc>
        <w:tc>
          <w:tcPr>
            <w:tcW w:w="2882" w:type="dxa"/>
            <w:tcBorders>
              <w:top w:val="nil"/>
              <w:left w:val="nil"/>
              <w:bottom w:val="nil"/>
              <w:right w:val="nil"/>
            </w:tcBorders>
            <w:shd w:val="clear" w:color="auto" w:fill="auto"/>
            <w:noWrap/>
            <w:vAlign w:val="center"/>
          </w:tcPr>
          <w:p w14:paraId="4FAA9A33" w14:textId="0D882B3F" w:rsidR="0005382E" w:rsidRPr="00D06F2B" w:rsidRDefault="0005382E" w:rsidP="0005382E">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0.016</w:t>
            </w:r>
          </w:p>
        </w:tc>
      </w:tr>
      <w:tr w:rsidR="003F717C" w:rsidRPr="00D06F2B" w14:paraId="1A6EE1FB" w14:textId="77777777" w:rsidTr="00E538B2">
        <w:trPr>
          <w:trHeight w:val="272"/>
        </w:trPr>
        <w:tc>
          <w:tcPr>
            <w:tcW w:w="2881" w:type="dxa"/>
            <w:tcBorders>
              <w:top w:val="nil"/>
              <w:left w:val="nil"/>
              <w:bottom w:val="nil"/>
              <w:right w:val="nil"/>
            </w:tcBorders>
            <w:shd w:val="clear" w:color="auto" w:fill="auto"/>
            <w:noWrap/>
            <w:vAlign w:val="bottom"/>
            <w:hideMark/>
          </w:tcPr>
          <w:p w14:paraId="50031C3A" w14:textId="77777777" w:rsidR="003F717C" w:rsidRPr="00D06F2B" w:rsidRDefault="003F717C" w:rsidP="003F717C">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Ret vol</w:t>
            </w:r>
          </w:p>
        </w:tc>
        <w:tc>
          <w:tcPr>
            <w:tcW w:w="2881" w:type="dxa"/>
            <w:tcBorders>
              <w:top w:val="nil"/>
              <w:left w:val="nil"/>
              <w:bottom w:val="nil"/>
              <w:right w:val="nil"/>
            </w:tcBorders>
            <w:shd w:val="clear" w:color="auto" w:fill="auto"/>
            <w:noWrap/>
            <w:vAlign w:val="center"/>
            <w:hideMark/>
          </w:tcPr>
          <w:p w14:paraId="225EC273" w14:textId="35790720" w:rsidR="003F717C" w:rsidRPr="00D06F2B" w:rsidRDefault="003F717C" w:rsidP="003F717C">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11.075</w:t>
            </w:r>
          </w:p>
        </w:tc>
        <w:tc>
          <w:tcPr>
            <w:tcW w:w="2882" w:type="dxa"/>
            <w:tcBorders>
              <w:top w:val="nil"/>
              <w:left w:val="nil"/>
              <w:bottom w:val="nil"/>
              <w:right w:val="nil"/>
            </w:tcBorders>
            <w:shd w:val="clear" w:color="auto" w:fill="auto"/>
            <w:noWrap/>
            <w:vAlign w:val="center"/>
            <w:hideMark/>
          </w:tcPr>
          <w:p w14:paraId="28568667" w14:textId="1F76288D" w:rsidR="003F717C" w:rsidRPr="00D06F2B" w:rsidRDefault="003F717C" w:rsidP="003F717C">
            <w:pPr>
              <w:spacing w:after="0" w:line="240" w:lineRule="auto"/>
              <w:jc w:val="center"/>
              <w:rPr>
                <w:rFonts w:ascii="Garamond" w:eastAsia="Times New Roman" w:hAnsi="Garamond" w:cs="Calibri"/>
                <w:color w:val="000000"/>
                <w:sz w:val="20"/>
                <w:szCs w:val="20"/>
                <w:lang w:eastAsia="en-GB"/>
              </w:rPr>
            </w:pPr>
            <w:r w:rsidRPr="00D06F2B">
              <w:rPr>
                <w:rFonts w:ascii="Garamond" w:hAnsi="Garamond" w:cs="Calibri"/>
                <w:color w:val="000000"/>
                <w:sz w:val="20"/>
                <w:szCs w:val="20"/>
              </w:rPr>
              <w:t>0.000</w:t>
            </w:r>
          </w:p>
        </w:tc>
      </w:tr>
      <w:tr w:rsidR="00B47B1A" w:rsidRPr="00D06F2B" w14:paraId="3938CCC9" w14:textId="77777777" w:rsidTr="00E538B2">
        <w:trPr>
          <w:trHeight w:val="272"/>
        </w:trPr>
        <w:tc>
          <w:tcPr>
            <w:tcW w:w="2881" w:type="dxa"/>
            <w:tcBorders>
              <w:top w:val="nil"/>
              <w:left w:val="nil"/>
              <w:bottom w:val="nil"/>
              <w:right w:val="nil"/>
            </w:tcBorders>
            <w:shd w:val="clear" w:color="auto" w:fill="auto"/>
            <w:noWrap/>
            <w:hideMark/>
          </w:tcPr>
          <w:p w14:paraId="2AE01561" w14:textId="77777777" w:rsidR="00B47B1A" w:rsidRPr="00D06F2B" w:rsidRDefault="00B47B1A" w:rsidP="00E538B2">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Year effects</w:t>
            </w:r>
          </w:p>
        </w:tc>
        <w:tc>
          <w:tcPr>
            <w:tcW w:w="2881" w:type="dxa"/>
            <w:tcBorders>
              <w:top w:val="nil"/>
              <w:left w:val="nil"/>
              <w:bottom w:val="nil"/>
              <w:right w:val="nil"/>
            </w:tcBorders>
            <w:shd w:val="clear" w:color="auto" w:fill="auto"/>
            <w:noWrap/>
            <w:vAlign w:val="center"/>
            <w:hideMark/>
          </w:tcPr>
          <w:p w14:paraId="71A0F0BE" w14:textId="77777777" w:rsidR="00B47B1A" w:rsidRPr="00D06F2B" w:rsidRDefault="00B47B1A" w:rsidP="00E538B2">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2882" w:type="dxa"/>
            <w:tcBorders>
              <w:top w:val="nil"/>
              <w:left w:val="nil"/>
              <w:bottom w:val="nil"/>
              <w:right w:val="nil"/>
            </w:tcBorders>
            <w:shd w:val="clear" w:color="auto" w:fill="auto"/>
            <w:noWrap/>
            <w:vAlign w:val="center"/>
            <w:hideMark/>
          </w:tcPr>
          <w:p w14:paraId="4640A64E" w14:textId="77777777" w:rsidR="00B47B1A" w:rsidRPr="00D06F2B" w:rsidRDefault="00B47B1A" w:rsidP="00E538B2">
            <w:pPr>
              <w:spacing w:after="0" w:line="240" w:lineRule="auto"/>
              <w:jc w:val="center"/>
              <w:rPr>
                <w:rFonts w:ascii="Garamond" w:eastAsia="Times New Roman" w:hAnsi="Garamond" w:cs="Calibri"/>
                <w:color w:val="000000"/>
                <w:sz w:val="20"/>
                <w:szCs w:val="20"/>
                <w:lang w:eastAsia="en-GB"/>
              </w:rPr>
            </w:pPr>
          </w:p>
        </w:tc>
      </w:tr>
      <w:tr w:rsidR="00B47B1A" w:rsidRPr="00D06F2B" w14:paraId="1B57065A" w14:textId="77777777" w:rsidTr="00E538B2">
        <w:trPr>
          <w:trHeight w:val="272"/>
        </w:trPr>
        <w:tc>
          <w:tcPr>
            <w:tcW w:w="2881" w:type="dxa"/>
            <w:tcBorders>
              <w:top w:val="nil"/>
              <w:left w:val="nil"/>
              <w:bottom w:val="nil"/>
              <w:right w:val="nil"/>
            </w:tcBorders>
            <w:shd w:val="clear" w:color="auto" w:fill="auto"/>
            <w:noWrap/>
            <w:vAlign w:val="bottom"/>
            <w:hideMark/>
          </w:tcPr>
          <w:p w14:paraId="53151BAD" w14:textId="77777777" w:rsidR="00B47B1A" w:rsidRPr="00D06F2B" w:rsidRDefault="00B47B1A" w:rsidP="00E538B2">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Quarter effect</w:t>
            </w:r>
          </w:p>
        </w:tc>
        <w:tc>
          <w:tcPr>
            <w:tcW w:w="2881" w:type="dxa"/>
            <w:tcBorders>
              <w:top w:val="nil"/>
              <w:left w:val="nil"/>
              <w:bottom w:val="nil"/>
              <w:right w:val="nil"/>
            </w:tcBorders>
            <w:shd w:val="clear" w:color="auto" w:fill="auto"/>
            <w:noWrap/>
            <w:vAlign w:val="center"/>
            <w:hideMark/>
          </w:tcPr>
          <w:p w14:paraId="6BD3A1D3" w14:textId="77777777" w:rsidR="00B47B1A" w:rsidRPr="00D06F2B" w:rsidRDefault="00B47B1A" w:rsidP="00E538B2">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2882" w:type="dxa"/>
            <w:tcBorders>
              <w:top w:val="nil"/>
              <w:left w:val="nil"/>
              <w:bottom w:val="nil"/>
              <w:right w:val="nil"/>
            </w:tcBorders>
            <w:shd w:val="clear" w:color="auto" w:fill="auto"/>
            <w:noWrap/>
            <w:vAlign w:val="center"/>
            <w:hideMark/>
          </w:tcPr>
          <w:p w14:paraId="30F3FDA9" w14:textId="77777777" w:rsidR="00B47B1A" w:rsidRPr="00D06F2B" w:rsidRDefault="00B47B1A" w:rsidP="00E538B2">
            <w:pPr>
              <w:spacing w:after="0" w:line="240" w:lineRule="auto"/>
              <w:jc w:val="center"/>
              <w:rPr>
                <w:rFonts w:ascii="Garamond" w:eastAsia="Times New Roman" w:hAnsi="Garamond" w:cs="Calibri"/>
                <w:color w:val="000000"/>
                <w:sz w:val="20"/>
                <w:szCs w:val="20"/>
                <w:lang w:eastAsia="en-GB"/>
              </w:rPr>
            </w:pPr>
          </w:p>
        </w:tc>
      </w:tr>
      <w:tr w:rsidR="00B47B1A" w:rsidRPr="00D06F2B" w14:paraId="04B01F54" w14:textId="77777777" w:rsidTr="00E538B2">
        <w:trPr>
          <w:trHeight w:val="272"/>
        </w:trPr>
        <w:tc>
          <w:tcPr>
            <w:tcW w:w="2881" w:type="dxa"/>
            <w:tcBorders>
              <w:top w:val="nil"/>
              <w:left w:val="nil"/>
              <w:bottom w:val="nil"/>
              <w:right w:val="nil"/>
            </w:tcBorders>
            <w:shd w:val="clear" w:color="auto" w:fill="auto"/>
            <w:noWrap/>
            <w:hideMark/>
          </w:tcPr>
          <w:p w14:paraId="749B68E2" w14:textId="77777777" w:rsidR="00B47B1A" w:rsidRPr="00D06F2B" w:rsidRDefault="00B47B1A" w:rsidP="00E538B2">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Firm effects</w:t>
            </w:r>
          </w:p>
        </w:tc>
        <w:tc>
          <w:tcPr>
            <w:tcW w:w="2881" w:type="dxa"/>
            <w:tcBorders>
              <w:top w:val="nil"/>
              <w:left w:val="nil"/>
              <w:bottom w:val="nil"/>
              <w:right w:val="nil"/>
            </w:tcBorders>
            <w:shd w:val="clear" w:color="auto" w:fill="auto"/>
            <w:noWrap/>
            <w:vAlign w:val="center"/>
            <w:hideMark/>
          </w:tcPr>
          <w:p w14:paraId="09139D2B" w14:textId="77777777" w:rsidR="00B47B1A" w:rsidRPr="00D06F2B" w:rsidRDefault="00B47B1A" w:rsidP="00E538B2">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2882" w:type="dxa"/>
            <w:tcBorders>
              <w:top w:val="nil"/>
              <w:left w:val="nil"/>
              <w:bottom w:val="nil"/>
              <w:right w:val="nil"/>
            </w:tcBorders>
            <w:shd w:val="clear" w:color="auto" w:fill="auto"/>
            <w:noWrap/>
            <w:vAlign w:val="center"/>
            <w:hideMark/>
          </w:tcPr>
          <w:p w14:paraId="50811FDC" w14:textId="77777777" w:rsidR="00B47B1A" w:rsidRPr="00D06F2B" w:rsidRDefault="00B47B1A" w:rsidP="00E538B2">
            <w:pPr>
              <w:spacing w:after="0" w:line="240" w:lineRule="auto"/>
              <w:jc w:val="center"/>
              <w:rPr>
                <w:rFonts w:ascii="Garamond" w:eastAsia="Times New Roman" w:hAnsi="Garamond" w:cs="Calibri"/>
                <w:color w:val="000000"/>
                <w:sz w:val="20"/>
                <w:szCs w:val="20"/>
                <w:lang w:eastAsia="en-GB"/>
              </w:rPr>
            </w:pPr>
          </w:p>
        </w:tc>
      </w:tr>
      <w:tr w:rsidR="00B47B1A" w:rsidRPr="00D06F2B" w14:paraId="34EC15AB" w14:textId="77777777" w:rsidTr="00E538B2">
        <w:trPr>
          <w:trHeight w:val="272"/>
        </w:trPr>
        <w:tc>
          <w:tcPr>
            <w:tcW w:w="2881" w:type="dxa"/>
            <w:tcBorders>
              <w:top w:val="nil"/>
              <w:left w:val="nil"/>
              <w:bottom w:val="nil"/>
              <w:right w:val="nil"/>
            </w:tcBorders>
            <w:shd w:val="clear" w:color="auto" w:fill="auto"/>
            <w:noWrap/>
            <w:hideMark/>
          </w:tcPr>
          <w:p w14:paraId="73AE9C46" w14:textId="77777777" w:rsidR="00B47B1A" w:rsidRPr="00D06F2B" w:rsidRDefault="00B47B1A" w:rsidP="00E538B2">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N</w:t>
            </w:r>
          </w:p>
        </w:tc>
        <w:tc>
          <w:tcPr>
            <w:tcW w:w="2881" w:type="dxa"/>
            <w:tcBorders>
              <w:top w:val="nil"/>
              <w:left w:val="nil"/>
              <w:bottom w:val="nil"/>
              <w:right w:val="nil"/>
            </w:tcBorders>
            <w:shd w:val="clear" w:color="auto" w:fill="auto"/>
            <w:noWrap/>
            <w:vAlign w:val="center"/>
            <w:hideMark/>
          </w:tcPr>
          <w:p w14:paraId="0CAE2391" w14:textId="77777777" w:rsidR="00B47B1A" w:rsidRPr="00D06F2B" w:rsidRDefault="00B47B1A" w:rsidP="00E538B2">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445561</w:t>
            </w:r>
          </w:p>
        </w:tc>
        <w:tc>
          <w:tcPr>
            <w:tcW w:w="2882" w:type="dxa"/>
            <w:tcBorders>
              <w:top w:val="nil"/>
              <w:left w:val="nil"/>
              <w:bottom w:val="nil"/>
              <w:right w:val="nil"/>
            </w:tcBorders>
            <w:shd w:val="clear" w:color="auto" w:fill="auto"/>
            <w:noWrap/>
            <w:vAlign w:val="center"/>
            <w:hideMark/>
          </w:tcPr>
          <w:p w14:paraId="0F972827" w14:textId="77777777" w:rsidR="00B47B1A" w:rsidRPr="00D06F2B" w:rsidRDefault="00B47B1A" w:rsidP="00E538B2">
            <w:pPr>
              <w:spacing w:after="0" w:line="240" w:lineRule="auto"/>
              <w:jc w:val="center"/>
              <w:rPr>
                <w:rFonts w:ascii="Garamond" w:eastAsia="Times New Roman" w:hAnsi="Garamond" w:cs="Calibri"/>
                <w:color w:val="000000"/>
                <w:sz w:val="20"/>
                <w:szCs w:val="20"/>
                <w:lang w:eastAsia="en-GB"/>
              </w:rPr>
            </w:pPr>
          </w:p>
        </w:tc>
      </w:tr>
      <w:tr w:rsidR="00B47B1A" w:rsidRPr="00D06F2B" w14:paraId="430E725E" w14:textId="77777777" w:rsidTr="00E538B2">
        <w:trPr>
          <w:trHeight w:val="272"/>
        </w:trPr>
        <w:tc>
          <w:tcPr>
            <w:tcW w:w="2881" w:type="dxa"/>
            <w:tcBorders>
              <w:top w:val="nil"/>
              <w:left w:val="nil"/>
              <w:bottom w:val="single" w:sz="4" w:space="0" w:color="auto"/>
              <w:right w:val="nil"/>
            </w:tcBorders>
            <w:shd w:val="clear" w:color="auto" w:fill="auto"/>
            <w:noWrap/>
            <w:hideMark/>
          </w:tcPr>
          <w:p w14:paraId="60080F1F" w14:textId="77777777" w:rsidR="00B47B1A" w:rsidRPr="00D06F2B" w:rsidRDefault="00B47B1A" w:rsidP="00E538B2">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R2</w:t>
            </w:r>
          </w:p>
        </w:tc>
        <w:tc>
          <w:tcPr>
            <w:tcW w:w="2881" w:type="dxa"/>
            <w:tcBorders>
              <w:top w:val="nil"/>
              <w:left w:val="nil"/>
              <w:bottom w:val="single" w:sz="4" w:space="0" w:color="auto"/>
              <w:right w:val="nil"/>
            </w:tcBorders>
            <w:shd w:val="clear" w:color="auto" w:fill="auto"/>
            <w:noWrap/>
            <w:vAlign w:val="bottom"/>
            <w:hideMark/>
          </w:tcPr>
          <w:p w14:paraId="3038F579" w14:textId="77777777" w:rsidR="00B47B1A" w:rsidRPr="00D06F2B" w:rsidRDefault="00B47B1A" w:rsidP="00E538B2">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7.15%</w:t>
            </w:r>
          </w:p>
        </w:tc>
        <w:tc>
          <w:tcPr>
            <w:tcW w:w="2882" w:type="dxa"/>
            <w:tcBorders>
              <w:top w:val="nil"/>
              <w:left w:val="nil"/>
              <w:bottom w:val="single" w:sz="4" w:space="0" w:color="auto"/>
              <w:right w:val="nil"/>
            </w:tcBorders>
            <w:shd w:val="clear" w:color="auto" w:fill="auto"/>
            <w:noWrap/>
            <w:vAlign w:val="center"/>
            <w:hideMark/>
          </w:tcPr>
          <w:p w14:paraId="142DFB4D" w14:textId="77777777" w:rsidR="00B47B1A" w:rsidRPr="00D06F2B" w:rsidRDefault="00B47B1A" w:rsidP="00E538B2">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r>
    </w:tbl>
    <w:p w14:paraId="1C465F3C" w14:textId="64043B72" w:rsidR="00B47B1A" w:rsidRPr="00D06F2B" w:rsidRDefault="00832F2A" w:rsidP="00B47B1A">
      <w:pPr>
        <w:rPr>
          <w:rFonts w:ascii="Garamond" w:hAnsi="Garamond"/>
          <w:sz w:val="20"/>
          <w:szCs w:val="20"/>
          <w:lang w:val="en-US"/>
        </w:rPr>
      </w:pPr>
      <w:r w:rsidRPr="00D06F2B">
        <w:rPr>
          <w:rFonts w:ascii="Garamond" w:hAnsi="Garamond"/>
          <w:i/>
          <w:iCs/>
          <w:sz w:val="20"/>
          <w:szCs w:val="20"/>
          <w:lang w:val="en-US"/>
        </w:rPr>
        <w:t xml:space="preserve">Notes: </w:t>
      </w:r>
      <w:r w:rsidR="00B47B1A" w:rsidRPr="00D06F2B">
        <w:rPr>
          <w:rFonts w:ascii="Garamond" w:hAnsi="Garamond"/>
          <w:sz w:val="20"/>
          <w:szCs w:val="20"/>
          <w:lang w:val="en-US"/>
        </w:rPr>
        <w:t xml:space="preserve"> </w:t>
      </w:r>
      <w:r w:rsidRPr="00D06F2B">
        <w:rPr>
          <w:rFonts w:ascii="Garamond" w:hAnsi="Garamond"/>
          <w:sz w:val="20"/>
          <w:szCs w:val="20"/>
          <w:lang w:val="en-US"/>
        </w:rPr>
        <w:t>The table reports price reaction regression results where we use signed CAR as the dependent variable and signed forecast revisions normalized by</w:t>
      </w:r>
      <w:r w:rsidRPr="00D06F2B">
        <w:rPr>
          <w:rFonts w:ascii="Garamond" w:eastAsia="Times New Roman" w:hAnsi="Garamond" w:cs="Calibri"/>
          <w:color w:val="000000"/>
          <w:sz w:val="20"/>
          <w:szCs w:val="20"/>
          <w:lang w:eastAsia="en-GB"/>
        </w:rPr>
        <w:t xml:space="preserve"> the volatility of residuals from the Carhart model estimated over prior 100 days.</w:t>
      </w:r>
    </w:p>
    <w:p w14:paraId="3AC68796" w14:textId="45BF28E3" w:rsidR="008E67B9" w:rsidRPr="00D06F2B" w:rsidRDefault="00B47B1A" w:rsidP="00FC3B60">
      <w:pPr>
        <w:rPr>
          <w:rFonts w:ascii="Garamond" w:hAnsi="Garamond"/>
          <w:sz w:val="24"/>
          <w:szCs w:val="24"/>
          <w:lang w:val="en-US"/>
        </w:rPr>
      </w:pPr>
      <w:r w:rsidRPr="00D06F2B">
        <w:rPr>
          <w:rFonts w:ascii="Garamond" w:hAnsi="Garamond"/>
          <w:sz w:val="24"/>
          <w:szCs w:val="24"/>
          <w:lang w:val="en-US"/>
        </w:rPr>
        <w:br w:type="page"/>
      </w:r>
      <w:r w:rsidR="00FC3B60">
        <w:rPr>
          <w:rFonts w:ascii="Garamond" w:hAnsi="Garamond"/>
          <w:sz w:val="24"/>
          <w:szCs w:val="24"/>
          <w:lang w:val="en-US"/>
        </w:rPr>
        <w:lastRenderedPageBreak/>
        <w:t xml:space="preserve"> </w:t>
      </w:r>
      <w:r w:rsidR="00C372F9" w:rsidRPr="00D06F2B">
        <w:rPr>
          <w:rFonts w:ascii="Garamond" w:hAnsi="Garamond"/>
          <w:sz w:val="24"/>
          <w:szCs w:val="24"/>
          <w:lang w:val="en-US"/>
        </w:rPr>
        <w:t xml:space="preserve">TABLE </w:t>
      </w:r>
      <w:r w:rsidR="00502A2F" w:rsidRPr="00D06F2B">
        <w:rPr>
          <w:rFonts w:ascii="Garamond" w:hAnsi="Garamond"/>
          <w:sz w:val="24"/>
          <w:szCs w:val="24"/>
          <w:lang w:val="en-US"/>
        </w:rPr>
        <w:t>7</w:t>
      </w:r>
    </w:p>
    <w:p w14:paraId="77DF6BC8" w14:textId="3525D8F8" w:rsidR="00C372F9" w:rsidRPr="00D06F2B" w:rsidRDefault="00C372F9" w:rsidP="00C372F9">
      <w:pPr>
        <w:spacing w:after="0"/>
        <w:rPr>
          <w:rFonts w:ascii="Garamond" w:hAnsi="Garamond"/>
          <w:sz w:val="24"/>
          <w:szCs w:val="24"/>
          <w:lang w:val="en-US"/>
        </w:rPr>
      </w:pPr>
      <w:r w:rsidRPr="00D06F2B">
        <w:rPr>
          <w:rFonts w:ascii="Garamond" w:hAnsi="Garamond"/>
          <w:sz w:val="24"/>
          <w:szCs w:val="24"/>
          <w:lang w:val="en-US"/>
        </w:rPr>
        <w:t>Price reactions conditional on Google searches</w:t>
      </w:r>
    </w:p>
    <w:tbl>
      <w:tblPr>
        <w:tblW w:w="8681" w:type="dxa"/>
        <w:tblLayout w:type="fixed"/>
        <w:tblLook w:val="04A0" w:firstRow="1" w:lastRow="0" w:firstColumn="1" w:lastColumn="0" w:noHBand="0" w:noVBand="1"/>
      </w:tblPr>
      <w:tblGrid>
        <w:gridCol w:w="2893"/>
        <w:gridCol w:w="2894"/>
        <w:gridCol w:w="2894"/>
      </w:tblGrid>
      <w:tr w:rsidR="00B47B1A" w:rsidRPr="00D06F2B" w14:paraId="2A7C635B" w14:textId="77777777" w:rsidTr="00B47B1A">
        <w:trPr>
          <w:trHeight w:val="284"/>
        </w:trPr>
        <w:tc>
          <w:tcPr>
            <w:tcW w:w="2893" w:type="dxa"/>
            <w:tcBorders>
              <w:top w:val="single" w:sz="4" w:space="0" w:color="auto"/>
              <w:left w:val="nil"/>
              <w:bottom w:val="single" w:sz="4" w:space="0" w:color="auto"/>
              <w:right w:val="nil"/>
            </w:tcBorders>
            <w:shd w:val="clear" w:color="auto" w:fill="auto"/>
            <w:noWrap/>
            <w:hideMark/>
          </w:tcPr>
          <w:p w14:paraId="644A6D01" w14:textId="77777777" w:rsidR="00B47B1A" w:rsidRPr="00D06F2B" w:rsidRDefault="00B47B1A" w:rsidP="00B47B1A">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c>
          <w:tcPr>
            <w:tcW w:w="2894" w:type="dxa"/>
            <w:tcBorders>
              <w:top w:val="single" w:sz="4" w:space="0" w:color="auto"/>
              <w:left w:val="nil"/>
              <w:bottom w:val="single" w:sz="4" w:space="0" w:color="auto"/>
              <w:right w:val="nil"/>
            </w:tcBorders>
            <w:shd w:val="clear" w:color="auto" w:fill="auto"/>
            <w:vAlign w:val="center"/>
            <w:hideMark/>
          </w:tcPr>
          <w:p w14:paraId="1644B00F"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Estimate</w:t>
            </w:r>
          </w:p>
        </w:tc>
        <w:tc>
          <w:tcPr>
            <w:tcW w:w="2894" w:type="dxa"/>
            <w:tcBorders>
              <w:top w:val="single" w:sz="4" w:space="0" w:color="auto"/>
              <w:left w:val="nil"/>
              <w:bottom w:val="single" w:sz="4" w:space="0" w:color="auto"/>
              <w:right w:val="nil"/>
            </w:tcBorders>
            <w:shd w:val="clear" w:color="auto" w:fill="auto"/>
            <w:vAlign w:val="center"/>
            <w:hideMark/>
          </w:tcPr>
          <w:p w14:paraId="6422EA1E"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p</w:t>
            </w:r>
          </w:p>
        </w:tc>
      </w:tr>
      <w:tr w:rsidR="00B47B1A" w:rsidRPr="00D06F2B" w14:paraId="40BD390C" w14:textId="77777777" w:rsidTr="00B47B1A">
        <w:trPr>
          <w:trHeight w:val="284"/>
        </w:trPr>
        <w:tc>
          <w:tcPr>
            <w:tcW w:w="2893" w:type="dxa"/>
            <w:tcBorders>
              <w:top w:val="nil"/>
              <w:left w:val="nil"/>
              <w:bottom w:val="nil"/>
              <w:right w:val="nil"/>
            </w:tcBorders>
            <w:shd w:val="clear" w:color="auto" w:fill="auto"/>
            <w:hideMark/>
          </w:tcPr>
          <w:p w14:paraId="00FC6777" w14:textId="77777777" w:rsidR="00B47B1A" w:rsidRPr="00D06F2B" w:rsidRDefault="00B47B1A" w:rsidP="00B47B1A">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|∆EPS|*</w:t>
            </w:r>
            <w:proofErr w:type="spellStart"/>
            <w:r w:rsidRPr="00D06F2B">
              <w:rPr>
                <w:rFonts w:ascii="Garamond" w:eastAsia="Times New Roman" w:hAnsi="Garamond" w:cs="Calibri"/>
                <w:color w:val="000000"/>
                <w:sz w:val="20"/>
                <w:szCs w:val="20"/>
                <w:lang w:eastAsia="en-GB"/>
              </w:rPr>
              <w:t>Covid</w:t>
            </w:r>
            <w:proofErr w:type="spellEnd"/>
            <w:r w:rsidRPr="00D06F2B">
              <w:rPr>
                <w:rFonts w:ascii="Garamond" w:eastAsia="Times New Roman" w:hAnsi="Garamond" w:cs="Calibri"/>
                <w:color w:val="000000"/>
                <w:sz w:val="20"/>
                <w:szCs w:val="20"/>
                <w:lang w:eastAsia="en-GB"/>
              </w:rPr>
              <w:t>*Google</w:t>
            </w:r>
          </w:p>
        </w:tc>
        <w:tc>
          <w:tcPr>
            <w:tcW w:w="2894" w:type="dxa"/>
            <w:tcBorders>
              <w:top w:val="nil"/>
              <w:left w:val="nil"/>
              <w:bottom w:val="nil"/>
              <w:right w:val="nil"/>
            </w:tcBorders>
            <w:shd w:val="clear" w:color="auto" w:fill="auto"/>
            <w:noWrap/>
            <w:vAlign w:val="center"/>
            <w:hideMark/>
          </w:tcPr>
          <w:p w14:paraId="6E19E5B1"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0.064</w:t>
            </w:r>
          </w:p>
        </w:tc>
        <w:tc>
          <w:tcPr>
            <w:tcW w:w="2894" w:type="dxa"/>
            <w:tcBorders>
              <w:top w:val="nil"/>
              <w:left w:val="nil"/>
              <w:bottom w:val="nil"/>
              <w:right w:val="nil"/>
            </w:tcBorders>
            <w:shd w:val="clear" w:color="auto" w:fill="auto"/>
            <w:noWrap/>
            <w:vAlign w:val="center"/>
            <w:hideMark/>
          </w:tcPr>
          <w:p w14:paraId="728DB09C"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B47B1A" w:rsidRPr="00D06F2B" w14:paraId="79EE3E6F" w14:textId="77777777" w:rsidTr="00B47B1A">
        <w:trPr>
          <w:trHeight w:val="284"/>
        </w:trPr>
        <w:tc>
          <w:tcPr>
            <w:tcW w:w="2893" w:type="dxa"/>
            <w:tcBorders>
              <w:top w:val="nil"/>
              <w:left w:val="nil"/>
              <w:bottom w:val="nil"/>
              <w:right w:val="nil"/>
            </w:tcBorders>
            <w:shd w:val="clear" w:color="auto" w:fill="auto"/>
            <w:hideMark/>
          </w:tcPr>
          <w:p w14:paraId="36425C40" w14:textId="77777777" w:rsidR="00B47B1A" w:rsidRPr="00D06F2B" w:rsidRDefault="00B47B1A" w:rsidP="00B47B1A">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|∆SAL|*</w:t>
            </w:r>
            <w:proofErr w:type="spellStart"/>
            <w:r w:rsidRPr="00D06F2B">
              <w:rPr>
                <w:rFonts w:ascii="Garamond" w:eastAsia="Times New Roman" w:hAnsi="Garamond" w:cs="Calibri"/>
                <w:color w:val="000000"/>
                <w:sz w:val="20"/>
                <w:szCs w:val="20"/>
                <w:lang w:eastAsia="en-GB"/>
              </w:rPr>
              <w:t>Covid</w:t>
            </w:r>
            <w:proofErr w:type="spellEnd"/>
            <w:r w:rsidRPr="00D06F2B">
              <w:rPr>
                <w:rFonts w:ascii="Garamond" w:eastAsia="Times New Roman" w:hAnsi="Garamond" w:cs="Calibri"/>
                <w:color w:val="000000"/>
                <w:sz w:val="20"/>
                <w:szCs w:val="20"/>
                <w:lang w:eastAsia="en-GB"/>
              </w:rPr>
              <w:t>*Google</w:t>
            </w:r>
          </w:p>
        </w:tc>
        <w:tc>
          <w:tcPr>
            <w:tcW w:w="2894" w:type="dxa"/>
            <w:tcBorders>
              <w:top w:val="nil"/>
              <w:left w:val="nil"/>
              <w:bottom w:val="nil"/>
              <w:right w:val="nil"/>
            </w:tcBorders>
            <w:shd w:val="clear" w:color="auto" w:fill="auto"/>
            <w:noWrap/>
            <w:vAlign w:val="center"/>
            <w:hideMark/>
          </w:tcPr>
          <w:p w14:paraId="2AD9C364"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0.115</w:t>
            </w:r>
          </w:p>
        </w:tc>
        <w:tc>
          <w:tcPr>
            <w:tcW w:w="2894" w:type="dxa"/>
            <w:tcBorders>
              <w:top w:val="nil"/>
              <w:left w:val="nil"/>
              <w:bottom w:val="nil"/>
              <w:right w:val="nil"/>
            </w:tcBorders>
            <w:shd w:val="clear" w:color="auto" w:fill="auto"/>
            <w:noWrap/>
            <w:vAlign w:val="center"/>
            <w:hideMark/>
          </w:tcPr>
          <w:p w14:paraId="7F299962"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0.018</w:t>
            </w:r>
          </w:p>
        </w:tc>
      </w:tr>
      <w:tr w:rsidR="00B47B1A" w:rsidRPr="00D06F2B" w14:paraId="1BC0E4D0" w14:textId="77777777" w:rsidTr="00B47B1A">
        <w:trPr>
          <w:trHeight w:val="284"/>
        </w:trPr>
        <w:tc>
          <w:tcPr>
            <w:tcW w:w="2893" w:type="dxa"/>
            <w:tcBorders>
              <w:top w:val="nil"/>
              <w:left w:val="nil"/>
              <w:bottom w:val="nil"/>
              <w:right w:val="nil"/>
            </w:tcBorders>
            <w:shd w:val="clear" w:color="auto" w:fill="auto"/>
            <w:hideMark/>
          </w:tcPr>
          <w:p w14:paraId="43DE0FA7" w14:textId="77777777" w:rsidR="00B47B1A" w:rsidRPr="00D06F2B" w:rsidRDefault="00B47B1A" w:rsidP="00B47B1A">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|∆CPS|*</w:t>
            </w:r>
            <w:proofErr w:type="spellStart"/>
            <w:r w:rsidRPr="00D06F2B">
              <w:rPr>
                <w:rFonts w:ascii="Garamond" w:eastAsia="Times New Roman" w:hAnsi="Garamond" w:cs="Calibri"/>
                <w:color w:val="000000"/>
                <w:sz w:val="20"/>
                <w:szCs w:val="20"/>
                <w:lang w:eastAsia="en-GB"/>
              </w:rPr>
              <w:t>Covid</w:t>
            </w:r>
            <w:proofErr w:type="spellEnd"/>
            <w:r w:rsidRPr="00D06F2B">
              <w:rPr>
                <w:rFonts w:ascii="Garamond" w:eastAsia="Times New Roman" w:hAnsi="Garamond" w:cs="Calibri"/>
                <w:color w:val="000000"/>
                <w:sz w:val="20"/>
                <w:szCs w:val="20"/>
                <w:lang w:eastAsia="en-GB"/>
              </w:rPr>
              <w:t>*Google</w:t>
            </w:r>
          </w:p>
        </w:tc>
        <w:tc>
          <w:tcPr>
            <w:tcW w:w="2894" w:type="dxa"/>
            <w:tcBorders>
              <w:top w:val="nil"/>
              <w:left w:val="nil"/>
              <w:bottom w:val="nil"/>
              <w:right w:val="nil"/>
            </w:tcBorders>
            <w:shd w:val="clear" w:color="auto" w:fill="auto"/>
            <w:noWrap/>
            <w:vAlign w:val="center"/>
            <w:hideMark/>
          </w:tcPr>
          <w:p w14:paraId="390B3FBA"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0.121</w:t>
            </w:r>
          </w:p>
        </w:tc>
        <w:tc>
          <w:tcPr>
            <w:tcW w:w="2894" w:type="dxa"/>
            <w:tcBorders>
              <w:top w:val="nil"/>
              <w:left w:val="nil"/>
              <w:bottom w:val="nil"/>
              <w:right w:val="nil"/>
            </w:tcBorders>
            <w:shd w:val="clear" w:color="auto" w:fill="auto"/>
            <w:noWrap/>
            <w:vAlign w:val="center"/>
            <w:hideMark/>
          </w:tcPr>
          <w:p w14:paraId="7F989609"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B47B1A" w:rsidRPr="00D06F2B" w14:paraId="0237F75F" w14:textId="77777777" w:rsidTr="00B47B1A">
        <w:trPr>
          <w:trHeight w:val="306"/>
        </w:trPr>
        <w:tc>
          <w:tcPr>
            <w:tcW w:w="2893" w:type="dxa"/>
            <w:tcBorders>
              <w:top w:val="nil"/>
              <w:left w:val="nil"/>
              <w:bottom w:val="nil"/>
              <w:right w:val="nil"/>
            </w:tcBorders>
            <w:shd w:val="clear" w:color="auto" w:fill="auto"/>
            <w:hideMark/>
          </w:tcPr>
          <w:p w14:paraId="5216B7AF" w14:textId="77777777" w:rsidR="00B47B1A" w:rsidRPr="00D06F2B" w:rsidRDefault="00B47B1A" w:rsidP="00B47B1A">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|∆DPS|*</w:t>
            </w:r>
            <w:proofErr w:type="spellStart"/>
            <w:r w:rsidRPr="00D06F2B">
              <w:rPr>
                <w:rFonts w:ascii="Garamond" w:eastAsia="Times New Roman" w:hAnsi="Garamond" w:cs="Calibri"/>
                <w:color w:val="000000"/>
                <w:sz w:val="20"/>
                <w:szCs w:val="20"/>
                <w:lang w:eastAsia="en-GB"/>
              </w:rPr>
              <w:t>Covid</w:t>
            </w:r>
            <w:proofErr w:type="spellEnd"/>
            <w:r w:rsidRPr="00D06F2B">
              <w:rPr>
                <w:rFonts w:ascii="Garamond" w:eastAsia="Times New Roman" w:hAnsi="Garamond" w:cs="Calibri"/>
                <w:color w:val="000000"/>
                <w:sz w:val="20"/>
                <w:szCs w:val="20"/>
                <w:lang w:eastAsia="en-GB"/>
              </w:rPr>
              <w:t>*Google</w:t>
            </w:r>
          </w:p>
        </w:tc>
        <w:tc>
          <w:tcPr>
            <w:tcW w:w="2894" w:type="dxa"/>
            <w:tcBorders>
              <w:top w:val="nil"/>
              <w:left w:val="nil"/>
              <w:bottom w:val="nil"/>
              <w:right w:val="nil"/>
            </w:tcBorders>
            <w:shd w:val="clear" w:color="auto" w:fill="auto"/>
            <w:noWrap/>
            <w:vAlign w:val="center"/>
            <w:hideMark/>
          </w:tcPr>
          <w:p w14:paraId="4C919049"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2894" w:type="dxa"/>
            <w:tcBorders>
              <w:top w:val="nil"/>
              <w:left w:val="nil"/>
              <w:bottom w:val="nil"/>
              <w:right w:val="nil"/>
            </w:tcBorders>
            <w:shd w:val="clear" w:color="auto" w:fill="auto"/>
            <w:noWrap/>
            <w:vAlign w:val="center"/>
            <w:hideMark/>
          </w:tcPr>
          <w:p w14:paraId="075926F3"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B47B1A" w:rsidRPr="00D06F2B" w14:paraId="674B4CC1" w14:textId="77777777" w:rsidTr="00B47B1A">
        <w:trPr>
          <w:trHeight w:val="306"/>
        </w:trPr>
        <w:tc>
          <w:tcPr>
            <w:tcW w:w="2893" w:type="dxa"/>
            <w:tcBorders>
              <w:top w:val="nil"/>
              <w:left w:val="nil"/>
              <w:bottom w:val="nil"/>
              <w:right w:val="nil"/>
            </w:tcBorders>
            <w:shd w:val="clear" w:color="auto" w:fill="auto"/>
            <w:hideMark/>
          </w:tcPr>
          <w:p w14:paraId="3819A8BE" w14:textId="77777777" w:rsidR="00B47B1A" w:rsidRPr="00D06F2B" w:rsidRDefault="00B47B1A" w:rsidP="00B47B1A">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|∆REC|*</w:t>
            </w:r>
            <w:proofErr w:type="spellStart"/>
            <w:r w:rsidRPr="00D06F2B">
              <w:rPr>
                <w:rFonts w:ascii="Garamond" w:eastAsia="Times New Roman" w:hAnsi="Garamond" w:cs="Calibri"/>
                <w:color w:val="000000"/>
                <w:sz w:val="20"/>
                <w:szCs w:val="20"/>
                <w:lang w:eastAsia="en-GB"/>
              </w:rPr>
              <w:t>Covid</w:t>
            </w:r>
            <w:proofErr w:type="spellEnd"/>
            <w:r w:rsidRPr="00D06F2B">
              <w:rPr>
                <w:rFonts w:ascii="Garamond" w:eastAsia="Times New Roman" w:hAnsi="Garamond" w:cs="Calibri"/>
                <w:color w:val="000000"/>
                <w:sz w:val="20"/>
                <w:szCs w:val="20"/>
                <w:lang w:eastAsia="en-GB"/>
              </w:rPr>
              <w:t>*Google</w:t>
            </w:r>
          </w:p>
        </w:tc>
        <w:tc>
          <w:tcPr>
            <w:tcW w:w="2894" w:type="dxa"/>
            <w:tcBorders>
              <w:top w:val="nil"/>
              <w:left w:val="nil"/>
              <w:bottom w:val="nil"/>
              <w:right w:val="nil"/>
            </w:tcBorders>
            <w:shd w:val="clear" w:color="auto" w:fill="auto"/>
            <w:noWrap/>
            <w:vAlign w:val="center"/>
            <w:hideMark/>
          </w:tcPr>
          <w:p w14:paraId="4B6B4177"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0.124</w:t>
            </w:r>
          </w:p>
        </w:tc>
        <w:tc>
          <w:tcPr>
            <w:tcW w:w="2894" w:type="dxa"/>
            <w:tcBorders>
              <w:top w:val="nil"/>
              <w:left w:val="nil"/>
              <w:bottom w:val="nil"/>
              <w:right w:val="nil"/>
            </w:tcBorders>
            <w:shd w:val="clear" w:color="auto" w:fill="auto"/>
            <w:noWrap/>
            <w:vAlign w:val="center"/>
            <w:hideMark/>
          </w:tcPr>
          <w:p w14:paraId="6CBB44CD"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0.001</w:t>
            </w:r>
          </w:p>
        </w:tc>
      </w:tr>
      <w:tr w:rsidR="00B47B1A" w:rsidRPr="00D06F2B" w14:paraId="6D678FF2" w14:textId="77777777" w:rsidTr="00B47B1A">
        <w:trPr>
          <w:trHeight w:val="306"/>
        </w:trPr>
        <w:tc>
          <w:tcPr>
            <w:tcW w:w="2893" w:type="dxa"/>
            <w:tcBorders>
              <w:top w:val="nil"/>
              <w:left w:val="nil"/>
              <w:bottom w:val="nil"/>
              <w:right w:val="nil"/>
            </w:tcBorders>
            <w:shd w:val="clear" w:color="auto" w:fill="auto"/>
            <w:hideMark/>
          </w:tcPr>
          <w:p w14:paraId="4ECC71B0" w14:textId="77777777" w:rsidR="00B47B1A" w:rsidRPr="00D06F2B" w:rsidRDefault="00B47B1A" w:rsidP="00B47B1A">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|∆TP|*</w:t>
            </w:r>
            <w:proofErr w:type="spellStart"/>
            <w:r w:rsidRPr="00D06F2B">
              <w:rPr>
                <w:rFonts w:ascii="Garamond" w:eastAsia="Times New Roman" w:hAnsi="Garamond" w:cs="Calibri"/>
                <w:color w:val="000000"/>
                <w:sz w:val="20"/>
                <w:szCs w:val="20"/>
                <w:lang w:eastAsia="en-GB"/>
              </w:rPr>
              <w:t>Covid</w:t>
            </w:r>
            <w:proofErr w:type="spellEnd"/>
            <w:r w:rsidRPr="00D06F2B">
              <w:rPr>
                <w:rFonts w:ascii="Garamond" w:eastAsia="Times New Roman" w:hAnsi="Garamond" w:cs="Calibri"/>
                <w:color w:val="000000"/>
                <w:sz w:val="20"/>
                <w:szCs w:val="20"/>
                <w:lang w:eastAsia="en-GB"/>
              </w:rPr>
              <w:t>*Google</w:t>
            </w:r>
          </w:p>
        </w:tc>
        <w:tc>
          <w:tcPr>
            <w:tcW w:w="2894" w:type="dxa"/>
            <w:tcBorders>
              <w:top w:val="nil"/>
              <w:left w:val="nil"/>
              <w:bottom w:val="nil"/>
              <w:right w:val="nil"/>
            </w:tcBorders>
            <w:shd w:val="clear" w:color="auto" w:fill="auto"/>
            <w:noWrap/>
            <w:vAlign w:val="center"/>
            <w:hideMark/>
          </w:tcPr>
          <w:p w14:paraId="14324428"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0.341</w:t>
            </w:r>
          </w:p>
        </w:tc>
        <w:tc>
          <w:tcPr>
            <w:tcW w:w="2894" w:type="dxa"/>
            <w:tcBorders>
              <w:top w:val="nil"/>
              <w:left w:val="nil"/>
              <w:bottom w:val="nil"/>
              <w:right w:val="nil"/>
            </w:tcBorders>
            <w:shd w:val="clear" w:color="auto" w:fill="auto"/>
            <w:noWrap/>
            <w:vAlign w:val="center"/>
            <w:hideMark/>
          </w:tcPr>
          <w:p w14:paraId="676D767D"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B47B1A" w:rsidRPr="00D06F2B" w14:paraId="7210C629" w14:textId="77777777" w:rsidTr="00B47B1A">
        <w:trPr>
          <w:trHeight w:val="306"/>
        </w:trPr>
        <w:tc>
          <w:tcPr>
            <w:tcW w:w="2893" w:type="dxa"/>
            <w:tcBorders>
              <w:top w:val="nil"/>
              <w:left w:val="nil"/>
              <w:bottom w:val="nil"/>
              <w:right w:val="nil"/>
            </w:tcBorders>
            <w:shd w:val="clear" w:color="auto" w:fill="auto"/>
            <w:noWrap/>
            <w:vAlign w:val="bottom"/>
            <w:hideMark/>
          </w:tcPr>
          <w:p w14:paraId="390A1E64" w14:textId="77777777" w:rsidR="00B47B1A" w:rsidRPr="00D06F2B" w:rsidRDefault="00B47B1A" w:rsidP="00B47B1A">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Google</w:t>
            </w:r>
          </w:p>
        </w:tc>
        <w:tc>
          <w:tcPr>
            <w:tcW w:w="2894" w:type="dxa"/>
            <w:tcBorders>
              <w:top w:val="nil"/>
              <w:left w:val="nil"/>
              <w:bottom w:val="nil"/>
              <w:right w:val="nil"/>
            </w:tcBorders>
            <w:shd w:val="clear" w:color="auto" w:fill="auto"/>
            <w:noWrap/>
            <w:vAlign w:val="center"/>
            <w:hideMark/>
          </w:tcPr>
          <w:p w14:paraId="543CB652"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c>
          <w:tcPr>
            <w:tcW w:w="2894" w:type="dxa"/>
            <w:tcBorders>
              <w:top w:val="nil"/>
              <w:left w:val="nil"/>
              <w:bottom w:val="nil"/>
              <w:right w:val="nil"/>
            </w:tcBorders>
            <w:shd w:val="clear" w:color="auto" w:fill="auto"/>
            <w:noWrap/>
            <w:vAlign w:val="center"/>
            <w:hideMark/>
          </w:tcPr>
          <w:p w14:paraId="382B5962"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0.000</w:t>
            </w:r>
          </w:p>
        </w:tc>
      </w:tr>
      <w:tr w:rsidR="00B47B1A" w:rsidRPr="00D06F2B" w14:paraId="18775A0B" w14:textId="77777777" w:rsidTr="00B47B1A">
        <w:trPr>
          <w:trHeight w:val="306"/>
        </w:trPr>
        <w:tc>
          <w:tcPr>
            <w:tcW w:w="2893" w:type="dxa"/>
            <w:tcBorders>
              <w:top w:val="nil"/>
              <w:left w:val="nil"/>
              <w:bottom w:val="nil"/>
              <w:right w:val="nil"/>
            </w:tcBorders>
            <w:shd w:val="clear" w:color="auto" w:fill="auto"/>
            <w:noWrap/>
            <w:hideMark/>
          </w:tcPr>
          <w:p w14:paraId="21549215" w14:textId="77777777" w:rsidR="00B47B1A" w:rsidRPr="00D06F2B" w:rsidRDefault="00B47B1A" w:rsidP="00B47B1A">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Year effects</w:t>
            </w:r>
          </w:p>
        </w:tc>
        <w:tc>
          <w:tcPr>
            <w:tcW w:w="2894" w:type="dxa"/>
            <w:tcBorders>
              <w:top w:val="nil"/>
              <w:left w:val="nil"/>
              <w:bottom w:val="nil"/>
              <w:right w:val="nil"/>
            </w:tcBorders>
            <w:shd w:val="clear" w:color="auto" w:fill="auto"/>
            <w:noWrap/>
            <w:vAlign w:val="center"/>
            <w:hideMark/>
          </w:tcPr>
          <w:p w14:paraId="4474E1C2"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2894" w:type="dxa"/>
            <w:tcBorders>
              <w:top w:val="nil"/>
              <w:left w:val="nil"/>
              <w:bottom w:val="nil"/>
              <w:right w:val="nil"/>
            </w:tcBorders>
            <w:shd w:val="clear" w:color="auto" w:fill="auto"/>
            <w:noWrap/>
            <w:vAlign w:val="center"/>
            <w:hideMark/>
          </w:tcPr>
          <w:p w14:paraId="530596CF"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p>
        </w:tc>
      </w:tr>
      <w:tr w:rsidR="00B47B1A" w:rsidRPr="00D06F2B" w14:paraId="2D54A31B" w14:textId="77777777" w:rsidTr="00B47B1A">
        <w:trPr>
          <w:trHeight w:val="306"/>
        </w:trPr>
        <w:tc>
          <w:tcPr>
            <w:tcW w:w="2893" w:type="dxa"/>
            <w:tcBorders>
              <w:top w:val="nil"/>
              <w:left w:val="nil"/>
              <w:bottom w:val="nil"/>
              <w:right w:val="nil"/>
            </w:tcBorders>
            <w:shd w:val="clear" w:color="auto" w:fill="auto"/>
            <w:noWrap/>
            <w:vAlign w:val="bottom"/>
            <w:hideMark/>
          </w:tcPr>
          <w:p w14:paraId="35C61F7B" w14:textId="77777777" w:rsidR="00B47B1A" w:rsidRPr="00D06F2B" w:rsidRDefault="00B47B1A" w:rsidP="00B47B1A">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Quarter effect</w:t>
            </w:r>
          </w:p>
        </w:tc>
        <w:tc>
          <w:tcPr>
            <w:tcW w:w="2894" w:type="dxa"/>
            <w:tcBorders>
              <w:top w:val="nil"/>
              <w:left w:val="nil"/>
              <w:bottom w:val="nil"/>
              <w:right w:val="nil"/>
            </w:tcBorders>
            <w:shd w:val="clear" w:color="auto" w:fill="auto"/>
            <w:noWrap/>
            <w:vAlign w:val="center"/>
            <w:hideMark/>
          </w:tcPr>
          <w:p w14:paraId="0CB2701A"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2894" w:type="dxa"/>
            <w:tcBorders>
              <w:top w:val="nil"/>
              <w:left w:val="nil"/>
              <w:bottom w:val="nil"/>
              <w:right w:val="nil"/>
            </w:tcBorders>
            <w:shd w:val="clear" w:color="auto" w:fill="auto"/>
            <w:noWrap/>
            <w:vAlign w:val="center"/>
            <w:hideMark/>
          </w:tcPr>
          <w:p w14:paraId="348354B0"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p>
        </w:tc>
      </w:tr>
      <w:tr w:rsidR="00B47B1A" w:rsidRPr="00D06F2B" w14:paraId="4792CFCD" w14:textId="77777777" w:rsidTr="00B47B1A">
        <w:trPr>
          <w:trHeight w:val="306"/>
        </w:trPr>
        <w:tc>
          <w:tcPr>
            <w:tcW w:w="2893" w:type="dxa"/>
            <w:tcBorders>
              <w:top w:val="nil"/>
              <w:left w:val="nil"/>
              <w:bottom w:val="nil"/>
              <w:right w:val="nil"/>
            </w:tcBorders>
            <w:shd w:val="clear" w:color="auto" w:fill="auto"/>
            <w:noWrap/>
            <w:hideMark/>
          </w:tcPr>
          <w:p w14:paraId="2301FB02" w14:textId="77777777" w:rsidR="00B47B1A" w:rsidRPr="00D06F2B" w:rsidRDefault="00B47B1A" w:rsidP="00B47B1A">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Firm effects</w:t>
            </w:r>
          </w:p>
        </w:tc>
        <w:tc>
          <w:tcPr>
            <w:tcW w:w="2894" w:type="dxa"/>
            <w:tcBorders>
              <w:top w:val="nil"/>
              <w:left w:val="nil"/>
              <w:bottom w:val="nil"/>
              <w:right w:val="nil"/>
            </w:tcBorders>
            <w:shd w:val="clear" w:color="auto" w:fill="auto"/>
            <w:noWrap/>
            <w:vAlign w:val="center"/>
            <w:hideMark/>
          </w:tcPr>
          <w:p w14:paraId="1E07380C"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Yes</w:t>
            </w:r>
          </w:p>
        </w:tc>
        <w:tc>
          <w:tcPr>
            <w:tcW w:w="2894" w:type="dxa"/>
            <w:tcBorders>
              <w:top w:val="nil"/>
              <w:left w:val="nil"/>
              <w:bottom w:val="nil"/>
              <w:right w:val="nil"/>
            </w:tcBorders>
            <w:shd w:val="clear" w:color="auto" w:fill="auto"/>
            <w:noWrap/>
            <w:vAlign w:val="center"/>
            <w:hideMark/>
          </w:tcPr>
          <w:p w14:paraId="15FDE04E"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p>
        </w:tc>
      </w:tr>
      <w:tr w:rsidR="00B47B1A" w:rsidRPr="00D06F2B" w14:paraId="2275768D" w14:textId="77777777" w:rsidTr="00B47B1A">
        <w:trPr>
          <w:trHeight w:val="306"/>
        </w:trPr>
        <w:tc>
          <w:tcPr>
            <w:tcW w:w="2893" w:type="dxa"/>
            <w:tcBorders>
              <w:top w:val="nil"/>
              <w:left w:val="nil"/>
              <w:bottom w:val="nil"/>
              <w:right w:val="nil"/>
            </w:tcBorders>
            <w:shd w:val="clear" w:color="auto" w:fill="auto"/>
            <w:noWrap/>
            <w:hideMark/>
          </w:tcPr>
          <w:p w14:paraId="663ABF8A" w14:textId="77777777" w:rsidR="00B47B1A" w:rsidRPr="00D06F2B" w:rsidRDefault="00B47B1A" w:rsidP="00B47B1A">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N</w:t>
            </w:r>
          </w:p>
        </w:tc>
        <w:tc>
          <w:tcPr>
            <w:tcW w:w="2894" w:type="dxa"/>
            <w:tcBorders>
              <w:top w:val="nil"/>
              <w:left w:val="nil"/>
              <w:bottom w:val="nil"/>
              <w:right w:val="nil"/>
            </w:tcBorders>
            <w:shd w:val="clear" w:color="auto" w:fill="auto"/>
            <w:noWrap/>
            <w:vAlign w:val="center"/>
            <w:hideMark/>
          </w:tcPr>
          <w:p w14:paraId="76D309B0"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442426</w:t>
            </w:r>
          </w:p>
        </w:tc>
        <w:tc>
          <w:tcPr>
            <w:tcW w:w="2894" w:type="dxa"/>
            <w:tcBorders>
              <w:top w:val="nil"/>
              <w:left w:val="nil"/>
              <w:bottom w:val="nil"/>
              <w:right w:val="nil"/>
            </w:tcBorders>
            <w:shd w:val="clear" w:color="auto" w:fill="auto"/>
            <w:noWrap/>
            <w:vAlign w:val="center"/>
            <w:hideMark/>
          </w:tcPr>
          <w:p w14:paraId="1927AF1C"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p>
        </w:tc>
      </w:tr>
      <w:tr w:rsidR="00B47B1A" w:rsidRPr="00D06F2B" w14:paraId="43EF09E4" w14:textId="77777777" w:rsidTr="00B47B1A">
        <w:trPr>
          <w:trHeight w:val="306"/>
        </w:trPr>
        <w:tc>
          <w:tcPr>
            <w:tcW w:w="2893" w:type="dxa"/>
            <w:tcBorders>
              <w:top w:val="nil"/>
              <w:left w:val="nil"/>
              <w:bottom w:val="single" w:sz="4" w:space="0" w:color="auto"/>
              <w:right w:val="nil"/>
            </w:tcBorders>
            <w:shd w:val="clear" w:color="auto" w:fill="auto"/>
            <w:noWrap/>
            <w:hideMark/>
          </w:tcPr>
          <w:p w14:paraId="0F51CD9A" w14:textId="77777777" w:rsidR="00B47B1A" w:rsidRPr="00D06F2B" w:rsidRDefault="00B47B1A" w:rsidP="00B47B1A">
            <w:pPr>
              <w:spacing w:after="0" w:line="240" w:lineRule="auto"/>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R2</w:t>
            </w:r>
          </w:p>
        </w:tc>
        <w:tc>
          <w:tcPr>
            <w:tcW w:w="2894" w:type="dxa"/>
            <w:tcBorders>
              <w:top w:val="nil"/>
              <w:left w:val="nil"/>
              <w:bottom w:val="single" w:sz="4" w:space="0" w:color="auto"/>
              <w:right w:val="nil"/>
            </w:tcBorders>
            <w:shd w:val="clear" w:color="auto" w:fill="auto"/>
            <w:noWrap/>
            <w:vAlign w:val="bottom"/>
            <w:hideMark/>
          </w:tcPr>
          <w:p w14:paraId="50494045"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29.30%</w:t>
            </w:r>
          </w:p>
        </w:tc>
        <w:tc>
          <w:tcPr>
            <w:tcW w:w="2894" w:type="dxa"/>
            <w:tcBorders>
              <w:top w:val="nil"/>
              <w:left w:val="nil"/>
              <w:bottom w:val="single" w:sz="4" w:space="0" w:color="auto"/>
              <w:right w:val="nil"/>
            </w:tcBorders>
            <w:shd w:val="clear" w:color="auto" w:fill="auto"/>
            <w:noWrap/>
            <w:vAlign w:val="center"/>
            <w:hideMark/>
          </w:tcPr>
          <w:p w14:paraId="2533812B" w14:textId="77777777" w:rsidR="00B47B1A" w:rsidRPr="00D06F2B" w:rsidRDefault="00B47B1A" w:rsidP="00B47B1A">
            <w:pPr>
              <w:spacing w:after="0" w:line="240" w:lineRule="auto"/>
              <w:jc w:val="center"/>
              <w:rPr>
                <w:rFonts w:ascii="Garamond" w:eastAsia="Times New Roman" w:hAnsi="Garamond" w:cs="Calibri"/>
                <w:color w:val="000000"/>
                <w:sz w:val="20"/>
                <w:szCs w:val="20"/>
                <w:lang w:eastAsia="en-GB"/>
              </w:rPr>
            </w:pPr>
            <w:r w:rsidRPr="00D06F2B">
              <w:rPr>
                <w:rFonts w:ascii="Garamond" w:eastAsia="Times New Roman" w:hAnsi="Garamond" w:cs="Calibri"/>
                <w:color w:val="000000"/>
                <w:sz w:val="20"/>
                <w:szCs w:val="20"/>
                <w:lang w:eastAsia="en-GB"/>
              </w:rPr>
              <w:t> </w:t>
            </w:r>
          </w:p>
        </w:tc>
      </w:tr>
    </w:tbl>
    <w:p w14:paraId="41CD6B57" w14:textId="3F817221" w:rsidR="000A53D8" w:rsidRPr="00D06F2B" w:rsidRDefault="00832F2A" w:rsidP="000A53D8">
      <w:pPr>
        <w:rPr>
          <w:rFonts w:ascii="Garamond" w:hAnsi="Garamond"/>
          <w:sz w:val="20"/>
          <w:szCs w:val="20"/>
          <w:lang w:val="en-US"/>
        </w:rPr>
      </w:pPr>
      <w:r w:rsidRPr="00D06F2B">
        <w:rPr>
          <w:rFonts w:ascii="Garamond" w:hAnsi="Garamond"/>
          <w:i/>
          <w:iCs/>
          <w:sz w:val="20"/>
          <w:szCs w:val="20"/>
          <w:lang w:val="en-US"/>
        </w:rPr>
        <w:t xml:space="preserve">Notes: </w:t>
      </w:r>
      <w:r w:rsidRPr="00D06F2B">
        <w:rPr>
          <w:rFonts w:ascii="Garamond" w:hAnsi="Garamond"/>
          <w:sz w:val="20"/>
          <w:szCs w:val="20"/>
          <w:lang w:val="en-US"/>
        </w:rPr>
        <w:t xml:space="preserve">The table reports abbreviated price reaction regression results where we interact all variables with </w:t>
      </w:r>
      <w:r w:rsidR="000A53D8" w:rsidRPr="00D06F2B">
        <w:rPr>
          <w:rFonts w:ascii="Garamond" w:hAnsi="Garamond"/>
          <w:i/>
          <w:iCs/>
          <w:sz w:val="20"/>
          <w:szCs w:val="20"/>
          <w:lang w:val="en-US"/>
        </w:rPr>
        <w:t>Google</w:t>
      </w:r>
      <w:r w:rsidRPr="00D06F2B">
        <w:rPr>
          <w:rFonts w:ascii="Garamond" w:hAnsi="Garamond"/>
          <w:sz w:val="20"/>
          <w:szCs w:val="20"/>
          <w:lang w:val="en-US"/>
        </w:rPr>
        <w:t>, which</w:t>
      </w:r>
      <w:r w:rsidR="000A53D8" w:rsidRPr="00D06F2B">
        <w:rPr>
          <w:rFonts w:ascii="Garamond" w:hAnsi="Garamond"/>
          <w:sz w:val="20"/>
          <w:szCs w:val="20"/>
          <w:lang w:val="en-US"/>
        </w:rPr>
        <w:t xml:space="preserve"> is the sum of weekly Google searchers for the terms </w:t>
      </w:r>
      <w:r w:rsidRPr="00D06F2B">
        <w:rPr>
          <w:rFonts w:ascii="Garamond" w:hAnsi="Garamond"/>
          <w:sz w:val="20"/>
          <w:szCs w:val="20"/>
          <w:lang w:val="en-US"/>
        </w:rPr>
        <w:t>‘</w:t>
      </w:r>
      <w:r w:rsidR="000A53D8" w:rsidRPr="00D06F2B">
        <w:rPr>
          <w:rFonts w:ascii="Garamond" w:hAnsi="Garamond"/>
          <w:sz w:val="20"/>
          <w:szCs w:val="20"/>
          <w:lang w:val="en-US"/>
        </w:rPr>
        <w:t>Covid-19</w:t>
      </w:r>
      <w:r w:rsidRPr="00D06F2B">
        <w:rPr>
          <w:rFonts w:ascii="Garamond" w:hAnsi="Garamond"/>
          <w:sz w:val="20"/>
          <w:szCs w:val="20"/>
          <w:lang w:val="en-US"/>
        </w:rPr>
        <w:t>’</w:t>
      </w:r>
      <w:r w:rsidR="000A53D8" w:rsidRPr="00D06F2B">
        <w:rPr>
          <w:rFonts w:ascii="Garamond" w:hAnsi="Garamond"/>
          <w:sz w:val="20"/>
          <w:szCs w:val="20"/>
          <w:lang w:val="en-US"/>
        </w:rPr>
        <w:t xml:space="preserve">, </w:t>
      </w:r>
      <w:r w:rsidRPr="00D06F2B">
        <w:rPr>
          <w:rFonts w:ascii="Garamond" w:hAnsi="Garamond"/>
          <w:sz w:val="20"/>
          <w:szCs w:val="20"/>
          <w:lang w:val="en-US"/>
        </w:rPr>
        <w:t>‘</w:t>
      </w:r>
      <w:proofErr w:type="spellStart"/>
      <w:r w:rsidRPr="00D06F2B">
        <w:rPr>
          <w:rFonts w:ascii="Garamond" w:hAnsi="Garamond"/>
          <w:sz w:val="20"/>
          <w:szCs w:val="20"/>
          <w:lang w:val="en-US"/>
        </w:rPr>
        <w:t>C</w:t>
      </w:r>
      <w:r w:rsidR="000A53D8" w:rsidRPr="00D06F2B">
        <w:rPr>
          <w:rFonts w:ascii="Garamond" w:hAnsi="Garamond"/>
          <w:sz w:val="20"/>
          <w:szCs w:val="20"/>
          <w:lang w:val="en-US"/>
        </w:rPr>
        <w:t>ovid</w:t>
      </w:r>
      <w:proofErr w:type="spellEnd"/>
      <w:r w:rsidRPr="00D06F2B">
        <w:rPr>
          <w:rFonts w:ascii="Garamond" w:hAnsi="Garamond"/>
          <w:sz w:val="20"/>
          <w:szCs w:val="20"/>
          <w:lang w:val="en-US"/>
        </w:rPr>
        <w:t>’</w:t>
      </w:r>
      <w:r w:rsidR="000A53D8" w:rsidRPr="00D06F2B">
        <w:rPr>
          <w:rFonts w:ascii="Garamond" w:hAnsi="Garamond"/>
          <w:sz w:val="20"/>
          <w:szCs w:val="20"/>
          <w:lang w:val="en-US"/>
        </w:rPr>
        <w:t xml:space="preserve">, </w:t>
      </w:r>
      <w:r w:rsidRPr="00D06F2B">
        <w:rPr>
          <w:rFonts w:ascii="Garamond" w:hAnsi="Garamond"/>
          <w:sz w:val="20"/>
          <w:szCs w:val="20"/>
          <w:lang w:val="en-US"/>
        </w:rPr>
        <w:t>‘</w:t>
      </w:r>
      <w:r w:rsidR="000A53D8" w:rsidRPr="00D06F2B">
        <w:rPr>
          <w:rFonts w:ascii="Garamond" w:hAnsi="Garamond"/>
          <w:sz w:val="20"/>
          <w:szCs w:val="20"/>
          <w:lang w:val="en-US"/>
        </w:rPr>
        <w:t>Covid19</w:t>
      </w:r>
      <w:r w:rsidRPr="00D06F2B">
        <w:rPr>
          <w:rFonts w:ascii="Garamond" w:hAnsi="Garamond"/>
          <w:sz w:val="20"/>
          <w:szCs w:val="20"/>
          <w:lang w:val="en-US"/>
        </w:rPr>
        <w:t>’</w:t>
      </w:r>
      <w:r w:rsidR="000A53D8" w:rsidRPr="00D06F2B">
        <w:rPr>
          <w:rFonts w:ascii="Garamond" w:hAnsi="Garamond"/>
          <w:sz w:val="20"/>
          <w:szCs w:val="20"/>
          <w:lang w:val="en-US"/>
        </w:rPr>
        <w:t xml:space="preserve">, </w:t>
      </w:r>
      <w:r w:rsidRPr="00D06F2B">
        <w:rPr>
          <w:rFonts w:ascii="Garamond" w:hAnsi="Garamond"/>
          <w:sz w:val="20"/>
          <w:szCs w:val="20"/>
          <w:lang w:val="en-US"/>
        </w:rPr>
        <w:t>‘</w:t>
      </w:r>
      <w:r w:rsidR="000A53D8" w:rsidRPr="00D06F2B">
        <w:rPr>
          <w:rFonts w:ascii="Garamond" w:hAnsi="Garamond"/>
          <w:sz w:val="20"/>
          <w:szCs w:val="20"/>
          <w:lang w:val="en-US"/>
        </w:rPr>
        <w:t>Coronavirus</w:t>
      </w:r>
      <w:r w:rsidRPr="00D06F2B">
        <w:rPr>
          <w:rFonts w:ascii="Garamond" w:hAnsi="Garamond"/>
          <w:sz w:val="20"/>
          <w:szCs w:val="20"/>
          <w:lang w:val="en-US"/>
        </w:rPr>
        <w:t>’</w:t>
      </w:r>
      <w:r w:rsidR="000A53D8" w:rsidRPr="00D06F2B">
        <w:rPr>
          <w:rFonts w:ascii="Garamond" w:hAnsi="Garamond"/>
          <w:sz w:val="20"/>
          <w:szCs w:val="20"/>
          <w:lang w:val="en-US"/>
        </w:rPr>
        <w:t xml:space="preserve">, </w:t>
      </w:r>
      <w:r w:rsidRPr="00D06F2B">
        <w:rPr>
          <w:rFonts w:ascii="Garamond" w:hAnsi="Garamond"/>
          <w:sz w:val="20"/>
          <w:szCs w:val="20"/>
          <w:lang w:val="en-US"/>
        </w:rPr>
        <w:t>‘</w:t>
      </w:r>
      <w:r w:rsidR="000A53D8" w:rsidRPr="00D06F2B">
        <w:rPr>
          <w:rFonts w:ascii="Garamond" w:hAnsi="Garamond"/>
          <w:sz w:val="20"/>
          <w:szCs w:val="20"/>
          <w:lang w:val="en-US"/>
        </w:rPr>
        <w:t>SP500</w:t>
      </w:r>
      <w:r w:rsidRPr="00D06F2B">
        <w:rPr>
          <w:rFonts w:ascii="Garamond" w:hAnsi="Garamond"/>
          <w:sz w:val="20"/>
          <w:szCs w:val="20"/>
          <w:lang w:val="en-US"/>
        </w:rPr>
        <w:t>’</w:t>
      </w:r>
      <w:r w:rsidR="000A53D8" w:rsidRPr="00D06F2B">
        <w:rPr>
          <w:rFonts w:ascii="Garamond" w:hAnsi="Garamond"/>
          <w:sz w:val="20"/>
          <w:szCs w:val="20"/>
          <w:lang w:val="en-US"/>
        </w:rPr>
        <w:t xml:space="preserve">, </w:t>
      </w:r>
      <w:r w:rsidRPr="00D06F2B">
        <w:rPr>
          <w:rFonts w:ascii="Garamond" w:hAnsi="Garamond"/>
          <w:sz w:val="20"/>
          <w:szCs w:val="20"/>
          <w:lang w:val="en-US"/>
        </w:rPr>
        <w:t>and ‘</w:t>
      </w:r>
      <w:r w:rsidR="000A53D8" w:rsidRPr="00D06F2B">
        <w:rPr>
          <w:rFonts w:ascii="Garamond" w:hAnsi="Garamond"/>
          <w:sz w:val="20"/>
          <w:szCs w:val="20"/>
          <w:lang w:val="en-US"/>
        </w:rPr>
        <w:t>stock market</w:t>
      </w:r>
      <w:r w:rsidRPr="00D06F2B">
        <w:rPr>
          <w:rFonts w:ascii="Garamond" w:hAnsi="Garamond"/>
          <w:sz w:val="20"/>
          <w:szCs w:val="20"/>
          <w:lang w:val="en-US"/>
        </w:rPr>
        <w:t>’</w:t>
      </w:r>
      <w:r w:rsidR="000A53D8" w:rsidRPr="00D06F2B">
        <w:rPr>
          <w:rFonts w:ascii="Garamond" w:hAnsi="Garamond"/>
          <w:sz w:val="20"/>
          <w:szCs w:val="20"/>
          <w:lang w:val="en-US"/>
        </w:rPr>
        <w:t xml:space="preserve">.  </w:t>
      </w:r>
    </w:p>
    <w:p w14:paraId="152183E3" w14:textId="77777777" w:rsidR="000A53D8" w:rsidRPr="00D06F2B" w:rsidRDefault="000A53D8" w:rsidP="006B0968">
      <w:pPr>
        <w:rPr>
          <w:rFonts w:ascii="Garamond" w:hAnsi="Garamond"/>
          <w:sz w:val="24"/>
          <w:szCs w:val="24"/>
          <w:lang w:val="en-US"/>
        </w:rPr>
      </w:pPr>
    </w:p>
    <w:p w14:paraId="279FF726" w14:textId="3F343D96" w:rsidR="00A52788" w:rsidRPr="00D06F2B" w:rsidRDefault="00A52788">
      <w:pPr>
        <w:rPr>
          <w:rFonts w:ascii="Garamond" w:hAnsi="Garamond"/>
          <w:sz w:val="24"/>
          <w:szCs w:val="24"/>
          <w:lang w:val="en-US"/>
        </w:rPr>
      </w:pPr>
      <w:r w:rsidRPr="00D06F2B">
        <w:rPr>
          <w:rFonts w:ascii="Garamond" w:hAnsi="Garamond"/>
          <w:sz w:val="24"/>
          <w:szCs w:val="24"/>
          <w:lang w:val="en-US"/>
        </w:rPr>
        <w:br w:type="page"/>
      </w:r>
    </w:p>
    <w:p w14:paraId="63FE6975" w14:textId="2CBC0018" w:rsidR="00475348" w:rsidRPr="00D06F2B" w:rsidRDefault="00475348" w:rsidP="00475348">
      <w:pPr>
        <w:spacing w:after="0" w:line="240" w:lineRule="auto"/>
        <w:rPr>
          <w:rFonts w:ascii="Garamond" w:hAnsi="Garamond"/>
          <w:sz w:val="24"/>
          <w:szCs w:val="24"/>
          <w:lang w:val="en-US"/>
        </w:rPr>
      </w:pPr>
      <w:r w:rsidRPr="00D06F2B">
        <w:rPr>
          <w:rFonts w:ascii="Garamond" w:hAnsi="Garamond"/>
          <w:sz w:val="24"/>
          <w:szCs w:val="24"/>
          <w:lang w:val="en-US"/>
        </w:rPr>
        <w:lastRenderedPageBreak/>
        <w:t xml:space="preserve">TABLE </w:t>
      </w:r>
      <w:r w:rsidR="00502A2F" w:rsidRPr="00D06F2B">
        <w:rPr>
          <w:rFonts w:ascii="Garamond" w:hAnsi="Garamond"/>
          <w:sz w:val="24"/>
          <w:szCs w:val="24"/>
          <w:lang w:val="en-US"/>
        </w:rPr>
        <w:t>8</w:t>
      </w:r>
    </w:p>
    <w:p w14:paraId="42056315" w14:textId="2B4DD558" w:rsidR="006D14F8" w:rsidRPr="00D06F2B" w:rsidRDefault="005B465E" w:rsidP="00475348">
      <w:pPr>
        <w:spacing w:after="0" w:line="240" w:lineRule="auto"/>
        <w:rPr>
          <w:rFonts w:ascii="Garamond" w:hAnsi="Garamond"/>
          <w:sz w:val="24"/>
          <w:szCs w:val="24"/>
          <w:lang w:val="en-US"/>
        </w:rPr>
      </w:pPr>
      <w:r w:rsidRPr="00D06F2B">
        <w:rPr>
          <w:rFonts w:ascii="Garamond" w:hAnsi="Garamond"/>
          <w:sz w:val="24"/>
          <w:szCs w:val="24"/>
          <w:lang w:val="en-US"/>
        </w:rPr>
        <w:t>Analyst information discovery vs. interpretation role</w:t>
      </w:r>
    </w:p>
    <w:tbl>
      <w:tblPr>
        <w:tblW w:w="9215" w:type="dxa"/>
        <w:tblLayout w:type="fixed"/>
        <w:tblLook w:val="04A0" w:firstRow="1" w:lastRow="0" w:firstColumn="1" w:lastColumn="0" w:noHBand="0" w:noVBand="1"/>
      </w:tblPr>
      <w:tblGrid>
        <w:gridCol w:w="3071"/>
        <w:gridCol w:w="3072"/>
        <w:gridCol w:w="3072"/>
      </w:tblGrid>
      <w:tr w:rsidR="000D06BE" w:rsidRPr="00D06F2B" w14:paraId="6D30E43F" w14:textId="77777777" w:rsidTr="00E73B17">
        <w:trPr>
          <w:trHeight w:val="279"/>
        </w:trPr>
        <w:tc>
          <w:tcPr>
            <w:tcW w:w="3071" w:type="dxa"/>
            <w:tcBorders>
              <w:top w:val="single" w:sz="4" w:space="0" w:color="auto"/>
              <w:left w:val="nil"/>
              <w:bottom w:val="single" w:sz="4" w:space="0" w:color="auto"/>
              <w:right w:val="nil"/>
            </w:tcBorders>
            <w:shd w:val="clear" w:color="auto" w:fill="auto"/>
            <w:hideMark/>
          </w:tcPr>
          <w:p w14:paraId="60213EC6" w14:textId="77777777" w:rsidR="000D06BE" w:rsidRPr="00D06F2B" w:rsidRDefault="000D06BE" w:rsidP="000D06BE">
            <w:pPr>
              <w:spacing w:after="0" w:line="240" w:lineRule="auto"/>
              <w:rPr>
                <w:rFonts w:ascii="Garamond" w:eastAsia="Times New Roman" w:hAnsi="Garamond" w:cs="Calibri"/>
                <w:sz w:val="20"/>
                <w:szCs w:val="20"/>
                <w:lang w:eastAsia="en-GB"/>
              </w:rPr>
            </w:pPr>
          </w:p>
        </w:tc>
        <w:tc>
          <w:tcPr>
            <w:tcW w:w="3072" w:type="dxa"/>
            <w:tcBorders>
              <w:top w:val="single" w:sz="4" w:space="0" w:color="auto"/>
              <w:left w:val="nil"/>
              <w:bottom w:val="single" w:sz="4" w:space="0" w:color="auto"/>
              <w:right w:val="nil"/>
            </w:tcBorders>
            <w:shd w:val="clear" w:color="auto" w:fill="auto"/>
            <w:vAlign w:val="bottom"/>
            <w:hideMark/>
          </w:tcPr>
          <w:p w14:paraId="76722ADC"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Estimate</w:t>
            </w:r>
          </w:p>
        </w:tc>
        <w:tc>
          <w:tcPr>
            <w:tcW w:w="3072" w:type="dxa"/>
            <w:tcBorders>
              <w:top w:val="single" w:sz="4" w:space="0" w:color="auto"/>
              <w:left w:val="nil"/>
              <w:bottom w:val="single" w:sz="4" w:space="0" w:color="auto"/>
              <w:right w:val="nil"/>
            </w:tcBorders>
            <w:shd w:val="clear" w:color="auto" w:fill="auto"/>
            <w:vAlign w:val="bottom"/>
            <w:hideMark/>
          </w:tcPr>
          <w:p w14:paraId="14E34092"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p</w:t>
            </w:r>
          </w:p>
        </w:tc>
      </w:tr>
      <w:tr w:rsidR="000D06BE" w:rsidRPr="00D06F2B" w14:paraId="0D2395F5" w14:textId="77777777" w:rsidTr="00E73B17">
        <w:trPr>
          <w:trHeight w:val="279"/>
        </w:trPr>
        <w:tc>
          <w:tcPr>
            <w:tcW w:w="3071" w:type="dxa"/>
            <w:tcBorders>
              <w:top w:val="single" w:sz="4" w:space="0" w:color="auto"/>
              <w:left w:val="nil"/>
              <w:bottom w:val="nil"/>
              <w:right w:val="nil"/>
            </w:tcBorders>
            <w:shd w:val="clear" w:color="auto" w:fill="auto"/>
            <w:hideMark/>
          </w:tcPr>
          <w:p w14:paraId="07B14278" w14:textId="77777777" w:rsidR="000D06BE" w:rsidRPr="00D06F2B" w:rsidRDefault="000D06BE" w:rsidP="000D06BE">
            <w:pPr>
              <w:spacing w:after="0" w:line="240" w:lineRule="auto"/>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|∆EPS|*</w:t>
            </w:r>
            <w:proofErr w:type="spellStart"/>
            <w:r w:rsidRPr="00D06F2B">
              <w:rPr>
                <w:rFonts w:ascii="Garamond" w:eastAsia="Times New Roman" w:hAnsi="Garamond" w:cs="Calibri"/>
                <w:sz w:val="20"/>
                <w:szCs w:val="20"/>
                <w:lang w:eastAsia="en-GB"/>
              </w:rPr>
              <w:t>Pre_EA</w:t>
            </w:r>
            <w:proofErr w:type="spellEnd"/>
          </w:p>
        </w:tc>
        <w:tc>
          <w:tcPr>
            <w:tcW w:w="3072" w:type="dxa"/>
            <w:tcBorders>
              <w:top w:val="single" w:sz="4" w:space="0" w:color="auto"/>
              <w:left w:val="nil"/>
              <w:bottom w:val="nil"/>
              <w:right w:val="nil"/>
            </w:tcBorders>
            <w:shd w:val="clear" w:color="auto" w:fill="auto"/>
            <w:vAlign w:val="bottom"/>
            <w:hideMark/>
          </w:tcPr>
          <w:p w14:paraId="364FB98E"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-0.001</w:t>
            </w:r>
          </w:p>
        </w:tc>
        <w:tc>
          <w:tcPr>
            <w:tcW w:w="3072" w:type="dxa"/>
            <w:tcBorders>
              <w:top w:val="single" w:sz="4" w:space="0" w:color="auto"/>
              <w:left w:val="nil"/>
              <w:bottom w:val="nil"/>
              <w:right w:val="nil"/>
            </w:tcBorders>
            <w:shd w:val="clear" w:color="auto" w:fill="auto"/>
            <w:vAlign w:val="bottom"/>
            <w:hideMark/>
          </w:tcPr>
          <w:p w14:paraId="2B8E4CC3"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0.293</w:t>
            </w:r>
          </w:p>
        </w:tc>
      </w:tr>
      <w:tr w:rsidR="000D06BE" w:rsidRPr="00D06F2B" w14:paraId="27284CFC" w14:textId="77777777" w:rsidTr="000D06BE">
        <w:trPr>
          <w:trHeight w:val="279"/>
        </w:trPr>
        <w:tc>
          <w:tcPr>
            <w:tcW w:w="3071" w:type="dxa"/>
            <w:tcBorders>
              <w:top w:val="nil"/>
              <w:left w:val="nil"/>
              <w:bottom w:val="nil"/>
              <w:right w:val="nil"/>
            </w:tcBorders>
            <w:shd w:val="clear" w:color="auto" w:fill="auto"/>
            <w:hideMark/>
          </w:tcPr>
          <w:p w14:paraId="293C8590" w14:textId="77777777" w:rsidR="000D06BE" w:rsidRPr="00D06F2B" w:rsidRDefault="000D06BE" w:rsidP="000D06BE">
            <w:pPr>
              <w:spacing w:after="0" w:line="240" w:lineRule="auto"/>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|∆EPS|</w:t>
            </w:r>
          </w:p>
        </w:tc>
        <w:tc>
          <w:tcPr>
            <w:tcW w:w="3072" w:type="dxa"/>
            <w:tcBorders>
              <w:top w:val="nil"/>
              <w:left w:val="nil"/>
              <w:bottom w:val="nil"/>
              <w:right w:val="nil"/>
            </w:tcBorders>
            <w:shd w:val="clear" w:color="auto" w:fill="auto"/>
            <w:vAlign w:val="bottom"/>
            <w:hideMark/>
          </w:tcPr>
          <w:p w14:paraId="11DCA993"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0.002</w:t>
            </w:r>
          </w:p>
        </w:tc>
        <w:tc>
          <w:tcPr>
            <w:tcW w:w="3072" w:type="dxa"/>
            <w:tcBorders>
              <w:top w:val="nil"/>
              <w:left w:val="nil"/>
              <w:bottom w:val="nil"/>
              <w:right w:val="nil"/>
            </w:tcBorders>
            <w:shd w:val="clear" w:color="auto" w:fill="auto"/>
            <w:vAlign w:val="bottom"/>
            <w:hideMark/>
          </w:tcPr>
          <w:p w14:paraId="59623216"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0.000</w:t>
            </w:r>
          </w:p>
        </w:tc>
      </w:tr>
      <w:tr w:rsidR="000D06BE" w:rsidRPr="00D06F2B" w14:paraId="319C3692" w14:textId="77777777" w:rsidTr="000D06BE">
        <w:trPr>
          <w:trHeight w:val="279"/>
        </w:trPr>
        <w:tc>
          <w:tcPr>
            <w:tcW w:w="3071" w:type="dxa"/>
            <w:tcBorders>
              <w:top w:val="nil"/>
              <w:left w:val="nil"/>
              <w:bottom w:val="nil"/>
              <w:right w:val="nil"/>
            </w:tcBorders>
            <w:shd w:val="clear" w:color="auto" w:fill="auto"/>
            <w:hideMark/>
          </w:tcPr>
          <w:p w14:paraId="501E34F7" w14:textId="77777777" w:rsidR="000D06BE" w:rsidRPr="00D06F2B" w:rsidRDefault="000D06BE" w:rsidP="000D06BE">
            <w:pPr>
              <w:spacing w:after="0" w:line="240" w:lineRule="auto"/>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|∆EPS|*</w:t>
            </w:r>
            <w:proofErr w:type="spellStart"/>
            <w:r w:rsidRPr="00D06F2B">
              <w:rPr>
                <w:rFonts w:ascii="Garamond" w:eastAsia="Times New Roman" w:hAnsi="Garamond" w:cs="Calibri"/>
                <w:sz w:val="20"/>
                <w:szCs w:val="20"/>
                <w:lang w:eastAsia="en-GB"/>
              </w:rPr>
              <w:t>Pre_EA</w:t>
            </w:r>
            <w:proofErr w:type="spellEnd"/>
            <w:r w:rsidRPr="00D06F2B">
              <w:rPr>
                <w:rFonts w:ascii="Garamond" w:eastAsia="Times New Roman" w:hAnsi="Garamond" w:cs="Calibri"/>
                <w:sz w:val="20"/>
                <w:szCs w:val="20"/>
                <w:lang w:eastAsia="en-GB"/>
              </w:rPr>
              <w:t>*</w:t>
            </w:r>
            <w:proofErr w:type="spellStart"/>
            <w:r w:rsidRPr="00D06F2B">
              <w:rPr>
                <w:rFonts w:ascii="Garamond" w:eastAsia="Times New Roman" w:hAnsi="Garamond" w:cs="Calibri"/>
                <w:sz w:val="20"/>
                <w:szCs w:val="20"/>
                <w:lang w:eastAsia="en-GB"/>
              </w:rPr>
              <w:t>Covid</w:t>
            </w:r>
            <w:proofErr w:type="spellEnd"/>
          </w:p>
        </w:tc>
        <w:tc>
          <w:tcPr>
            <w:tcW w:w="3072" w:type="dxa"/>
            <w:tcBorders>
              <w:top w:val="nil"/>
              <w:left w:val="nil"/>
              <w:bottom w:val="nil"/>
              <w:right w:val="nil"/>
            </w:tcBorders>
            <w:shd w:val="clear" w:color="auto" w:fill="auto"/>
            <w:vAlign w:val="bottom"/>
            <w:hideMark/>
          </w:tcPr>
          <w:p w14:paraId="31E2C445"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0.003</w:t>
            </w:r>
          </w:p>
        </w:tc>
        <w:tc>
          <w:tcPr>
            <w:tcW w:w="3072" w:type="dxa"/>
            <w:tcBorders>
              <w:top w:val="nil"/>
              <w:left w:val="nil"/>
              <w:bottom w:val="nil"/>
              <w:right w:val="nil"/>
            </w:tcBorders>
            <w:shd w:val="clear" w:color="auto" w:fill="auto"/>
            <w:vAlign w:val="bottom"/>
            <w:hideMark/>
          </w:tcPr>
          <w:p w14:paraId="63904B0E"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0.070</w:t>
            </w:r>
          </w:p>
        </w:tc>
      </w:tr>
      <w:tr w:rsidR="000D06BE" w:rsidRPr="00D06F2B" w14:paraId="00039511" w14:textId="77777777" w:rsidTr="000D06BE">
        <w:trPr>
          <w:trHeight w:val="279"/>
        </w:trPr>
        <w:tc>
          <w:tcPr>
            <w:tcW w:w="3071" w:type="dxa"/>
            <w:tcBorders>
              <w:top w:val="nil"/>
              <w:left w:val="nil"/>
              <w:bottom w:val="nil"/>
              <w:right w:val="nil"/>
            </w:tcBorders>
            <w:shd w:val="clear" w:color="auto" w:fill="auto"/>
            <w:hideMark/>
          </w:tcPr>
          <w:p w14:paraId="50E65AC0" w14:textId="77777777" w:rsidR="000D06BE" w:rsidRPr="00D06F2B" w:rsidRDefault="000D06BE" w:rsidP="000D06BE">
            <w:pPr>
              <w:spacing w:after="0" w:line="240" w:lineRule="auto"/>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|∆EPS|*</w:t>
            </w:r>
            <w:proofErr w:type="spellStart"/>
            <w:r w:rsidRPr="00D06F2B">
              <w:rPr>
                <w:rFonts w:ascii="Garamond" w:eastAsia="Times New Roman" w:hAnsi="Garamond" w:cs="Calibri"/>
                <w:sz w:val="20"/>
                <w:szCs w:val="20"/>
                <w:lang w:eastAsia="en-GB"/>
              </w:rPr>
              <w:t>Covid</w:t>
            </w:r>
            <w:proofErr w:type="spellEnd"/>
          </w:p>
        </w:tc>
        <w:tc>
          <w:tcPr>
            <w:tcW w:w="3072" w:type="dxa"/>
            <w:tcBorders>
              <w:top w:val="nil"/>
              <w:left w:val="nil"/>
              <w:bottom w:val="nil"/>
              <w:right w:val="nil"/>
            </w:tcBorders>
            <w:shd w:val="clear" w:color="auto" w:fill="auto"/>
            <w:vAlign w:val="bottom"/>
            <w:hideMark/>
          </w:tcPr>
          <w:p w14:paraId="30345E2E"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-0.002</w:t>
            </w:r>
          </w:p>
        </w:tc>
        <w:tc>
          <w:tcPr>
            <w:tcW w:w="3072" w:type="dxa"/>
            <w:tcBorders>
              <w:top w:val="nil"/>
              <w:left w:val="nil"/>
              <w:bottom w:val="nil"/>
              <w:right w:val="nil"/>
            </w:tcBorders>
            <w:shd w:val="clear" w:color="auto" w:fill="auto"/>
            <w:vAlign w:val="bottom"/>
            <w:hideMark/>
          </w:tcPr>
          <w:p w14:paraId="640DC9CC"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0.000</w:t>
            </w:r>
          </w:p>
        </w:tc>
      </w:tr>
      <w:tr w:rsidR="000D06BE" w:rsidRPr="00D06F2B" w14:paraId="625D2214" w14:textId="77777777" w:rsidTr="000D06BE">
        <w:trPr>
          <w:trHeight w:val="279"/>
        </w:trPr>
        <w:tc>
          <w:tcPr>
            <w:tcW w:w="3071" w:type="dxa"/>
            <w:tcBorders>
              <w:top w:val="nil"/>
              <w:left w:val="nil"/>
              <w:bottom w:val="nil"/>
              <w:right w:val="nil"/>
            </w:tcBorders>
            <w:shd w:val="clear" w:color="auto" w:fill="auto"/>
            <w:hideMark/>
          </w:tcPr>
          <w:p w14:paraId="247A6D9E" w14:textId="77777777" w:rsidR="000D06BE" w:rsidRPr="00D06F2B" w:rsidRDefault="000D06BE" w:rsidP="000D06BE">
            <w:pPr>
              <w:spacing w:after="0" w:line="240" w:lineRule="auto"/>
              <w:rPr>
                <w:rFonts w:ascii="Garamond" w:eastAsia="Times New Roman" w:hAnsi="Garamond" w:cs="Calibri"/>
                <w:sz w:val="20"/>
                <w:szCs w:val="20"/>
                <w:lang w:eastAsia="en-GB"/>
              </w:rPr>
            </w:pPr>
            <w:proofErr w:type="spellStart"/>
            <w:r w:rsidRPr="00D06F2B">
              <w:rPr>
                <w:rFonts w:ascii="Garamond" w:eastAsia="Times New Roman" w:hAnsi="Garamond" w:cs="Calibri"/>
                <w:sz w:val="20"/>
                <w:szCs w:val="20"/>
                <w:lang w:eastAsia="en-GB"/>
              </w:rPr>
              <w:t>Pre_EA</w:t>
            </w:r>
            <w:proofErr w:type="spellEnd"/>
          </w:p>
        </w:tc>
        <w:tc>
          <w:tcPr>
            <w:tcW w:w="3072" w:type="dxa"/>
            <w:tcBorders>
              <w:top w:val="nil"/>
              <w:left w:val="nil"/>
              <w:bottom w:val="nil"/>
              <w:right w:val="nil"/>
            </w:tcBorders>
            <w:shd w:val="clear" w:color="auto" w:fill="auto"/>
            <w:vAlign w:val="bottom"/>
            <w:hideMark/>
          </w:tcPr>
          <w:p w14:paraId="07CC01F9"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-0.025</w:t>
            </w:r>
          </w:p>
        </w:tc>
        <w:tc>
          <w:tcPr>
            <w:tcW w:w="3072" w:type="dxa"/>
            <w:tcBorders>
              <w:top w:val="nil"/>
              <w:left w:val="nil"/>
              <w:bottom w:val="nil"/>
              <w:right w:val="nil"/>
            </w:tcBorders>
            <w:shd w:val="clear" w:color="auto" w:fill="auto"/>
            <w:vAlign w:val="bottom"/>
            <w:hideMark/>
          </w:tcPr>
          <w:p w14:paraId="387457E8"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0.000</w:t>
            </w:r>
          </w:p>
        </w:tc>
      </w:tr>
      <w:tr w:rsidR="000D06BE" w:rsidRPr="00D06F2B" w14:paraId="53F28FF0" w14:textId="77777777" w:rsidTr="000D06BE">
        <w:trPr>
          <w:trHeight w:val="279"/>
        </w:trPr>
        <w:tc>
          <w:tcPr>
            <w:tcW w:w="3071" w:type="dxa"/>
            <w:tcBorders>
              <w:top w:val="nil"/>
              <w:left w:val="nil"/>
              <w:bottom w:val="nil"/>
              <w:right w:val="nil"/>
            </w:tcBorders>
            <w:shd w:val="clear" w:color="auto" w:fill="auto"/>
            <w:hideMark/>
          </w:tcPr>
          <w:p w14:paraId="29F143AA" w14:textId="77777777" w:rsidR="000D06BE" w:rsidRPr="00D06F2B" w:rsidRDefault="000D06BE" w:rsidP="000D06BE">
            <w:pPr>
              <w:spacing w:after="0" w:line="240" w:lineRule="auto"/>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PRE_EA*</w:t>
            </w:r>
            <w:proofErr w:type="spellStart"/>
            <w:r w:rsidRPr="00D06F2B">
              <w:rPr>
                <w:rFonts w:ascii="Garamond" w:eastAsia="Times New Roman" w:hAnsi="Garamond" w:cs="Calibri"/>
                <w:sz w:val="20"/>
                <w:szCs w:val="20"/>
                <w:lang w:eastAsia="en-GB"/>
              </w:rPr>
              <w:t>Covid</w:t>
            </w:r>
            <w:proofErr w:type="spellEnd"/>
          </w:p>
        </w:tc>
        <w:tc>
          <w:tcPr>
            <w:tcW w:w="3072" w:type="dxa"/>
            <w:tcBorders>
              <w:top w:val="nil"/>
              <w:left w:val="nil"/>
              <w:bottom w:val="nil"/>
              <w:right w:val="nil"/>
            </w:tcBorders>
            <w:shd w:val="clear" w:color="auto" w:fill="auto"/>
            <w:vAlign w:val="bottom"/>
            <w:hideMark/>
          </w:tcPr>
          <w:p w14:paraId="27BDA7E7"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0.004</w:t>
            </w:r>
          </w:p>
        </w:tc>
        <w:tc>
          <w:tcPr>
            <w:tcW w:w="3072" w:type="dxa"/>
            <w:tcBorders>
              <w:top w:val="nil"/>
              <w:left w:val="nil"/>
              <w:bottom w:val="nil"/>
              <w:right w:val="nil"/>
            </w:tcBorders>
            <w:shd w:val="clear" w:color="auto" w:fill="auto"/>
            <w:vAlign w:val="bottom"/>
            <w:hideMark/>
          </w:tcPr>
          <w:p w14:paraId="31DF05E9"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0.003</w:t>
            </w:r>
          </w:p>
        </w:tc>
      </w:tr>
      <w:tr w:rsidR="000D06BE" w:rsidRPr="00D06F2B" w14:paraId="6686FBC6" w14:textId="77777777" w:rsidTr="000D06BE">
        <w:trPr>
          <w:trHeight w:val="279"/>
        </w:trPr>
        <w:tc>
          <w:tcPr>
            <w:tcW w:w="3071" w:type="dxa"/>
            <w:tcBorders>
              <w:top w:val="nil"/>
              <w:left w:val="nil"/>
              <w:bottom w:val="nil"/>
              <w:right w:val="nil"/>
            </w:tcBorders>
            <w:shd w:val="clear" w:color="auto" w:fill="auto"/>
            <w:noWrap/>
            <w:hideMark/>
          </w:tcPr>
          <w:p w14:paraId="1B88D14B" w14:textId="77777777" w:rsidR="000D06BE" w:rsidRPr="00D06F2B" w:rsidRDefault="000D06BE" w:rsidP="000D06BE">
            <w:pPr>
              <w:spacing w:after="0" w:line="240" w:lineRule="auto"/>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Year effects</w:t>
            </w:r>
          </w:p>
        </w:tc>
        <w:tc>
          <w:tcPr>
            <w:tcW w:w="3072" w:type="dxa"/>
            <w:tcBorders>
              <w:top w:val="nil"/>
              <w:left w:val="nil"/>
              <w:bottom w:val="nil"/>
              <w:right w:val="nil"/>
            </w:tcBorders>
            <w:shd w:val="clear" w:color="auto" w:fill="auto"/>
            <w:noWrap/>
            <w:vAlign w:val="bottom"/>
            <w:hideMark/>
          </w:tcPr>
          <w:p w14:paraId="6AD1DB52"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Yes</w:t>
            </w:r>
          </w:p>
        </w:tc>
        <w:tc>
          <w:tcPr>
            <w:tcW w:w="3072" w:type="dxa"/>
            <w:tcBorders>
              <w:top w:val="nil"/>
              <w:left w:val="nil"/>
              <w:bottom w:val="nil"/>
              <w:right w:val="nil"/>
            </w:tcBorders>
            <w:shd w:val="clear" w:color="auto" w:fill="auto"/>
            <w:vAlign w:val="bottom"/>
            <w:hideMark/>
          </w:tcPr>
          <w:p w14:paraId="0FD7D805"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p>
        </w:tc>
      </w:tr>
      <w:tr w:rsidR="000D06BE" w:rsidRPr="00D06F2B" w14:paraId="663EA91B" w14:textId="77777777" w:rsidTr="000D06BE">
        <w:trPr>
          <w:trHeight w:val="279"/>
        </w:trPr>
        <w:tc>
          <w:tcPr>
            <w:tcW w:w="3071" w:type="dxa"/>
            <w:tcBorders>
              <w:top w:val="nil"/>
              <w:left w:val="nil"/>
              <w:bottom w:val="nil"/>
              <w:right w:val="nil"/>
            </w:tcBorders>
            <w:shd w:val="clear" w:color="auto" w:fill="auto"/>
            <w:noWrap/>
            <w:vAlign w:val="bottom"/>
            <w:hideMark/>
          </w:tcPr>
          <w:p w14:paraId="6375D177" w14:textId="77777777" w:rsidR="000D06BE" w:rsidRPr="00D06F2B" w:rsidRDefault="000D06BE" w:rsidP="000D06BE">
            <w:pPr>
              <w:spacing w:after="0" w:line="240" w:lineRule="auto"/>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Quarter effect</w:t>
            </w:r>
          </w:p>
        </w:tc>
        <w:tc>
          <w:tcPr>
            <w:tcW w:w="3072" w:type="dxa"/>
            <w:tcBorders>
              <w:top w:val="nil"/>
              <w:left w:val="nil"/>
              <w:bottom w:val="nil"/>
              <w:right w:val="nil"/>
            </w:tcBorders>
            <w:shd w:val="clear" w:color="auto" w:fill="auto"/>
            <w:noWrap/>
            <w:vAlign w:val="bottom"/>
            <w:hideMark/>
          </w:tcPr>
          <w:p w14:paraId="39F1A9B5"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Yes</w:t>
            </w:r>
          </w:p>
        </w:tc>
        <w:tc>
          <w:tcPr>
            <w:tcW w:w="3072" w:type="dxa"/>
            <w:tcBorders>
              <w:top w:val="nil"/>
              <w:left w:val="nil"/>
              <w:bottom w:val="nil"/>
              <w:right w:val="nil"/>
            </w:tcBorders>
            <w:shd w:val="clear" w:color="auto" w:fill="auto"/>
            <w:vAlign w:val="bottom"/>
            <w:hideMark/>
          </w:tcPr>
          <w:p w14:paraId="070858AD"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p>
        </w:tc>
      </w:tr>
      <w:tr w:rsidR="000D06BE" w:rsidRPr="00D06F2B" w14:paraId="1154821E" w14:textId="77777777" w:rsidTr="000D06BE">
        <w:trPr>
          <w:trHeight w:val="279"/>
        </w:trPr>
        <w:tc>
          <w:tcPr>
            <w:tcW w:w="3071" w:type="dxa"/>
            <w:tcBorders>
              <w:top w:val="nil"/>
              <w:left w:val="nil"/>
              <w:bottom w:val="nil"/>
              <w:right w:val="nil"/>
            </w:tcBorders>
            <w:shd w:val="clear" w:color="auto" w:fill="auto"/>
            <w:noWrap/>
            <w:hideMark/>
          </w:tcPr>
          <w:p w14:paraId="0CEA5CDC" w14:textId="77777777" w:rsidR="000D06BE" w:rsidRPr="00D06F2B" w:rsidRDefault="000D06BE" w:rsidP="000D06BE">
            <w:pPr>
              <w:spacing w:after="0" w:line="240" w:lineRule="auto"/>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Firm effects</w:t>
            </w:r>
          </w:p>
        </w:tc>
        <w:tc>
          <w:tcPr>
            <w:tcW w:w="3072" w:type="dxa"/>
            <w:tcBorders>
              <w:top w:val="nil"/>
              <w:left w:val="nil"/>
              <w:bottom w:val="nil"/>
              <w:right w:val="nil"/>
            </w:tcBorders>
            <w:shd w:val="clear" w:color="auto" w:fill="auto"/>
            <w:noWrap/>
            <w:vAlign w:val="bottom"/>
            <w:hideMark/>
          </w:tcPr>
          <w:p w14:paraId="15F9148E"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Yes</w:t>
            </w:r>
          </w:p>
        </w:tc>
        <w:tc>
          <w:tcPr>
            <w:tcW w:w="3072" w:type="dxa"/>
            <w:tcBorders>
              <w:top w:val="nil"/>
              <w:left w:val="nil"/>
              <w:bottom w:val="nil"/>
              <w:right w:val="nil"/>
            </w:tcBorders>
            <w:shd w:val="clear" w:color="auto" w:fill="auto"/>
            <w:vAlign w:val="bottom"/>
            <w:hideMark/>
          </w:tcPr>
          <w:p w14:paraId="0F963AA5"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p>
        </w:tc>
      </w:tr>
      <w:tr w:rsidR="000D06BE" w:rsidRPr="00D06F2B" w14:paraId="5F158B48" w14:textId="77777777" w:rsidTr="000D06BE">
        <w:trPr>
          <w:trHeight w:val="279"/>
        </w:trPr>
        <w:tc>
          <w:tcPr>
            <w:tcW w:w="3071" w:type="dxa"/>
            <w:tcBorders>
              <w:top w:val="nil"/>
              <w:left w:val="nil"/>
              <w:bottom w:val="nil"/>
              <w:right w:val="nil"/>
            </w:tcBorders>
            <w:shd w:val="clear" w:color="auto" w:fill="auto"/>
            <w:noWrap/>
            <w:hideMark/>
          </w:tcPr>
          <w:p w14:paraId="721078E2" w14:textId="77777777" w:rsidR="000D06BE" w:rsidRPr="00D06F2B" w:rsidRDefault="000D06BE" w:rsidP="000D06BE">
            <w:pPr>
              <w:spacing w:after="0" w:line="240" w:lineRule="auto"/>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N</w:t>
            </w:r>
          </w:p>
        </w:tc>
        <w:tc>
          <w:tcPr>
            <w:tcW w:w="3072" w:type="dxa"/>
            <w:tcBorders>
              <w:top w:val="nil"/>
              <w:left w:val="nil"/>
              <w:bottom w:val="nil"/>
              <w:right w:val="nil"/>
            </w:tcBorders>
            <w:shd w:val="clear" w:color="auto" w:fill="auto"/>
            <w:noWrap/>
            <w:vAlign w:val="bottom"/>
            <w:hideMark/>
          </w:tcPr>
          <w:p w14:paraId="7CFA7AF2" w14:textId="2166609A" w:rsidR="000D06BE" w:rsidRPr="00D06F2B" w:rsidRDefault="00E34FCD"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185522</w:t>
            </w:r>
          </w:p>
        </w:tc>
        <w:tc>
          <w:tcPr>
            <w:tcW w:w="3072" w:type="dxa"/>
            <w:tcBorders>
              <w:top w:val="nil"/>
              <w:left w:val="nil"/>
              <w:bottom w:val="nil"/>
              <w:right w:val="nil"/>
            </w:tcBorders>
            <w:shd w:val="clear" w:color="auto" w:fill="auto"/>
            <w:vAlign w:val="bottom"/>
            <w:hideMark/>
          </w:tcPr>
          <w:p w14:paraId="304B9811"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p>
        </w:tc>
      </w:tr>
      <w:tr w:rsidR="000D06BE" w:rsidRPr="00D06F2B" w14:paraId="1CFB99B8" w14:textId="77777777" w:rsidTr="000D06BE">
        <w:trPr>
          <w:trHeight w:val="279"/>
        </w:trPr>
        <w:tc>
          <w:tcPr>
            <w:tcW w:w="3071" w:type="dxa"/>
            <w:tcBorders>
              <w:top w:val="nil"/>
              <w:left w:val="nil"/>
              <w:bottom w:val="single" w:sz="4" w:space="0" w:color="auto"/>
              <w:right w:val="nil"/>
            </w:tcBorders>
            <w:shd w:val="clear" w:color="auto" w:fill="auto"/>
            <w:noWrap/>
            <w:hideMark/>
          </w:tcPr>
          <w:p w14:paraId="588D3175" w14:textId="77777777" w:rsidR="000D06BE" w:rsidRPr="00D06F2B" w:rsidRDefault="000D06BE" w:rsidP="000D06BE">
            <w:pPr>
              <w:spacing w:after="0" w:line="240" w:lineRule="auto"/>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R2</w:t>
            </w:r>
          </w:p>
        </w:tc>
        <w:tc>
          <w:tcPr>
            <w:tcW w:w="3072" w:type="dxa"/>
            <w:tcBorders>
              <w:top w:val="nil"/>
              <w:left w:val="nil"/>
              <w:bottom w:val="single" w:sz="4" w:space="0" w:color="auto"/>
              <w:right w:val="nil"/>
            </w:tcBorders>
            <w:shd w:val="clear" w:color="auto" w:fill="auto"/>
            <w:noWrap/>
            <w:vAlign w:val="bottom"/>
            <w:hideMark/>
          </w:tcPr>
          <w:p w14:paraId="3BAF2959"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32.99%</w:t>
            </w:r>
          </w:p>
        </w:tc>
        <w:tc>
          <w:tcPr>
            <w:tcW w:w="3072" w:type="dxa"/>
            <w:tcBorders>
              <w:top w:val="nil"/>
              <w:left w:val="nil"/>
              <w:bottom w:val="single" w:sz="4" w:space="0" w:color="auto"/>
              <w:right w:val="nil"/>
            </w:tcBorders>
            <w:shd w:val="clear" w:color="auto" w:fill="auto"/>
            <w:vAlign w:val="bottom"/>
            <w:hideMark/>
          </w:tcPr>
          <w:p w14:paraId="49D21EFD" w14:textId="77777777" w:rsidR="000D06BE" w:rsidRPr="00D06F2B" w:rsidRDefault="000D06BE" w:rsidP="000D06BE">
            <w:pPr>
              <w:spacing w:after="0" w:line="240" w:lineRule="auto"/>
              <w:jc w:val="center"/>
              <w:rPr>
                <w:rFonts w:ascii="Garamond" w:eastAsia="Times New Roman" w:hAnsi="Garamond" w:cs="Calibri"/>
                <w:sz w:val="20"/>
                <w:szCs w:val="20"/>
                <w:lang w:eastAsia="en-GB"/>
              </w:rPr>
            </w:pPr>
            <w:r w:rsidRPr="00D06F2B">
              <w:rPr>
                <w:rFonts w:ascii="Garamond" w:eastAsia="Times New Roman" w:hAnsi="Garamond" w:cs="Calibri"/>
                <w:sz w:val="20"/>
                <w:szCs w:val="20"/>
                <w:lang w:eastAsia="en-GB"/>
              </w:rPr>
              <w:t> </w:t>
            </w:r>
          </w:p>
        </w:tc>
      </w:tr>
    </w:tbl>
    <w:p w14:paraId="3ABE593C" w14:textId="367F8CE7" w:rsidR="00D709F6" w:rsidRPr="00D06F2B" w:rsidRDefault="008C11C1" w:rsidP="0020669E">
      <w:pPr>
        <w:rPr>
          <w:rFonts w:ascii="Garamond" w:hAnsi="Garamond"/>
          <w:sz w:val="24"/>
          <w:szCs w:val="24"/>
          <w:lang w:val="en-US"/>
        </w:rPr>
      </w:pPr>
      <w:r w:rsidRPr="00D06F2B">
        <w:rPr>
          <w:rFonts w:ascii="Garamond" w:hAnsi="Garamond"/>
          <w:i/>
          <w:iCs/>
          <w:sz w:val="20"/>
          <w:szCs w:val="20"/>
          <w:lang w:val="en-US"/>
        </w:rPr>
        <w:t xml:space="preserve">Notes: </w:t>
      </w:r>
      <w:r w:rsidR="002C72EB" w:rsidRPr="00D06F2B">
        <w:rPr>
          <w:rFonts w:ascii="Garamond" w:hAnsi="Garamond"/>
          <w:sz w:val="20"/>
          <w:szCs w:val="20"/>
          <w:lang w:val="en-US"/>
        </w:rPr>
        <w:t>The table reports regression results for equation (4) which examines price reactions to analyst quarterly forecast</w:t>
      </w:r>
      <w:r w:rsidR="00BC737B" w:rsidRPr="00D06F2B">
        <w:rPr>
          <w:rFonts w:ascii="Garamond" w:hAnsi="Garamond"/>
          <w:sz w:val="20"/>
          <w:szCs w:val="20"/>
          <w:lang w:val="en-US"/>
        </w:rPr>
        <w:t xml:space="preserve"> </w:t>
      </w:r>
      <w:r w:rsidR="002C72EB" w:rsidRPr="00D06F2B">
        <w:rPr>
          <w:rFonts w:ascii="Garamond" w:hAnsi="Garamond"/>
          <w:sz w:val="20"/>
          <w:szCs w:val="20"/>
          <w:lang w:val="en-US"/>
        </w:rPr>
        <w:t xml:space="preserve">revisions before compared to after quarterly earnings announcements. </w:t>
      </w:r>
      <w:proofErr w:type="spellStart"/>
      <w:r w:rsidR="00495AD6" w:rsidRPr="00D06F2B">
        <w:rPr>
          <w:rFonts w:ascii="Garamond" w:eastAsia="Times New Roman" w:hAnsi="Garamond" w:cs="Calibri"/>
          <w:i/>
          <w:iCs/>
          <w:sz w:val="20"/>
          <w:szCs w:val="20"/>
          <w:lang w:eastAsia="en-GB"/>
        </w:rPr>
        <w:t>Pre_EA</w:t>
      </w:r>
      <w:proofErr w:type="spellEnd"/>
      <w:r w:rsidR="00495AD6" w:rsidRPr="00D06F2B">
        <w:rPr>
          <w:rFonts w:ascii="Garamond" w:eastAsia="Times New Roman" w:hAnsi="Garamond" w:cs="Calibri"/>
          <w:sz w:val="20"/>
          <w:szCs w:val="20"/>
          <w:lang w:eastAsia="en-GB"/>
        </w:rPr>
        <w:t xml:space="preserve"> equals one for analyst EPS forecast revisions in a 10-day period </w:t>
      </w:r>
      <w:r w:rsidR="00B21F73" w:rsidRPr="00D06F2B">
        <w:rPr>
          <w:rFonts w:ascii="Garamond" w:eastAsia="Times New Roman" w:hAnsi="Garamond" w:cs="Calibri"/>
          <w:sz w:val="20"/>
          <w:szCs w:val="20"/>
          <w:lang w:eastAsia="en-GB"/>
        </w:rPr>
        <w:t>before</w:t>
      </w:r>
      <w:r w:rsidR="00495AD6" w:rsidRPr="00D06F2B">
        <w:rPr>
          <w:rFonts w:ascii="Garamond" w:eastAsia="Times New Roman" w:hAnsi="Garamond" w:cs="Calibri"/>
          <w:sz w:val="20"/>
          <w:szCs w:val="20"/>
          <w:lang w:eastAsia="en-GB"/>
        </w:rPr>
        <w:t xml:space="preserve"> </w:t>
      </w:r>
      <w:r w:rsidR="00B21F73" w:rsidRPr="00D06F2B">
        <w:rPr>
          <w:rFonts w:ascii="Garamond" w:hAnsi="Garamond"/>
          <w:sz w:val="20"/>
          <w:szCs w:val="20"/>
          <w:lang w:val="en-US"/>
        </w:rPr>
        <w:t>earnings announcements</w:t>
      </w:r>
      <w:r w:rsidR="00495AD6" w:rsidRPr="00D06F2B">
        <w:rPr>
          <w:rFonts w:ascii="Garamond" w:eastAsia="Times New Roman" w:hAnsi="Garamond" w:cs="Calibri"/>
          <w:sz w:val="20"/>
          <w:szCs w:val="20"/>
          <w:lang w:eastAsia="en-GB"/>
        </w:rPr>
        <w:t xml:space="preserve"> and </w:t>
      </w:r>
      <w:r w:rsidR="00832F2A" w:rsidRPr="00D06F2B">
        <w:rPr>
          <w:rFonts w:ascii="Garamond" w:eastAsia="Times New Roman" w:hAnsi="Garamond" w:cs="Calibri"/>
          <w:sz w:val="20"/>
          <w:szCs w:val="20"/>
          <w:lang w:eastAsia="en-GB"/>
        </w:rPr>
        <w:t xml:space="preserve">is </w:t>
      </w:r>
      <w:r w:rsidR="00495AD6" w:rsidRPr="00D06F2B">
        <w:rPr>
          <w:rFonts w:ascii="Garamond" w:eastAsia="Times New Roman" w:hAnsi="Garamond" w:cs="Calibri"/>
          <w:sz w:val="20"/>
          <w:szCs w:val="20"/>
          <w:lang w:eastAsia="en-GB"/>
        </w:rPr>
        <w:t xml:space="preserve">zero otherwise. </w:t>
      </w:r>
    </w:p>
    <w:sectPr w:rsidR="00D709F6" w:rsidRPr="00D06F2B" w:rsidSect="00CE11A2">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EC54C" w14:textId="77777777" w:rsidR="00A22DEC" w:rsidRDefault="00A22DEC" w:rsidP="00516D02">
      <w:pPr>
        <w:spacing w:after="0" w:line="240" w:lineRule="auto"/>
      </w:pPr>
      <w:r>
        <w:separator/>
      </w:r>
    </w:p>
  </w:endnote>
  <w:endnote w:type="continuationSeparator" w:id="0">
    <w:p w14:paraId="04F941C6" w14:textId="77777777" w:rsidR="00A22DEC" w:rsidRDefault="00A22DEC" w:rsidP="0051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0733152"/>
      <w:docPartObj>
        <w:docPartGallery w:val="Page Numbers (Bottom of Page)"/>
        <w:docPartUnique/>
      </w:docPartObj>
    </w:sdtPr>
    <w:sdtEndPr>
      <w:rPr>
        <w:noProof/>
      </w:rPr>
    </w:sdtEndPr>
    <w:sdtContent>
      <w:p w14:paraId="217A575B" w14:textId="62ED8D5A" w:rsidR="00B0560A" w:rsidRDefault="00B056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CD0099" w14:textId="77777777" w:rsidR="00B0560A" w:rsidRDefault="00B05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282D0" w14:textId="77777777" w:rsidR="00A22DEC" w:rsidRDefault="00A22DEC" w:rsidP="00516D02">
      <w:pPr>
        <w:spacing w:after="0" w:line="240" w:lineRule="auto"/>
      </w:pPr>
      <w:r>
        <w:separator/>
      </w:r>
    </w:p>
  </w:footnote>
  <w:footnote w:type="continuationSeparator" w:id="0">
    <w:p w14:paraId="33A510A4" w14:textId="77777777" w:rsidR="00A22DEC" w:rsidRDefault="00A22DEC" w:rsidP="00516D02">
      <w:pPr>
        <w:spacing w:after="0" w:line="240" w:lineRule="auto"/>
      </w:pPr>
      <w:r>
        <w:continuationSeparator/>
      </w:r>
    </w:p>
  </w:footnote>
  <w:footnote w:id="1">
    <w:p w14:paraId="0D079FD2" w14:textId="25828EFD" w:rsidR="00B0560A" w:rsidRPr="006C3964" w:rsidRDefault="00B0560A">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Traditionally, tail risk reflects the chance that an investment value will move </w:t>
      </w:r>
      <w:r w:rsidRPr="006C3964">
        <w:rPr>
          <w:rFonts w:ascii="Garamond" w:hAnsi="Garamond" w:cs="Arial"/>
          <w:color w:val="111111"/>
          <w:shd w:val="clear" w:color="auto" w:fill="FFFFFF"/>
        </w:rPr>
        <w:t>more than three standard deviations from the mean (Kelly and Jiang 2014).</w:t>
      </w:r>
    </w:p>
  </w:footnote>
  <w:footnote w:id="2">
    <w:p w14:paraId="0386C135" w14:textId="5F33C9C0" w:rsidR="00B0560A" w:rsidRPr="006C3964" w:rsidRDefault="00B0560A">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w:t>
      </w:r>
      <w:r w:rsidRPr="006C3964">
        <w:rPr>
          <w:rFonts w:ascii="Garamond" w:hAnsi="Garamond"/>
          <w:lang w:val="en-US"/>
        </w:rPr>
        <w:t xml:space="preserve">The quick spread of the virus coupled with the uncertainty on how consumers, governments, and firms will respond to the pandemic resulted in a sudden and market-wide increase in uncertainty. To illustrate, between February 19 and March 23 of 2020, the S&amp;P 500 stock market index lost 33.7%, then surged by 29% between March 24 and April 17. High volatility continued throughout 2020. </w:t>
      </w:r>
    </w:p>
  </w:footnote>
  <w:footnote w:id="3">
    <w:p w14:paraId="2D2EB956" w14:textId="20C3C6C0" w:rsidR="00B0560A" w:rsidRPr="006C3964" w:rsidRDefault="00B0560A">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On March 4, 2020, the SEC issued an order providing conditional regulatory relief and assistance to reporting companies impacted by the coronavirus. The order provides companies an additional 45 days to file certain Exchange Act reports (including Form 10-K and Form 10-Q) otherwise due between March 1, 2020 and April 30, 2020 if they satisfy certain conditions. </w:t>
      </w:r>
      <w:hyperlink r:id="rId1" w:history="1">
        <w:r w:rsidRPr="006C3964">
          <w:rPr>
            <w:rStyle w:val="Hyperlink"/>
            <w:rFonts w:ascii="Garamond" w:hAnsi="Garamond"/>
          </w:rPr>
          <w:t>https://www.sec.gov/news/press-release/2020-74</w:t>
        </w:r>
      </w:hyperlink>
      <w:r w:rsidRPr="006C3964">
        <w:rPr>
          <w:rFonts w:ascii="Garamond" w:hAnsi="Garamond"/>
        </w:rPr>
        <w:t xml:space="preserve"> </w:t>
      </w:r>
    </w:p>
  </w:footnote>
  <w:footnote w:id="4">
    <w:p w14:paraId="674C750C" w14:textId="5F3C78A2" w:rsidR="00B0560A" w:rsidRPr="006C3964" w:rsidRDefault="00B0560A">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Our conclusions are the same if we designate the start of the pandemic in the beginning of March 2020.</w:t>
      </w:r>
    </w:p>
  </w:footnote>
  <w:footnote w:id="5">
    <w:p w14:paraId="6B489420" w14:textId="55F8BB49" w:rsidR="00B0560A" w:rsidRPr="006C3964" w:rsidRDefault="00B0560A">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w:t>
      </w:r>
      <w:r w:rsidRPr="006C3964">
        <w:rPr>
          <w:rFonts w:ascii="Garamond" w:hAnsi="Garamond"/>
        </w:rPr>
        <w:t>BenRephael et al. (2017, p.3010) argue that Bloomberg terminals are used primarily by institutional investors and the most common job titles of Bloomberg users ‘include portfolio/fund/investment managers, analyst, trader, executive, director, president, and managing director’.</w:t>
      </w:r>
    </w:p>
  </w:footnote>
  <w:footnote w:id="6">
    <w:p w14:paraId="1B59CF61" w14:textId="32A1A736" w:rsidR="00B0560A" w:rsidRPr="006C3964" w:rsidRDefault="00B0560A">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The regressions exclude a three-day window around quarterly earnings announcements as analyst revisions in those periods can piggyback on firm information releases (Zhang 2008, </w:t>
      </w:r>
      <w:r w:rsidRPr="006C3964">
        <w:rPr>
          <w:rFonts w:ascii="Garamond" w:hAnsi="Garamond"/>
        </w:rPr>
        <w:t xml:space="preserve">Altinkilic and Hansen (2009). </w:t>
      </w:r>
    </w:p>
  </w:footnote>
  <w:footnote w:id="7">
    <w:p w14:paraId="5326A4B2" w14:textId="427BD6D2" w:rsidR="00B0560A" w:rsidRPr="006C3964" w:rsidRDefault="00B0560A">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w:t>
      </w:r>
      <w:r w:rsidRPr="006C3964">
        <w:rPr>
          <w:rFonts w:ascii="Garamond" w:hAnsi="Garamond"/>
          <w:lang w:val="en-US"/>
        </w:rPr>
        <w:t xml:space="preserve"> See Da, </w:t>
      </w:r>
      <w:r w:rsidRPr="006C3964">
        <w:rPr>
          <w:rFonts w:ascii="Garamond" w:hAnsi="Garamond"/>
          <w:lang w:val="en-US"/>
        </w:rPr>
        <w:t>Engelberg and Gao (2011) for tests validating google searches as information demand measure.</w:t>
      </w:r>
      <w:r w:rsidRPr="006C3964">
        <w:rPr>
          <w:rFonts w:ascii="Garamond" w:hAnsi="Garamond"/>
        </w:rPr>
        <w:t xml:space="preserve"> </w:t>
      </w:r>
      <w:r w:rsidRPr="006C3964">
        <w:rPr>
          <w:rFonts w:ascii="Garamond" w:hAnsi="Garamond"/>
          <w:lang w:val="en-US"/>
        </w:rPr>
        <w:t>Bento, Nguyen, Wing, Lozano-Rojas, Ahn, and Simon (2020) document a 36% spike in google searches for information following public announcements of COVID-19 cases. Costola, Iacopini and Santagiustina (2020) report that google searches associate with stock price volatility in a cross-section of six countries.</w:t>
      </w:r>
    </w:p>
  </w:footnote>
  <w:footnote w:id="8">
    <w:p w14:paraId="1CF4F6ED" w14:textId="00FB1E96" w:rsidR="00B0560A" w:rsidRPr="006C3964" w:rsidRDefault="00B0560A" w:rsidP="00426A66">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Bloomberg article highlights that </w:t>
      </w:r>
      <w:r w:rsidR="00FC3B60">
        <w:rPr>
          <w:rFonts w:ascii="Garamond" w:hAnsi="Garamond"/>
        </w:rPr>
        <w:t>‘</w:t>
      </w:r>
      <w:r w:rsidRPr="006C3964">
        <w:rPr>
          <w:rFonts w:ascii="Garamond" w:hAnsi="Garamond"/>
        </w:rPr>
        <w:t>Research is the niche that’s been buffeted most violently by the forces crashing into the finance industry: technology, regulation and the demands of the marketplace itself.</w:t>
      </w:r>
      <w:r w:rsidR="00FC3B60">
        <w:rPr>
          <w:rFonts w:ascii="Garamond" w:hAnsi="Garamond"/>
        </w:rPr>
        <w:t>’</w:t>
      </w:r>
      <w:r w:rsidRPr="006C3964">
        <w:rPr>
          <w:rFonts w:ascii="Garamond" w:hAnsi="Garamond"/>
        </w:rPr>
        <w:t xml:space="preserve"> </w:t>
      </w:r>
      <w:r w:rsidR="00FC3B60">
        <w:rPr>
          <w:rFonts w:ascii="Garamond" w:hAnsi="Garamond"/>
        </w:rPr>
        <w:t>a</w:t>
      </w:r>
      <w:r w:rsidRPr="006C3964">
        <w:rPr>
          <w:rFonts w:ascii="Garamond" w:hAnsi="Garamond"/>
        </w:rPr>
        <w:t xml:space="preserve">nd </w:t>
      </w:r>
      <w:r w:rsidR="00FC3B60">
        <w:rPr>
          <w:rFonts w:ascii="Garamond" w:hAnsi="Garamond"/>
        </w:rPr>
        <w:t>‘</w:t>
      </w:r>
      <w:r w:rsidRPr="006C3964">
        <w:rPr>
          <w:rFonts w:ascii="Garamond" w:hAnsi="Garamond"/>
        </w:rPr>
        <w:t xml:space="preserve">Research spending by the buyside has dropped between 20% and 30% </w:t>
      </w:r>
      <w:r w:rsidRPr="006C3964">
        <w:rPr>
          <w:rFonts w:ascii="Garamond" w:hAnsi="Garamond"/>
          <w:color w:val="000000"/>
          <w:shd w:val="clear" w:color="auto" w:fill="FFFFFF"/>
        </w:rPr>
        <w:t>since the new rules [MiFID II] came in, U.K.</w:t>
      </w:r>
      <w:r w:rsidR="00FC3B60">
        <w:rPr>
          <w:rFonts w:ascii="Garamond" w:hAnsi="Garamond"/>
          <w:color w:val="000000"/>
          <w:shd w:val="clear" w:color="auto" w:fill="FFFFFF"/>
        </w:rPr>
        <w:t>’</w:t>
      </w:r>
      <w:r w:rsidRPr="006C3964">
        <w:rPr>
          <w:rFonts w:ascii="Garamond" w:hAnsi="Garamond"/>
        </w:rPr>
        <w:t xml:space="preserve"> , see https://www.bloomberg.com/news/articles/2019-12-19/analyst-jobs-vanish-as-a-perfect-storm-hits-wall-street-research.</w:t>
      </w:r>
    </w:p>
  </w:footnote>
  <w:footnote w:id="9">
    <w:p w14:paraId="05220A75" w14:textId="7AF4A118" w:rsidR="00B0560A" w:rsidRPr="006C3964" w:rsidRDefault="00B0560A" w:rsidP="005B3515">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Out of 48 papers reviewed by Habib, </w:t>
      </w:r>
      <w:r w:rsidRPr="006C3964">
        <w:rPr>
          <w:rFonts w:ascii="Garamond" w:hAnsi="Garamond"/>
        </w:rPr>
        <w:t xml:space="preserve">Hasan and Jiang (2017), only two study the consequences of crash risk. An et al. (2015) investigate the impact of crash risk on a firm’s speed of leverage adjustment </w:t>
      </w:r>
    </w:p>
  </w:footnote>
  <w:footnote w:id="10">
    <w:p w14:paraId="3E6B54A6" w14:textId="153ED0E4" w:rsidR="00B0560A" w:rsidRPr="006C3964" w:rsidRDefault="00B0560A">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We cannot reject the null that the number of forecasts each month is similar between 2018 and 2019.</w:t>
      </w:r>
    </w:p>
  </w:footnote>
  <w:footnote w:id="11">
    <w:p w14:paraId="4C3CC7CB" w14:textId="1D25E346" w:rsidR="00B0560A" w:rsidRPr="006C3964" w:rsidRDefault="00B0560A">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w:t>
      </w:r>
      <w:r w:rsidRPr="006C3964">
        <w:rPr>
          <w:rFonts w:ascii="Garamond" w:hAnsi="Garamond"/>
          <w:lang w:val="en-US"/>
        </w:rPr>
        <w:t>Because target prices have a 12-month forecast horizon, we do not have actual prices to compute target price forecast errors.</w:t>
      </w:r>
    </w:p>
  </w:footnote>
  <w:footnote w:id="12">
    <w:p w14:paraId="6C960726" w14:textId="45314DF0" w:rsidR="00B0560A" w:rsidRPr="006C3964" w:rsidRDefault="00B0560A">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w:t>
      </w:r>
      <w:r w:rsidR="006C3964">
        <w:rPr>
          <w:rFonts w:ascii="Garamond" w:hAnsi="Garamond"/>
        </w:rPr>
        <w:t xml:space="preserve">Because of differences in </w:t>
      </w:r>
      <w:r w:rsidR="006C3964">
        <w:rPr>
          <w:rFonts w:ascii="Garamond" w:hAnsi="Garamond"/>
        </w:rPr>
        <w:t>lervels, EPS revisions will tend to be smaller compared to revenue revisions making unstandardized coefficients less comparable</w:t>
      </w:r>
      <w:r w:rsidRPr="006C3964">
        <w:rPr>
          <w:rFonts w:ascii="Garamond" w:hAnsi="Garamond"/>
        </w:rPr>
        <w:t xml:space="preserve">. </w:t>
      </w:r>
    </w:p>
  </w:footnote>
  <w:footnote w:id="13">
    <w:p w14:paraId="252208D9" w14:textId="77777777" w:rsidR="00B0560A" w:rsidRPr="006C3964" w:rsidRDefault="00B0560A" w:rsidP="005C485C">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As we control for year effects, we do not include </w:t>
      </w:r>
      <w:r w:rsidRPr="006C3964">
        <w:rPr>
          <w:rFonts w:ascii="Garamond" w:hAnsi="Garamond"/>
          <w:i/>
          <w:iCs/>
        </w:rPr>
        <w:t>Covid</w:t>
      </w:r>
      <w:r w:rsidRPr="006C3964">
        <w:rPr>
          <w:rFonts w:ascii="Garamond" w:hAnsi="Garamond"/>
        </w:rPr>
        <w:t xml:space="preserve"> variable in the regression. The results are the same when we define </w:t>
      </w:r>
      <w:r w:rsidRPr="006C3964">
        <w:rPr>
          <w:rFonts w:ascii="Garamond" w:hAnsi="Garamond"/>
          <w:i/>
          <w:iCs/>
        </w:rPr>
        <w:t>Covid</w:t>
      </w:r>
      <w:r w:rsidRPr="006C3964">
        <w:rPr>
          <w:rFonts w:ascii="Garamond" w:hAnsi="Garamond"/>
        </w:rPr>
        <w:t xml:space="preserve"> starting from March 2020. </w:t>
      </w:r>
    </w:p>
  </w:footnote>
  <w:footnote w:id="14">
    <w:p w14:paraId="0BA487D2" w14:textId="71A3A1A6" w:rsidR="00B0560A" w:rsidRPr="006C3964" w:rsidRDefault="00B0560A">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For the price reaction regression, we omit the </w:t>
      </w:r>
      <w:r w:rsidRPr="006C3964">
        <w:rPr>
          <w:rFonts w:ascii="Garamond" w:hAnsi="Garamond"/>
          <w:i/>
          <w:iCs/>
        </w:rPr>
        <w:t>Missing news dummy</w:t>
      </w:r>
      <w:r w:rsidRPr="006C3964">
        <w:rPr>
          <w:rFonts w:ascii="Garamond" w:hAnsi="Garamond"/>
        </w:rPr>
        <w:t xml:space="preserve"> from the set of controls. </w:t>
      </w:r>
    </w:p>
  </w:footnote>
  <w:footnote w:id="15">
    <w:p w14:paraId="3C4C3351" w14:textId="3BAD2AAB" w:rsidR="00B0560A" w:rsidRPr="006C3964" w:rsidRDefault="00B0560A">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w:t>
      </w:r>
      <w:r w:rsidRPr="006C3964">
        <w:rPr>
          <w:rFonts w:ascii="Garamond" w:hAnsi="Garamond"/>
        </w:rPr>
        <w:t>Altinkilic and Hansen (2009, p. 18) report that ‘</w:t>
      </w:r>
      <w:r w:rsidR="006C3964">
        <w:rPr>
          <w:rFonts w:ascii="Garamond" w:hAnsi="Garamond"/>
        </w:rPr>
        <w:t>[</w:t>
      </w:r>
      <w:r w:rsidRPr="006C3964">
        <w:rPr>
          <w:rFonts w:ascii="Garamond" w:hAnsi="Garamond"/>
        </w:rPr>
        <w:t>S</w:t>
      </w:r>
      <w:r w:rsidR="006C3964">
        <w:rPr>
          <w:rFonts w:ascii="Garamond" w:hAnsi="Garamond"/>
        </w:rPr>
        <w:t>]</w:t>
      </w:r>
      <w:r w:rsidRPr="006C3964">
        <w:rPr>
          <w:rFonts w:ascii="Garamond" w:hAnsi="Garamond"/>
        </w:rPr>
        <w:t>tudies show that stock prices fall over 4% at downgrades and rise over 3% at upgrades.’</w:t>
      </w:r>
    </w:p>
  </w:footnote>
  <w:footnote w:id="16">
    <w:p w14:paraId="401D4156" w14:textId="77777777" w:rsidR="00B0560A" w:rsidRPr="006C3964" w:rsidRDefault="00B0560A" w:rsidP="00553B15">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We calculate this as the sum of coefficients on</w:t>
      </w:r>
      <w:r w:rsidRPr="006C3964">
        <w:rPr>
          <w:rFonts w:ascii="Garamond" w:eastAsia="Times New Roman" w:hAnsi="Garamond" w:cs="Calibri"/>
          <w:color w:val="000000"/>
          <w:lang w:eastAsia="en-GB"/>
        </w:rPr>
        <w:t>|∆EPS|×</w:t>
      </w:r>
      <w:r w:rsidRPr="006C3964">
        <w:rPr>
          <w:rFonts w:ascii="Garamond" w:eastAsia="Times New Roman" w:hAnsi="Garamond" w:cs="Calibri"/>
          <w:color w:val="000000"/>
          <w:lang w:eastAsia="en-GB"/>
        </w:rPr>
        <w:t xml:space="preserve">Covid and|∆EPS| dividend by the latter. </w:t>
      </w:r>
    </w:p>
  </w:footnote>
  <w:footnote w:id="17">
    <w:p w14:paraId="43DF5CDF" w14:textId="77777777" w:rsidR="00B0560A" w:rsidRPr="006C3964" w:rsidRDefault="00B0560A" w:rsidP="00B95516">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The price-to-sales ratio is </w:t>
      </w:r>
      <w:r w:rsidRPr="006C3964">
        <w:rPr>
          <w:rFonts w:ascii="Garamond" w:hAnsi="Garamond"/>
          <w:lang w:val="en-US"/>
        </w:rPr>
        <w:t>more useful in valuation for loss-making firms than the price-to-earnings ratio.</w:t>
      </w:r>
    </w:p>
  </w:footnote>
  <w:footnote w:id="18">
    <w:p w14:paraId="5408E4D5" w14:textId="2B87AC0D" w:rsidR="00B0560A" w:rsidRPr="006C3964" w:rsidRDefault="00B0560A">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See https://gs.statcounter.com/search-engine-market-share/all/united-states-of-america</w:t>
      </w:r>
    </w:p>
  </w:footnote>
  <w:footnote w:id="19">
    <w:p w14:paraId="3AD3AC0C" w14:textId="7C47DB0D" w:rsidR="00B0560A" w:rsidRPr="006C3964" w:rsidRDefault="00B0560A">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We do not interact the </w:t>
      </w:r>
      <w:r w:rsidRPr="006C3964">
        <w:rPr>
          <w:rFonts w:ascii="Garamond" w:hAnsi="Garamond"/>
          <w:i/>
          <w:iCs/>
        </w:rPr>
        <w:t>Google</w:t>
      </w:r>
      <w:r w:rsidRPr="006C3964">
        <w:rPr>
          <w:rFonts w:ascii="Garamond" w:hAnsi="Garamond"/>
        </w:rPr>
        <w:t xml:space="preserve"> measure with revisions during the pre-pandemic period as there are no searches for COVID-19 related terms during that period. Using only searches for </w:t>
      </w:r>
      <w:r w:rsidR="00FC3B60">
        <w:rPr>
          <w:rFonts w:ascii="Garamond" w:hAnsi="Garamond"/>
        </w:rPr>
        <w:t>‘</w:t>
      </w:r>
      <w:r w:rsidRPr="006C3964">
        <w:rPr>
          <w:rFonts w:ascii="Garamond" w:hAnsi="Garamond"/>
        </w:rPr>
        <w:t>stock market</w:t>
      </w:r>
      <w:r w:rsidR="00FC3B60">
        <w:rPr>
          <w:rFonts w:ascii="Garamond" w:hAnsi="Garamond"/>
        </w:rPr>
        <w:t>’</w:t>
      </w:r>
      <w:r w:rsidRPr="006C3964">
        <w:rPr>
          <w:rFonts w:ascii="Garamond" w:hAnsi="Garamond"/>
        </w:rPr>
        <w:t xml:space="preserve"> and </w:t>
      </w:r>
      <w:r w:rsidR="00FC3B60">
        <w:rPr>
          <w:rFonts w:ascii="Garamond" w:hAnsi="Garamond"/>
        </w:rPr>
        <w:t>‘</w:t>
      </w:r>
      <w:r w:rsidRPr="006C3964">
        <w:rPr>
          <w:rFonts w:ascii="Garamond" w:hAnsi="Garamond"/>
        </w:rPr>
        <w:t>SP500</w:t>
      </w:r>
      <w:r w:rsidR="00FC3B60">
        <w:rPr>
          <w:rFonts w:ascii="Garamond" w:hAnsi="Garamond"/>
        </w:rPr>
        <w:t>’</w:t>
      </w:r>
      <w:r w:rsidRPr="006C3964">
        <w:rPr>
          <w:rFonts w:ascii="Garamond" w:hAnsi="Garamond"/>
        </w:rPr>
        <w:t xml:space="preserve"> over the pre-pandemic period to build the </w:t>
      </w:r>
      <w:r w:rsidRPr="006C3964">
        <w:rPr>
          <w:rFonts w:ascii="Garamond" w:hAnsi="Garamond"/>
          <w:i/>
          <w:iCs/>
        </w:rPr>
        <w:t>Google</w:t>
      </w:r>
      <w:r w:rsidRPr="006C3964">
        <w:rPr>
          <w:rFonts w:ascii="Garamond" w:hAnsi="Garamond"/>
        </w:rPr>
        <w:t xml:space="preserve"> measure and then interacting it with pre-pandemic revisions has no impact on our conclusions. </w:t>
      </w:r>
    </w:p>
  </w:footnote>
  <w:footnote w:id="20">
    <w:p w14:paraId="4E2E524E" w14:textId="77777777" w:rsidR="00B0560A" w:rsidRPr="006C3964" w:rsidRDefault="00B0560A" w:rsidP="00DA4124">
      <w:pPr>
        <w:pStyle w:val="FootnoteText"/>
        <w:rPr>
          <w:rFonts w:ascii="Garamond" w:hAnsi="Garamond"/>
        </w:rPr>
      </w:pPr>
      <w:r w:rsidRPr="006C3964">
        <w:rPr>
          <w:rStyle w:val="FootnoteReference"/>
          <w:rFonts w:ascii="Garamond" w:hAnsi="Garamond"/>
        </w:rPr>
        <w:footnoteRef/>
      </w:r>
      <w:r w:rsidRPr="006C3964">
        <w:rPr>
          <w:rFonts w:ascii="Garamond" w:hAnsi="Garamond"/>
        </w:rPr>
        <w:t xml:space="preserve"> We focus on earnings forecasts as revisions in other estimates tend to be less frequent in the short window around earnings announcements, which leaves relatively few observations.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EE"/>
    <w:rsid w:val="00010052"/>
    <w:rsid w:val="00012F3C"/>
    <w:rsid w:val="00021E80"/>
    <w:rsid w:val="0003797F"/>
    <w:rsid w:val="0004217B"/>
    <w:rsid w:val="00046F05"/>
    <w:rsid w:val="0005132D"/>
    <w:rsid w:val="0005382E"/>
    <w:rsid w:val="00064708"/>
    <w:rsid w:val="00067E3E"/>
    <w:rsid w:val="0007203A"/>
    <w:rsid w:val="0007283B"/>
    <w:rsid w:val="000732BC"/>
    <w:rsid w:val="00075CE6"/>
    <w:rsid w:val="000762B0"/>
    <w:rsid w:val="000A02EA"/>
    <w:rsid w:val="000A0F02"/>
    <w:rsid w:val="000A53D8"/>
    <w:rsid w:val="000B3DC4"/>
    <w:rsid w:val="000B691B"/>
    <w:rsid w:val="000C0F0E"/>
    <w:rsid w:val="000C6AB5"/>
    <w:rsid w:val="000D06BE"/>
    <w:rsid w:val="000D3230"/>
    <w:rsid w:val="000E29FF"/>
    <w:rsid w:val="000E64BA"/>
    <w:rsid w:val="000F25A7"/>
    <w:rsid w:val="001074CC"/>
    <w:rsid w:val="001140CB"/>
    <w:rsid w:val="001140E1"/>
    <w:rsid w:val="00125F90"/>
    <w:rsid w:val="0014601E"/>
    <w:rsid w:val="00150556"/>
    <w:rsid w:val="001512A6"/>
    <w:rsid w:val="001535BE"/>
    <w:rsid w:val="0015379F"/>
    <w:rsid w:val="00154529"/>
    <w:rsid w:val="0016174B"/>
    <w:rsid w:val="0017236E"/>
    <w:rsid w:val="00176496"/>
    <w:rsid w:val="00177D62"/>
    <w:rsid w:val="00181935"/>
    <w:rsid w:val="00184A7C"/>
    <w:rsid w:val="00187690"/>
    <w:rsid w:val="001B0CF5"/>
    <w:rsid w:val="001C15A4"/>
    <w:rsid w:val="001D0773"/>
    <w:rsid w:val="001D5392"/>
    <w:rsid w:val="001D7869"/>
    <w:rsid w:val="001E3286"/>
    <w:rsid w:val="001E430E"/>
    <w:rsid w:val="00202BCB"/>
    <w:rsid w:val="00205827"/>
    <w:rsid w:val="0020669E"/>
    <w:rsid w:val="00207C8A"/>
    <w:rsid w:val="00217C8A"/>
    <w:rsid w:val="002224B7"/>
    <w:rsid w:val="00232BF7"/>
    <w:rsid w:val="00235773"/>
    <w:rsid w:val="00241E1D"/>
    <w:rsid w:val="00252E0E"/>
    <w:rsid w:val="00257CE0"/>
    <w:rsid w:val="00270BA6"/>
    <w:rsid w:val="002725C0"/>
    <w:rsid w:val="00272B3F"/>
    <w:rsid w:val="00282BDC"/>
    <w:rsid w:val="002834D2"/>
    <w:rsid w:val="00283825"/>
    <w:rsid w:val="00284662"/>
    <w:rsid w:val="00290545"/>
    <w:rsid w:val="00294626"/>
    <w:rsid w:val="002A2C85"/>
    <w:rsid w:val="002A459A"/>
    <w:rsid w:val="002A5402"/>
    <w:rsid w:val="002A7868"/>
    <w:rsid w:val="002B78C7"/>
    <w:rsid w:val="002C72EB"/>
    <w:rsid w:val="002C7C34"/>
    <w:rsid w:val="002C7E5A"/>
    <w:rsid w:val="002E05C7"/>
    <w:rsid w:val="002E0EB2"/>
    <w:rsid w:val="002F1BDF"/>
    <w:rsid w:val="002F501E"/>
    <w:rsid w:val="00302F87"/>
    <w:rsid w:val="00315B10"/>
    <w:rsid w:val="00322CA1"/>
    <w:rsid w:val="003343B8"/>
    <w:rsid w:val="00335865"/>
    <w:rsid w:val="00337155"/>
    <w:rsid w:val="00340AF9"/>
    <w:rsid w:val="003569E9"/>
    <w:rsid w:val="003576F8"/>
    <w:rsid w:val="00363DB5"/>
    <w:rsid w:val="0038347C"/>
    <w:rsid w:val="00383E8C"/>
    <w:rsid w:val="00392A26"/>
    <w:rsid w:val="00395D61"/>
    <w:rsid w:val="00397EC3"/>
    <w:rsid w:val="003A0265"/>
    <w:rsid w:val="003A5CC3"/>
    <w:rsid w:val="003A720B"/>
    <w:rsid w:val="003B04ED"/>
    <w:rsid w:val="003B2386"/>
    <w:rsid w:val="003B552D"/>
    <w:rsid w:val="003B6E35"/>
    <w:rsid w:val="003C66A1"/>
    <w:rsid w:val="003C77FB"/>
    <w:rsid w:val="003D74FE"/>
    <w:rsid w:val="003F349B"/>
    <w:rsid w:val="003F48BF"/>
    <w:rsid w:val="003F5C24"/>
    <w:rsid w:val="003F717C"/>
    <w:rsid w:val="004004AC"/>
    <w:rsid w:val="00400800"/>
    <w:rsid w:val="00404B3A"/>
    <w:rsid w:val="0040776B"/>
    <w:rsid w:val="00413E00"/>
    <w:rsid w:val="00426A66"/>
    <w:rsid w:val="0043755F"/>
    <w:rsid w:val="00441B89"/>
    <w:rsid w:val="00442D3E"/>
    <w:rsid w:val="00444F1C"/>
    <w:rsid w:val="00445B79"/>
    <w:rsid w:val="004524AD"/>
    <w:rsid w:val="00456740"/>
    <w:rsid w:val="00456C61"/>
    <w:rsid w:val="00466307"/>
    <w:rsid w:val="00474C68"/>
    <w:rsid w:val="00474F47"/>
    <w:rsid w:val="00475348"/>
    <w:rsid w:val="00475958"/>
    <w:rsid w:val="00476E80"/>
    <w:rsid w:val="00482BE0"/>
    <w:rsid w:val="00484999"/>
    <w:rsid w:val="00495AD6"/>
    <w:rsid w:val="004B0381"/>
    <w:rsid w:val="004B6C02"/>
    <w:rsid w:val="004C4C30"/>
    <w:rsid w:val="004C63F1"/>
    <w:rsid w:val="004C6E0D"/>
    <w:rsid w:val="004D0B0C"/>
    <w:rsid w:val="004D448B"/>
    <w:rsid w:val="004E5C9D"/>
    <w:rsid w:val="004E627C"/>
    <w:rsid w:val="004F2B8E"/>
    <w:rsid w:val="00500132"/>
    <w:rsid w:val="0050071C"/>
    <w:rsid w:val="00502537"/>
    <w:rsid w:val="00502A2F"/>
    <w:rsid w:val="00516D02"/>
    <w:rsid w:val="00517AF4"/>
    <w:rsid w:val="00524E96"/>
    <w:rsid w:val="00525EAB"/>
    <w:rsid w:val="005263EE"/>
    <w:rsid w:val="0053270B"/>
    <w:rsid w:val="0053691C"/>
    <w:rsid w:val="005439D2"/>
    <w:rsid w:val="00553988"/>
    <w:rsid w:val="00553B15"/>
    <w:rsid w:val="005612B4"/>
    <w:rsid w:val="00562A21"/>
    <w:rsid w:val="005645D7"/>
    <w:rsid w:val="00572F16"/>
    <w:rsid w:val="0058740E"/>
    <w:rsid w:val="00593323"/>
    <w:rsid w:val="00596D27"/>
    <w:rsid w:val="005A6AA9"/>
    <w:rsid w:val="005B1A7F"/>
    <w:rsid w:val="005B2474"/>
    <w:rsid w:val="005B3515"/>
    <w:rsid w:val="005B465E"/>
    <w:rsid w:val="005C1EBC"/>
    <w:rsid w:val="005C485C"/>
    <w:rsid w:val="005E0265"/>
    <w:rsid w:val="005E20A7"/>
    <w:rsid w:val="005E6620"/>
    <w:rsid w:val="005F57BF"/>
    <w:rsid w:val="005F5E98"/>
    <w:rsid w:val="0060175E"/>
    <w:rsid w:val="006023B8"/>
    <w:rsid w:val="0060526B"/>
    <w:rsid w:val="006126DB"/>
    <w:rsid w:val="006144B6"/>
    <w:rsid w:val="0061533D"/>
    <w:rsid w:val="006236C8"/>
    <w:rsid w:val="00642092"/>
    <w:rsid w:val="00642D33"/>
    <w:rsid w:val="00644008"/>
    <w:rsid w:val="00645BF1"/>
    <w:rsid w:val="00651AA0"/>
    <w:rsid w:val="00661E5B"/>
    <w:rsid w:val="006648B2"/>
    <w:rsid w:val="00670207"/>
    <w:rsid w:val="0067398F"/>
    <w:rsid w:val="006777E9"/>
    <w:rsid w:val="00677DB3"/>
    <w:rsid w:val="00683CBF"/>
    <w:rsid w:val="00683E1A"/>
    <w:rsid w:val="00684793"/>
    <w:rsid w:val="006849A3"/>
    <w:rsid w:val="00686B4B"/>
    <w:rsid w:val="00696392"/>
    <w:rsid w:val="00696C7C"/>
    <w:rsid w:val="0069755D"/>
    <w:rsid w:val="006A394C"/>
    <w:rsid w:val="006A4D6D"/>
    <w:rsid w:val="006B04FB"/>
    <w:rsid w:val="006B0968"/>
    <w:rsid w:val="006B1862"/>
    <w:rsid w:val="006B2B43"/>
    <w:rsid w:val="006C32D5"/>
    <w:rsid w:val="006C3964"/>
    <w:rsid w:val="006D14F8"/>
    <w:rsid w:val="006D390F"/>
    <w:rsid w:val="006D44BB"/>
    <w:rsid w:val="006E2D2B"/>
    <w:rsid w:val="006F4197"/>
    <w:rsid w:val="00704DE8"/>
    <w:rsid w:val="007136DF"/>
    <w:rsid w:val="007176B4"/>
    <w:rsid w:val="00721513"/>
    <w:rsid w:val="00732461"/>
    <w:rsid w:val="007405DD"/>
    <w:rsid w:val="00745197"/>
    <w:rsid w:val="00752936"/>
    <w:rsid w:val="007530E1"/>
    <w:rsid w:val="00761BF5"/>
    <w:rsid w:val="007772E2"/>
    <w:rsid w:val="007810D1"/>
    <w:rsid w:val="007932A4"/>
    <w:rsid w:val="00794F34"/>
    <w:rsid w:val="007A3ED7"/>
    <w:rsid w:val="007A55D0"/>
    <w:rsid w:val="007A696C"/>
    <w:rsid w:val="007B162B"/>
    <w:rsid w:val="007B1C19"/>
    <w:rsid w:val="007B47C6"/>
    <w:rsid w:val="007B731D"/>
    <w:rsid w:val="007C0051"/>
    <w:rsid w:val="007C0802"/>
    <w:rsid w:val="007C0B7D"/>
    <w:rsid w:val="007C6F8D"/>
    <w:rsid w:val="007E2CAF"/>
    <w:rsid w:val="007E500B"/>
    <w:rsid w:val="007E5C4D"/>
    <w:rsid w:val="007F2D01"/>
    <w:rsid w:val="007F6AE9"/>
    <w:rsid w:val="00803478"/>
    <w:rsid w:val="00807010"/>
    <w:rsid w:val="00832F2A"/>
    <w:rsid w:val="00834A09"/>
    <w:rsid w:val="0083794E"/>
    <w:rsid w:val="00840DB0"/>
    <w:rsid w:val="00852ADC"/>
    <w:rsid w:val="00867B57"/>
    <w:rsid w:val="00870292"/>
    <w:rsid w:val="00877797"/>
    <w:rsid w:val="00887797"/>
    <w:rsid w:val="00887C9E"/>
    <w:rsid w:val="008900C3"/>
    <w:rsid w:val="00890AFB"/>
    <w:rsid w:val="00893F8F"/>
    <w:rsid w:val="008A057E"/>
    <w:rsid w:val="008A3A95"/>
    <w:rsid w:val="008A55D2"/>
    <w:rsid w:val="008B151C"/>
    <w:rsid w:val="008B30DF"/>
    <w:rsid w:val="008B451B"/>
    <w:rsid w:val="008B6B24"/>
    <w:rsid w:val="008B7D18"/>
    <w:rsid w:val="008C11C1"/>
    <w:rsid w:val="008D331E"/>
    <w:rsid w:val="008D62D2"/>
    <w:rsid w:val="008D657F"/>
    <w:rsid w:val="008D74F9"/>
    <w:rsid w:val="008E67B9"/>
    <w:rsid w:val="008F4FE5"/>
    <w:rsid w:val="009057FE"/>
    <w:rsid w:val="00906D64"/>
    <w:rsid w:val="0091538E"/>
    <w:rsid w:val="009215F8"/>
    <w:rsid w:val="00922206"/>
    <w:rsid w:val="00924DED"/>
    <w:rsid w:val="00930B33"/>
    <w:rsid w:val="00930C8F"/>
    <w:rsid w:val="00943DE1"/>
    <w:rsid w:val="00944D40"/>
    <w:rsid w:val="00945BCE"/>
    <w:rsid w:val="00950A07"/>
    <w:rsid w:val="00953A86"/>
    <w:rsid w:val="00953B87"/>
    <w:rsid w:val="00955A72"/>
    <w:rsid w:val="009571C5"/>
    <w:rsid w:val="00966000"/>
    <w:rsid w:val="009763D1"/>
    <w:rsid w:val="00977851"/>
    <w:rsid w:val="009865F4"/>
    <w:rsid w:val="00993E51"/>
    <w:rsid w:val="00994922"/>
    <w:rsid w:val="00995E53"/>
    <w:rsid w:val="00995FBA"/>
    <w:rsid w:val="009960B6"/>
    <w:rsid w:val="009A032F"/>
    <w:rsid w:val="009A2740"/>
    <w:rsid w:val="009A2EA7"/>
    <w:rsid w:val="009A34FE"/>
    <w:rsid w:val="009A5242"/>
    <w:rsid w:val="009B1555"/>
    <w:rsid w:val="009B254A"/>
    <w:rsid w:val="009B6D38"/>
    <w:rsid w:val="009D27AA"/>
    <w:rsid w:val="009D3EB2"/>
    <w:rsid w:val="009D68D3"/>
    <w:rsid w:val="009D7113"/>
    <w:rsid w:val="009E0836"/>
    <w:rsid w:val="009E74C3"/>
    <w:rsid w:val="009F0C98"/>
    <w:rsid w:val="00A07EEC"/>
    <w:rsid w:val="00A159C6"/>
    <w:rsid w:val="00A15CFD"/>
    <w:rsid w:val="00A22DEC"/>
    <w:rsid w:val="00A25566"/>
    <w:rsid w:val="00A26CDF"/>
    <w:rsid w:val="00A2730F"/>
    <w:rsid w:val="00A27700"/>
    <w:rsid w:val="00A27C82"/>
    <w:rsid w:val="00A37F27"/>
    <w:rsid w:val="00A4159B"/>
    <w:rsid w:val="00A52788"/>
    <w:rsid w:val="00A53D5A"/>
    <w:rsid w:val="00A575E2"/>
    <w:rsid w:val="00A616D4"/>
    <w:rsid w:val="00A61E50"/>
    <w:rsid w:val="00A64B21"/>
    <w:rsid w:val="00A64BAB"/>
    <w:rsid w:val="00A6547C"/>
    <w:rsid w:val="00A77131"/>
    <w:rsid w:val="00A90C33"/>
    <w:rsid w:val="00A93B43"/>
    <w:rsid w:val="00A9430D"/>
    <w:rsid w:val="00A95740"/>
    <w:rsid w:val="00A96858"/>
    <w:rsid w:val="00AB460D"/>
    <w:rsid w:val="00AB4FA4"/>
    <w:rsid w:val="00AC0222"/>
    <w:rsid w:val="00AC05D8"/>
    <w:rsid w:val="00AC29BE"/>
    <w:rsid w:val="00AD5F1D"/>
    <w:rsid w:val="00AE2B74"/>
    <w:rsid w:val="00AE7DCA"/>
    <w:rsid w:val="00AF1461"/>
    <w:rsid w:val="00AF20D8"/>
    <w:rsid w:val="00AF72BD"/>
    <w:rsid w:val="00B0560A"/>
    <w:rsid w:val="00B11BCB"/>
    <w:rsid w:val="00B21D2D"/>
    <w:rsid w:val="00B21F73"/>
    <w:rsid w:val="00B23D1B"/>
    <w:rsid w:val="00B25495"/>
    <w:rsid w:val="00B259DE"/>
    <w:rsid w:val="00B3434C"/>
    <w:rsid w:val="00B35403"/>
    <w:rsid w:val="00B41C0F"/>
    <w:rsid w:val="00B47A85"/>
    <w:rsid w:val="00B47B1A"/>
    <w:rsid w:val="00B6098B"/>
    <w:rsid w:val="00B615C2"/>
    <w:rsid w:val="00B6297B"/>
    <w:rsid w:val="00B63788"/>
    <w:rsid w:val="00B70137"/>
    <w:rsid w:val="00B71B7F"/>
    <w:rsid w:val="00B72FBD"/>
    <w:rsid w:val="00B75E22"/>
    <w:rsid w:val="00B77C29"/>
    <w:rsid w:val="00B80E81"/>
    <w:rsid w:val="00B822DA"/>
    <w:rsid w:val="00B871E4"/>
    <w:rsid w:val="00B95516"/>
    <w:rsid w:val="00BA1595"/>
    <w:rsid w:val="00BA323D"/>
    <w:rsid w:val="00BA3B7D"/>
    <w:rsid w:val="00BA59DC"/>
    <w:rsid w:val="00BA699E"/>
    <w:rsid w:val="00BA6C5D"/>
    <w:rsid w:val="00BC62E7"/>
    <w:rsid w:val="00BC737B"/>
    <w:rsid w:val="00BF5075"/>
    <w:rsid w:val="00C04688"/>
    <w:rsid w:val="00C144C2"/>
    <w:rsid w:val="00C1636D"/>
    <w:rsid w:val="00C261BE"/>
    <w:rsid w:val="00C30273"/>
    <w:rsid w:val="00C36052"/>
    <w:rsid w:val="00C372F9"/>
    <w:rsid w:val="00C55A1B"/>
    <w:rsid w:val="00C57421"/>
    <w:rsid w:val="00C63A15"/>
    <w:rsid w:val="00C67A40"/>
    <w:rsid w:val="00C74561"/>
    <w:rsid w:val="00C764DD"/>
    <w:rsid w:val="00C86EFF"/>
    <w:rsid w:val="00C91137"/>
    <w:rsid w:val="00C91163"/>
    <w:rsid w:val="00C91461"/>
    <w:rsid w:val="00C9379B"/>
    <w:rsid w:val="00CA5DF0"/>
    <w:rsid w:val="00CB739F"/>
    <w:rsid w:val="00CC6E1F"/>
    <w:rsid w:val="00CE11A2"/>
    <w:rsid w:val="00CE68B9"/>
    <w:rsid w:val="00CF30E3"/>
    <w:rsid w:val="00D04AA0"/>
    <w:rsid w:val="00D06F2B"/>
    <w:rsid w:val="00D150EA"/>
    <w:rsid w:val="00D245D3"/>
    <w:rsid w:val="00D2623E"/>
    <w:rsid w:val="00D26480"/>
    <w:rsid w:val="00D268C6"/>
    <w:rsid w:val="00D4005B"/>
    <w:rsid w:val="00D42D0D"/>
    <w:rsid w:val="00D45FA0"/>
    <w:rsid w:val="00D46F54"/>
    <w:rsid w:val="00D46FC0"/>
    <w:rsid w:val="00D476D2"/>
    <w:rsid w:val="00D5646F"/>
    <w:rsid w:val="00D572FA"/>
    <w:rsid w:val="00D662CC"/>
    <w:rsid w:val="00D6711E"/>
    <w:rsid w:val="00D709F6"/>
    <w:rsid w:val="00D72F8B"/>
    <w:rsid w:val="00D74002"/>
    <w:rsid w:val="00D74F1A"/>
    <w:rsid w:val="00D75DB8"/>
    <w:rsid w:val="00D87B5D"/>
    <w:rsid w:val="00D87E11"/>
    <w:rsid w:val="00D91172"/>
    <w:rsid w:val="00DA17B8"/>
    <w:rsid w:val="00DA17D2"/>
    <w:rsid w:val="00DA2924"/>
    <w:rsid w:val="00DA4124"/>
    <w:rsid w:val="00DB1093"/>
    <w:rsid w:val="00DB656A"/>
    <w:rsid w:val="00DC6FF3"/>
    <w:rsid w:val="00DC75CF"/>
    <w:rsid w:val="00DD4D2D"/>
    <w:rsid w:val="00DD604F"/>
    <w:rsid w:val="00DE1768"/>
    <w:rsid w:val="00DF0855"/>
    <w:rsid w:val="00DF159E"/>
    <w:rsid w:val="00DF27EB"/>
    <w:rsid w:val="00DF2DE6"/>
    <w:rsid w:val="00DF5424"/>
    <w:rsid w:val="00DF6317"/>
    <w:rsid w:val="00DF6A93"/>
    <w:rsid w:val="00E034B2"/>
    <w:rsid w:val="00E050DE"/>
    <w:rsid w:val="00E1103E"/>
    <w:rsid w:val="00E1640E"/>
    <w:rsid w:val="00E167DA"/>
    <w:rsid w:val="00E16FCF"/>
    <w:rsid w:val="00E2797E"/>
    <w:rsid w:val="00E3155C"/>
    <w:rsid w:val="00E34FCD"/>
    <w:rsid w:val="00E35B69"/>
    <w:rsid w:val="00E40CA6"/>
    <w:rsid w:val="00E44CF2"/>
    <w:rsid w:val="00E475B3"/>
    <w:rsid w:val="00E538B2"/>
    <w:rsid w:val="00E55B57"/>
    <w:rsid w:val="00E60165"/>
    <w:rsid w:val="00E712B5"/>
    <w:rsid w:val="00E71611"/>
    <w:rsid w:val="00E73B17"/>
    <w:rsid w:val="00E85C56"/>
    <w:rsid w:val="00E90983"/>
    <w:rsid w:val="00E93730"/>
    <w:rsid w:val="00EA3C04"/>
    <w:rsid w:val="00EA4B86"/>
    <w:rsid w:val="00EA65BC"/>
    <w:rsid w:val="00EA7096"/>
    <w:rsid w:val="00EB69C3"/>
    <w:rsid w:val="00EC4566"/>
    <w:rsid w:val="00ED0421"/>
    <w:rsid w:val="00ED0BC3"/>
    <w:rsid w:val="00ED68FB"/>
    <w:rsid w:val="00EE0603"/>
    <w:rsid w:val="00EE24C3"/>
    <w:rsid w:val="00EE252E"/>
    <w:rsid w:val="00EE2F36"/>
    <w:rsid w:val="00EF1E48"/>
    <w:rsid w:val="00EF5BE3"/>
    <w:rsid w:val="00F0230F"/>
    <w:rsid w:val="00F14DD2"/>
    <w:rsid w:val="00F212B5"/>
    <w:rsid w:val="00F25956"/>
    <w:rsid w:val="00F305B7"/>
    <w:rsid w:val="00F37F65"/>
    <w:rsid w:val="00F400E1"/>
    <w:rsid w:val="00F42609"/>
    <w:rsid w:val="00F56CB8"/>
    <w:rsid w:val="00F571DB"/>
    <w:rsid w:val="00F6259C"/>
    <w:rsid w:val="00F716E0"/>
    <w:rsid w:val="00F75BBE"/>
    <w:rsid w:val="00F8045B"/>
    <w:rsid w:val="00F850C1"/>
    <w:rsid w:val="00F93008"/>
    <w:rsid w:val="00F95FEE"/>
    <w:rsid w:val="00FB0C6F"/>
    <w:rsid w:val="00FB60B0"/>
    <w:rsid w:val="00FB6818"/>
    <w:rsid w:val="00FC3B60"/>
    <w:rsid w:val="00FC72DB"/>
    <w:rsid w:val="00FC752E"/>
    <w:rsid w:val="00FD171B"/>
    <w:rsid w:val="00FD1D43"/>
    <w:rsid w:val="00FD1F72"/>
    <w:rsid w:val="00FD7F82"/>
    <w:rsid w:val="00FE0001"/>
    <w:rsid w:val="00FE2CB5"/>
    <w:rsid w:val="00FE3AD2"/>
    <w:rsid w:val="00FE4DA3"/>
    <w:rsid w:val="00FE56C6"/>
    <w:rsid w:val="00FF117E"/>
    <w:rsid w:val="00FF2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58E8"/>
  <w15:chartTrackingRefBased/>
  <w15:docId w15:val="{C4F4C799-7CD8-4834-B0D6-3EF95771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B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FEE"/>
    <w:rPr>
      <w:color w:val="0563C1" w:themeColor="hyperlink"/>
      <w:u w:val="single"/>
    </w:rPr>
  </w:style>
  <w:style w:type="character" w:styleId="UnresolvedMention">
    <w:name w:val="Unresolved Mention"/>
    <w:basedOn w:val="DefaultParagraphFont"/>
    <w:uiPriority w:val="99"/>
    <w:semiHidden/>
    <w:unhideWhenUsed/>
    <w:rsid w:val="00F95FEE"/>
    <w:rPr>
      <w:color w:val="605E5C"/>
      <w:shd w:val="clear" w:color="auto" w:fill="E1DFDD"/>
    </w:rPr>
  </w:style>
  <w:style w:type="paragraph" w:styleId="ListParagraph">
    <w:name w:val="List Paragraph"/>
    <w:basedOn w:val="Normal"/>
    <w:uiPriority w:val="34"/>
    <w:qFormat/>
    <w:rsid w:val="00AC05D8"/>
    <w:pPr>
      <w:ind w:left="720"/>
      <w:contextualSpacing/>
    </w:pPr>
  </w:style>
  <w:style w:type="paragraph" w:styleId="BalloonText">
    <w:name w:val="Balloon Text"/>
    <w:basedOn w:val="Normal"/>
    <w:link w:val="BalloonTextChar"/>
    <w:uiPriority w:val="99"/>
    <w:semiHidden/>
    <w:unhideWhenUsed/>
    <w:rsid w:val="00D66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2CC"/>
    <w:rPr>
      <w:rFonts w:ascii="Segoe UI" w:hAnsi="Segoe UI" w:cs="Segoe UI"/>
      <w:sz w:val="18"/>
      <w:szCs w:val="18"/>
    </w:rPr>
  </w:style>
  <w:style w:type="table" w:styleId="TableGrid">
    <w:name w:val="Table Grid"/>
    <w:basedOn w:val="TableNormal"/>
    <w:uiPriority w:val="39"/>
    <w:rsid w:val="006F4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6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D02"/>
  </w:style>
  <w:style w:type="paragraph" w:styleId="Footer">
    <w:name w:val="footer"/>
    <w:basedOn w:val="Normal"/>
    <w:link w:val="FooterChar"/>
    <w:uiPriority w:val="99"/>
    <w:unhideWhenUsed/>
    <w:rsid w:val="00516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D02"/>
  </w:style>
  <w:style w:type="paragraph" w:styleId="FootnoteText">
    <w:name w:val="footnote text"/>
    <w:basedOn w:val="Normal"/>
    <w:link w:val="FootnoteTextChar"/>
    <w:uiPriority w:val="99"/>
    <w:unhideWhenUsed/>
    <w:rsid w:val="00B41C0F"/>
    <w:pPr>
      <w:spacing w:after="0" w:line="240" w:lineRule="auto"/>
    </w:pPr>
    <w:rPr>
      <w:sz w:val="20"/>
      <w:szCs w:val="20"/>
    </w:rPr>
  </w:style>
  <w:style w:type="character" w:customStyle="1" w:styleId="FootnoteTextChar">
    <w:name w:val="Footnote Text Char"/>
    <w:basedOn w:val="DefaultParagraphFont"/>
    <w:link w:val="FootnoteText"/>
    <w:uiPriority w:val="99"/>
    <w:rsid w:val="00B41C0F"/>
    <w:rPr>
      <w:sz w:val="20"/>
      <w:szCs w:val="20"/>
    </w:rPr>
  </w:style>
  <w:style w:type="character" w:styleId="FootnoteReference">
    <w:name w:val="footnote reference"/>
    <w:basedOn w:val="DefaultParagraphFont"/>
    <w:uiPriority w:val="99"/>
    <w:unhideWhenUsed/>
    <w:rsid w:val="00B41C0F"/>
    <w:rPr>
      <w:vertAlign w:val="superscript"/>
    </w:rPr>
  </w:style>
  <w:style w:type="character" w:styleId="CommentReference">
    <w:name w:val="annotation reference"/>
    <w:basedOn w:val="DefaultParagraphFont"/>
    <w:uiPriority w:val="99"/>
    <w:semiHidden/>
    <w:unhideWhenUsed/>
    <w:rsid w:val="008B7D18"/>
    <w:rPr>
      <w:sz w:val="16"/>
      <w:szCs w:val="16"/>
    </w:rPr>
  </w:style>
  <w:style w:type="paragraph" w:styleId="CommentText">
    <w:name w:val="annotation text"/>
    <w:basedOn w:val="Normal"/>
    <w:link w:val="CommentTextChar"/>
    <w:uiPriority w:val="99"/>
    <w:semiHidden/>
    <w:unhideWhenUsed/>
    <w:rsid w:val="008B7D18"/>
    <w:pPr>
      <w:spacing w:line="240" w:lineRule="auto"/>
    </w:pPr>
    <w:rPr>
      <w:sz w:val="20"/>
      <w:szCs w:val="20"/>
    </w:rPr>
  </w:style>
  <w:style w:type="character" w:customStyle="1" w:styleId="CommentTextChar">
    <w:name w:val="Comment Text Char"/>
    <w:basedOn w:val="DefaultParagraphFont"/>
    <w:link w:val="CommentText"/>
    <w:uiPriority w:val="99"/>
    <w:semiHidden/>
    <w:rsid w:val="008B7D18"/>
    <w:rPr>
      <w:sz w:val="20"/>
      <w:szCs w:val="20"/>
    </w:rPr>
  </w:style>
  <w:style w:type="paragraph" w:styleId="CommentSubject">
    <w:name w:val="annotation subject"/>
    <w:basedOn w:val="CommentText"/>
    <w:next w:val="CommentText"/>
    <w:link w:val="CommentSubjectChar"/>
    <w:uiPriority w:val="99"/>
    <w:semiHidden/>
    <w:unhideWhenUsed/>
    <w:rsid w:val="008B7D18"/>
    <w:rPr>
      <w:b/>
      <w:bCs/>
    </w:rPr>
  </w:style>
  <w:style w:type="character" w:customStyle="1" w:styleId="CommentSubjectChar">
    <w:name w:val="Comment Subject Char"/>
    <w:basedOn w:val="CommentTextChar"/>
    <w:link w:val="CommentSubject"/>
    <w:uiPriority w:val="99"/>
    <w:semiHidden/>
    <w:rsid w:val="008B7D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8001">
      <w:bodyDiv w:val="1"/>
      <w:marLeft w:val="0"/>
      <w:marRight w:val="0"/>
      <w:marTop w:val="0"/>
      <w:marBottom w:val="0"/>
      <w:divBdr>
        <w:top w:val="none" w:sz="0" w:space="0" w:color="auto"/>
        <w:left w:val="none" w:sz="0" w:space="0" w:color="auto"/>
        <w:bottom w:val="none" w:sz="0" w:space="0" w:color="auto"/>
        <w:right w:val="none" w:sz="0" w:space="0" w:color="auto"/>
      </w:divBdr>
    </w:div>
    <w:div w:id="260071837">
      <w:bodyDiv w:val="1"/>
      <w:marLeft w:val="0"/>
      <w:marRight w:val="0"/>
      <w:marTop w:val="0"/>
      <w:marBottom w:val="0"/>
      <w:divBdr>
        <w:top w:val="none" w:sz="0" w:space="0" w:color="auto"/>
        <w:left w:val="none" w:sz="0" w:space="0" w:color="auto"/>
        <w:bottom w:val="none" w:sz="0" w:space="0" w:color="auto"/>
        <w:right w:val="none" w:sz="0" w:space="0" w:color="auto"/>
      </w:divBdr>
    </w:div>
    <w:div w:id="272060959">
      <w:bodyDiv w:val="1"/>
      <w:marLeft w:val="0"/>
      <w:marRight w:val="0"/>
      <w:marTop w:val="0"/>
      <w:marBottom w:val="0"/>
      <w:divBdr>
        <w:top w:val="none" w:sz="0" w:space="0" w:color="auto"/>
        <w:left w:val="none" w:sz="0" w:space="0" w:color="auto"/>
        <w:bottom w:val="none" w:sz="0" w:space="0" w:color="auto"/>
        <w:right w:val="none" w:sz="0" w:space="0" w:color="auto"/>
      </w:divBdr>
    </w:div>
    <w:div w:id="289479401">
      <w:bodyDiv w:val="1"/>
      <w:marLeft w:val="0"/>
      <w:marRight w:val="0"/>
      <w:marTop w:val="0"/>
      <w:marBottom w:val="0"/>
      <w:divBdr>
        <w:top w:val="none" w:sz="0" w:space="0" w:color="auto"/>
        <w:left w:val="none" w:sz="0" w:space="0" w:color="auto"/>
        <w:bottom w:val="none" w:sz="0" w:space="0" w:color="auto"/>
        <w:right w:val="none" w:sz="0" w:space="0" w:color="auto"/>
      </w:divBdr>
    </w:div>
    <w:div w:id="330379010">
      <w:bodyDiv w:val="1"/>
      <w:marLeft w:val="0"/>
      <w:marRight w:val="0"/>
      <w:marTop w:val="0"/>
      <w:marBottom w:val="0"/>
      <w:divBdr>
        <w:top w:val="none" w:sz="0" w:space="0" w:color="auto"/>
        <w:left w:val="none" w:sz="0" w:space="0" w:color="auto"/>
        <w:bottom w:val="none" w:sz="0" w:space="0" w:color="auto"/>
        <w:right w:val="none" w:sz="0" w:space="0" w:color="auto"/>
      </w:divBdr>
    </w:div>
    <w:div w:id="425686546">
      <w:bodyDiv w:val="1"/>
      <w:marLeft w:val="0"/>
      <w:marRight w:val="0"/>
      <w:marTop w:val="0"/>
      <w:marBottom w:val="0"/>
      <w:divBdr>
        <w:top w:val="none" w:sz="0" w:space="0" w:color="auto"/>
        <w:left w:val="none" w:sz="0" w:space="0" w:color="auto"/>
        <w:bottom w:val="none" w:sz="0" w:space="0" w:color="auto"/>
        <w:right w:val="none" w:sz="0" w:space="0" w:color="auto"/>
      </w:divBdr>
    </w:div>
    <w:div w:id="438376915">
      <w:bodyDiv w:val="1"/>
      <w:marLeft w:val="0"/>
      <w:marRight w:val="0"/>
      <w:marTop w:val="0"/>
      <w:marBottom w:val="0"/>
      <w:divBdr>
        <w:top w:val="none" w:sz="0" w:space="0" w:color="auto"/>
        <w:left w:val="none" w:sz="0" w:space="0" w:color="auto"/>
        <w:bottom w:val="none" w:sz="0" w:space="0" w:color="auto"/>
        <w:right w:val="none" w:sz="0" w:space="0" w:color="auto"/>
      </w:divBdr>
    </w:div>
    <w:div w:id="438528620">
      <w:bodyDiv w:val="1"/>
      <w:marLeft w:val="0"/>
      <w:marRight w:val="0"/>
      <w:marTop w:val="0"/>
      <w:marBottom w:val="0"/>
      <w:divBdr>
        <w:top w:val="none" w:sz="0" w:space="0" w:color="auto"/>
        <w:left w:val="none" w:sz="0" w:space="0" w:color="auto"/>
        <w:bottom w:val="none" w:sz="0" w:space="0" w:color="auto"/>
        <w:right w:val="none" w:sz="0" w:space="0" w:color="auto"/>
      </w:divBdr>
    </w:div>
    <w:div w:id="505098355">
      <w:bodyDiv w:val="1"/>
      <w:marLeft w:val="0"/>
      <w:marRight w:val="0"/>
      <w:marTop w:val="0"/>
      <w:marBottom w:val="0"/>
      <w:divBdr>
        <w:top w:val="none" w:sz="0" w:space="0" w:color="auto"/>
        <w:left w:val="none" w:sz="0" w:space="0" w:color="auto"/>
        <w:bottom w:val="none" w:sz="0" w:space="0" w:color="auto"/>
        <w:right w:val="none" w:sz="0" w:space="0" w:color="auto"/>
      </w:divBdr>
    </w:div>
    <w:div w:id="534974735">
      <w:bodyDiv w:val="1"/>
      <w:marLeft w:val="0"/>
      <w:marRight w:val="0"/>
      <w:marTop w:val="0"/>
      <w:marBottom w:val="0"/>
      <w:divBdr>
        <w:top w:val="none" w:sz="0" w:space="0" w:color="auto"/>
        <w:left w:val="none" w:sz="0" w:space="0" w:color="auto"/>
        <w:bottom w:val="none" w:sz="0" w:space="0" w:color="auto"/>
        <w:right w:val="none" w:sz="0" w:space="0" w:color="auto"/>
      </w:divBdr>
    </w:div>
    <w:div w:id="712384430">
      <w:bodyDiv w:val="1"/>
      <w:marLeft w:val="0"/>
      <w:marRight w:val="0"/>
      <w:marTop w:val="0"/>
      <w:marBottom w:val="0"/>
      <w:divBdr>
        <w:top w:val="none" w:sz="0" w:space="0" w:color="auto"/>
        <w:left w:val="none" w:sz="0" w:space="0" w:color="auto"/>
        <w:bottom w:val="none" w:sz="0" w:space="0" w:color="auto"/>
        <w:right w:val="none" w:sz="0" w:space="0" w:color="auto"/>
      </w:divBdr>
    </w:div>
    <w:div w:id="743769190">
      <w:bodyDiv w:val="1"/>
      <w:marLeft w:val="0"/>
      <w:marRight w:val="0"/>
      <w:marTop w:val="0"/>
      <w:marBottom w:val="0"/>
      <w:divBdr>
        <w:top w:val="none" w:sz="0" w:space="0" w:color="auto"/>
        <w:left w:val="none" w:sz="0" w:space="0" w:color="auto"/>
        <w:bottom w:val="none" w:sz="0" w:space="0" w:color="auto"/>
        <w:right w:val="none" w:sz="0" w:space="0" w:color="auto"/>
      </w:divBdr>
    </w:div>
    <w:div w:id="977151661">
      <w:bodyDiv w:val="1"/>
      <w:marLeft w:val="0"/>
      <w:marRight w:val="0"/>
      <w:marTop w:val="0"/>
      <w:marBottom w:val="0"/>
      <w:divBdr>
        <w:top w:val="none" w:sz="0" w:space="0" w:color="auto"/>
        <w:left w:val="none" w:sz="0" w:space="0" w:color="auto"/>
        <w:bottom w:val="none" w:sz="0" w:space="0" w:color="auto"/>
        <w:right w:val="none" w:sz="0" w:space="0" w:color="auto"/>
      </w:divBdr>
    </w:div>
    <w:div w:id="977422115">
      <w:bodyDiv w:val="1"/>
      <w:marLeft w:val="0"/>
      <w:marRight w:val="0"/>
      <w:marTop w:val="0"/>
      <w:marBottom w:val="0"/>
      <w:divBdr>
        <w:top w:val="none" w:sz="0" w:space="0" w:color="auto"/>
        <w:left w:val="none" w:sz="0" w:space="0" w:color="auto"/>
        <w:bottom w:val="none" w:sz="0" w:space="0" w:color="auto"/>
        <w:right w:val="none" w:sz="0" w:space="0" w:color="auto"/>
      </w:divBdr>
    </w:div>
    <w:div w:id="1023895360">
      <w:bodyDiv w:val="1"/>
      <w:marLeft w:val="0"/>
      <w:marRight w:val="0"/>
      <w:marTop w:val="0"/>
      <w:marBottom w:val="0"/>
      <w:divBdr>
        <w:top w:val="none" w:sz="0" w:space="0" w:color="auto"/>
        <w:left w:val="none" w:sz="0" w:space="0" w:color="auto"/>
        <w:bottom w:val="none" w:sz="0" w:space="0" w:color="auto"/>
        <w:right w:val="none" w:sz="0" w:space="0" w:color="auto"/>
      </w:divBdr>
    </w:div>
    <w:div w:id="1052343727">
      <w:bodyDiv w:val="1"/>
      <w:marLeft w:val="0"/>
      <w:marRight w:val="0"/>
      <w:marTop w:val="0"/>
      <w:marBottom w:val="0"/>
      <w:divBdr>
        <w:top w:val="none" w:sz="0" w:space="0" w:color="auto"/>
        <w:left w:val="none" w:sz="0" w:space="0" w:color="auto"/>
        <w:bottom w:val="none" w:sz="0" w:space="0" w:color="auto"/>
        <w:right w:val="none" w:sz="0" w:space="0" w:color="auto"/>
      </w:divBdr>
    </w:div>
    <w:div w:id="1114012139">
      <w:bodyDiv w:val="1"/>
      <w:marLeft w:val="0"/>
      <w:marRight w:val="0"/>
      <w:marTop w:val="0"/>
      <w:marBottom w:val="0"/>
      <w:divBdr>
        <w:top w:val="none" w:sz="0" w:space="0" w:color="auto"/>
        <w:left w:val="none" w:sz="0" w:space="0" w:color="auto"/>
        <w:bottom w:val="none" w:sz="0" w:space="0" w:color="auto"/>
        <w:right w:val="none" w:sz="0" w:space="0" w:color="auto"/>
      </w:divBdr>
    </w:div>
    <w:div w:id="1130980079">
      <w:bodyDiv w:val="1"/>
      <w:marLeft w:val="0"/>
      <w:marRight w:val="0"/>
      <w:marTop w:val="0"/>
      <w:marBottom w:val="0"/>
      <w:divBdr>
        <w:top w:val="none" w:sz="0" w:space="0" w:color="auto"/>
        <w:left w:val="none" w:sz="0" w:space="0" w:color="auto"/>
        <w:bottom w:val="none" w:sz="0" w:space="0" w:color="auto"/>
        <w:right w:val="none" w:sz="0" w:space="0" w:color="auto"/>
      </w:divBdr>
    </w:div>
    <w:div w:id="1237931481">
      <w:bodyDiv w:val="1"/>
      <w:marLeft w:val="0"/>
      <w:marRight w:val="0"/>
      <w:marTop w:val="0"/>
      <w:marBottom w:val="0"/>
      <w:divBdr>
        <w:top w:val="none" w:sz="0" w:space="0" w:color="auto"/>
        <w:left w:val="none" w:sz="0" w:space="0" w:color="auto"/>
        <w:bottom w:val="none" w:sz="0" w:space="0" w:color="auto"/>
        <w:right w:val="none" w:sz="0" w:space="0" w:color="auto"/>
      </w:divBdr>
    </w:div>
    <w:div w:id="1337658506">
      <w:bodyDiv w:val="1"/>
      <w:marLeft w:val="0"/>
      <w:marRight w:val="0"/>
      <w:marTop w:val="0"/>
      <w:marBottom w:val="0"/>
      <w:divBdr>
        <w:top w:val="none" w:sz="0" w:space="0" w:color="auto"/>
        <w:left w:val="none" w:sz="0" w:space="0" w:color="auto"/>
        <w:bottom w:val="none" w:sz="0" w:space="0" w:color="auto"/>
        <w:right w:val="none" w:sz="0" w:space="0" w:color="auto"/>
      </w:divBdr>
    </w:div>
    <w:div w:id="1389571233">
      <w:bodyDiv w:val="1"/>
      <w:marLeft w:val="0"/>
      <w:marRight w:val="0"/>
      <w:marTop w:val="0"/>
      <w:marBottom w:val="0"/>
      <w:divBdr>
        <w:top w:val="none" w:sz="0" w:space="0" w:color="auto"/>
        <w:left w:val="none" w:sz="0" w:space="0" w:color="auto"/>
        <w:bottom w:val="none" w:sz="0" w:space="0" w:color="auto"/>
        <w:right w:val="none" w:sz="0" w:space="0" w:color="auto"/>
      </w:divBdr>
    </w:div>
    <w:div w:id="1452356417">
      <w:bodyDiv w:val="1"/>
      <w:marLeft w:val="0"/>
      <w:marRight w:val="0"/>
      <w:marTop w:val="0"/>
      <w:marBottom w:val="0"/>
      <w:divBdr>
        <w:top w:val="none" w:sz="0" w:space="0" w:color="auto"/>
        <w:left w:val="none" w:sz="0" w:space="0" w:color="auto"/>
        <w:bottom w:val="none" w:sz="0" w:space="0" w:color="auto"/>
        <w:right w:val="none" w:sz="0" w:space="0" w:color="auto"/>
      </w:divBdr>
    </w:div>
    <w:div w:id="1471899690">
      <w:bodyDiv w:val="1"/>
      <w:marLeft w:val="0"/>
      <w:marRight w:val="0"/>
      <w:marTop w:val="0"/>
      <w:marBottom w:val="0"/>
      <w:divBdr>
        <w:top w:val="none" w:sz="0" w:space="0" w:color="auto"/>
        <w:left w:val="none" w:sz="0" w:space="0" w:color="auto"/>
        <w:bottom w:val="none" w:sz="0" w:space="0" w:color="auto"/>
        <w:right w:val="none" w:sz="0" w:space="0" w:color="auto"/>
      </w:divBdr>
    </w:div>
    <w:div w:id="1619144749">
      <w:bodyDiv w:val="1"/>
      <w:marLeft w:val="0"/>
      <w:marRight w:val="0"/>
      <w:marTop w:val="0"/>
      <w:marBottom w:val="0"/>
      <w:divBdr>
        <w:top w:val="none" w:sz="0" w:space="0" w:color="auto"/>
        <w:left w:val="none" w:sz="0" w:space="0" w:color="auto"/>
        <w:bottom w:val="none" w:sz="0" w:space="0" w:color="auto"/>
        <w:right w:val="none" w:sz="0" w:space="0" w:color="auto"/>
      </w:divBdr>
    </w:div>
    <w:div w:id="1750998283">
      <w:bodyDiv w:val="1"/>
      <w:marLeft w:val="0"/>
      <w:marRight w:val="0"/>
      <w:marTop w:val="0"/>
      <w:marBottom w:val="0"/>
      <w:divBdr>
        <w:top w:val="none" w:sz="0" w:space="0" w:color="auto"/>
        <w:left w:val="none" w:sz="0" w:space="0" w:color="auto"/>
        <w:bottom w:val="none" w:sz="0" w:space="0" w:color="auto"/>
        <w:right w:val="none" w:sz="0" w:space="0" w:color="auto"/>
      </w:divBdr>
    </w:div>
    <w:div w:id="190861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1" Type="http://schemas.openxmlformats.org/officeDocument/2006/relationships/hyperlink" Target="https://www.sec.gov/news/press-release/2020-7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Covid19\Result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Covid19\Result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Covid19\Results.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E:\Covid19\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Covid19\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Covid19\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Covid19\Resul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Covid19\Resul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Covid19\Resul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Covid19\Result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Covid19\Result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Garamond" panose="02020404030301010803" pitchFamily="18" charset="0"/>
                <a:ea typeface="+mn-ea"/>
                <a:cs typeface="+mn-cs"/>
              </a:defRPr>
            </a:pPr>
            <a:r>
              <a:rPr lang="en-GB"/>
              <a:t>EPS forecasts</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manualLayout>
          <c:layoutTarget val="inner"/>
          <c:xMode val="edge"/>
          <c:yMode val="edge"/>
          <c:x val="8.2946777913995379E-2"/>
          <c:y val="0.12402003909641002"/>
          <c:w val="0.89332225548483457"/>
          <c:h val="0.70558409371944686"/>
        </c:manualLayout>
      </c:layout>
      <c:lineChart>
        <c:grouping val="standard"/>
        <c:varyColors val="0"/>
        <c:ser>
          <c:idx val="0"/>
          <c:order val="0"/>
          <c:tx>
            <c:v>2018</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Frequency!$F$4:$F$15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Frequency!$G$4:$G$15</c:f>
              <c:numCache>
                <c:formatCode>_-* #,##0_-;\-* #,##0_-;_-* "-"??_-;_-@_-</c:formatCode>
                <c:ptCount val="12"/>
                <c:pt idx="0">
                  <c:v>13802</c:v>
                </c:pt>
                <c:pt idx="1">
                  <c:v>16178</c:v>
                </c:pt>
                <c:pt idx="2">
                  <c:v>9162</c:v>
                </c:pt>
                <c:pt idx="3">
                  <c:v>15976</c:v>
                </c:pt>
                <c:pt idx="4">
                  <c:v>16228</c:v>
                </c:pt>
                <c:pt idx="5">
                  <c:v>5330</c:v>
                </c:pt>
                <c:pt idx="6">
                  <c:v>15757</c:v>
                </c:pt>
                <c:pt idx="7">
                  <c:v>15404</c:v>
                </c:pt>
                <c:pt idx="8">
                  <c:v>4679</c:v>
                </c:pt>
                <c:pt idx="9">
                  <c:v>17389</c:v>
                </c:pt>
                <c:pt idx="10">
                  <c:v>14891</c:v>
                </c:pt>
                <c:pt idx="11">
                  <c:v>5326</c:v>
                </c:pt>
              </c:numCache>
            </c:numRef>
          </c:val>
          <c:smooth val="0"/>
          <c:extLst>
            <c:ext xmlns:c16="http://schemas.microsoft.com/office/drawing/2014/chart" uri="{C3380CC4-5D6E-409C-BE32-E72D297353CC}">
              <c16:uniqueId val="{00000000-26AC-4C04-997C-3E3F868DBFD2}"/>
            </c:ext>
          </c:extLst>
        </c:ser>
        <c:ser>
          <c:idx val="1"/>
          <c:order val="1"/>
          <c:tx>
            <c:v>2019</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Frequency!$F$4:$F$15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Frequency!$H$4:$H$15</c:f>
              <c:numCache>
                <c:formatCode>_-* #,##0_-;\-* #,##0_-;_-* "-"??_-;_-@_-</c:formatCode>
                <c:ptCount val="12"/>
                <c:pt idx="0">
                  <c:v>13565</c:v>
                </c:pt>
                <c:pt idx="1">
                  <c:v>15210</c:v>
                </c:pt>
                <c:pt idx="2">
                  <c:v>9072</c:v>
                </c:pt>
                <c:pt idx="3">
                  <c:v>15123</c:v>
                </c:pt>
                <c:pt idx="4">
                  <c:v>16211</c:v>
                </c:pt>
                <c:pt idx="5">
                  <c:v>5135</c:v>
                </c:pt>
                <c:pt idx="6">
                  <c:v>16247</c:v>
                </c:pt>
                <c:pt idx="7">
                  <c:v>14758</c:v>
                </c:pt>
                <c:pt idx="8">
                  <c:v>5037</c:v>
                </c:pt>
                <c:pt idx="9">
                  <c:v>17193</c:v>
                </c:pt>
                <c:pt idx="10">
                  <c:v>13766</c:v>
                </c:pt>
                <c:pt idx="11">
                  <c:v>4732</c:v>
                </c:pt>
              </c:numCache>
            </c:numRef>
          </c:val>
          <c:smooth val="0"/>
          <c:extLst>
            <c:ext xmlns:c16="http://schemas.microsoft.com/office/drawing/2014/chart" uri="{C3380CC4-5D6E-409C-BE32-E72D297353CC}">
              <c16:uniqueId val="{00000001-26AC-4C04-997C-3E3F868DBFD2}"/>
            </c:ext>
          </c:extLst>
        </c:ser>
        <c:ser>
          <c:idx val="2"/>
          <c:order val="2"/>
          <c:tx>
            <c:v>2020</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Frequency!$F$4:$F$15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Frequency!$I$4:$I$15</c:f>
              <c:numCache>
                <c:formatCode>_-* #,##0_-;\-* #,##0_-;_-* "-"??_-;_-@_-</c:formatCode>
                <c:ptCount val="12"/>
                <c:pt idx="0">
                  <c:v>12601</c:v>
                </c:pt>
                <c:pt idx="1">
                  <c:v>14837</c:v>
                </c:pt>
                <c:pt idx="2">
                  <c:v>15717</c:v>
                </c:pt>
                <c:pt idx="3">
                  <c:v>18616</c:v>
                </c:pt>
                <c:pt idx="4">
                  <c:v>18385</c:v>
                </c:pt>
                <c:pt idx="5">
                  <c:v>7544</c:v>
                </c:pt>
                <c:pt idx="6">
                  <c:v>17598</c:v>
                </c:pt>
                <c:pt idx="7">
                  <c:v>14082</c:v>
                </c:pt>
                <c:pt idx="8">
                  <c:v>4299</c:v>
                </c:pt>
                <c:pt idx="9">
                  <c:v>8068</c:v>
                </c:pt>
                <c:pt idx="10">
                  <c:v>379</c:v>
                </c:pt>
              </c:numCache>
            </c:numRef>
          </c:val>
          <c:smooth val="0"/>
          <c:extLst>
            <c:ext xmlns:c16="http://schemas.microsoft.com/office/drawing/2014/chart" uri="{C3380CC4-5D6E-409C-BE32-E72D297353CC}">
              <c16:uniqueId val="{00000002-26AC-4C04-997C-3E3F868DBFD2}"/>
            </c:ext>
          </c:extLst>
        </c:ser>
        <c:dLbls>
          <c:showLegendKey val="0"/>
          <c:showVal val="0"/>
          <c:showCatName val="0"/>
          <c:showSerName val="0"/>
          <c:showPercent val="0"/>
          <c:showBubbleSize val="0"/>
        </c:dLbls>
        <c:marker val="1"/>
        <c:smooth val="0"/>
        <c:axId val="1128567264"/>
        <c:axId val="1305228752"/>
      </c:lineChart>
      <c:catAx>
        <c:axId val="112856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305228752"/>
        <c:crosses val="autoZero"/>
        <c:auto val="1"/>
        <c:lblAlgn val="ctr"/>
        <c:lblOffset val="100"/>
        <c:noMultiLvlLbl val="0"/>
      </c:catAx>
      <c:valAx>
        <c:axId val="1305228752"/>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128567264"/>
        <c:crosses val="autoZero"/>
        <c:crossBetween val="between"/>
      </c:valAx>
      <c:spPr>
        <a:noFill/>
        <a:ln>
          <a:noFill/>
        </a:ln>
        <a:effectLst/>
      </c:spPr>
    </c:plotArea>
    <c:legend>
      <c:legendPos val="b"/>
      <c:layout>
        <c:manualLayout>
          <c:xMode val="edge"/>
          <c:yMode val="edge"/>
          <c:x val="0.10408528149097643"/>
          <c:y val="0.59675942146575944"/>
          <c:w val="0.58403350017294353"/>
          <c:h val="6.3444215322924338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Garamond" panose="02020404030301010803"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Garamond" panose="02020404030301010803" pitchFamily="18" charset="0"/>
                <a:ea typeface="+mn-ea"/>
                <a:cs typeface="+mn-cs"/>
              </a:defRPr>
            </a:pPr>
            <a:r>
              <a:rPr lang="en-GB"/>
              <a:t>Revisions in analyst forecasts in 2020</a:t>
            </a:r>
          </a:p>
        </c:rich>
      </c:tx>
      <c:layout>
        <c:manualLayout>
          <c:xMode val="edge"/>
          <c:yMode val="edge"/>
          <c:x val="0.32864406919127725"/>
          <c:y val="2.6812221137066185E-2"/>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manualLayout>
          <c:layoutTarget val="inner"/>
          <c:xMode val="edge"/>
          <c:yMode val="edge"/>
          <c:x val="6.7977494931254892E-2"/>
          <c:y val="0.10480897242479173"/>
          <c:w val="0.90973757379789788"/>
          <c:h val="0.83064493314467669"/>
        </c:manualLayout>
      </c:layout>
      <c:lineChart>
        <c:grouping val="standard"/>
        <c:varyColors val="0"/>
        <c:ser>
          <c:idx val="0"/>
          <c:order val="0"/>
          <c:tx>
            <c:strRef>
              <c:f>'Price reactionsAnalysis Variabl'!$S$34</c:f>
              <c:strCache>
                <c:ptCount val="1"/>
                <c:pt idx="0">
                  <c:v>EPS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'Price reactionsAnalysis Variabl'!$R$35:$R$45</c:f>
              <c:strCache>
                <c:ptCount val="11"/>
                <c:pt idx="0">
                  <c:v>January</c:v>
                </c:pt>
                <c:pt idx="1">
                  <c:v>February</c:v>
                </c:pt>
                <c:pt idx="2">
                  <c:v>March</c:v>
                </c:pt>
                <c:pt idx="3">
                  <c:v>April</c:v>
                </c:pt>
                <c:pt idx="4">
                  <c:v>May</c:v>
                </c:pt>
                <c:pt idx="5">
                  <c:v>June</c:v>
                </c:pt>
                <c:pt idx="6">
                  <c:v>July</c:v>
                </c:pt>
                <c:pt idx="7">
                  <c:v>August</c:v>
                </c:pt>
                <c:pt idx="8">
                  <c:v>September</c:v>
                </c:pt>
                <c:pt idx="9">
                  <c:v>October</c:v>
                </c:pt>
                <c:pt idx="10">
                  <c:v>November</c:v>
                </c:pt>
              </c:strCache>
            </c:strRef>
          </c:cat>
          <c:val>
            <c:numRef>
              <c:f>'Price reactionsAnalysis Variabl'!$S$35:$S$45</c:f>
              <c:numCache>
                <c:formatCode>0.00</c:formatCode>
                <c:ptCount val="11"/>
                <c:pt idx="0">
                  <c:v>-4.8180500000000001E-2</c:v>
                </c:pt>
                <c:pt idx="1">
                  <c:v>-0.22152379999999999</c:v>
                </c:pt>
                <c:pt idx="2">
                  <c:v>-0.3967504</c:v>
                </c:pt>
                <c:pt idx="3">
                  <c:v>-0.40516649999999998</c:v>
                </c:pt>
                <c:pt idx="4">
                  <c:v>-0.29527150000000002</c:v>
                </c:pt>
                <c:pt idx="5">
                  <c:v>-1.3055499999999999E-2</c:v>
                </c:pt>
                <c:pt idx="6">
                  <c:v>8.3608500000000002E-2</c:v>
                </c:pt>
                <c:pt idx="7">
                  <c:v>3.9376399999999999E-2</c:v>
                </c:pt>
                <c:pt idx="8">
                  <c:v>8.8234199999999999E-2</c:v>
                </c:pt>
                <c:pt idx="9">
                  <c:v>7.1470900000000004E-2</c:v>
                </c:pt>
                <c:pt idx="10">
                  <c:v>4.1297100000000003E-2</c:v>
                </c:pt>
              </c:numCache>
            </c:numRef>
          </c:val>
          <c:smooth val="0"/>
          <c:extLst>
            <c:ext xmlns:c16="http://schemas.microsoft.com/office/drawing/2014/chart" uri="{C3380CC4-5D6E-409C-BE32-E72D297353CC}">
              <c16:uniqueId val="{00000000-FD99-4E61-B73F-00D36F5BF91B}"/>
            </c:ext>
          </c:extLst>
        </c:ser>
        <c:ser>
          <c:idx val="1"/>
          <c:order val="1"/>
          <c:tx>
            <c:strRef>
              <c:f>'Price reactionsAnalysis Variabl'!$T$34</c:f>
              <c:strCache>
                <c:ptCount val="1"/>
                <c:pt idx="0">
                  <c:v>SAL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'Price reactionsAnalysis Variabl'!$R$35:$R$45</c:f>
              <c:strCache>
                <c:ptCount val="11"/>
                <c:pt idx="0">
                  <c:v>January</c:v>
                </c:pt>
                <c:pt idx="1">
                  <c:v>February</c:v>
                </c:pt>
                <c:pt idx="2">
                  <c:v>March</c:v>
                </c:pt>
                <c:pt idx="3">
                  <c:v>April</c:v>
                </c:pt>
                <c:pt idx="4">
                  <c:v>May</c:v>
                </c:pt>
                <c:pt idx="5">
                  <c:v>June</c:v>
                </c:pt>
                <c:pt idx="6">
                  <c:v>July</c:v>
                </c:pt>
                <c:pt idx="7">
                  <c:v>August</c:v>
                </c:pt>
                <c:pt idx="8">
                  <c:v>September</c:v>
                </c:pt>
                <c:pt idx="9">
                  <c:v>October</c:v>
                </c:pt>
                <c:pt idx="10">
                  <c:v>November</c:v>
                </c:pt>
              </c:strCache>
            </c:strRef>
          </c:cat>
          <c:val>
            <c:numRef>
              <c:f>'Price reactionsAnalysis Variabl'!$T$35:$T$45</c:f>
              <c:numCache>
                <c:formatCode>0.00</c:formatCode>
                <c:ptCount val="11"/>
                <c:pt idx="0">
                  <c:v>-2.9158299999999999E-4</c:v>
                </c:pt>
                <c:pt idx="1">
                  <c:v>-1.6386100000000001E-2</c:v>
                </c:pt>
                <c:pt idx="2">
                  <c:v>-7.6048000000000004E-2</c:v>
                </c:pt>
                <c:pt idx="3">
                  <c:v>-8.0237000000000003E-2</c:v>
                </c:pt>
                <c:pt idx="4">
                  <c:v>-5.0038699999999998E-2</c:v>
                </c:pt>
                <c:pt idx="5">
                  <c:v>8.5267999999999993E-3</c:v>
                </c:pt>
                <c:pt idx="6">
                  <c:v>1.9401399999999999E-2</c:v>
                </c:pt>
                <c:pt idx="7">
                  <c:v>1.51994E-2</c:v>
                </c:pt>
                <c:pt idx="8">
                  <c:v>1.6579199999999999E-2</c:v>
                </c:pt>
                <c:pt idx="9">
                  <c:v>1.2854300000000001E-2</c:v>
                </c:pt>
                <c:pt idx="10">
                  <c:v>9.8688999999999999E-3</c:v>
                </c:pt>
              </c:numCache>
            </c:numRef>
          </c:val>
          <c:smooth val="0"/>
          <c:extLst>
            <c:ext xmlns:c16="http://schemas.microsoft.com/office/drawing/2014/chart" uri="{C3380CC4-5D6E-409C-BE32-E72D297353CC}">
              <c16:uniqueId val="{00000001-FD99-4E61-B73F-00D36F5BF91B}"/>
            </c:ext>
          </c:extLst>
        </c:ser>
        <c:ser>
          <c:idx val="2"/>
          <c:order val="2"/>
          <c:tx>
            <c:strRef>
              <c:f>'Price reactionsAnalysis Variabl'!$U$34</c:f>
              <c:strCache>
                <c:ptCount val="1"/>
                <c:pt idx="0">
                  <c:v>CPS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'Price reactionsAnalysis Variabl'!$R$35:$R$45</c:f>
              <c:strCache>
                <c:ptCount val="11"/>
                <c:pt idx="0">
                  <c:v>January</c:v>
                </c:pt>
                <c:pt idx="1">
                  <c:v>February</c:v>
                </c:pt>
                <c:pt idx="2">
                  <c:v>March</c:v>
                </c:pt>
                <c:pt idx="3">
                  <c:v>April</c:v>
                </c:pt>
                <c:pt idx="4">
                  <c:v>May</c:v>
                </c:pt>
                <c:pt idx="5">
                  <c:v>June</c:v>
                </c:pt>
                <c:pt idx="6">
                  <c:v>July</c:v>
                </c:pt>
                <c:pt idx="7">
                  <c:v>August</c:v>
                </c:pt>
                <c:pt idx="8">
                  <c:v>September</c:v>
                </c:pt>
                <c:pt idx="9">
                  <c:v>October</c:v>
                </c:pt>
                <c:pt idx="10">
                  <c:v>November</c:v>
                </c:pt>
              </c:strCache>
            </c:strRef>
          </c:cat>
          <c:val>
            <c:numRef>
              <c:f>'Price reactionsAnalysis Variabl'!$U$35:$U$45</c:f>
              <c:numCache>
                <c:formatCode>0.00</c:formatCode>
                <c:ptCount val="11"/>
                <c:pt idx="0">
                  <c:v>-4.9574799999999996E-4</c:v>
                </c:pt>
                <c:pt idx="1">
                  <c:v>-3.3683600000000001E-2</c:v>
                </c:pt>
                <c:pt idx="2">
                  <c:v>-0.17617289999999999</c:v>
                </c:pt>
                <c:pt idx="3">
                  <c:v>-0.17055119999999999</c:v>
                </c:pt>
                <c:pt idx="4">
                  <c:v>-2.5025200000000001E-2</c:v>
                </c:pt>
                <c:pt idx="5">
                  <c:v>5.1118700000000003E-2</c:v>
                </c:pt>
                <c:pt idx="6">
                  <c:v>4.0590899999999999E-2</c:v>
                </c:pt>
                <c:pt idx="7">
                  <c:v>1.6524500000000001E-2</c:v>
                </c:pt>
                <c:pt idx="8">
                  <c:v>2.98386E-2</c:v>
                </c:pt>
                <c:pt idx="9">
                  <c:v>5.7699800000000002E-2</c:v>
                </c:pt>
                <c:pt idx="10">
                  <c:v>0.1001454</c:v>
                </c:pt>
              </c:numCache>
            </c:numRef>
          </c:val>
          <c:smooth val="0"/>
          <c:extLst>
            <c:ext xmlns:c16="http://schemas.microsoft.com/office/drawing/2014/chart" uri="{C3380CC4-5D6E-409C-BE32-E72D297353CC}">
              <c16:uniqueId val="{00000002-FD99-4E61-B73F-00D36F5BF91B}"/>
            </c:ext>
          </c:extLst>
        </c:ser>
        <c:ser>
          <c:idx val="3"/>
          <c:order val="3"/>
          <c:tx>
            <c:strRef>
              <c:f>'Price reactionsAnalysis Variabl'!$V$34</c:f>
              <c:strCache>
                <c:ptCount val="1"/>
                <c:pt idx="0">
                  <c:v>DPS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'Price reactionsAnalysis Variabl'!$R$35:$R$45</c:f>
              <c:strCache>
                <c:ptCount val="11"/>
                <c:pt idx="0">
                  <c:v>January</c:v>
                </c:pt>
                <c:pt idx="1">
                  <c:v>February</c:v>
                </c:pt>
                <c:pt idx="2">
                  <c:v>March</c:v>
                </c:pt>
                <c:pt idx="3">
                  <c:v>April</c:v>
                </c:pt>
                <c:pt idx="4">
                  <c:v>May</c:v>
                </c:pt>
                <c:pt idx="5">
                  <c:v>June</c:v>
                </c:pt>
                <c:pt idx="6">
                  <c:v>July</c:v>
                </c:pt>
                <c:pt idx="7">
                  <c:v>August</c:v>
                </c:pt>
                <c:pt idx="8">
                  <c:v>September</c:v>
                </c:pt>
                <c:pt idx="9">
                  <c:v>October</c:v>
                </c:pt>
                <c:pt idx="10">
                  <c:v>November</c:v>
                </c:pt>
              </c:strCache>
            </c:strRef>
          </c:cat>
          <c:val>
            <c:numRef>
              <c:f>'Price reactionsAnalysis Variabl'!$V$35:$V$45</c:f>
              <c:numCache>
                <c:formatCode>0.00</c:formatCode>
                <c:ptCount val="11"/>
                <c:pt idx="0">
                  <c:v>0.1228885</c:v>
                </c:pt>
                <c:pt idx="1">
                  <c:v>6.0143700000000001E-2</c:v>
                </c:pt>
                <c:pt idx="2">
                  <c:v>-0.1185351</c:v>
                </c:pt>
                <c:pt idx="3">
                  <c:v>-0.26976280000000002</c:v>
                </c:pt>
                <c:pt idx="4">
                  <c:v>-0.28209659999999998</c:v>
                </c:pt>
                <c:pt idx="5">
                  <c:v>-0.25898880000000002</c:v>
                </c:pt>
                <c:pt idx="6">
                  <c:v>4.7926000000000002E-3</c:v>
                </c:pt>
                <c:pt idx="7">
                  <c:v>0.18991369999999999</c:v>
                </c:pt>
                <c:pt idx="8">
                  <c:v>-1.8062499999999999E-2</c:v>
                </c:pt>
                <c:pt idx="9">
                  <c:v>4.4455500000000002E-2</c:v>
                </c:pt>
              </c:numCache>
            </c:numRef>
          </c:val>
          <c:smooth val="0"/>
          <c:extLst>
            <c:ext xmlns:c16="http://schemas.microsoft.com/office/drawing/2014/chart" uri="{C3380CC4-5D6E-409C-BE32-E72D297353CC}">
              <c16:uniqueId val="{00000003-FD99-4E61-B73F-00D36F5BF91B}"/>
            </c:ext>
          </c:extLst>
        </c:ser>
        <c:ser>
          <c:idx val="4"/>
          <c:order val="4"/>
          <c:tx>
            <c:strRef>
              <c:f>'Price reactionsAnalysis Variabl'!$W$34</c:f>
              <c:strCache>
                <c:ptCount val="1"/>
                <c:pt idx="0">
                  <c:v>TP</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'Price reactionsAnalysis Variabl'!$R$35:$R$45</c:f>
              <c:strCache>
                <c:ptCount val="11"/>
                <c:pt idx="0">
                  <c:v>January</c:v>
                </c:pt>
                <c:pt idx="1">
                  <c:v>February</c:v>
                </c:pt>
                <c:pt idx="2">
                  <c:v>March</c:v>
                </c:pt>
                <c:pt idx="3">
                  <c:v>April</c:v>
                </c:pt>
                <c:pt idx="4">
                  <c:v>May</c:v>
                </c:pt>
                <c:pt idx="5">
                  <c:v>June</c:v>
                </c:pt>
                <c:pt idx="6">
                  <c:v>July</c:v>
                </c:pt>
                <c:pt idx="7">
                  <c:v>August</c:v>
                </c:pt>
                <c:pt idx="8">
                  <c:v>September</c:v>
                </c:pt>
                <c:pt idx="9">
                  <c:v>October</c:v>
                </c:pt>
                <c:pt idx="10">
                  <c:v>November</c:v>
                </c:pt>
              </c:strCache>
            </c:strRef>
          </c:cat>
          <c:val>
            <c:numRef>
              <c:f>'Price reactionsAnalysis Variabl'!$W$35:$W$45</c:f>
              <c:numCache>
                <c:formatCode>0.00</c:formatCode>
                <c:ptCount val="11"/>
                <c:pt idx="0">
                  <c:v>5.53885E-2</c:v>
                </c:pt>
                <c:pt idx="1">
                  <c:v>2.37792E-2</c:v>
                </c:pt>
                <c:pt idx="2">
                  <c:v>-0.20005680000000001</c:v>
                </c:pt>
                <c:pt idx="3">
                  <c:v>-9.4194200000000006E-2</c:v>
                </c:pt>
                <c:pt idx="4">
                  <c:v>4.1517900000000003E-2</c:v>
                </c:pt>
                <c:pt idx="5">
                  <c:v>0.13613900000000001</c:v>
                </c:pt>
                <c:pt idx="6">
                  <c:v>0.1087837</c:v>
                </c:pt>
                <c:pt idx="7">
                  <c:v>0.12965499999999999</c:v>
                </c:pt>
                <c:pt idx="8">
                  <c:v>8.7061700000000006E-2</c:v>
                </c:pt>
                <c:pt idx="9">
                  <c:v>7.5136700000000001E-2</c:v>
                </c:pt>
                <c:pt idx="10">
                  <c:v>9.9691799999999997E-2</c:v>
                </c:pt>
              </c:numCache>
            </c:numRef>
          </c:val>
          <c:smooth val="0"/>
          <c:extLst>
            <c:ext xmlns:c16="http://schemas.microsoft.com/office/drawing/2014/chart" uri="{C3380CC4-5D6E-409C-BE32-E72D297353CC}">
              <c16:uniqueId val="{00000004-FD99-4E61-B73F-00D36F5BF91B}"/>
            </c:ext>
          </c:extLst>
        </c:ser>
        <c:ser>
          <c:idx val="5"/>
          <c:order val="5"/>
          <c:tx>
            <c:strRef>
              <c:f>'Price reactionsAnalysis Variabl'!$X$34</c:f>
              <c:strCache>
                <c:ptCount val="1"/>
                <c:pt idx="0">
                  <c:v>REC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'Price reactionsAnalysis Variabl'!$R$35:$R$45</c:f>
              <c:strCache>
                <c:ptCount val="11"/>
                <c:pt idx="0">
                  <c:v>January</c:v>
                </c:pt>
                <c:pt idx="1">
                  <c:v>February</c:v>
                </c:pt>
                <c:pt idx="2">
                  <c:v>March</c:v>
                </c:pt>
                <c:pt idx="3">
                  <c:v>April</c:v>
                </c:pt>
                <c:pt idx="4">
                  <c:v>May</c:v>
                </c:pt>
                <c:pt idx="5">
                  <c:v>June</c:v>
                </c:pt>
                <c:pt idx="6">
                  <c:v>July</c:v>
                </c:pt>
                <c:pt idx="7">
                  <c:v>August</c:v>
                </c:pt>
                <c:pt idx="8">
                  <c:v>September</c:v>
                </c:pt>
                <c:pt idx="9">
                  <c:v>October</c:v>
                </c:pt>
                <c:pt idx="10">
                  <c:v>November</c:v>
                </c:pt>
              </c:strCache>
            </c:strRef>
          </c:cat>
          <c:val>
            <c:numRef>
              <c:f>'Price reactionsAnalysis Variabl'!$X$35:$X$45</c:f>
              <c:numCache>
                <c:formatCode>0.00</c:formatCode>
                <c:ptCount val="11"/>
                <c:pt idx="0">
                  <c:v>-0.1327586</c:v>
                </c:pt>
                <c:pt idx="1">
                  <c:v>-0.13051380000000001</c:v>
                </c:pt>
                <c:pt idx="2">
                  <c:v>-2.4263400000000001E-2</c:v>
                </c:pt>
                <c:pt idx="3">
                  <c:v>-0.26951039999999998</c:v>
                </c:pt>
                <c:pt idx="4">
                  <c:v>-0.28041189999999999</c:v>
                </c:pt>
                <c:pt idx="5">
                  <c:v>-0.122303</c:v>
                </c:pt>
                <c:pt idx="6">
                  <c:v>-0.1120541</c:v>
                </c:pt>
                <c:pt idx="7">
                  <c:v>-2.6627E-3</c:v>
                </c:pt>
                <c:pt idx="8">
                  <c:v>0.108156</c:v>
                </c:pt>
                <c:pt idx="9">
                  <c:v>-4.0705100000000001E-2</c:v>
                </c:pt>
                <c:pt idx="10">
                  <c:v>-0.1666667</c:v>
                </c:pt>
              </c:numCache>
            </c:numRef>
          </c:val>
          <c:smooth val="0"/>
          <c:extLst>
            <c:ext xmlns:c16="http://schemas.microsoft.com/office/drawing/2014/chart" uri="{C3380CC4-5D6E-409C-BE32-E72D297353CC}">
              <c16:uniqueId val="{00000005-FD99-4E61-B73F-00D36F5BF91B}"/>
            </c:ext>
          </c:extLst>
        </c:ser>
        <c:dLbls>
          <c:showLegendKey val="0"/>
          <c:showVal val="0"/>
          <c:showCatName val="0"/>
          <c:showSerName val="0"/>
          <c:showPercent val="0"/>
          <c:showBubbleSize val="0"/>
        </c:dLbls>
        <c:marker val="1"/>
        <c:smooth val="0"/>
        <c:axId val="1638576927"/>
        <c:axId val="2084045103"/>
      </c:lineChart>
      <c:catAx>
        <c:axId val="1638576927"/>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2084045103"/>
        <c:crosses val="autoZero"/>
        <c:auto val="1"/>
        <c:lblAlgn val="ctr"/>
        <c:lblOffset val="100"/>
        <c:noMultiLvlLbl val="0"/>
      </c:catAx>
      <c:valAx>
        <c:axId val="2084045103"/>
        <c:scaling>
          <c:orientation val="minMax"/>
          <c:max val="0.25"/>
          <c:min val="-0.5"/>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638576927"/>
        <c:crosses val="autoZero"/>
        <c:crossBetween val="between"/>
      </c:valAx>
      <c:spPr>
        <a:noFill/>
        <a:ln>
          <a:noFill/>
        </a:ln>
        <a:effectLst/>
      </c:spPr>
    </c:plotArea>
    <c:legend>
      <c:legendPos val="b"/>
      <c:layout>
        <c:manualLayout>
          <c:xMode val="edge"/>
          <c:yMode val="edge"/>
          <c:x val="0.3911145917673105"/>
          <c:y val="0.7777934006467867"/>
          <c:w val="0.57938231907049409"/>
          <c:h val="4.524593984857640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Garamond" panose="02020404030301010803"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Sheet2!$Q$5:$Q$16</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Sheet2!$R$5:$R$16</c:f>
              <c:numCache>
                <c:formatCode>General</c:formatCode>
                <c:ptCount val="12"/>
                <c:pt idx="0">
                  <c:v>8.2352941000000008</c:v>
                </c:pt>
                <c:pt idx="1">
                  <c:v>7.1875</c:v>
                </c:pt>
                <c:pt idx="2">
                  <c:v>30.8</c:v>
                </c:pt>
                <c:pt idx="3">
                  <c:v>19.1538462</c:v>
                </c:pt>
                <c:pt idx="4">
                  <c:v>11</c:v>
                </c:pt>
                <c:pt idx="5">
                  <c:v>8.6153846000000005</c:v>
                </c:pt>
                <c:pt idx="6">
                  <c:v>9.7692308000000008</c:v>
                </c:pt>
                <c:pt idx="7">
                  <c:v>7.6923076999999997</c:v>
                </c:pt>
                <c:pt idx="8">
                  <c:v>4.5</c:v>
                </c:pt>
                <c:pt idx="9">
                  <c:v>6.0833332999999996</c:v>
                </c:pt>
                <c:pt idx="10">
                  <c:v>9.6923077000000006</c:v>
                </c:pt>
                <c:pt idx="11">
                  <c:v>7.5</c:v>
                </c:pt>
              </c:numCache>
            </c:numRef>
          </c:val>
          <c:smooth val="0"/>
          <c:extLst>
            <c:ext xmlns:c16="http://schemas.microsoft.com/office/drawing/2014/chart" uri="{C3380CC4-5D6E-409C-BE32-E72D297353CC}">
              <c16:uniqueId val="{00000000-DB83-4912-AC06-88B5E15081B5}"/>
            </c:ext>
          </c:extLst>
        </c:ser>
        <c:dLbls>
          <c:showLegendKey val="0"/>
          <c:showVal val="0"/>
          <c:showCatName val="0"/>
          <c:showSerName val="0"/>
          <c:showPercent val="0"/>
          <c:showBubbleSize val="0"/>
        </c:dLbls>
        <c:marker val="1"/>
        <c:smooth val="0"/>
        <c:axId val="535132383"/>
        <c:axId val="783502399"/>
      </c:lineChart>
      <c:catAx>
        <c:axId val="535132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783502399"/>
        <c:crosses val="autoZero"/>
        <c:auto val="1"/>
        <c:lblAlgn val="ctr"/>
        <c:lblOffset val="100"/>
        <c:noMultiLvlLbl val="0"/>
      </c:catAx>
      <c:valAx>
        <c:axId val="78350239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351323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Garamond" panose="02020404030301010803"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Garamond" panose="02020404030301010803" pitchFamily="18" charset="0"/>
                <a:ea typeface="+mn-ea"/>
                <a:cs typeface="+mn-cs"/>
              </a:defRPr>
            </a:pPr>
            <a:r>
              <a:rPr lang="en-GB"/>
              <a:t>Cash flow forecasts</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manualLayout>
          <c:layoutTarget val="inner"/>
          <c:xMode val="edge"/>
          <c:yMode val="edge"/>
          <c:x val="0.10997527925288408"/>
          <c:y val="0.2377460439984562"/>
          <c:w val="0.85449500498484199"/>
          <c:h val="0.4609511422033265"/>
        </c:manualLayout>
      </c:layout>
      <c:lineChart>
        <c:grouping val="standard"/>
        <c:varyColors val="0"/>
        <c:ser>
          <c:idx val="0"/>
          <c:order val="0"/>
          <c:tx>
            <c:strRef>
              <c:f>'OTHER FORECASTS'!$G$17</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'OTHER FORECASTS'!$F$18:$F$29</c:f>
              <c:strCache>
                <c:ptCount val="12"/>
                <c:pt idx="0">
                  <c:v> January </c:v>
                </c:pt>
                <c:pt idx="1">
                  <c:v> February </c:v>
                </c:pt>
                <c:pt idx="2">
                  <c:v> March </c:v>
                </c:pt>
                <c:pt idx="3">
                  <c:v> April </c:v>
                </c:pt>
                <c:pt idx="4">
                  <c:v> May </c:v>
                </c:pt>
                <c:pt idx="5">
                  <c:v> June </c:v>
                </c:pt>
                <c:pt idx="6">
                  <c:v> July </c:v>
                </c:pt>
                <c:pt idx="7">
                  <c:v> August </c:v>
                </c:pt>
                <c:pt idx="8">
                  <c:v> September </c:v>
                </c:pt>
                <c:pt idx="9">
                  <c:v> October </c:v>
                </c:pt>
                <c:pt idx="10">
                  <c:v> November </c:v>
                </c:pt>
                <c:pt idx="11">
                  <c:v> December </c:v>
                </c:pt>
              </c:strCache>
            </c:strRef>
          </c:cat>
          <c:val>
            <c:numRef>
              <c:f>'OTHER FORECASTS'!$G$18:$G$29</c:f>
              <c:numCache>
                <c:formatCode>_-* #,##0_-;\-* #,##0_-;_-* "-"??_-;_-@_-</c:formatCode>
                <c:ptCount val="12"/>
                <c:pt idx="0">
                  <c:v>2123</c:v>
                </c:pt>
                <c:pt idx="1">
                  <c:v>2301</c:v>
                </c:pt>
                <c:pt idx="2">
                  <c:v>1326</c:v>
                </c:pt>
                <c:pt idx="3">
                  <c:v>2485</c:v>
                </c:pt>
                <c:pt idx="4">
                  <c:v>2379</c:v>
                </c:pt>
                <c:pt idx="5">
                  <c:v>666</c:v>
                </c:pt>
                <c:pt idx="6">
                  <c:v>2471</c:v>
                </c:pt>
                <c:pt idx="7">
                  <c:v>2234</c:v>
                </c:pt>
                <c:pt idx="8">
                  <c:v>698</c:v>
                </c:pt>
                <c:pt idx="9">
                  <c:v>2698</c:v>
                </c:pt>
                <c:pt idx="10">
                  <c:v>2081</c:v>
                </c:pt>
                <c:pt idx="11">
                  <c:v>981</c:v>
                </c:pt>
              </c:numCache>
            </c:numRef>
          </c:val>
          <c:smooth val="0"/>
          <c:extLst>
            <c:ext xmlns:c16="http://schemas.microsoft.com/office/drawing/2014/chart" uri="{C3380CC4-5D6E-409C-BE32-E72D297353CC}">
              <c16:uniqueId val="{00000000-2BC1-4412-BE39-1F9125291BEC}"/>
            </c:ext>
          </c:extLst>
        </c:ser>
        <c:ser>
          <c:idx val="1"/>
          <c:order val="1"/>
          <c:tx>
            <c:strRef>
              <c:f>'OTHER FORECASTS'!$H$17</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'OTHER FORECASTS'!$F$18:$F$29</c:f>
              <c:strCache>
                <c:ptCount val="12"/>
                <c:pt idx="0">
                  <c:v> January </c:v>
                </c:pt>
                <c:pt idx="1">
                  <c:v> February </c:v>
                </c:pt>
                <c:pt idx="2">
                  <c:v> March </c:v>
                </c:pt>
                <c:pt idx="3">
                  <c:v> April </c:v>
                </c:pt>
                <c:pt idx="4">
                  <c:v> May </c:v>
                </c:pt>
                <c:pt idx="5">
                  <c:v> June </c:v>
                </c:pt>
                <c:pt idx="6">
                  <c:v> July </c:v>
                </c:pt>
                <c:pt idx="7">
                  <c:v> August </c:v>
                </c:pt>
                <c:pt idx="8">
                  <c:v> September </c:v>
                </c:pt>
                <c:pt idx="9">
                  <c:v> October </c:v>
                </c:pt>
                <c:pt idx="10">
                  <c:v> November </c:v>
                </c:pt>
                <c:pt idx="11">
                  <c:v> December </c:v>
                </c:pt>
              </c:strCache>
            </c:strRef>
          </c:cat>
          <c:val>
            <c:numRef>
              <c:f>'OTHER FORECASTS'!$H$18:$H$29</c:f>
              <c:numCache>
                <c:formatCode>_-* #,##0_-;\-* #,##0_-;_-* "-"??_-;_-@_-</c:formatCode>
                <c:ptCount val="12"/>
                <c:pt idx="0">
                  <c:v>2016</c:v>
                </c:pt>
                <c:pt idx="1">
                  <c:v>2066</c:v>
                </c:pt>
                <c:pt idx="2">
                  <c:v>1204</c:v>
                </c:pt>
                <c:pt idx="3">
                  <c:v>2391</c:v>
                </c:pt>
                <c:pt idx="4">
                  <c:v>2169</c:v>
                </c:pt>
                <c:pt idx="5">
                  <c:v>770</c:v>
                </c:pt>
                <c:pt idx="6">
                  <c:v>2419</c:v>
                </c:pt>
                <c:pt idx="7">
                  <c:v>1974</c:v>
                </c:pt>
                <c:pt idx="8">
                  <c:v>503</c:v>
                </c:pt>
                <c:pt idx="9">
                  <c:v>2402</c:v>
                </c:pt>
                <c:pt idx="10">
                  <c:v>1538</c:v>
                </c:pt>
                <c:pt idx="11">
                  <c:v>496</c:v>
                </c:pt>
              </c:numCache>
            </c:numRef>
          </c:val>
          <c:smooth val="0"/>
          <c:extLst>
            <c:ext xmlns:c16="http://schemas.microsoft.com/office/drawing/2014/chart" uri="{C3380CC4-5D6E-409C-BE32-E72D297353CC}">
              <c16:uniqueId val="{00000001-2BC1-4412-BE39-1F9125291BEC}"/>
            </c:ext>
          </c:extLst>
        </c:ser>
        <c:ser>
          <c:idx val="2"/>
          <c:order val="2"/>
          <c:tx>
            <c:strRef>
              <c:f>'OTHER FORECASTS'!$I$17</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'OTHER FORECASTS'!$F$18:$F$29</c:f>
              <c:strCache>
                <c:ptCount val="12"/>
                <c:pt idx="0">
                  <c:v> January </c:v>
                </c:pt>
                <c:pt idx="1">
                  <c:v> February </c:v>
                </c:pt>
                <c:pt idx="2">
                  <c:v> March </c:v>
                </c:pt>
                <c:pt idx="3">
                  <c:v> April </c:v>
                </c:pt>
                <c:pt idx="4">
                  <c:v> May </c:v>
                </c:pt>
                <c:pt idx="5">
                  <c:v> June </c:v>
                </c:pt>
                <c:pt idx="6">
                  <c:v> July </c:v>
                </c:pt>
                <c:pt idx="7">
                  <c:v> August </c:v>
                </c:pt>
                <c:pt idx="8">
                  <c:v> September </c:v>
                </c:pt>
                <c:pt idx="9">
                  <c:v> October </c:v>
                </c:pt>
                <c:pt idx="10">
                  <c:v> November </c:v>
                </c:pt>
                <c:pt idx="11">
                  <c:v> December </c:v>
                </c:pt>
              </c:strCache>
            </c:strRef>
          </c:cat>
          <c:val>
            <c:numRef>
              <c:f>'OTHER FORECASTS'!$I$18:$I$29</c:f>
              <c:numCache>
                <c:formatCode>_-* #,##0_-;\-* #,##0_-;_-* "-"??_-;_-@_-</c:formatCode>
                <c:ptCount val="12"/>
                <c:pt idx="0">
                  <c:v>1829</c:v>
                </c:pt>
                <c:pt idx="1">
                  <c:v>1653</c:v>
                </c:pt>
                <c:pt idx="2">
                  <c:v>2007</c:v>
                </c:pt>
                <c:pt idx="3">
                  <c:v>2333</c:v>
                </c:pt>
                <c:pt idx="4">
                  <c:v>2098</c:v>
                </c:pt>
                <c:pt idx="5">
                  <c:v>789</c:v>
                </c:pt>
                <c:pt idx="6">
                  <c:v>2166</c:v>
                </c:pt>
                <c:pt idx="7">
                  <c:v>1345</c:v>
                </c:pt>
                <c:pt idx="8">
                  <c:v>383</c:v>
                </c:pt>
                <c:pt idx="9">
                  <c:v>1146</c:v>
                </c:pt>
                <c:pt idx="10">
                  <c:v>38</c:v>
                </c:pt>
              </c:numCache>
            </c:numRef>
          </c:val>
          <c:smooth val="0"/>
          <c:extLst>
            <c:ext xmlns:c16="http://schemas.microsoft.com/office/drawing/2014/chart" uri="{C3380CC4-5D6E-409C-BE32-E72D297353CC}">
              <c16:uniqueId val="{00000002-2BC1-4412-BE39-1F9125291BEC}"/>
            </c:ext>
          </c:extLst>
        </c:ser>
        <c:dLbls>
          <c:showLegendKey val="0"/>
          <c:showVal val="0"/>
          <c:showCatName val="0"/>
          <c:showSerName val="0"/>
          <c:showPercent val="0"/>
          <c:showBubbleSize val="0"/>
        </c:dLbls>
        <c:marker val="1"/>
        <c:smooth val="0"/>
        <c:axId val="508278143"/>
        <c:axId val="512874831"/>
      </c:lineChart>
      <c:catAx>
        <c:axId val="508278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12874831"/>
        <c:crosses val="autoZero"/>
        <c:auto val="1"/>
        <c:lblAlgn val="ctr"/>
        <c:lblOffset val="100"/>
        <c:noMultiLvlLbl val="0"/>
      </c:catAx>
      <c:valAx>
        <c:axId val="512874831"/>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08278143"/>
        <c:crosses val="autoZero"/>
        <c:crossBetween val="between"/>
      </c:valAx>
      <c:spPr>
        <a:noFill/>
        <a:ln>
          <a:noFill/>
        </a:ln>
        <a:effectLst/>
      </c:spPr>
    </c:plotArea>
    <c:legend>
      <c:legendPos val="b"/>
      <c:layout>
        <c:manualLayout>
          <c:xMode val="edge"/>
          <c:yMode val="edge"/>
          <c:x val="0.27971576227390182"/>
          <c:y val="0.15160169818602856"/>
          <c:w val="0.45348837209302323"/>
          <c:h val="0.1150906985719799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Garamond" panose="02020404030301010803"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Garamond" panose="02020404030301010803" pitchFamily="18" charset="0"/>
                <a:ea typeface="+mn-ea"/>
                <a:cs typeface="+mn-cs"/>
              </a:defRPr>
            </a:pPr>
            <a:r>
              <a:rPr lang="en-GB"/>
              <a:t>Target Prices</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manualLayout>
          <c:layoutTarget val="inner"/>
          <c:xMode val="edge"/>
          <c:yMode val="edge"/>
          <c:x val="9.4014335141270389E-2"/>
          <c:y val="0.13782676557236739"/>
          <c:w val="0.87535146006961884"/>
          <c:h val="0.65223661951389866"/>
        </c:manualLayout>
      </c:layout>
      <c:lineChart>
        <c:grouping val="standard"/>
        <c:varyColors val="0"/>
        <c:ser>
          <c:idx val="0"/>
          <c:order val="0"/>
          <c:tx>
            <c:v>2018</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'OTHER FORECASTS'!$F$52:$F$63</c:f>
              <c:strCache>
                <c:ptCount val="12"/>
                <c:pt idx="0">
                  <c:v> January </c:v>
                </c:pt>
                <c:pt idx="1">
                  <c:v> February </c:v>
                </c:pt>
                <c:pt idx="2">
                  <c:v> March </c:v>
                </c:pt>
                <c:pt idx="3">
                  <c:v> April </c:v>
                </c:pt>
                <c:pt idx="4">
                  <c:v> May </c:v>
                </c:pt>
                <c:pt idx="5">
                  <c:v> June </c:v>
                </c:pt>
                <c:pt idx="6">
                  <c:v> July </c:v>
                </c:pt>
                <c:pt idx="7">
                  <c:v> August </c:v>
                </c:pt>
                <c:pt idx="8">
                  <c:v> September </c:v>
                </c:pt>
                <c:pt idx="9">
                  <c:v> October </c:v>
                </c:pt>
                <c:pt idx="10">
                  <c:v> November </c:v>
                </c:pt>
                <c:pt idx="11">
                  <c:v> December </c:v>
                </c:pt>
              </c:strCache>
            </c:strRef>
          </c:cat>
          <c:val>
            <c:numRef>
              <c:f>'OTHER FORECASTS'!$H$52:$H$63</c:f>
              <c:numCache>
                <c:formatCode>_-* #,##0_-;\-* #,##0_-;_-* "-"??_-;_-@_-</c:formatCode>
                <c:ptCount val="12"/>
                <c:pt idx="0">
                  <c:v>7198</c:v>
                </c:pt>
                <c:pt idx="1">
                  <c:v>7388</c:v>
                </c:pt>
                <c:pt idx="2">
                  <c:v>3899</c:v>
                </c:pt>
                <c:pt idx="3">
                  <c:v>6248</c:v>
                </c:pt>
                <c:pt idx="4">
                  <c:v>6429</c:v>
                </c:pt>
                <c:pt idx="5">
                  <c:v>2481</c:v>
                </c:pt>
                <c:pt idx="6">
                  <c:v>6253</c:v>
                </c:pt>
                <c:pt idx="7">
                  <c:v>6258</c:v>
                </c:pt>
                <c:pt idx="8">
                  <c:v>2283</c:v>
                </c:pt>
                <c:pt idx="9">
                  <c:v>7634</c:v>
                </c:pt>
                <c:pt idx="10">
                  <c:v>6500</c:v>
                </c:pt>
                <c:pt idx="11">
                  <c:v>2809</c:v>
                </c:pt>
              </c:numCache>
            </c:numRef>
          </c:val>
          <c:smooth val="0"/>
          <c:extLst>
            <c:ext xmlns:c16="http://schemas.microsoft.com/office/drawing/2014/chart" uri="{C3380CC4-5D6E-409C-BE32-E72D297353CC}">
              <c16:uniqueId val="{00000000-6747-40DB-8C00-578DB640E60D}"/>
            </c:ext>
          </c:extLst>
        </c:ser>
        <c:ser>
          <c:idx val="1"/>
          <c:order val="1"/>
          <c:tx>
            <c:v>2019</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'OTHER FORECASTS'!$F$52:$F$63</c:f>
              <c:strCache>
                <c:ptCount val="12"/>
                <c:pt idx="0">
                  <c:v> January </c:v>
                </c:pt>
                <c:pt idx="1">
                  <c:v> February </c:v>
                </c:pt>
                <c:pt idx="2">
                  <c:v> March </c:v>
                </c:pt>
                <c:pt idx="3">
                  <c:v> April </c:v>
                </c:pt>
                <c:pt idx="4">
                  <c:v> May </c:v>
                </c:pt>
                <c:pt idx="5">
                  <c:v> June </c:v>
                </c:pt>
                <c:pt idx="6">
                  <c:v> July </c:v>
                </c:pt>
                <c:pt idx="7">
                  <c:v> August </c:v>
                </c:pt>
                <c:pt idx="8">
                  <c:v> September </c:v>
                </c:pt>
                <c:pt idx="9">
                  <c:v> October </c:v>
                </c:pt>
                <c:pt idx="10">
                  <c:v> November </c:v>
                </c:pt>
                <c:pt idx="11">
                  <c:v> December </c:v>
                </c:pt>
              </c:strCache>
            </c:strRef>
          </c:cat>
          <c:val>
            <c:numRef>
              <c:f>'OTHER FORECASTS'!$I$52:$I$63</c:f>
              <c:numCache>
                <c:formatCode>_-* #,##0_-;\-* #,##0_-;_-* "-"??_-;_-@_-</c:formatCode>
                <c:ptCount val="12"/>
                <c:pt idx="0">
                  <c:v>6129</c:v>
                </c:pt>
                <c:pt idx="1">
                  <c:v>6539</c:v>
                </c:pt>
                <c:pt idx="2">
                  <c:v>3706</c:v>
                </c:pt>
                <c:pt idx="3">
                  <c:v>5895</c:v>
                </c:pt>
                <c:pt idx="4">
                  <c:v>6213</c:v>
                </c:pt>
                <c:pt idx="5">
                  <c:v>2358</c:v>
                </c:pt>
                <c:pt idx="6">
                  <c:v>7371</c:v>
                </c:pt>
                <c:pt idx="7">
                  <c:v>6602</c:v>
                </c:pt>
                <c:pt idx="8">
                  <c:v>2474</c:v>
                </c:pt>
                <c:pt idx="9">
                  <c:v>7321</c:v>
                </c:pt>
                <c:pt idx="10">
                  <c:v>5881</c:v>
                </c:pt>
                <c:pt idx="11">
                  <c:v>191</c:v>
                </c:pt>
              </c:numCache>
            </c:numRef>
          </c:val>
          <c:smooth val="0"/>
          <c:extLst>
            <c:ext xmlns:c16="http://schemas.microsoft.com/office/drawing/2014/chart" uri="{C3380CC4-5D6E-409C-BE32-E72D297353CC}">
              <c16:uniqueId val="{00000001-6747-40DB-8C00-578DB640E60D}"/>
            </c:ext>
          </c:extLst>
        </c:ser>
        <c:ser>
          <c:idx val="2"/>
          <c:order val="2"/>
          <c:tx>
            <c:v>2020</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'OTHER FORECASTS'!$F$52:$F$63</c:f>
              <c:strCache>
                <c:ptCount val="12"/>
                <c:pt idx="0">
                  <c:v> January </c:v>
                </c:pt>
                <c:pt idx="1">
                  <c:v> February </c:v>
                </c:pt>
                <c:pt idx="2">
                  <c:v> March </c:v>
                </c:pt>
                <c:pt idx="3">
                  <c:v> April </c:v>
                </c:pt>
                <c:pt idx="4">
                  <c:v> May </c:v>
                </c:pt>
                <c:pt idx="5">
                  <c:v> June </c:v>
                </c:pt>
                <c:pt idx="6">
                  <c:v> July </c:v>
                </c:pt>
                <c:pt idx="7">
                  <c:v> August </c:v>
                </c:pt>
                <c:pt idx="8">
                  <c:v> September </c:v>
                </c:pt>
                <c:pt idx="9">
                  <c:v> October </c:v>
                </c:pt>
                <c:pt idx="10">
                  <c:v> November </c:v>
                </c:pt>
                <c:pt idx="11">
                  <c:v> December </c:v>
                </c:pt>
              </c:strCache>
            </c:strRef>
          </c:cat>
          <c:val>
            <c:numRef>
              <c:f>'OTHER FORECASTS'!$J$52:$J$63</c:f>
              <c:numCache>
                <c:formatCode>_-* #,##0_-;\-* #,##0_-;_-* "-"??_-;_-@_-</c:formatCode>
                <c:ptCount val="12"/>
                <c:pt idx="0">
                  <c:v>5584</c:v>
                </c:pt>
                <c:pt idx="1">
                  <c:v>6428</c:v>
                </c:pt>
                <c:pt idx="2">
                  <c:v>9669</c:v>
                </c:pt>
                <c:pt idx="3">
                  <c:v>9418</c:v>
                </c:pt>
                <c:pt idx="4">
                  <c:v>8443</c:v>
                </c:pt>
                <c:pt idx="5">
                  <c:v>3918</c:v>
                </c:pt>
                <c:pt idx="6">
                  <c:v>8419</c:v>
                </c:pt>
                <c:pt idx="7">
                  <c:v>6870</c:v>
                </c:pt>
                <c:pt idx="8">
                  <c:v>2070</c:v>
                </c:pt>
                <c:pt idx="9">
                  <c:v>3650</c:v>
                </c:pt>
                <c:pt idx="10">
                  <c:v>163</c:v>
                </c:pt>
              </c:numCache>
            </c:numRef>
          </c:val>
          <c:smooth val="0"/>
          <c:extLst>
            <c:ext xmlns:c16="http://schemas.microsoft.com/office/drawing/2014/chart" uri="{C3380CC4-5D6E-409C-BE32-E72D297353CC}">
              <c16:uniqueId val="{00000002-6747-40DB-8C00-578DB640E60D}"/>
            </c:ext>
          </c:extLst>
        </c:ser>
        <c:dLbls>
          <c:showLegendKey val="0"/>
          <c:showVal val="0"/>
          <c:showCatName val="0"/>
          <c:showSerName val="0"/>
          <c:showPercent val="0"/>
          <c:showBubbleSize val="0"/>
        </c:dLbls>
        <c:marker val="1"/>
        <c:smooth val="0"/>
        <c:axId val="508278143"/>
        <c:axId val="512874831"/>
      </c:lineChart>
      <c:catAx>
        <c:axId val="508278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12874831"/>
        <c:crosses val="autoZero"/>
        <c:auto val="1"/>
        <c:lblAlgn val="ctr"/>
        <c:lblOffset val="100"/>
        <c:noMultiLvlLbl val="0"/>
      </c:catAx>
      <c:valAx>
        <c:axId val="512874831"/>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08278143"/>
        <c:crosses val="autoZero"/>
        <c:crossBetween val="between"/>
      </c:valAx>
      <c:spPr>
        <a:noFill/>
        <a:ln>
          <a:noFill/>
        </a:ln>
        <a:effectLst/>
      </c:spPr>
    </c:plotArea>
    <c:legend>
      <c:legendPos val="b"/>
      <c:layout>
        <c:manualLayout>
          <c:xMode val="edge"/>
          <c:yMode val="edge"/>
          <c:x val="0.33715411300331644"/>
          <c:y val="0.17104576869960772"/>
          <c:w val="0.42870058781710352"/>
          <c:h val="7.05072426677586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Garamond" panose="02020404030301010803"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Garamond" panose="02020404030301010803" pitchFamily="18" charset="0"/>
                <a:ea typeface="+mn-ea"/>
                <a:cs typeface="+mn-cs"/>
              </a:defRPr>
            </a:pPr>
            <a:r>
              <a:rPr lang="en-GB"/>
              <a:t>Revenue forecasts</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manualLayout>
          <c:layoutTarget val="inner"/>
          <c:xMode val="edge"/>
          <c:yMode val="edge"/>
          <c:x val="0.10905466375272047"/>
          <c:y val="0.19890216338391992"/>
          <c:w val="0.85920846377180349"/>
          <c:h val="0.52176526113295019"/>
        </c:manualLayout>
      </c:layout>
      <c:lineChart>
        <c:grouping val="standard"/>
        <c:varyColors val="0"/>
        <c:ser>
          <c:idx val="0"/>
          <c:order val="0"/>
          <c:tx>
            <c:strRef>
              <c:f>'OTHER FORECASTS'!$G$3</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'OTHER FORECASTS'!$F$4:$F$15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'OTHER FORECASTS'!$G$4:$G$15</c:f>
              <c:numCache>
                <c:formatCode>_-* #,##0_-;\-* #,##0_-;_-* "-"??_-;_-@_-</c:formatCode>
                <c:ptCount val="12"/>
                <c:pt idx="0">
                  <c:v>8700</c:v>
                </c:pt>
                <c:pt idx="1">
                  <c:v>11822</c:v>
                </c:pt>
                <c:pt idx="2">
                  <c:v>6146</c:v>
                </c:pt>
                <c:pt idx="3">
                  <c:v>10552</c:v>
                </c:pt>
                <c:pt idx="4">
                  <c:v>11450</c:v>
                </c:pt>
                <c:pt idx="5">
                  <c:v>3613</c:v>
                </c:pt>
                <c:pt idx="6">
                  <c:v>10812</c:v>
                </c:pt>
                <c:pt idx="7">
                  <c:v>10758</c:v>
                </c:pt>
                <c:pt idx="8">
                  <c:v>3023</c:v>
                </c:pt>
                <c:pt idx="9">
                  <c:v>11836</c:v>
                </c:pt>
                <c:pt idx="10">
                  <c:v>10455</c:v>
                </c:pt>
                <c:pt idx="11">
                  <c:v>3263</c:v>
                </c:pt>
              </c:numCache>
            </c:numRef>
          </c:val>
          <c:smooth val="0"/>
          <c:extLst>
            <c:ext xmlns:c16="http://schemas.microsoft.com/office/drawing/2014/chart" uri="{C3380CC4-5D6E-409C-BE32-E72D297353CC}">
              <c16:uniqueId val="{00000000-52FD-4818-9DFE-91112D78D4BF}"/>
            </c:ext>
          </c:extLst>
        </c:ser>
        <c:ser>
          <c:idx val="1"/>
          <c:order val="1"/>
          <c:tx>
            <c:strRef>
              <c:f>'OTHER FORECASTS'!$H$3</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'OTHER FORECASTS'!$F$4:$F$15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'OTHER FORECASTS'!$H$4:$H$15</c:f>
              <c:numCache>
                <c:formatCode>_-* #,##0_-;\-* #,##0_-;_-* "-"??_-;_-@_-</c:formatCode>
                <c:ptCount val="12"/>
                <c:pt idx="0">
                  <c:v>8998</c:v>
                </c:pt>
                <c:pt idx="1">
                  <c:v>11301</c:v>
                </c:pt>
                <c:pt idx="2">
                  <c:v>6061</c:v>
                </c:pt>
                <c:pt idx="3">
                  <c:v>10314</c:v>
                </c:pt>
                <c:pt idx="4">
                  <c:v>11507</c:v>
                </c:pt>
                <c:pt idx="5">
                  <c:v>3415</c:v>
                </c:pt>
                <c:pt idx="6">
                  <c:v>11459</c:v>
                </c:pt>
                <c:pt idx="7">
                  <c:v>10247</c:v>
                </c:pt>
                <c:pt idx="8">
                  <c:v>3268</c:v>
                </c:pt>
                <c:pt idx="9">
                  <c:v>12109</c:v>
                </c:pt>
                <c:pt idx="10">
                  <c:v>9586</c:v>
                </c:pt>
                <c:pt idx="11">
                  <c:v>2947</c:v>
                </c:pt>
              </c:numCache>
            </c:numRef>
          </c:val>
          <c:smooth val="0"/>
          <c:extLst>
            <c:ext xmlns:c16="http://schemas.microsoft.com/office/drawing/2014/chart" uri="{C3380CC4-5D6E-409C-BE32-E72D297353CC}">
              <c16:uniqueId val="{00000001-52FD-4818-9DFE-91112D78D4BF}"/>
            </c:ext>
          </c:extLst>
        </c:ser>
        <c:ser>
          <c:idx val="2"/>
          <c:order val="2"/>
          <c:tx>
            <c:strRef>
              <c:f>'OTHER FORECASTS'!$I$3</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'OTHER FORECASTS'!$F$4:$F$15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'OTHER FORECASTS'!$I$4:$I$15</c:f>
              <c:numCache>
                <c:formatCode>_-* #,##0_-;\-* #,##0_-;_-* "-"??_-;_-@_-</c:formatCode>
                <c:ptCount val="12"/>
                <c:pt idx="0">
                  <c:v>8467</c:v>
                </c:pt>
                <c:pt idx="1">
                  <c:v>11199</c:v>
                </c:pt>
                <c:pt idx="2">
                  <c:v>10957</c:v>
                </c:pt>
                <c:pt idx="3">
                  <c:v>13337</c:v>
                </c:pt>
                <c:pt idx="4">
                  <c:v>13407</c:v>
                </c:pt>
                <c:pt idx="5">
                  <c:v>5331</c:v>
                </c:pt>
                <c:pt idx="6">
                  <c:v>12436</c:v>
                </c:pt>
                <c:pt idx="7">
                  <c:v>9986</c:v>
                </c:pt>
                <c:pt idx="8">
                  <c:v>2843</c:v>
                </c:pt>
                <c:pt idx="9">
                  <c:v>4887</c:v>
                </c:pt>
                <c:pt idx="10">
                  <c:v>269</c:v>
                </c:pt>
              </c:numCache>
            </c:numRef>
          </c:val>
          <c:smooth val="0"/>
          <c:extLst>
            <c:ext xmlns:c16="http://schemas.microsoft.com/office/drawing/2014/chart" uri="{C3380CC4-5D6E-409C-BE32-E72D297353CC}">
              <c16:uniqueId val="{00000002-52FD-4818-9DFE-91112D78D4BF}"/>
            </c:ext>
          </c:extLst>
        </c:ser>
        <c:dLbls>
          <c:showLegendKey val="0"/>
          <c:showVal val="0"/>
          <c:showCatName val="0"/>
          <c:showSerName val="0"/>
          <c:showPercent val="0"/>
          <c:showBubbleSize val="0"/>
        </c:dLbls>
        <c:marker val="1"/>
        <c:smooth val="0"/>
        <c:axId val="707285871"/>
        <c:axId val="515088447"/>
      </c:lineChart>
      <c:catAx>
        <c:axId val="707285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15088447"/>
        <c:crosses val="autoZero"/>
        <c:auto val="1"/>
        <c:lblAlgn val="ctr"/>
        <c:lblOffset val="100"/>
        <c:noMultiLvlLbl val="0"/>
      </c:catAx>
      <c:valAx>
        <c:axId val="515088447"/>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707285871"/>
        <c:crosses val="autoZero"/>
        <c:crossBetween val="between"/>
      </c:valAx>
      <c:spPr>
        <a:noFill/>
        <a:ln>
          <a:noFill/>
        </a:ln>
        <a:effectLst/>
      </c:spPr>
    </c:plotArea>
    <c:legend>
      <c:legendPos val="b"/>
      <c:layout>
        <c:manualLayout>
          <c:xMode val="edge"/>
          <c:yMode val="edge"/>
          <c:x val="0.31452381359870563"/>
          <c:y val="0.12875987239076148"/>
          <c:w val="0.40507789959607615"/>
          <c:h val="9.628672909267033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Garamond" panose="02020404030301010803"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Garamond" panose="02020404030301010803" pitchFamily="18" charset="0"/>
                <a:ea typeface="+mn-ea"/>
                <a:cs typeface="+mn-cs"/>
              </a:defRPr>
            </a:pPr>
            <a:r>
              <a:rPr lang="en-GB"/>
              <a:t>Dividend forecasts</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manualLayout>
          <c:layoutTarget val="inner"/>
          <c:xMode val="edge"/>
          <c:yMode val="edge"/>
          <c:x val="0.11139652038832951"/>
          <c:y val="0.24299802761341222"/>
          <c:w val="0.85261460344612161"/>
          <c:h val="0.44904315954588514"/>
        </c:manualLayout>
      </c:layout>
      <c:lineChart>
        <c:grouping val="standard"/>
        <c:varyColors val="0"/>
        <c:ser>
          <c:idx val="0"/>
          <c:order val="0"/>
          <c:tx>
            <c:strRef>
              <c:f>'OTHER FORECASTS'!$G$17</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'OTHER FORECASTS'!$F$32:$F$43</c:f>
              <c:strCache>
                <c:ptCount val="12"/>
                <c:pt idx="0">
                  <c:v> January </c:v>
                </c:pt>
                <c:pt idx="1">
                  <c:v> February </c:v>
                </c:pt>
                <c:pt idx="2">
                  <c:v> March </c:v>
                </c:pt>
                <c:pt idx="3">
                  <c:v> April </c:v>
                </c:pt>
                <c:pt idx="4">
                  <c:v> May </c:v>
                </c:pt>
                <c:pt idx="5">
                  <c:v> June </c:v>
                </c:pt>
                <c:pt idx="6">
                  <c:v> July </c:v>
                </c:pt>
                <c:pt idx="7">
                  <c:v> August </c:v>
                </c:pt>
                <c:pt idx="8">
                  <c:v> September </c:v>
                </c:pt>
                <c:pt idx="9">
                  <c:v> October </c:v>
                </c:pt>
                <c:pt idx="10">
                  <c:v> November </c:v>
                </c:pt>
                <c:pt idx="11">
                  <c:v> December </c:v>
                </c:pt>
              </c:strCache>
            </c:strRef>
          </c:cat>
          <c:val>
            <c:numRef>
              <c:f>'OTHER FORECASTS'!$G$32:$G$43</c:f>
              <c:numCache>
                <c:formatCode>_-* #,##0_-;\-* #,##0_-;_-* "-"??_-;_-@_-</c:formatCode>
                <c:ptCount val="12"/>
                <c:pt idx="0">
                  <c:v>825</c:v>
                </c:pt>
                <c:pt idx="1">
                  <c:v>963</c:v>
                </c:pt>
                <c:pt idx="2">
                  <c:v>422</c:v>
                </c:pt>
                <c:pt idx="3">
                  <c:v>773</c:v>
                </c:pt>
                <c:pt idx="4">
                  <c:v>508</c:v>
                </c:pt>
                <c:pt idx="5">
                  <c:v>250</c:v>
                </c:pt>
                <c:pt idx="6">
                  <c:v>755</c:v>
                </c:pt>
                <c:pt idx="7">
                  <c:v>407</c:v>
                </c:pt>
                <c:pt idx="8">
                  <c:v>179</c:v>
                </c:pt>
                <c:pt idx="9">
                  <c:v>701</c:v>
                </c:pt>
                <c:pt idx="10">
                  <c:v>485</c:v>
                </c:pt>
                <c:pt idx="11">
                  <c:v>178</c:v>
                </c:pt>
              </c:numCache>
            </c:numRef>
          </c:val>
          <c:smooth val="0"/>
          <c:extLst>
            <c:ext xmlns:c16="http://schemas.microsoft.com/office/drawing/2014/chart" uri="{C3380CC4-5D6E-409C-BE32-E72D297353CC}">
              <c16:uniqueId val="{00000000-84F1-41DD-A4AB-944F6CB0F4E1}"/>
            </c:ext>
          </c:extLst>
        </c:ser>
        <c:ser>
          <c:idx val="1"/>
          <c:order val="1"/>
          <c:tx>
            <c:strRef>
              <c:f>'OTHER FORECASTS'!$H$17</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'OTHER FORECASTS'!$F$32:$F$43</c:f>
              <c:strCache>
                <c:ptCount val="12"/>
                <c:pt idx="0">
                  <c:v> January </c:v>
                </c:pt>
                <c:pt idx="1">
                  <c:v> February </c:v>
                </c:pt>
                <c:pt idx="2">
                  <c:v> March </c:v>
                </c:pt>
                <c:pt idx="3">
                  <c:v> April </c:v>
                </c:pt>
                <c:pt idx="4">
                  <c:v> May </c:v>
                </c:pt>
                <c:pt idx="5">
                  <c:v> June </c:v>
                </c:pt>
                <c:pt idx="6">
                  <c:v> July </c:v>
                </c:pt>
                <c:pt idx="7">
                  <c:v> August </c:v>
                </c:pt>
                <c:pt idx="8">
                  <c:v> September </c:v>
                </c:pt>
                <c:pt idx="9">
                  <c:v> October </c:v>
                </c:pt>
                <c:pt idx="10">
                  <c:v> November </c:v>
                </c:pt>
                <c:pt idx="11">
                  <c:v> December </c:v>
                </c:pt>
              </c:strCache>
            </c:strRef>
          </c:cat>
          <c:val>
            <c:numRef>
              <c:f>'OTHER FORECASTS'!$H$32:$H$43</c:f>
              <c:numCache>
                <c:formatCode>_-* #,##0_-;\-* #,##0_-;_-* "-"??_-;_-@_-</c:formatCode>
                <c:ptCount val="12"/>
                <c:pt idx="0">
                  <c:v>867</c:v>
                </c:pt>
                <c:pt idx="1">
                  <c:v>924</c:v>
                </c:pt>
                <c:pt idx="2">
                  <c:v>396</c:v>
                </c:pt>
                <c:pt idx="3">
                  <c:v>712</c:v>
                </c:pt>
                <c:pt idx="4">
                  <c:v>462</c:v>
                </c:pt>
                <c:pt idx="5">
                  <c:v>247</c:v>
                </c:pt>
                <c:pt idx="6">
                  <c:v>732</c:v>
                </c:pt>
                <c:pt idx="7">
                  <c:v>462</c:v>
                </c:pt>
                <c:pt idx="8">
                  <c:v>174</c:v>
                </c:pt>
                <c:pt idx="9">
                  <c:v>588</c:v>
                </c:pt>
                <c:pt idx="10">
                  <c:v>370</c:v>
                </c:pt>
                <c:pt idx="11">
                  <c:v>173</c:v>
                </c:pt>
              </c:numCache>
            </c:numRef>
          </c:val>
          <c:smooth val="0"/>
          <c:extLst>
            <c:ext xmlns:c16="http://schemas.microsoft.com/office/drawing/2014/chart" uri="{C3380CC4-5D6E-409C-BE32-E72D297353CC}">
              <c16:uniqueId val="{00000001-84F1-41DD-A4AB-944F6CB0F4E1}"/>
            </c:ext>
          </c:extLst>
        </c:ser>
        <c:ser>
          <c:idx val="2"/>
          <c:order val="2"/>
          <c:tx>
            <c:strRef>
              <c:f>'OTHER FORECASTS'!$I$17</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'OTHER FORECASTS'!$F$32:$F$43</c:f>
              <c:strCache>
                <c:ptCount val="12"/>
                <c:pt idx="0">
                  <c:v> January </c:v>
                </c:pt>
                <c:pt idx="1">
                  <c:v> February </c:v>
                </c:pt>
                <c:pt idx="2">
                  <c:v> March </c:v>
                </c:pt>
                <c:pt idx="3">
                  <c:v> April </c:v>
                </c:pt>
                <c:pt idx="4">
                  <c:v> May </c:v>
                </c:pt>
                <c:pt idx="5">
                  <c:v> June </c:v>
                </c:pt>
                <c:pt idx="6">
                  <c:v> July </c:v>
                </c:pt>
                <c:pt idx="7">
                  <c:v> August </c:v>
                </c:pt>
                <c:pt idx="8">
                  <c:v> September </c:v>
                </c:pt>
                <c:pt idx="9">
                  <c:v> October </c:v>
                </c:pt>
                <c:pt idx="10">
                  <c:v> November </c:v>
                </c:pt>
                <c:pt idx="11">
                  <c:v> December </c:v>
                </c:pt>
              </c:strCache>
            </c:strRef>
          </c:cat>
          <c:val>
            <c:numRef>
              <c:f>'OTHER FORECASTS'!$I$32:$I$43</c:f>
              <c:numCache>
                <c:formatCode>_-* #,##0_-;\-* #,##0_-;_-* "-"??_-;_-@_-</c:formatCode>
                <c:ptCount val="12"/>
                <c:pt idx="0">
                  <c:v>937</c:v>
                </c:pt>
                <c:pt idx="1">
                  <c:v>858</c:v>
                </c:pt>
                <c:pt idx="2">
                  <c:v>454</c:v>
                </c:pt>
                <c:pt idx="3">
                  <c:v>744</c:v>
                </c:pt>
                <c:pt idx="4">
                  <c:v>735</c:v>
                </c:pt>
                <c:pt idx="5">
                  <c:v>250</c:v>
                </c:pt>
                <c:pt idx="6">
                  <c:v>497</c:v>
                </c:pt>
                <c:pt idx="7">
                  <c:v>295</c:v>
                </c:pt>
                <c:pt idx="8">
                  <c:v>95</c:v>
                </c:pt>
                <c:pt idx="9">
                  <c:v>149</c:v>
                </c:pt>
                <c:pt idx="10">
                  <c:v>7</c:v>
                </c:pt>
              </c:numCache>
            </c:numRef>
          </c:val>
          <c:smooth val="0"/>
          <c:extLst>
            <c:ext xmlns:c16="http://schemas.microsoft.com/office/drawing/2014/chart" uri="{C3380CC4-5D6E-409C-BE32-E72D297353CC}">
              <c16:uniqueId val="{00000002-84F1-41DD-A4AB-944F6CB0F4E1}"/>
            </c:ext>
          </c:extLst>
        </c:ser>
        <c:dLbls>
          <c:showLegendKey val="0"/>
          <c:showVal val="0"/>
          <c:showCatName val="0"/>
          <c:showSerName val="0"/>
          <c:showPercent val="0"/>
          <c:showBubbleSize val="0"/>
        </c:dLbls>
        <c:marker val="1"/>
        <c:smooth val="0"/>
        <c:axId val="508278143"/>
        <c:axId val="512874831"/>
      </c:lineChart>
      <c:catAx>
        <c:axId val="508278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12874831"/>
        <c:crosses val="autoZero"/>
        <c:auto val="1"/>
        <c:lblAlgn val="ctr"/>
        <c:lblOffset val="100"/>
        <c:noMultiLvlLbl val="0"/>
      </c:catAx>
      <c:valAx>
        <c:axId val="512874831"/>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08278143"/>
        <c:crosses val="autoZero"/>
        <c:crossBetween val="between"/>
      </c:valAx>
      <c:spPr>
        <a:noFill/>
        <a:ln>
          <a:noFill/>
        </a:ln>
        <a:effectLst/>
      </c:spPr>
    </c:plotArea>
    <c:legend>
      <c:legendPos val="b"/>
      <c:layout>
        <c:manualLayout>
          <c:xMode val="edge"/>
          <c:yMode val="edge"/>
          <c:x val="0.31612943114647879"/>
          <c:y val="0.14863905325443788"/>
          <c:w val="0.45934892851300507"/>
          <c:h val="0.1176331360946745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Garamond" panose="02020404030301010803"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Garamond" panose="02020404030301010803" pitchFamily="18" charset="0"/>
                <a:ea typeface="+mn-ea"/>
                <a:cs typeface="+mn-cs"/>
              </a:defRPr>
            </a:pPr>
            <a:r>
              <a:rPr lang="en-GB"/>
              <a:t>Recommendations</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manualLayout>
          <c:layoutTarget val="inner"/>
          <c:xMode val="edge"/>
          <c:yMode val="edge"/>
          <c:x val="9.5037940313080035E-2"/>
          <c:y val="0.15467117217635246"/>
          <c:w val="0.87567150575863828"/>
          <c:h val="0.52926583569766328"/>
        </c:manualLayout>
      </c:layout>
      <c:lineChart>
        <c:grouping val="standard"/>
        <c:varyColors val="0"/>
        <c:ser>
          <c:idx val="0"/>
          <c:order val="0"/>
          <c:tx>
            <c:strRef>
              <c:f>'OTHER FORECASTS'!$H$17</c:f>
              <c:strCache>
                <c:ptCount val="1"/>
                <c:pt idx="0">
                  <c:v>2019</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'OTHER FORECASTS'!$G$73:$G$84</c:f>
              <c:strCache>
                <c:ptCount val="12"/>
                <c:pt idx="0">
                  <c:v> January </c:v>
                </c:pt>
                <c:pt idx="1">
                  <c:v> February </c:v>
                </c:pt>
                <c:pt idx="2">
                  <c:v> March </c:v>
                </c:pt>
                <c:pt idx="3">
                  <c:v> April </c:v>
                </c:pt>
                <c:pt idx="4">
                  <c:v> May </c:v>
                </c:pt>
                <c:pt idx="5">
                  <c:v> June </c:v>
                </c:pt>
                <c:pt idx="6">
                  <c:v> July </c:v>
                </c:pt>
                <c:pt idx="7">
                  <c:v> August </c:v>
                </c:pt>
                <c:pt idx="8">
                  <c:v> September </c:v>
                </c:pt>
                <c:pt idx="9">
                  <c:v> October </c:v>
                </c:pt>
                <c:pt idx="10">
                  <c:v> November </c:v>
                </c:pt>
                <c:pt idx="11">
                  <c:v> December </c:v>
                </c:pt>
              </c:strCache>
            </c:strRef>
          </c:cat>
          <c:val>
            <c:numRef>
              <c:f>'OTHER FORECASTS'!$H$73:$H$84</c:f>
              <c:numCache>
                <c:formatCode>_-* #,##0_-;\-* #,##0_-;_-* "-"??_-;_-@_-</c:formatCode>
                <c:ptCount val="12"/>
                <c:pt idx="0">
                  <c:v>1074</c:v>
                </c:pt>
                <c:pt idx="1">
                  <c:v>840</c:v>
                </c:pt>
                <c:pt idx="2">
                  <c:v>808</c:v>
                </c:pt>
                <c:pt idx="3">
                  <c:v>875</c:v>
                </c:pt>
                <c:pt idx="4">
                  <c:v>819</c:v>
                </c:pt>
                <c:pt idx="5">
                  <c:v>913</c:v>
                </c:pt>
                <c:pt idx="6">
                  <c:v>929</c:v>
                </c:pt>
                <c:pt idx="7">
                  <c:v>876</c:v>
                </c:pt>
                <c:pt idx="8">
                  <c:v>703</c:v>
                </c:pt>
                <c:pt idx="9">
                  <c:v>1315</c:v>
                </c:pt>
                <c:pt idx="10">
                  <c:v>886</c:v>
                </c:pt>
                <c:pt idx="11">
                  <c:v>743</c:v>
                </c:pt>
              </c:numCache>
            </c:numRef>
          </c:val>
          <c:smooth val="0"/>
          <c:extLst>
            <c:ext xmlns:c16="http://schemas.microsoft.com/office/drawing/2014/chart" uri="{C3380CC4-5D6E-409C-BE32-E72D297353CC}">
              <c16:uniqueId val="{00000000-E64E-41B4-AFD7-1FF2FD3627D4}"/>
            </c:ext>
          </c:extLst>
        </c:ser>
        <c:ser>
          <c:idx val="1"/>
          <c:order val="1"/>
          <c:tx>
            <c:strRef>
              <c:f>'OTHER FORECASTS'!$I$17</c:f>
              <c:strCache>
                <c:ptCount val="1"/>
                <c:pt idx="0">
                  <c:v>2020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'OTHER FORECASTS'!$G$73:$G$84</c:f>
              <c:strCache>
                <c:ptCount val="12"/>
                <c:pt idx="0">
                  <c:v> January </c:v>
                </c:pt>
                <c:pt idx="1">
                  <c:v> February </c:v>
                </c:pt>
                <c:pt idx="2">
                  <c:v> March </c:v>
                </c:pt>
                <c:pt idx="3">
                  <c:v> April </c:v>
                </c:pt>
                <c:pt idx="4">
                  <c:v> May </c:v>
                </c:pt>
                <c:pt idx="5">
                  <c:v> June </c:v>
                </c:pt>
                <c:pt idx="6">
                  <c:v> July </c:v>
                </c:pt>
                <c:pt idx="7">
                  <c:v> August </c:v>
                </c:pt>
                <c:pt idx="8">
                  <c:v> September </c:v>
                </c:pt>
                <c:pt idx="9">
                  <c:v> October </c:v>
                </c:pt>
                <c:pt idx="10">
                  <c:v> November </c:v>
                </c:pt>
                <c:pt idx="11">
                  <c:v> December </c:v>
                </c:pt>
              </c:strCache>
            </c:strRef>
          </c:cat>
          <c:val>
            <c:numRef>
              <c:f>'OTHER FORECASTS'!$I$73:$I$84</c:f>
              <c:numCache>
                <c:formatCode>_-* #,##0_-;\-* #,##0_-;_-* "-"??_-;_-@_-</c:formatCode>
                <c:ptCount val="12"/>
                <c:pt idx="0">
                  <c:v>952</c:v>
                </c:pt>
                <c:pt idx="1">
                  <c:v>731</c:v>
                </c:pt>
                <c:pt idx="2">
                  <c:v>753</c:v>
                </c:pt>
                <c:pt idx="3">
                  <c:v>904</c:v>
                </c:pt>
                <c:pt idx="4">
                  <c:v>861</c:v>
                </c:pt>
                <c:pt idx="5">
                  <c:v>791</c:v>
                </c:pt>
                <c:pt idx="6">
                  <c:v>1062</c:v>
                </c:pt>
                <c:pt idx="7">
                  <c:v>895</c:v>
                </c:pt>
                <c:pt idx="8">
                  <c:v>727</c:v>
                </c:pt>
                <c:pt idx="9">
                  <c:v>938</c:v>
                </c:pt>
                <c:pt idx="10">
                  <c:v>818</c:v>
                </c:pt>
                <c:pt idx="11">
                  <c:v>57</c:v>
                </c:pt>
              </c:numCache>
            </c:numRef>
          </c:val>
          <c:smooth val="0"/>
          <c:extLst>
            <c:ext xmlns:c16="http://schemas.microsoft.com/office/drawing/2014/chart" uri="{C3380CC4-5D6E-409C-BE32-E72D297353CC}">
              <c16:uniqueId val="{00000001-E64E-41B4-AFD7-1FF2FD3627D4}"/>
            </c:ext>
          </c:extLst>
        </c:ser>
        <c:ser>
          <c:idx val="2"/>
          <c:order val="2"/>
          <c:tx>
            <c:v>2020</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'OTHER FORECASTS'!$G$73:$G$84</c:f>
              <c:strCache>
                <c:ptCount val="12"/>
                <c:pt idx="0">
                  <c:v> January </c:v>
                </c:pt>
                <c:pt idx="1">
                  <c:v> February </c:v>
                </c:pt>
                <c:pt idx="2">
                  <c:v> March </c:v>
                </c:pt>
                <c:pt idx="3">
                  <c:v> April </c:v>
                </c:pt>
                <c:pt idx="4">
                  <c:v> May </c:v>
                </c:pt>
                <c:pt idx="5">
                  <c:v> June </c:v>
                </c:pt>
                <c:pt idx="6">
                  <c:v> July </c:v>
                </c:pt>
                <c:pt idx="7">
                  <c:v> August </c:v>
                </c:pt>
                <c:pt idx="8">
                  <c:v> September </c:v>
                </c:pt>
                <c:pt idx="9">
                  <c:v> October </c:v>
                </c:pt>
                <c:pt idx="10">
                  <c:v> November </c:v>
                </c:pt>
                <c:pt idx="11">
                  <c:v> December </c:v>
                </c:pt>
              </c:strCache>
            </c:strRef>
          </c:cat>
          <c:val>
            <c:numRef>
              <c:f>'OTHER FORECASTS'!$J$73:$J$84</c:f>
              <c:numCache>
                <c:formatCode>_-* #,##0_-;\-* #,##0_-;_-* "-"??_-;_-@_-</c:formatCode>
                <c:ptCount val="12"/>
                <c:pt idx="0">
                  <c:v>1033</c:v>
                </c:pt>
                <c:pt idx="1">
                  <c:v>715</c:v>
                </c:pt>
                <c:pt idx="2">
                  <c:v>1469</c:v>
                </c:pt>
                <c:pt idx="3">
                  <c:v>1172</c:v>
                </c:pt>
                <c:pt idx="4">
                  <c:v>845</c:v>
                </c:pt>
                <c:pt idx="5">
                  <c:v>888</c:v>
                </c:pt>
                <c:pt idx="6">
                  <c:v>981</c:v>
                </c:pt>
                <c:pt idx="7">
                  <c:v>646</c:v>
                </c:pt>
                <c:pt idx="8">
                  <c:v>688</c:v>
                </c:pt>
                <c:pt idx="9">
                  <c:v>616</c:v>
                </c:pt>
                <c:pt idx="10">
                  <c:v>32</c:v>
                </c:pt>
              </c:numCache>
            </c:numRef>
          </c:val>
          <c:smooth val="0"/>
          <c:extLst>
            <c:ext xmlns:c16="http://schemas.microsoft.com/office/drawing/2014/chart" uri="{C3380CC4-5D6E-409C-BE32-E72D297353CC}">
              <c16:uniqueId val="{00000002-E64E-41B4-AFD7-1FF2FD3627D4}"/>
            </c:ext>
          </c:extLst>
        </c:ser>
        <c:dLbls>
          <c:showLegendKey val="0"/>
          <c:showVal val="0"/>
          <c:showCatName val="0"/>
          <c:showSerName val="0"/>
          <c:showPercent val="0"/>
          <c:showBubbleSize val="0"/>
        </c:dLbls>
        <c:marker val="1"/>
        <c:smooth val="0"/>
        <c:axId val="508278143"/>
        <c:axId val="512874831"/>
      </c:lineChart>
      <c:catAx>
        <c:axId val="508278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12874831"/>
        <c:crosses val="autoZero"/>
        <c:auto val="1"/>
        <c:lblAlgn val="ctr"/>
        <c:lblOffset val="100"/>
        <c:noMultiLvlLbl val="0"/>
      </c:catAx>
      <c:valAx>
        <c:axId val="512874831"/>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08278143"/>
        <c:crosses val="autoZero"/>
        <c:crossBetween val="between"/>
      </c:valAx>
      <c:spPr>
        <a:noFill/>
        <a:ln>
          <a:noFill/>
        </a:ln>
        <a:effectLst/>
      </c:spPr>
    </c:plotArea>
    <c:legend>
      <c:legendPos val="b"/>
      <c:layout>
        <c:manualLayout>
          <c:xMode val="edge"/>
          <c:yMode val="edge"/>
          <c:x val="0.28999692149556067"/>
          <c:y val="0.1440728107367146"/>
          <c:w val="0.60390158575180541"/>
          <c:h val="7.912435879258507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Garamond" panose="02020404030301010803"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273931487713347E-2"/>
          <c:y val="0.12528631628405512"/>
          <c:w val="0.92071060100165925"/>
          <c:h val="0.73883917100423602"/>
        </c:manualLayout>
      </c:layout>
      <c:lineChart>
        <c:grouping val="standard"/>
        <c:varyColors val="0"/>
        <c:ser>
          <c:idx val="0"/>
          <c:order val="0"/>
          <c:tx>
            <c:strRef>
              <c:f>'OTHER FORECASTS'!$AX$2</c:f>
              <c:strCache>
                <c:ptCount val="1"/>
                <c:pt idx="0">
                  <c:v>EPS error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'OTHER FORECASTS'!$AW$3:$AW$14</c:f>
              <c:strCache>
                <c:ptCount val="12"/>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strCache>
            </c:strRef>
          </c:cat>
          <c:val>
            <c:numRef>
              <c:f>'OTHER FORECASTS'!$AX$3:$AX$14</c:f>
              <c:numCache>
                <c:formatCode>0.00</c:formatCode>
                <c:ptCount val="12"/>
                <c:pt idx="0">
                  <c:v>7.6249899999999995E-2</c:v>
                </c:pt>
                <c:pt idx="1">
                  <c:v>7.1511099999999994E-2</c:v>
                </c:pt>
                <c:pt idx="2">
                  <c:v>7.1510000000000004E-2</c:v>
                </c:pt>
                <c:pt idx="3">
                  <c:v>8.5980799999999996E-2</c:v>
                </c:pt>
                <c:pt idx="4">
                  <c:v>7.9107300000000005E-2</c:v>
                </c:pt>
                <c:pt idx="5">
                  <c:v>7.4742600000000006E-2</c:v>
                </c:pt>
                <c:pt idx="6">
                  <c:v>7.6370900000000005E-2</c:v>
                </c:pt>
                <c:pt idx="7">
                  <c:v>7.8780100000000006E-2</c:v>
                </c:pt>
                <c:pt idx="8">
                  <c:v>0.14530989999999999</c:v>
                </c:pt>
                <c:pt idx="9">
                  <c:v>0.15919230000000001</c:v>
                </c:pt>
                <c:pt idx="10">
                  <c:v>0.13632159999999999</c:v>
                </c:pt>
                <c:pt idx="11">
                  <c:v>0.1178743</c:v>
                </c:pt>
              </c:numCache>
            </c:numRef>
          </c:val>
          <c:smooth val="0"/>
          <c:extLst>
            <c:ext xmlns:c16="http://schemas.microsoft.com/office/drawing/2014/chart" uri="{C3380CC4-5D6E-409C-BE32-E72D297353CC}">
              <c16:uniqueId val="{00000000-65B1-48C6-8928-55C226F8CAF0}"/>
            </c:ext>
          </c:extLst>
        </c:ser>
        <c:ser>
          <c:idx val="1"/>
          <c:order val="1"/>
          <c:tx>
            <c:strRef>
              <c:f>'OTHER FORECASTS'!$AY$2</c:f>
              <c:strCache>
                <c:ptCount val="1"/>
                <c:pt idx="0">
                  <c:v>Revenue error</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cat>
            <c:strRef>
              <c:f>'OTHER FORECASTS'!$AW$3:$AW$14</c:f>
              <c:strCache>
                <c:ptCount val="12"/>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strCache>
            </c:strRef>
          </c:cat>
          <c:val>
            <c:numRef>
              <c:f>'OTHER FORECASTS'!$AY$3:$AY$14</c:f>
              <c:numCache>
                <c:formatCode>0.00</c:formatCode>
                <c:ptCount val="12"/>
                <c:pt idx="0">
                  <c:v>8.0795599999999995E-2</c:v>
                </c:pt>
                <c:pt idx="1">
                  <c:v>7.5745999999999994E-2</c:v>
                </c:pt>
                <c:pt idx="2">
                  <c:v>7.5402899999999995E-2</c:v>
                </c:pt>
                <c:pt idx="3">
                  <c:v>9.1998099999999999E-2</c:v>
                </c:pt>
                <c:pt idx="4">
                  <c:v>8.3805400000000002E-2</c:v>
                </c:pt>
                <c:pt idx="5">
                  <c:v>7.9311900000000005E-2</c:v>
                </c:pt>
                <c:pt idx="6">
                  <c:v>8.0153600000000005E-2</c:v>
                </c:pt>
                <c:pt idx="7">
                  <c:v>8.3293099999999995E-2</c:v>
                </c:pt>
                <c:pt idx="8">
                  <c:v>0.1454812</c:v>
                </c:pt>
                <c:pt idx="9">
                  <c:v>0.1600548</c:v>
                </c:pt>
                <c:pt idx="10">
                  <c:v>0.1385662</c:v>
                </c:pt>
                <c:pt idx="11">
                  <c:v>0.1206581</c:v>
                </c:pt>
              </c:numCache>
            </c:numRef>
          </c:val>
          <c:smooth val="0"/>
          <c:extLst>
            <c:ext xmlns:c16="http://schemas.microsoft.com/office/drawing/2014/chart" uri="{C3380CC4-5D6E-409C-BE32-E72D297353CC}">
              <c16:uniqueId val="{00000001-65B1-48C6-8928-55C226F8CAF0}"/>
            </c:ext>
          </c:extLst>
        </c:ser>
        <c:ser>
          <c:idx val="2"/>
          <c:order val="2"/>
          <c:tx>
            <c:strRef>
              <c:f>'OTHER FORECASTS'!$AZ$2</c:f>
              <c:strCache>
                <c:ptCount val="1"/>
                <c:pt idx="0">
                  <c:v>CPS error</c:v>
                </c:pt>
              </c:strCache>
            </c:strRef>
          </c:tx>
          <c:spPr>
            <a:ln w="28575" cap="rnd">
              <a:solidFill>
                <a:schemeClr val="accent3"/>
              </a:solidFill>
              <a:round/>
            </a:ln>
            <a:effectLst/>
          </c:spPr>
          <c:marker>
            <c:symbol val="star"/>
            <c:size val="5"/>
            <c:spPr>
              <a:noFill/>
              <a:ln w="9525">
                <a:solidFill>
                  <a:schemeClr val="accent3"/>
                </a:solidFill>
              </a:ln>
              <a:effectLst/>
            </c:spPr>
          </c:marker>
          <c:cat>
            <c:strRef>
              <c:f>'OTHER FORECASTS'!$AW$3:$AW$14</c:f>
              <c:strCache>
                <c:ptCount val="12"/>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strCache>
            </c:strRef>
          </c:cat>
          <c:val>
            <c:numRef>
              <c:f>'OTHER FORECASTS'!$AZ$3:$AZ$14</c:f>
              <c:numCache>
                <c:formatCode>0.00</c:formatCode>
                <c:ptCount val="12"/>
                <c:pt idx="0">
                  <c:v>6.3274999999999998E-2</c:v>
                </c:pt>
                <c:pt idx="1">
                  <c:v>5.9389699999999997E-2</c:v>
                </c:pt>
                <c:pt idx="2">
                  <c:v>5.7062300000000003E-2</c:v>
                </c:pt>
                <c:pt idx="3">
                  <c:v>6.5204399999999996E-2</c:v>
                </c:pt>
                <c:pt idx="4">
                  <c:v>6.2687099999999996E-2</c:v>
                </c:pt>
                <c:pt idx="5">
                  <c:v>5.7536799999999999E-2</c:v>
                </c:pt>
                <c:pt idx="6">
                  <c:v>5.6288900000000003E-2</c:v>
                </c:pt>
                <c:pt idx="7">
                  <c:v>5.71218E-2</c:v>
                </c:pt>
                <c:pt idx="8">
                  <c:v>8.9391799999999993E-2</c:v>
                </c:pt>
                <c:pt idx="9">
                  <c:v>0.11409809999999999</c:v>
                </c:pt>
                <c:pt idx="10">
                  <c:v>0.10027170000000001</c:v>
                </c:pt>
                <c:pt idx="11">
                  <c:v>8.2273600000000002E-2</c:v>
                </c:pt>
              </c:numCache>
            </c:numRef>
          </c:val>
          <c:smooth val="0"/>
          <c:extLst>
            <c:ext xmlns:c16="http://schemas.microsoft.com/office/drawing/2014/chart" uri="{C3380CC4-5D6E-409C-BE32-E72D297353CC}">
              <c16:uniqueId val="{00000002-65B1-48C6-8928-55C226F8CAF0}"/>
            </c:ext>
          </c:extLst>
        </c:ser>
        <c:ser>
          <c:idx val="3"/>
          <c:order val="3"/>
          <c:tx>
            <c:strRef>
              <c:f>'OTHER FORECASTS'!$BA$2</c:f>
              <c:strCache>
                <c:ptCount val="1"/>
                <c:pt idx="0">
                  <c:v>DPS error</c:v>
                </c:pt>
              </c:strCache>
            </c:strRef>
          </c:tx>
          <c:spPr>
            <a:ln w="28575" cap="rnd">
              <a:solidFill>
                <a:schemeClr val="accent4"/>
              </a:solidFill>
              <a:round/>
            </a:ln>
            <a:effectLst/>
          </c:spPr>
          <c:marker>
            <c:symbol val="plus"/>
            <c:size val="5"/>
            <c:spPr>
              <a:noFill/>
              <a:ln w="9525">
                <a:solidFill>
                  <a:schemeClr val="accent4"/>
                </a:solidFill>
              </a:ln>
              <a:effectLst/>
            </c:spPr>
          </c:marker>
          <c:cat>
            <c:strRef>
              <c:f>'OTHER FORECASTS'!$AW$3:$AW$14</c:f>
              <c:strCache>
                <c:ptCount val="12"/>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strCache>
            </c:strRef>
          </c:cat>
          <c:val>
            <c:numRef>
              <c:f>'OTHER FORECASTS'!$BA$3:$BA$14</c:f>
              <c:numCache>
                <c:formatCode>0.00</c:formatCode>
                <c:ptCount val="12"/>
                <c:pt idx="0">
                  <c:v>0.25295800000000002</c:v>
                </c:pt>
                <c:pt idx="1">
                  <c:v>0.23567550000000001</c:v>
                </c:pt>
                <c:pt idx="2">
                  <c:v>0.21150730000000001</c:v>
                </c:pt>
                <c:pt idx="3">
                  <c:v>0.21111250000000001</c:v>
                </c:pt>
                <c:pt idx="4">
                  <c:v>0.274364</c:v>
                </c:pt>
                <c:pt idx="5">
                  <c:v>0.25466040000000001</c:v>
                </c:pt>
                <c:pt idx="6">
                  <c:v>0.21419250000000001</c:v>
                </c:pt>
                <c:pt idx="7">
                  <c:v>0.20444329999999999</c:v>
                </c:pt>
                <c:pt idx="8">
                  <c:v>0.28027160000000001</c:v>
                </c:pt>
                <c:pt idx="9">
                  <c:v>0.30709249999999999</c:v>
                </c:pt>
                <c:pt idx="10">
                  <c:v>0.26536169999999998</c:v>
                </c:pt>
                <c:pt idx="11">
                  <c:v>0.21463450000000001</c:v>
                </c:pt>
              </c:numCache>
            </c:numRef>
          </c:val>
          <c:smooth val="0"/>
          <c:extLst>
            <c:ext xmlns:c16="http://schemas.microsoft.com/office/drawing/2014/chart" uri="{C3380CC4-5D6E-409C-BE32-E72D297353CC}">
              <c16:uniqueId val="{00000003-65B1-48C6-8928-55C226F8CAF0}"/>
            </c:ext>
          </c:extLst>
        </c:ser>
        <c:dLbls>
          <c:showLegendKey val="0"/>
          <c:showVal val="0"/>
          <c:showCatName val="0"/>
          <c:showSerName val="0"/>
          <c:showPercent val="0"/>
          <c:showBubbleSize val="0"/>
        </c:dLbls>
        <c:marker val="1"/>
        <c:smooth val="0"/>
        <c:axId val="184981743"/>
        <c:axId val="118310463"/>
      </c:lineChart>
      <c:catAx>
        <c:axId val="18498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18310463"/>
        <c:crosses val="autoZero"/>
        <c:auto val="1"/>
        <c:lblAlgn val="ctr"/>
        <c:lblOffset val="100"/>
        <c:noMultiLvlLbl val="0"/>
      </c:catAx>
      <c:valAx>
        <c:axId val="1183104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r>
                  <a:rPr lang="en-GB"/>
                  <a:t>Forecast error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84981743"/>
        <c:crosses val="autoZero"/>
        <c:crossBetween val="between"/>
      </c:valAx>
      <c:spPr>
        <a:noFill/>
        <a:ln>
          <a:noFill/>
        </a:ln>
        <a:effectLst/>
      </c:spPr>
    </c:plotArea>
    <c:legend>
      <c:legendPos val="b"/>
      <c:layout>
        <c:manualLayout>
          <c:xMode val="edge"/>
          <c:yMode val="edge"/>
          <c:x val="0.23020563381276676"/>
          <c:y val="7.6994991300389837E-2"/>
          <c:w val="0.4982335947203087"/>
          <c:h val="4.993213753459654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Garamond" panose="02020404030301010803"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612665177723827E-2"/>
          <c:y val="8.9289032313791192E-2"/>
          <c:w val="0.81853809892762652"/>
          <c:h val="0.82578871141563792"/>
        </c:manualLayout>
      </c:layout>
      <c:lineChart>
        <c:grouping val="standard"/>
        <c:varyColors val="0"/>
        <c:ser>
          <c:idx val="0"/>
          <c:order val="0"/>
          <c:tx>
            <c:strRef>
              <c:f>Sheet3!$E$9</c:f>
              <c:strCache>
                <c:ptCount val="1"/>
                <c:pt idx="0">
                  <c:v>EPS error</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cat>
            <c:strRef>
              <c:f>Sheet3!$D$10:$D$21</c:f>
              <c:strCache>
                <c:ptCount val="12"/>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strCache>
            </c:strRef>
          </c:cat>
          <c:val>
            <c:numRef>
              <c:f>Sheet3!$E$10:$E$21</c:f>
              <c:numCache>
                <c:formatCode>0</c:formatCode>
                <c:ptCount val="12"/>
                <c:pt idx="0">
                  <c:v>360.0044651</c:v>
                </c:pt>
                <c:pt idx="1">
                  <c:v>312.41710189999998</c:v>
                </c:pt>
                <c:pt idx="2">
                  <c:v>291.52098000000001</c:v>
                </c:pt>
                <c:pt idx="3">
                  <c:v>345.93389400000001</c:v>
                </c:pt>
                <c:pt idx="4">
                  <c:v>261.35544750000003</c:v>
                </c:pt>
                <c:pt idx="5">
                  <c:v>241.13010740000001</c:v>
                </c:pt>
                <c:pt idx="6">
                  <c:v>289.69366989999997</c:v>
                </c:pt>
                <c:pt idx="7">
                  <c:v>313.96529020000003</c:v>
                </c:pt>
                <c:pt idx="8">
                  <c:v>650.960555</c:v>
                </c:pt>
                <c:pt idx="9">
                  <c:v>358.62605120000001</c:v>
                </c:pt>
                <c:pt idx="10">
                  <c:v>222.3734417</c:v>
                </c:pt>
                <c:pt idx="11">
                  <c:v>187.44247609999999</c:v>
                </c:pt>
              </c:numCache>
            </c:numRef>
          </c:val>
          <c:smooth val="0"/>
          <c:extLst>
            <c:ext xmlns:c16="http://schemas.microsoft.com/office/drawing/2014/chart" uri="{C3380CC4-5D6E-409C-BE32-E72D297353CC}">
              <c16:uniqueId val="{00000000-623F-43E8-BF31-07ADC999057B}"/>
            </c:ext>
          </c:extLst>
        </c:ser>
        <c:ser>
          <c:idx val="1"/>
          <c:order val="1"/>
          <c:tx>
            <c:strRef>
              <c:f>Sheet3!$F$9</c:f>
              <c:strCache>
                <c:ptCount val="1"/>
                <c:pt idx="0">
                  <c:v>Revenue error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Sheet3!$D$10:$D$21</c:f>
              <c:strCache>
                <c:ptCount val="12"/>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strCache>
            </c:strRef>
          </c:cat>
          <c:val>
            <c:numRef>
              <c:f>Sheet3!$F$10:$F$21</c:f>
              <c:numCache>
                <c:formatCode>0</c:formatCode>
                <c:ptCount val="12"/>
                <c:pt idx="0">
                  <c:v>274.35193600000002</c:v>
                </c:pt>
                <c:pt idx="1">
                  <c:v>235.33623979999999</c:v>
                </c:pt>
                <c:pt idx="2">
                  <c:v>209.43418070000001</c:v>
                </c:pt>
                <c:pt idx="3">
                  <c:v>247.21904749999999</c:v>
                </c:pt>
                <c:pt idx="4">
                  <c:v>192.65811790000001</c:v>
                </c:pt>
                <c:pt idx="5">
                  <c:v>182.87757070000001</c:v>
                </c:pt>
                <c:pt idx="6">
                  <c:v>201.78114540000001</c:v>
                </c:pt>
                <c:pt idx="7">
                  <c:v>222.69069440000001</c:v>
                </c:pt>
                <c:pt idx="8">
                  <c:v>354.46673670000001</c:v>
                </c:pt>
                <c:pt idx="9">
                  <c:v>206.33616910000001</c:v>
                </c:pt>
                <c:pt idx="10">
                  <c:v>129.54414650000001</c:v>
                </c:pt>
                <c:pt idx="11">
                  <c:v>104.95507379999999</c:v>
                </c:pt>
              </c:numCache>
            </c:numRef>
          </c:val>
          <c:smooth val="0"/>
          <c:extLst>
            <c:ext xmlns:c16="http://schemas.microsoft.com/office/drawing/2014/chart" uri="{C3380CC4-5D6E-409C-BE32-E72D297353CC}">
              <c16:uniqueId val="{00000001-623F-43E8-BF31-07ADC999057B}"/>
            </c:ext>
          </c:extLst>
        </c:ser>
        <c:ser>
          <c:idx val="3"/>
          <c:order val="3"/>
          <c:tx>
            <c:strRef>
              <c:f>Sheet3!$H$9</c:f>
              <c:strCache>
                <c:ptCount val="1"/>
                <c:pt idx="0">
                  <c:v>DPS error</c:v>
                </c:pt>
              </c:strCache>
            </c:strRef>
          </c:tx>
          <c:spPr>
            <a:ln w="28575" cap="rnd">
              <a:solidFill>
                <a:schemeClr val="accent4"/>
              </a:solidFill>
              <a:round/>
            </a:ln>
            <a:effectLst/>
          </c:spPr>
          <c:marker>
            <c:symbol val="triangle"/>
            <c:size val="5"/>
            <c:spPr>
              <a:solidFill>
                <a:schemeClr val="accent4"/>
              </a:solidFill>
              <a:ln w="9525">
                <a:solidFill>
                  <a:schemeClr val="accent4"/>
                </a:solidFill>
              </a:ln>
              <a:effectLst/>
            </c:spPr>
          </c:marker>
          <c:cat>
            <c:strRef>
              <c:f>Sheet3!$D$10:$D$21</c:f>
              <c:strCache>
                <c:ptCount val="12"/>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strCache>
            </c:strRef>
          </c:cat>
          <c:val>
            <c:numRef>
              <c:f>Sheet3!$H$10:$H$21</c:f>
              <c:numCache>
                <c:formatCode>0</c:formatCode>
                <c:ptCount val="12"/>
                <c:pt idx="0">
                  <c:v>118.2900509</c:v>
                </c:pt>
                <c:pt idx="1">
                  <c:v>122.9611819</c:v>
                </c:pt>
                <c:pt idx="2">
                  <c:v>104.65405730000001</c:v>
                </c:pt>
                <c:pt idx="3">
                  <c:v>141.9296889</c:v>
                </c:pt>
                <c:pt idx="4">
                  <c:v>96.194037499999993</c:v>
                </c:pt>
                <c:pt idx="5">
                  <c:v>66.592803900000007</c:v>
                </c:pt>
                <c:pt idx="6">
                  <c:v>82.1172921</c:v>
                </c:pt>
                <c:pt idx="7">
                  <c:v>122.8888759</c:v>
                </c:pt>
                <c:pt idx="8">
                  <c:v>116.11772240000001</c:v>
                </c:pt>
                <c:pt idx="9">
                  <c:v>58.8936055</c:v>
                </c:pt>
                <c:pt idx="10">
                  <c:v>30.8703988</c:v>
                </c:pt>
                <c:pt idx="11">
                  <c:v>35.678777599999997</c:v>
                </c:pt>
              </c:numCache>
            </c:numRef>
          </c:val>
          <c:smooth val="0"/>
          <c:extLst>
            <c:ext xmlns:c16="http://schemas.microsoft.com/office/drawing/2014/chart" uri="{C3380CC4-5D6E-409C-BE32-E72D297353CC}">
              <c16:uniqueId val="{00000002-623F-43E8-BF31-07ADC999057B}"/>
            </c:ext>
          </c:extLst>
        </c:ser>
        <c:dLbls>
          <c:showLegendKey val="0"/>
          <c:showVal val="0"/>
          <c:showCatName val="0"/>
          <c:showSerName val="0"/>
          <c:showPercent val="0"/>
          <c:showBubbleSize val="0"/>
        </c:dLbls>
        <c:marker val="1"/>
        <c:smooth val="0"/>
        <c:axId val="36418207"/>
        <c:axId val="126007551"/>
      </c:lineChart>
      <c:lineChart>
        <c:grouping val="standard"/>
        <c:varyColors val="0"/>
        <c:ser>
          <c:idx val="2"/>
          <c:order val="2"/>
          <c:tx>
            <c:strRef>
              <c:f>Sheet3!$G$9</c:f>
              <c:strCache>
                <c:ptCount val="1"/>
                <c:pt idx="0">
                  <c:v>CPS error</c:v>
                </c:pt>
              </c:strCache>
            </c:strRef>
          </c:tx>
          <c:spPr>
            <a:ln w="28575" cap="rnd">
              <a:solidFill>
                <a:schemeClr val="accent3"/>
              </a:solidFill>
              <a:round/>
            </a:ln>
            <a:effectLst/>
          </c:spPr>
          <c:marker>
            <c:symbol val="x"/>
            <c:size val="5"/>
            <c:spPr>
              <a:noFill/>
              <a:ln w="9525">
                <a:solidFill>
                  <a:schemeClr val="accent3"/>
                </a:solidFill>
              </a:ln>
              <a:effectLst/>
            </c:spPr>
          </c:marker>
          <c:cat>
            <c:multiLvlStrRef>
              <c:f>Sheet3!$C$10:$D$21</c:f>
              <c:multiLvlStrCache>
                <c:ptCount val="12"/>
                <c:lvl>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lvl>
                <c:lvl>
                  <c:pt idx="0">
                    <c:v>2018</c:v>
                  </c:pt>
                  <c:pt idx="4">
                    <c:v>2019</c:v>
                  </c:pt>
                  <c:pt idx="8">
                    <c:v>2020</c:v>
                  </c:pt>
                </c:lvl>
              </c:multiLvlStrCache>
            </c:multiLvlStrRef>
          </c:cat>
          <c:val>
            <c:numRef>
              <c:f>Sheet3!$G$10:$G$21</c:f>
              <c:numCache>
                <c:formatCode>0</c:formatCode>
                <c:ptCount val="12"/>
                <c:pt idx="0">
                  <c:v>1318.12</c:v>
                </c:pt>
                <c:pt idx="1">
                  <c:v>1128.24</c:v>
                </c:pt>
                <c:pt idx="2">
                  <c:v>964.12966789999996</c:v>
                </c:pt>
                <c:pt idx="3">
                  <c:v>1019.23</c:v>
                </c:pt>
                <c:pt idx="4">
                  <c:v>1162.06</c:v>
                </c:pt>
                <c:pt idx="5">
                  <c:v>1050.8</c:v>
                </c:pt>
                <c:pt idx="6">
                  <c:v>990.47570940000003</c:v>
                </c:pt>
                <c:pt idx="7">
                  <c:v>1037.1300000000001</c:v>
                </c:pt>
                <c:pt idx="8">
                  <c:v>1419.69</c:v>
                </c:pt>
                <c:pt idx="9">
                  <c:v>685.36094109999999</c:v>
                </c:pt>
                <c:pt idx="10">
                  <c:v>413.40090040000001</c:v>
                </c:pt>
                <c:pt idx="11">
                  <c:v>326.11465779999997</c:v>
                </c:pt>
              </c:numCache>
            </c:numRef>
          </c:val>
          <c:smooth val="0"/>
          <c:extLst>
            <c:ext xmlns:c16="http://schemas.microsoft.com/office/drawing/2014/chart" uri="{C3380CC4-5D6E-409C-BE32-E72D297353CC}">
              <c16:uniqueId val="{00000003-623F-43E8-BF31-07ADC999057B}"/>
            </c:ext>
          </c:extLst>
        </c:ser>
        <c:dLbls>
          <c:showLegendKey val="0"/>
          <c:showVal val="0"/>
          <c:showCatName val="0"/>
          <c:showSerName val="0"/>
          <c:showPercent val="0"/>
          <c:showBubbleSize val="0"/>
        </c:dLbls>
        <c:marker val="1"/>
        <c:smooth val="0"/>
        <c:axId val="43091535"/>
        <c:axId val="39412255"/>
      </c:lineChart>
      <c:catAx>
        <c:axId val="36418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26007551"/>
        <c:crosses val="autoZero"/>
        <c:auto val="1"/>
        <c:lblAlgn val="ctr"/>
        <c:lblOffset val="100"/>
        <c:noMultiLvlLbl val="0"/>
      </c:catAx>
      <c:valAx>
        <c:axId val="1260075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r>
                  <a:rPr lang="en-GB"/>
                  <a:t>normalized EPS, Revenue and DPS forecast error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36418207"/>
        <c:crosses val="autoZero"/>
        <c:crossBetween val="between"/>
      </c:valAx>
      <c:valAx>
        <c:axId val="39412255"/>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r>
                  <a:rPr lang="en-GB"/>
                  <a:t>Normalized CPS forecast error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43091535"/>
        <c:crosses val="max"/>
        <c:crossBetween val="between"/>
      </c:valAx>
      <c:catAx>
        <c:axId val="43091535"/>
        <c:scaling>
          <c:orientation val="minMax"/>
        </c:scaling>
        <c:delete val="1"/>
        <c:axPos val="b"/>
        <c:numFmt formatCode="General" sourceLinked="1"/>
        <c:majorTickMark val="out"/>
        <c:minorTickMark val="none"/>
        <c:tickLblPos val="nextTo"/>
        <c:crossAx val="39412255"/>
        <c:crosses val="autoZero"/>
        <c:auto val="1"/>
        <c:lblAlgn val="ctr"/>
        <c:lblOffset val="100"/>
        <c:noMultiLvlLbl val="0"/>
      </c:catAx>
      <c:spPr>
        <a:noFill/>
        <a:ln>
          <a:noFill/>
        </a:ln>
        <a:effectLst/>
      </c:spPr>
    </c:plotArea>
    <c:legend>
      <c:legendPos val="b"/>
      <c:layout>
        <c:manualLayout>
          <c:xMode val="edge"/>
          <c:yMode val="edge"/>
          <c:x val="0.23684119914336238"/>
          <c:y val="5.6133825075855501E-2"/>
          <c:w val="0.56565990401200084"/>
          <c:h val="5.464935724953622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Garamond" panose="02020404030301010803"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60" b="0" i="0" u="none" strike="noStrike" kern="1200" spc="0" baseline="0">
                <a:solidFill>
                  <a:schemeClr val="tx1">
                    <a:lumMod val="65000"/>
                    <a:lumOff val="35000"/>
                  </a:schemeClr>
                </a:solidFill>
                <a:latin typeface="Garamond" panose="02020404030301010803" pitchFamily="18" charset="0"/>
                <a:ea typeface="+mn-ea"/>
                <a:cs typeface="+mn-cs"/>
              </a:defRPr>
            </a:pPr>
            <a:r>
              <a:rPr lang="en-GB"/>
              <a:t>Revisions in analyst forecasts: avearge of 2018 and 2019</a:t>
            </a:r>
          </a:p>
        </c:rich>
      </c:tx>
      <c:overlay val="0"/>
      <c:spPr>
        <a:noFill/>
        <a:ln>
          <a:noFill/>
        </a:ln>
        <a:effectLst/>
      </c:spPr>
      <c:txPr>
        <a:bodyPr rot="0" spcFirstLastPara="1" vertOverflow="ellipsis" vert="horz" wrap="square" anchor="ctr" anchorCtr="1"/>
        <a:lstStyle/>
        <a:p>
          <a:pPr algn="ctr" rtl="0">
            <a:defRPr sz="96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lineChart>
        <c:grouping val="standard"/>
        <c:varyColors val="0"/>
        <c:ser>
          <c:idx val="0"/>
          <c:order val="0"/>
          <c:tx>
            <c:strRef>
              <c:f>'Price reactionsAnalysis Variabl'!$AT$30</c:f>
              <c:strCache>
                <c:ptCount val="1"/>
                <c:pt idx="0">
                  <c:v>EPS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'Price reactionsAnalysis Variabl'!$AS$31:$AS$41</c:f>
              <c:strCache>
                <c:ptCount val="11"/>
                <c:pt idx="0">
                  <c:v>January</c:v>
                </c:pt>
                <c:pt idx="1">
                  <c:v>February</c:v>
                </c:pt>
                <c:pt idx="2">
                  <c:v>March</c:v>
                </c:pt>
                <c:pt idx="3">
                  <c:v>April</c:v>
                </c:pt>
                <c:pt idx="4">
                  <c:v>May</c:v>
                </c:pt>
                <c:pt idx="5">
                  <c:v>June</c:v>
                </c:pt>
                <c:pt idx="6">
                  <c:v>July</c:v>
                </c:pt>
                <c:pt idx="7">
                  <c:v>August</c:v>
                </c:pt>
                <c:pt idx="8">
                  <c:v>September</c:v>
                </c:pt>
                <c:pt idx="9">
                  <c:v>October</c:v>
                </c:pt>
                <c:pt idx="10">
                  <c:v>November</c:v>
                </c:pt>
              </c:strCache>
            </c:strRef>
          </c:cat>
          <c:val>
            <c:numRef>
              <c:f>'Price reactionsAnalysis Variabl'!$AT$31:$AT$41</c:f>
              <c:numCache>
                <c:formatCode>0.00</c:formatCode>
                <c:ptCount val="11"/>
                <c:pt idx="0">
                  <c:v>-3.435945E-2</c:v>
                </c:pt>
                <c:pt idx="1">
                  <c:v>-0.13925940000000001</c:v>
                </c:pt>
                <c:pt idx="2">
                  <c:v>-0.15049204999999999</c:v>
                </c:pt>
                <c:pt idx="3">
                  <c:v>-3.6892050000000003E-2</c:v>
                </c:pt>
                <c:pt idx="4">
                  <c:v>-9.4651650000000004E-2</c:v>
                </c:pt>
                <c:pt idx="5">
                  <c:v>-5.4663409499999996E-2</c:v>
                </c:pt>
                <c:pt idx="6">
                  <c:v>-5.64693E-2</c:v>
                </c:pt>
                <c:pt idx="7">
                  <c:v>-0.11686685000000001</c:v>
                </c:pt>
                <c:pt idx="8">
                  <c:v>-7.0443249999999999E-2</c:v>
                </c:pt>
                <c:pt idx="9">
                  <c:v>-8.6050799999999997E-2</c:v>
                </c:pt>
                <c:pt idx="10">
                  <c:v>-0.12800500000000001</c:v>
                </c:pt>
              </c:numCache>
            </c:numRef>
          </c:val>
          <c:smooth val="0"/>
          <c:extLst>
            <c:ext xmlns:c16="http://schemas.microsoft.com/office/drawing/2014/chart" uri="{C3380CC4-5D6E-409C-BE32-E72D297353CC}">
              <c16:uniqueId val="{00000000-D1C5-4054-8A23-F88F29FAE4B8}"/>
            </c:ext>
          </c:extLst>
        </c:ser>
        <c:ser>
          <c:idx val="1"/>
          <c:order val="1"/>
          <c:tx>
            <c:strRef>
              <c:f>'Price reactionsAnalysis Variabl'!$AU$30</c:f>
              <c:strCache>
                <c:ptCount val="1"/>
                <c:pt idx="0">
                  <c:v>SAL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'Price reactionsAnalysis Variabl'!$AS$31:$AS$41</c:f>
              <c:strCache>
                <c:ptCount val="11"/>
                <c:pt idx="0">
                  <c:v>January</c:v>
                </c:pt>
                <c:pt idx="1">
                  <c:v>February</c:v>
                </c:pt>
                <c:pt idx="2">
                  <c:v>March</c:v>
                </c:pt>
                <c:pt idx="3">
                  <c:v>April</c:v>
                </c:pt>
                <c:pt idx="4">
                  <c:v>May</c:v>
                </c:pt>
                <c:pt idx="5">
                  <c:v>June</c:v>
                </c:pt>
                <c:pt idx="6">
                  <c:v>July</c:v>
                </c:pt>
                <c:pt idx="7">
                  <c:v>August</c:v>
                </c:pt>
                <c:pt idx="8">
                  <c:v>September</c:v>
                </c:pt>
                <c:pt idx="9">
                  <c:v>October</c:v>
                </c:pt>
                <c:pt idx="10">
                  <c:v>November</c:v>
                </c:pt>
              </c:strCache>
            </c:strRef>
          </c:cat>
          <c:val>
            <c:numRef>
              <c:f>'Price reactionsAnalysis Variabl'!$AU$31:$AU$41</c:f>
              <c:numCache>
                <c:formatCode>0.00</c:formatCode>
                <c:ptCount val="11"/>
                <c:pt idx="0">
                  <c:v>-6.8230500000000006E-3</c:v>
                </c:pt>
                <c:pt idx="1">
                  <c:v>-7.3787000000000002E-3</c:v>
                </c:pt>
                <c:pt idx="2">
                  <c:v>-8.2296000000000001E-3</c:v>
                </c:pt>
                <c:pt idx="3">
                  <c:v>2.0389999999999991E-4</c:v>
                </c:pt>
                <c:pt idx="4">
                  <c:v>-3.3492000000000001E-3</c:v>
                </c:pt>
                <c:pt idx="5">
                  <c:v>-6.0661499999999993E-3</c:v>
                </c:pt>
                <c:pt idx="6">
                  <c:v>-7.0704500000000007E-3</c:v>
                </c:pt>
                <c:pt idx="7">
                  <c:v>-7.8115500000000004E-3</c:v>
                </c:pt>
                <c:pt idx="8">
                  <c:v>-5.4698500000000001E-3</c:v>
                </c:pt>
                <c:pt idx="9">
                  <c:v>-1.08962E-2</c:v>
                </c:pt>
                <c:pt idx="10">
                  <c:v>-1.2773899999999999E-2</c:v>
                </c:pt>
              </c:numCache>
            </c:numRef>
          </c:val>
          <c:smooth val="0"/>
          <c:extLst>
            <c:ext xmlns:c16="http://schemas.microsoft.com/office/drawing/2014/chart" uri="{C3380CC4-5D6E-409C-BE32-E72D297353CC}">
              <c16:uniqueId val="{00000001-D1C5-4054-8A23-F88F29FAE4B8}"/>
            </c:ext>
          </c:extLst>
        </c:ser>
        <c:ser>
          <c:idx val="2"/>
          <c:order val="2"/>
          <c:tx>
            <c:strRef>
              <c:f>'Price reactionsAnalysis Variabl'!$AV$30</c:f>
              <c:strCache>
                <c:ptCount val="1"/>
                <c:pt idx="0">
                  <c:v>CPS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'Price reactionsAnalysis Variabl'!$AS$31:$AS$41</c:f>
              <c:strCache>
                <c:ptCount val="11"/>
                <c:pt idx="0">
                  <c:v>January</c:v>
                </c:pt>
                <c:pt idx="1">
                  <c:v>February</c:v>
                </c:pt>
                <c:pt idx="2">
                  <c:v>March</c:v>
                </c:pt>
                <c:pt idx="3">
                  <c:v>April</c:v>
                </c:pt>
                <c:pt idx="4">
                  <c:v>May</c:v>
                </c:pt>
                <c:pt idx="5">
                  <c:v>June</c:v>
                </c:pt>
                <c:pt idx="6">
                  <c:v>July</c:v>
                </c:pt>
                <c:pt idx="7">
                  <c:v>August</c:v>
                </c:pt>
                <c:pt idx="8">
                  <c:v>September</c:v>
                </c:pt>
                <c:pt idx="9">
                  <c:v>October</c:v>
                </c:pt>
                <c:pt idx="10">
                  <c:v>November</c:v>
                </c:pt>
              </c:strCache>
            </c:strRef>
          </c:cat>
          <c:val>
            <c:numRef>
              <c:f>'Price reactionsAnalysis Variabl'!$AV$31:$AV$41</c:f>
              <c:numCache>
                <c:formatCode>0.00</c:formatCode>
                <c:ptCount val="11"/>
                <c:pt idx="0">
                  <c:v>4.1250999999999979E-3</c:v>
                </c:pt>
                <c:pt idx="1">
                  <c:v>2.0989499999999987E-3</c:v>
                </c:pt>
                <c:pt idx="2">
                  <c:v>-6.51645E-3</c:v>
                </c:pt>
                <c:pt idx="3">
                  <c:v>2.828365E-2</c:v>
                </c:pt>
                <c:pt idx="4">
                  <c:v>3.2090099999999996E-2</c:v>
                </c:pt>
                <c:pt idx="5">
                  <c:v>6.2208000000000003E-3</c:v>
                </c:pt>
                <c:pt idx="6">
                  <c:v>-2.1396000000000002E-3</c:v>
                </c:pt>
                <c:pt idx="7">
                  <c:v>1.8216599999999999E-2</c:v>
                </c:pt>
                <c:pt idx="8">
                  <c:v>1.21215E-2</c:v>
                </c:pt>
                <c:pt idx="9">
                  <c:v>-7.2536000000000007E-3</c:v>
                </c:pt>
                <c:pt idx="10">
                  <c:v>4.1386500000000007E-3</c:v>
                </c:pt>
              </c:numCache>
            </c:numRef>
          </c:val>
          <c:smooth val="0"/>
          <c:extLst>
            <c:ext xmlns:c16="http://schemas.microsoft.com/office/drawing/2014/chart" uri="{C3380CC4-5D6E-409C-BE32-E72D297353CC}">
              <c16:uniqueId val="{00000002-D1C5-4054-8A23-F88F29FAE4B8}"/>
            </c:ext>
          </c:extLst>
        </c:ser>
        <c:ser>
          <c:idx val="3"/>
          <c:order val="3"/>
          <c:tx>
            <c:strRef>
              <c:f>'Price reactionsAnalysis Variabl'!$AW$30</c:f>
              <c:strCache>
                <c:ptCount val="1"/>
                <c:pt idx="0">
                  <c:v>DPS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'Price reactionsAnalysis Variabl'!$AS$31:$AS$41</c:f>
              <c:strCache>
                <c:ptCount val="11"/>
                <c:pt idx="0">
                  <c:v>January</c:v>
                </c:pt>
                <c:pt idx="1">
                  <c:v>February</c:v>
                </c:pt>
                <c:pt idx="2">
                  <c:v>March</c:v>
                </c:pt>
                <c:pt idx="3">
                  <c:v>April</c:v>
                </c:pt>
                <c:pt idx="4">
                  <c:v>May</c:v>
                </c:pt>
                <c:pt idx="5">
                  <c:v>June</c:v>
                </c:pt>
                <c:pt idx="6">
                  <c:v>July</c:v>
                </c:pt>
                <c:pt idx="7">
                  <c:v>August</c:v>
                </c:pt>
                <c:pt idx="8">
                  <c:v>September</c:v>
                </c:pt>
                <c:pt idx="9">
                  <c:v>October</c:v>
                </c:pt>
                <c:pt idx="10">
                  <c:v>November</c:v>
                </c:pt>
              </c:strCache>
            </c:strRef>
          </c:cat>
          <c:val>
            <c:numRef>
              <c:f>'Price reactionsAnalysis Variabl'!$AW$31:$AW$41</c:f>
              <c:numCache>
                <c:formatCode>0.00</c:formatCode>
                <c:ptCount val="11"/>
                <c:pt idx="0">
                  <c:v>3.3638599999999998E-2</c:v>
                </c:pt>
                <c:pt idx="1">
                  <c:v>1.8632471500000001E-2</c:v>
                </c:pt>
                <c:pt idx="2">
                  <c:v>8.2870449999999998E-2</c:v>
                </c:pt>
                <c:pt idx="3">
                  <c:v>1.67133E-2</c:v>
                </c:pt>
                <c:pt idx="4">
                  <c:v>1.3173636000000001E-2</c:v>
                </c:pt>
                <c:pt idx="5">
                  <c:v>-4.0818400000000005E-2</c:v>
                </c:pt>
                <c:pt idx="6">
                  <c:v>4.2232249999999999E-2</c:v>
                </c:pt>
                <c:pt idx="7">
                  <c:v>0.1200724</c:v>
                </c:pt>
                <c:pt idx="8">
                  <c:v>-5.3175999999999996E-3</c:v>
                </c:pt>
                <c:pt idx="9">
                  <c:v>3.0911350000000004E-2</c:v>
                </c:pt>
                <c:pt idx="10">
                  <c:v>4.9188949999999995E-2</c:v>
                </c:pt>
              </c:numCache>
            </c:numRef>
          </c:val>
          <c:smooth val="0"/>
          <c:extLst>
            <c:ext xmlns:c16="http://schemas.microsoft.com/office/drawing/2014/chart" uri="{C3380CC4-5D6E-409C-BE32-E72D297353CC}">
              <c16:uniqueId val="{00000003-D1C5-4054-8A23-F88F29FAE4B8}"/>
            </c:ext>
          </c:extLst>
        </c:ser>
        <c:ser>
          <c:idx val="4"/>
          <c:order val="4"/>
          <c:tx>
            <c:strRef>
              <c:f>'Price reactionsAnalysis Variabl'!$AX$30</c:f>
              <c:strCache>
                <c:ptCount val="1"/>
                <c:pt idx="0">
                  <c:v>TP</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'Price reactionsAnalysis Variabl'!$AS$31:$AS$41</c:f>
              <c:strCache>
                <c:ptCount val="11"/>
                <c:pt idx="0">
                  <c:v>January</c:v>
                </c:pt>
                <c:pt idx="1">
                  <c:v>February</c:v>
                </c:pt>
                <c:pt idx="2">
                  <c:v>March</c:v>
                </c:pt>
                <c:pt idx="3">
                  <c:v>April</c:v>
                </c:pt>
                <c:pt idx="4">
                  <c:v>May</c:v>
                </c:pt>
                <c:pt idx="5">
                  <c:v>June</c:v>
                </c:pt>
                <c:pt idx="6">
                  <c:v>July</c:v>
                </c:pt>
                <c:pt idx="7">
                  <c:v>August</c:v>
                </c:pt>
                <c:pt idx="8">
                  <c:v>September</c:v>
                </c:pt>
                <c:pt idx="9">
                  <c:v>October</c:v>
                </c:pt>
                <c:pt idx="10">
                  <c:v>November</c:v>
                </c:pt>
              </c:strCache>
            </c:strRef>
          </c:cat>
          <c:val>
            <c:numRef>
              <c:f>'Price reactionsAnalysis Variabl'!$AX$31:$AX$41</c:f>
              <c:numCache>
                <c:formatCode>0.00</c:formatCode>
                <c:ptCount val="11"/>
                <c:pt idx="0">
                  <c:v>1.3440049999999995E-2</c:v>
                </c:pt>
                <c:pt idx="1">
                  <c:v>2.9909649999999999E-2</c:v>
                </c:pt>
                <c:pt idx="2">
                  <c:v>1.05738E-2</c:v>
                </c:pt>
                <c:pt idx="3">
                  <c:v>1.8003999999999999E-2</c:v>
                </c:pt>
                <c:pt idx="4">
                  <c:v>1.38832065E-2</c:v>
                </c:pt>
                <c:pt idx="5">
                  <c:v>-2.9674499999999999E-3</c:v>
                </c:pt>
                <c:pt idx="6">
                  <c:v>1.240025E-2</c:v>
                </c:pt>
                <c:pt idx="7">
                  <c:v>-2.1919999999999926E-4</c:v>
                </c:pt>
                <c:pt idx="8">
                  <c:v>4.61605E-3</c:v>
                </c:pt>
                <c:pt idx="9">
                  <c:v>-3.4673949999999995E-2</c:v>
                </c:pt>
                <c:pt idx="10">
                  <c:v>-2.49074E-2</c:v>
                </c:pt>
              </c:numCache>
            </c:numRef>
          </c:val>
          <c:smooth val="0"/>
          <c:extLst>
            <c:ext xmlns:c16="http://schemas.microsoft.com/office/drawing/2014/chart" uri="{C3380CC4-5D6E-409C-BE32-E72D297353CC}">
              <c16:uniqueId val="{00000004-D1C5-4054-8A23-F88F29FAE4B8}"/>
            </c:ext>
          </c:extLst>
        </c:ser>
        <c:ser>
          <c:idx val="5"/>
          <c:order val="5"/>
          <c:tx>
            <c:strRef>
              <c:f>'Price reactionsAnalysis Variabl'!$AY$30</c:f>
              <c:strCache>
                <c:ptCount val="1"/>
                <c:pt idx="0">
                  <c:v>REC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'Price reactionsAnalysis Variabl'!$AS$31:$AS$41</c:f>
              <c:strCache>
                <c:ptCount val="11"/>
                <c:pt idx="0">
                  <c:v>January</c:v>
                </c:pt>
                <c:pt idx="1">
                  <c:v>February</c:v>
                </c:pt>
                <c:pt idx="2">
                  <c:v>March</c:v>
                </c:pt>
                <c:pt idx="3">
                  <c:v>April</c:v>
                </c:pt>
                <c:pt idx="4">
                  <c:v>May</c:v>
                </c:pt>
                <c:pt idx="5">
                  <c:v>June</c:v>
                </c:pt>
                <c:pt idx="6">
                  <c:v>July</c:v>
                </c:pt>
                <c:pt idx="7">
                  <c:v>August</c:v>
                </c:pt>
                <c:pt idx="8">
                  <c:v>September</c:v>
                </c:pt>
                <c:pt idx="9">
                  <c:v>October</c:v>
                </c:pt>
                <c:pt idx="10">
                  <c:v>November</c:v>
                </c:pt>
              </c:strCache>
            </c:strRef>
          </c:cat>
          <c:val>
            <c:numRef>
              <c:f>'Price reactionsAnalysis Variabl'!$AY$31:$AY$41</c:f>
              <c:numCache>
                <c:formatCode>0.00</c:formatCode>
                <c:ptCount val="11"/>
                <c:pt idx="0">
                  <c:v>0.25032224999999997</c:v>
                </c:pt>
                <c:pt idx="1">
                  <c:v>0.23937730000000002</c:v>
                </c:pt>
                <c:pt idx="2">
                  <c:v>0.23572065</c:v>
                </c:pt>
                <c:pt idx="3">
                  <c:v>0.23273634999999998</c:v>
                </c:pt>
                <c:pt idx="4">
                  <c:v>0.18383579999999999</c:v>
                </c:pt>
                <c:pt idx="5">
                  <c:v>0.21337220000000001</c:v>
                </c:pt>
                <c:pt idx="6">
                  <c:v>0.25965684999999999</c:v>
                </c:pt>
                <c:pt idx="7">
                  <c:v>0.26372139999999999</c:v>
                </c:pt>
                <c:pt idx="8">
                  <c:v>0.22541</c:v>
                </c:pt>
                <c:pt idx="9">
                  <c:v>0.19357895000000003</c:v>
                </c:pt>
                <c:pt idx="10">
                  <c:v>0.21373215000000001</c:v>
                </c:pt>
              </c:numCache>
            </c:numRef>
          </c:val>
          <c:smooth val="0"/>
          <c:extLst>
            <c:ext xmlns:c16="http://schemas.microsoft.com/office/drawing/2014/chart" uri="{C3380CC4-5D6E-409C-BE32-E72D297353CC}">
              <c16:uniqueId val="{00000005-D1C5-4054-8A23-F88F29FAE4B8}"/>
            </c:ext>
          </c:extLst>
        </c:ser>
        <c:dLbls>
          <c:showLegendKey val="0"/>
          <c:showVal val="0"/>
          <c:showCatName val="0"/>
          <c:showSerName val="0"/>
          <c:showPercent val="0"/>
          <c:showBubbleSize val="0"/>
        </c:dLbls>
        <c:marker val="1"/>
        <c:smooth val="0"/>
        <c:axId val="2075113920"/>
        <c:axId val="1959280944"/>
      </c:lineChart>
      <c:catAx>
        <c:axId val="207511392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959280944"/>
        <c:crosses val="autoZero"/>
        <c:auto val="1"/>
        <c:lblAlgn val="ctr"/>
        <c:lblOffset val="100"/>
        <c:noMultiLvlLbl val="0"/>
      </c:catAx>
      <c:valAx>
        <c:axId val="1959280944"/>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2075113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Garamond" panose="02020404030301010803"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9190C-830F-4900-96EC-19225B1E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39</Pages>
  <Words>8756</Words>
  <Characters>49914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Bilinski, Pawel</dc:creator>
  <cp:keywords/>
  <dc:description/>
  <cp:lastModifiedBy>Bilinski, Pawel</cp:lastModifiedBy>
  <cp:revision>11</cp:revision>
  <dcterms:created xsi:type="dcterms:W3CDTF">2021-07-02T09:00:00Z</dcterms:created>
  <dcterms:modified xsi:type="dcterms:W3CDTF">2021-07-03T11:38:00Z</dcterms:modified>
</cp:coreProperties>
</file>